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3CA7F8DA" w:rsidR="00FE0B21" w:rsidRDefault="00090A57" w:rsidP="00FE0B21">
      <w:pPr>
        <w:pStyle w:val="Norma"/>
        <w:rPr>
          <w:rFonts w:cs="Arial"/>
          <w:b/>
          <w:sz w:val="36"/>
          <w:szCs w:val="36"/>
        </w:rPr>
      </w:pPr>
      <w:r>
        <w:rPr>
          <w:rFonts w:cs="Arial"/>
          <w:b/>
          <w:sz w:val="36"/>
          <w:szCs w:val="36"/>
        </w:rPr>
        <w:t>R</w:t>
      </w:r>
      <w:r w:rsidR="00DD699E">
        <w:rPr>
          <w:rFonts w:cs="Arial"/>
          <w:b/>
          <w:sz w:val="36"/>
          <w:szCs w:val="36"/>
        </w:rPr>
        <w:t xml:space="preserve">esearch to </w:t>
      </w:r>
      <w:r w:rsidR="008B4225">
        <w:rPr>
          <w:rFonts w:cs="Arial"/>
          <w:b/>
          <w:sz w:val="36"/>
          <w:szCs w:val="36"/>
        </w:rPr>
        <w:t xml:space="preserve">define </w:t>
      </w:r>
      <w:r w:rsidR="00DD699E">
        <w:rPr>
          <w:rFonts w:cs="Arial"/>
          <w:b/>
          <w:sz w:val="36"/>
          <w:szCs w:val="36"/>
        </w:rPr>
        <w:t xml:space="preserve">metrics </w:t>
      </w:r>
      <w:r w:rsidR="008B4225">
        <w:rPr>
          <w:rFonts w:cs="Arial"/>
          <w:b/>
          <w:sz w:val="36"/>
          <w:szCs w:val="36"/>
        </w:rPr>
        <w:t>for</w:t>
      </w:r>
      <w:r w:rsidR="00DD699E">
        <w:rPr>
          <w:rFonts w:cs="Arial"/>
          <w:b/>
          <w:sz w:val="36"/>
          <w:szCs w:val="36"/>
        </w:rPr>
        <w:t xml:space="preserve"> </w:t>
      </w:r>
      <w:r w:rsidR="007101CE">
        <w:rPr>
          <w:rFonts w:cs="Arial"/>
          <w:b/>
          <w:sz w:val="36"/>
          <w:szCs w:val="36"/>
        </w:rPr>
        <w:t xml:space="preserve">measuring progress in </w:t>
      </w:r>
      <w:r w:rsidR="002E54A8">
        <w:rPr>
          <w:rFonts w:cs="Arial"/>
          <w:b/>
          <w:sz w:val="36"/>
          <w:szCs w:val="36"/>
        </w:rPr>
        <w:t>surfac</w:t>
      </w:r>
      <w:bookmarkStart w:id="0" w:name="_GoBack"/>
      <w:bookmarkEnd w:id="0"/>
      <w:r w:rsidR="002E54A8">
        <w:rPr>
          <w:rFonts w:cs="Arial"/>
          <w:b/>
          <w:sz w:val="36"/>
          <w:szCs w:val="36"/>
        </w:rPr>
        <w:t>e water flood risk management</w:t>
      </w:r>
      <w:r w:rsidR="00DD699E">
        <w:rPr>
          <w:rFonts w:cs="Arial"/>
          <w:b/>
          <w:sz w:val="36"/>
          <w:szCs w:val="36"/>
        </w:rPr>
        <w:t>.</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42DDD0DE"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506AF7" w:rsidRPr="00506AF7">
        <w:rPr>
          <w:rFonts w:cs="Arial"/>
          <w:sz w:val="36"/>
          <w:szCs w:val="36"/>
        </w:rPr>
        <w:t>G</w:t>
      </w:r>
      <w:r w:rsidR="0094337E">
        <w:rPr>
          <w:rFonts w:cs="Arial"/>
          <w:sz w:val="36"/>
          <w:szCs w:val="36"/>
        </w:rPr>
        <w:t>H/0917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7742C4" w:rsidRDefault="007742C4" w:rsidP="003E5C19">
                            <w:pPr>
                              <w:pStyle w:val="Norma"/>
                              <w:jc w:val="center"/>
                              <w:rPr>
                                <w:b/>
                                <w:sz w:val="28"/>
                                <w:szCs w:val="28"/>
                              </w:rPr>
                            </w:pPr>
                          </w:p>
                          <w:p w14:paraId="5EA87636" w14:textId="77777777" w:rsidR="007742C4" w:rsidRDefault="007742C4" w:rsidP="003E5C19">
                            <w:pPr>
                              <w:pStyle w:val="Norma"/>
                              <w:jc w:val="center"/>
                              <w:rPr>
                                <w:b/>
                                <w:sz w:val="28"/>
                                <w:szCs w:val="28"/>
                              </w:rPr>
                            </w:pPr>
                          </w:p>
                          <w:p w14:paraId="5EA87637" w14:textId="77777777" w:rsidR="007742C4" w:rsidRPr="003E5C19" w:rsidRDefault="007742C4" w:rsidP="003E5C19">
                            <w:pPr>
                              <w:pStyle w:val="Norma"/>
                              <w:jc w:val="center"/>
                              <w:rPr>
                                <w:rFonts w:cs="Arial"/>
                                <w:b/>
                                <w:sz w:val="36"/>
                                <w:szCs w:val="36"/>
                              </w:rPr>
                            </w:pPr>
                            <w:r w:rsidRPr="003E5C19">
                              <w:rPr>
                                <w:b/>
                                <w:sz w:val="36"/>
                                <w:szCs w:val="36"/>
                              </w:rPr>
                              <w:t>Specification of Requirements</w:t>
                            </w:r>
                          </w:p>
                          <w:p w14:paraId="5EA87638" w14:textId="77777777" w:rsidR="007742C4" w:rsidRDefault="007742C4">
                            <w:pPr>
                              <w:pStyle w:val="Norma"/>
                            </w:pPr>
                          </w:p>
                          <w:p w14:paraId="5EA87639" w14:textId="77777777" w:rsidR="007742C4" w:rsidRDefault="007742C4">
                            <w:pPr>
                              <w:pStyle w:val="Norma"/>
                            </w:pPr>
                          </w:p>
                          <w:p w14:paraId="5EA8763A" w14:textId="0C248D04" w:rsidR="007742C4" w:rsidRPr="00506AF7" w:rsidRDefault="007742C4" w:rsidP="00405192">
                            <w:pPr>
                              <w:pStyle w:val="Norma"/>
                              <w:rPr>
                                <w:rFonts w:cs="Arial"/>
                                <w:color w:val="FF0000"/>
                              </w:rPr>
                            </w:pPr>
                            <w:r w:rsidRPr="0000739E">
                              <w:rPr>
                                <w:rFonts w:cs="Arial"/>
                              </w:rPr>
                              <w:t>Invitation to</w:t>
                            </w:r>
                            <w:r w:rsidR="00506AF7">
                              <w:rPr>
                                <w:rFonts w:cs="Arial"/>
                              </w:rPr>
                              <w:t xml:space="preserve"> t</w:t>
                            </w:r>
                            <w:r w:rsidRPr="0000739E">
                              <w:rPr>
                                <w:rFonts w:cs="Arial"/>
                              </w:rPr>
                              <w:t>ender for</w:t>
                            </w:r>
                            <w:r w:rsidR="00506AF7">
                              <w:rPr>
                                <w:rFonts w:cs="Arial"/>
                              </w:rPr>
                              <w:t>:</w:t>
                            </w:r>
                            <w:r w:rsidRPr="006D645F">
                              <w:rPr>
                                <w:rFonts w:cs="Arial"/>
                              </w:rPr>
                              <w:t xml:space="preserve"> </w:t>
                            </w:r>
                            <w:r w:rsidR="00506AF7" w:rsidRPr="00506AF7">
                              <w:rPr>
                                <w:rFonts w:cs="Arial"/>
                                <w:b/>
                              </w:rPr>
                              <w:t>Research to define metrics for measuring progress in surface water flood risk management</w:t>
                            </w:r>
                          </w:p>
                          <w:p w14:paraId="5EA8763B" w14:textId="473A9581" w:rsidR="007742C4" w:rsidRPr="0000739E" w:rsidRDefault="007742C4" w:rsidP="00405192">
                            <w:pPr>
                              <w:pStyle w:val="Norma"/>
                              <w:rPr>
                                <w:rFonts w:cs="Arial"/>
                              </w:rPr>
                            </w:pPr>
                            <w:r>
                              <w:rPr>
                                <w:rFonts w:cs="Arial"/>
                              </w:rPr>
                              <w:t>Tender Reference Number</w:t>
                            </w:r>
                            <w:r w:rsidR="00506AF7">
                              <w:rPr>
                                <w:rFonts w:cs="Arial"/>
                              </w:rPr>
                              <w:t xml:space="preserve">: </w:t>
                            </w:r>
                            <w:r w:rsidR="0094337E">
                              <w:rPr>
                                <w:rFonts w:cs="Arial"/>
                                <w:b/>
                              </w:rPr>
                              <w:t>GH/0917</w:t>
                            </w:r>
                          </w:p>
                          <w:p w14:paraId="5EA8763C" w14:textId="0DFF7CEF" w:rsidR="007742C4" w:rsidRDefault="007742C4" w:rsidP="00405192">
                            <w:pPr>
                              <w:pStyle w:val="Norma"/>
                              <w:rPr>
                                <w:rFonts w:cs="Arial"/>
                              </w:rPr>
                            </w:pPr>
                            <w:r w:rsidRPr="0000739E">
                              <w:rPr>
                                <w:rFonts w:cs="Arial"/>
                              </w:rPr>
                              <w:t>Deadline for Tender Responses:</w:t>
                            </w:r>
                            <w:r w:rsidRPr="006D645F">
                              <w:rPr>
                                <w:rFonts w:cs="Arial"/>
                                <w:sz w:val="24"/>
                                <w:szCs w:val="24"/>
                              </w:rPr>
                              <w:t xml:space="preserve"> </w:t>
                            </w:r>
                            <w:r w:rsidR="00506AF7" w:rsidRPr="00811D88">
                              <w:rPr>
                                <w:rFonts w:cs="Arial"/>
                                <w:b/>
                                <w:color w:val="000000" w:themeColor="text1"/>
                              </w:rPr>
                              <w:t>18</w:t>
                            </w:r>
                            <w:r w:rsidR="00506AF7" w:rsidRPr="00811D88">
                              <w:rPr>
                                <w:rFonts w:cs="Arial"/>
                                <w:b/>
                                <w:color w:val="000000" w:themeColor="text1"/>
                                <w:vertAlign w:val="superscript"/>
                              </w:rPr>
                              <w:t>th</w:t>
                            </w:r>
                            <w:r w:rsidR="00506AF7" w:rsidRPr="00811D88">
                              <w:rPr>
                                <w:rFonts w:cs="Arial"/>
                                <w:b/>
                                <w:color w:val="000000" w:themeColor="text1"/>
                              </w:rPr>
                              <w:t xml:space="preserve"> October 2017</w:t>
                            </w:r>
                          </w:p>
                          <w:p w14:paraId="5EA8763D" w14:textId="77777777" w:rsidR="007742C4" w:rsidRDefault="007742C4" w:rsidP="00790CE1">
                            <w:pPr>
                              <w:pStyle w:val="Norma"/>
                              <w:rPr>
                                <w:rFonts w:cs="Arial"/>
                              </w:rPr>
                            </w:pPr>
                          </w:p>
                          <w:p w14:paraId="5EA8763E" w14:textId="77777777" w:rsidR="007742C4" w:rsidRDefault="007742C4" w:rsidP="00790CE1">
                            <w:pPr>
                              <w:pStyle w:val="Norma"/>
                              <w:rPr>
                                <w:rFonts w:cs="Arial"/>
                              </w:rPr>
                            </w:pPr>
                          </w:p>
                          <w:p w14:paraId="5EA8763F" w14:textId="77777777" w:rsidR="007742C4" w:rsidRPr="0000739E" w:rsidRDefault="007742C4" w:rsidP="00790CE1">
                            <w:pPr>
                              <w:pStyle w:val="Norma"/>
                              <w:rPr>
                                <w:rFonts w:cs="Arial"/>
                              </w:rPr>
                            </w:pPr>
                          </w:p>
                          <w:p w14:paraId="5EA87640" w14:textId="77777777" w:rsidR="007742C4" w:rsidRDefault="007742C4">
                            <w:pPr>
                              <w:pStyle w:val="Norma"/>
                            </w:pPr>
                          </w:p>
                          <w:p w14:paraId="5EA87641" w14:textId="77777777" w:rsidR="007742C4" w:rsidRDefault="007742C4">
                            <w:pPr>
                              <w:pStyle w:val="Norma"/>
                            </w:pPr>
                          </w:p>
                          <w:p w14:paraId="5EA87642" w14:textId="77777777" w:rsidR="007742C4" w:rsidRDefault="007742C4">
                            <w:pPr>
                              <w:pStyle w:val="Norma"/>
                            </w:pPr>
                          </w:p>
                          <w:p w14:paraId="5EA87643" w14:textId="77777777" w:rsidR="007742C4" w:rsidRDefault="007742C4">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7742C4" w:rsidRDefault="007742C4" w:rsidP="003E5C19">
                      <w:pPr>
                        <w:pStyle w:val="Norma"/>
                        <w:jc w:val="center"/>
                        <w:rPr>
                          <w:b/>
                          <w:sz w:val="28"/>
                          <w:szCs w:val="28"/>
                        </w:rPr>
                      </w:pPr>
                    </w:p>
                    <w:p w14:paraId="5EA87636" w14:textId="77777777" w:rsidR="007742C4" w:rsidRDefault="007742C4" w:rsidP="003E5C19">
                      <w:pPr>
                        <w:pStyle w:val="Norma"/>
                        <w:jc w:val="center"/>
                        <w:rPr>
                          <w:b/>
                          <w:sz w:val="28"/>
                          <w:szCs w:val="28"/>
                        </w:rPr>
                      </w:pPr>
                    </w:p>
                    <w:p w14:paraId="5EA87637" w14:textId="77777777" w:rsidR="007742C4" w:rsidRPr="003E5C19" w:rsidRDefault="007742C4" w:rsidP="003E5C19">
                      <w:pPr>
                        <w:pStyle w:val="Norma"/>
                        <w:jc w:val="center"/>
                        <w:rPr>
                          <w:rFonts w:cs="Arial"/>
                          <w:b/>
                          <w:sz w:val="36"/>
                          <w:szCs w:val="36"/>
                        </w:rPr>
                      </w:pPr>
                      <w:r w:rsidRPr="003E5C19">
                        <w:rPr>
                          <w:b/>
                          <w:sz w:val="36"/>
                          <w:szCs w:val="36"/>
                        </w:rPr>
                        <w:t>Specification of Requirements</w:t>
                      </w:r>
                    </w:p>
                    <w:p w14:paraId="5EA87638" w14:textId="77777777" w:rsidR="007742C4" w:rsidRDefault="007742C4">
                      <w:pPr>
                        <w:pStyle w:val="Norma"/>
                      </w:pPr>
                    </w:p>
                    <w:p w14:paraId="5EA87639" w14:textId="77777777" w:rsidR="007742C4" w:rsidRDefault="007742C4">
                      <w:pPr>
                        <w:pStyle w:val="Norma"/>
                      </w:pPr>
                    </w:p>
                    <w:p w14:paraId="5EA8763A" w14:textId="0C248D04" w:rsidR="007742C4" w:rsidRPr="00506AF7" w:rsidRDefault="007742C4" w:rsidP="00405192">
                      <w:pPr>
                        <w:pStyle w:val="Norma"/>
                        <w:rPr>
                          <w:rFonts w:cs="Arial"/>
                          <w:color w:val="FF0000"/>
                        </w:rPr>
                      </w:pPr>
                      <w:r w:rsidRPr="0000739E">
                        <w:rPr>
                          <w:rFonts w:cs="Arial"/>
                        </w:rPr>
                        <w:t>Invitation to</w:t>
                      </w:r>
                      <w:r w:rsidR="00506AF7">
                        <w:rPr>
                          <w:rFonts w:cs="Arial"/>
                        </w:rPr>
                        <w:t xml:space="preserve"> t</w:t>
                      </w:r>
                      <w:r w:rsidRPr="0000739E">
                        <w:rPr>
                          <w:rFonts w:cs="Arial"/>
                        </w:rPr>
                        <w:t>ender for</w:t>
                      </w:r>
                      <w:r w:rsidR="00506AF7">
                        <w:rPr>
                          <w:rFonts w:cs="Arial"/>
                        </w:rPr>
                        <w:t>:</w:t>
                      </w:r>
                      <w:r w:rsidRPr="006D645F">
                        <w:rPr>
                          <w:rFonts w:cs="Arial"/>
                        </w:rPr>
                        <w:t xml:space="preserve"> </w:t>
                      </w:r>
                      <w:r w:rsidR="00506AF7" w:rsidRPr="00506AF7">
                        <w:rPr>
                          <w:rFonts w:cs="Arial"/>
                          <w:b/>
                        </w:rPr>
                        <w:t>Research to define metrics for measuring progress in surface water flood risk management</w:t>
                      </w:r>
                    </w:p>
                    <w:p w14:paraId="5EA8763B" w14:textId="473A9581" w:rsidR="007742C4" w:rsidRPr="0000739E" w:rsidRDefault="007742C4" w:rsidP="00405192">
                      <w:pPr>
                        <w:pStyle w:val="Norma"/>
                        <w:rPr>
                          <w:rFonts w:cs="Arial"/>
                        </w:rPr>
                      </w:pPr>
                      <w:r>
                        <w:rPr>
                          <w:rFonts w:cs="Arial"/>
                        </w:rPr>
                        <w:t>Tender Reference Number</w:t>
                      </w:r>
                      <w:r w:rsidR="00506AF7">
                        <w:rPr>
                          <w:rFonts w:cs="Arial"/>
                        </w:rPr>
                        <w:t xml:space="preserve">: </w:t>
                      </w:r>
                      <w:r w:rsidR="0094337E">
                        <w:rPr>
                          <w:rFonts w:cs="Arial"/>
                          <w:b/>
                        </w:rPr>
                        <w:t>GH/0917</w:t>
                      </w:r>
                    </w:p>
                    <w:p w14:paraId="5EA8763C" w14:textId="0DFF7CEF" w:rsidR="007742C4" w:rsidRDefault="007742C4" w:rsidP="00405192">
                      <w:pPr>
                        <w:pStyle w:val="Norma"/>
                        <w:rPr>
                          <w:rFonts w:cs="Arial"/>
                        </w:rPr>
                      </w:pPr>
                      <w:r w:rsidRPr="0000739E">
                        <w:rPr>
                          <w:rFonts w:cs="Arial"/>
                        </w:rPr>
                        <w:t>Deadline for Tender Responses:</w:t>
                      </w:r>
                      <w:r w:rsidRPr="006D645F">
                        <w:rPr>
                          <w:rFonts w:cs="Arial"/>
                          <w:sz w:val="24"/>
                          <w:szCs w:val="24"/>
                        </w:rPr>
                        <w:t xml:space="preserve"> </w:t>
                      </w:r>
                      <w:r w:rsidR="00506AF7" w:rsidRPr="00811D88">
                        <w:rPr>
                          <w:rFonts w:cs="Arial"/>
                          <w:b/>
                          <w:color w:val="000000" w:themeColor="text1"/>
                        </w:rPr>
                        <w:t>18</w:t>
                      </w:r>
                      <w:r w:rsidR="00506AF7" w:rsidRPr="00811D88">
                        <w:rPr>
                          <w:rFonts w:cs="Arial"/>
                          <w:b/>
                          <w:color w:val="000000" w:themeColor="text1"/>
                          <w:vertAlign w:val="superscript"/>
                        </w:rPr>
                        <w:t>th</w:t>
                      </w:r>
                      <w:r w:rsidR="00506AF7" w:rsidRPr="00811D88">
                        <w:rPr>
                          <w:rFonts w:cs="Arial"/>
                          <w:b/>
                          <w:color w:val="000000" w:themeColor="text1"/>
                        </w:rPr>
                        <w:t xml:space="preserve"> October 2017</w:t>
                      </w:r>
                    </w:p>
                    <w:p w14:paraId="5EA8763D" w14:textId="77777777" w:rsidR="007742C4" w:rsidRDefault="007742C4" w:rsidP="00790CE1">
                      <w:pPr>
                        <w:pStyle w:val="Norma"/>
                        <w:rPr>
                          <w:rFonts w:cs="Arial"/>
                        </w:rPr>
                      </w:pPr>
                    </w:p>
                    <w:p w14:paraId="5EA8763E" w14:textId="77777777" w:rsidR="007742C4" w:rsidRDefault="007742C4" w:rsidP="00790CE1">
                      <w:pPr>
                        <w:pStyle w:val="Norma"/>
                        <w:rPr>
                          <w:rFonts w:cs="Arial"/>
                        </w:rPr>
                      </w:pPr>
                    </w:p>
                    <w:p w14:paraId="5EA8763F" w14:textId="77777777" w:rsidR="007742C4" w:rsidRPr="0000739E" w:rsidRDefault="007742C4" w:rsidP="00790CE1">
                      <w:pPr>
                        <w:pStyle w:val="Norma"/>
                        <w:rPr>
                          <w:rFonts w:cs="Arial"/>
                        </w:rPr>
                      </w:pPr>
                    </w:p>
                    <w:p w14:paraId="5EA87640" w14:textId="77777777" w:rsidR="007742C4" w:rsidRDefault="007742C4">
                      <w:pPr>
                        <w:pStyle w:val="Norma"/>
                      </w:pPr>
                    </w:p>
                    <w:p w14:paraId="5EA87641" w14:textId="77777777" w:rsidR="007742C4" w:rsidRDefault="007742C4">
                      <w:pPr>
                        <w:pStyle w:val="Norma"/>
                      </w:pPr>
                    </w:p>
                    <w:p w14:paraId="5EA87642" w14:textId="77777777" w:rsidR="007742C4" w:rsidRDefault="007742C4">
                      <w:pPr>
                        <w:pStyle w:val="Norma"/>
                      </w:pPr>
                    </w:p>
                    <w:p w14:paraId="5EA87643" w14:textId="77777777" w:rsidR="007742C4" w:rsidRDefault="007742C4">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0B47FC63" w14:textId="77777777" w:rsidR="00B465C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B465CE" w:rsidRPr="00CD5E1F">
        <w:rPr>
          <w:rFonts w:cs="Arial"/>
          <w:noProof/>
        </w:rPr>
        <w:t>1.</w:t>
      </w:r>
      <w:r w:rsidR="00B465CE">
        <w:rPr>
          <w:rFonts w:asciiTheme="minorHAnsi" w:eastAsiaTheme="minorEastAsia" w:hAnsiTheme="minorHAnsi" w:cstheme="minorBidi"/>
          <w:noProof/>
        </w:rPr>
        <w:tab/>
      </w:r>
      <w:r w:rsidR="00B465CE" w:rsidRPr="00CD5E1F">
        <w:rPr>
          <w:rFonts w:cs="Arial"/>
          <w:noProof/>
        </w:rPr>
        <w:t>Introduction and summary of requirements / Preamble</w:t>
      </w:r>
      <w:r w:rsidR="00B465CE">
        <w:rPr>
          <w:noProof/>
        </w:rPr>
        <w:tab/>
      </w:r>
      <w:r w:rsidR="00B465CE">
        <w:rPr>
          <w:noProof/>
        </w:rPr>
        <w:fldChar w:fldCharType="begin"/>
      </w:r>
      <w:r w:rsidR="00B465CE">
        <w:rPr>
          <w:noProof/>
        </w:rPr>
        <w:instrText xml:space="preserve"> PAGEREF _Toc489459259 \h </w:instrText>
      </w:r>
      <w:r w:rsidR="00B465CE">
        <w:rPr>
          <w:noProof/>
        </w:rPr>
      </w:r>
      <w:r w:rsidR="00B465CE">
        <w:rPr>
          <w:noProof/>
        </w:rPr>
        <w:fldChar w:fldCharType="separate"/>
      </w:r>
      <w:r w:rsidR="00D6505D">
        <w:rPr>
          <w:noProof/>
        </w:rPr>
        <w:t>3</w:t>
      </w:r>
      <w:r w:rsidR="00B465CE">
        <w:rPr>
          <w:noProof/>
        </w:rPr>
        <w:fldChar w:fldCharType="end"/>
      </w:r>
    </w:p>
    <w:p w14:paraId="63AA19EF" w14:textId="77777777" w:rsidR="00B465CE" w:rsidRDefault="00B465CE">
      <w:pPr>
        <w:pStyle w:val="TOC1"/>
        <w:rPr>
          <w:rFonts w:asciiTheme="minorHAnsi" w:eastAsiaTheme="minorEastAsia" w:hAnsiTheme="minorHAnsi" w:cstheme="minorBidi"/>
          <w:noProof/>
        </w:rPr>
      </w:pPr>
      <w:r w:rsidRPr="00CD5E1F">
        <w:rPr>
          <w:rFonts w:cs="Arial"/>
          <w:noProof/>
        </w:rPr>
        <w:t>2.</w:t>
      </w:r>
      <w:r>
        <w:rPr>
          <w:rFonts w:asciiTheme="minorHAnsi" w:eastAsiaTheme="minorEastAsia" w:hAnsiTheme="minorHAnsi" w:cstheme="minorBidi"/>
          <w:noProof/>
        </w:rPr>
        <w:tab/>
      </w:r>
      <w:r w:rsidRPr="00CD5E1F">
        <w:rPr>
          <w:rFonts w:cs="Arial"/>
          <w:noProof/>
        </w:rPr>
        <w:t>Background</w:t>
      </w:r>
      <w:r>
        <w:rPr>
          <w:noProof/>
        </w:rPr>
        <w:tab/>
      </w:r>
      <w:r>
        <w:rPr>
          <w:noProof/>
        </w:rPr>
        <w:fldChar w:fldCharType="begin"/>
      </w:r>
      <w:r>
        <w:rPr>
          <w:noProof/>
        </w:rPr>
        <w:instrText xml:space="preserve"> PAGEREF _Toc489459260 \h </w:instrText>
      </w:r>
      <w:r>
        <w:rPr>
          <w:noProof/>
        </w:rPr>
      </w:r>
      <w:r>
        <w:rPr>
          <w:noProof/>
        </w:rPr>
        <w:fldChar w:fldCharType="separate"/>
      </w:r>
      <w:r w:rsidR="00D6505D">
        <w:rPr>
          <w:noProof/>
        </w:rPr>
        <w:t>3</w:t>
      </w:r>
      <w:r>
        <w:rPr>
          <w:noProof/>
        </w:rPr>
        <w:fldChar w:fldCharType="end"/>
      </w:r>
    </w:p>
    <w:p w14:paraId="0FB1D9F7" w14:textId="77777777" w:rsidR="00B465CE" w:rsidRDefault="00B465CE">
      <w:pPr>
        <w:pStyle w:val="TOC1"/>
        <w:rPr>
          <w:rFonts w:asciiTheme="minorHAnsi" w:eastAsiaTheme="minorEastAsia" w:hAnsiTheme="minorHAnsi" w:cstheme="minorBidi"/>
          <w:noProof/>
        </w:rPr>
      </w:pPr>
      <w:r w:rsidRPr="00CD5E1F">
        <w:rPr>
          <w:rFonts w:cs="Arial"/>
          <w:noProof/>
        </w:rPr>
        <w:t>3.</w:t>
      </w:r>
      <w:r>
        <w:rPr>
          <w:rFonts w:asciiTheme="minorHAnsi" w:eastAsiaTheme="minorEastAsia" w:hAnsiTheme="minorHAnsi" w:cstheme="minorBidi"/>
          <w:noProof/>
        </w:rPr>
        <w:tab/>
      </w:r>
      <w:r w:rsidRPr="00CD5E1F">
        <w:rPr>
          <w:rFonts w:cs="Arial"/>
          <w:noProof/>
        </w:rPr>
        <w:t>Aims and Objectives</w:t>
      </w:r>
      <w:r>
        <w:rPr>
          <w:noProof/>
        </w:rPr>
        <w:tab/>
      </w:r>
      <w:r>
        <w:rPr>
          <w:noProof/>
        </w:rPr>
        <w:fldChar w:fldCharType="begin"/>
      </w:r>
      <w:r>
        <w:rPr>
          <w:noProof/>
        </w:rPr>
        <w:instrText xml:space="preserve"> PAGEREF _Toc489459261 \h </w:instrText>
      </w:r>
      <w:r>
        <w:rPr>
          <w:noProof/>
        </w:rPr>
      </w:r>
      <w:r>
        <w:rPr>
          <w:noProof/>
        </w:rPr>
        <w:fldChar w:fldCharType="separate"/>
      </w:r>
      <w:r w:rsidR="00D6505D">
        <w:rPr>
          <w:noProof/>
        </w:rPr>
        <w:t>4</w:t>
      </w:r>
      <w:r>
        <w:rPr>
          <w:noProof/>
        </w:rPr>
        <w:fldChar w:fldCharType="end"/>
      </w:r>
    </w:p>
    <w:p w14:paraId="3503A10A" w14:textId="77777777" w:rsidR="00B465CE" w:rsidRDefault="00B465CE">
      <w:pPr>
        <w:pStyle w:val="TOC1"/>
        <w:rPr>
          <w:rFonts w:asciiTheme="minorHAnsi" w:eastAsiaTheme="minorEastAsia" w:hAnsiTheme="minorHAnsi" w:cstheme="minorBidi"/>
          <w:noProof/>
        </w:rPr>
      </w:pPr>
      <w:r w:rsidRPr="00CD5E1F">
        <w:rPr>
          <w:rFonts w:cs="Arial"/>
          <w:noProof/>
        </w:rPr>
        <w:t>4</w:t>
      </w:r>
      <w:r>
        <w:rPr>
          <w:rFonts w:asciiTheme="minorHAnsi" w:eastAsiaTheme="minorEastAsia" w:hAnsiTheme="minorHAnsi" w:cstheme="minorBidi"/>
          <w:noProof/>
        </w:rPr>
        <w:tab/>
      </w:r>
      <w:r w:rsidRPr="00CD5E1F">
        <w:rPr>
          <w:rFonts w:cs="Arial"/>
          <w:noProof/>
        </w:rPr>
        <w:t>Methodology</w:t>
      </w:r>
      <w:r>
        <w:rPr>
          <w:noProof/>
        </w:rPr>
        <w:tab/>
      </w:r>
      <w:r>
        <w:rPr>
          <w:noProof/>
        </w:rPr>
        <w:fldChar w:fldCharType="begin"/>
      </w:r>
      <w:r>
        <w:rPr>
          <w:noProof/>
        </w:rPr>
        <w:instrText xml:space="preserve"> PAGEREF _Toc489459262 \h </w:instrText>
      </w:r>
      <w:r>
        <w:rPr>
          <w:noProof/>
        </w:rPr>
      </w:r>
      <w:r>
        <w:rPr>
          <w:noProof/>
        </w:rPr>
        <w:fldChar w:fldCharType="separate"/>
      </w:r>
      <w:r w:rsidR="00D6505D">
        <w:rPr>
          <w:noProof/>
        </w:rPr>
        <w:t>4</w:t>
      </w:r>
      <w:r>
        <w:rPr>
          <w:noProof/>
        </w:rPr>
        <w:fldChar w:fldCharType="end"/>
      </w:r>
    </w:p>
    <w:p w14:paraId="6745BAF9" w14:textId="77777777" w:rsidR="00B465CE" w:rsidRDefault="00B465CE">
      <w:pPr>
        <w:pStyle w:val="TOC1"/>
        <w:rPr>
          <w:rFonts w:asciiTheme="minorHAnsi" w:eastAsiaTheme="minorEastAsia" w:hAnsiTheme="minorHAnsi" w:cstheme="minorBidi"/>
          <w:noProof/>
        </w:rPr>
      </w:pPr>
      <w:r w:rsidRPr="00CD5E1F">
        <w:rPr>
          <w:rFonts w:cs="Arial"/>
          <w:noProof/>
        </w:rPr>
        <w:t>5</w:t>
      </w:r>
      <w:r>
        <w:rPr>
          <w:rFonts w:asciiTheme="minorHAnsi" w:eastAsiaTheme="minorEastAsia" w:hAnsiTheme="minorHAnsi" w:cstheme="minorBidi"/>
          <w:noProof/>
        </w:rPr>
        <w:tab/>
      </w:r>
      <w:r w:rsidRPr="00CD5E1F">
        <w:rPr>
          <w:rFonts w:cs="Arial"/>
          <w:noProof/>
        </w:rPr>
        <w:t>Outputs Required</w:t>
      </w:r>
      <w:r>
        <w:rPr>
          <w:noProof/>
        </w:rPr>
        <w:tab/>
      </w:r>
      <w:r>
        <w:rPr>
          <w:noProof/>
        </w:rPr>
        <w:fldChar w:fldCharType="begin"/>
      </w:r>
      <w:r>
        <w:rPr>
          <w:noProof/>
        </w:rPr>
        <w:instrText xml:space="preserve"> PAGEREF _Toc489459263 \h </w:instrText>
      </w:r>
      <w:r>
        <w:rPr>
          <w:noProof/>
        </w:rPr>
      </w:r>
      <w:r>
        <w:rPr>
          <w:noProof/>
        </w:rPr>
        <w:fldChar w:fldCharType="separate"/>
      </w:r>
      <w:r w:rsidR="00D6505D">
        <w:rPr>
          <w:noProof/>
        </w:rPr>
        <w:t>5</w:t>
      </w:r>
      <w:r>
        <w:rPr>
          <w:noProof/>
        </w:rPr>
        <w:fldChar w:fldCharType="end"/>
      </w:r>
    </w:p>
    <w:p w14:paraId="7922C117" w14:textId="77777777" w:rsidR="00B465CE" w:rsidRDefault="00B465CE">
      <w:pPr>
        <w:pStyle w:val="TOC1"/>
        <w:rPr>
          <w:rFonts w:asciiTheme="minorHAnsi" w:eastAsiaTheme="minorEastAsia" w:hAnsiTheme="minorHAnsi" w:cstheme="minorBidi"/>
          <w:noProof/>
        </w:rPr>
      </w:pPr>
      <w:r w:rsidRPr="00CD5E1F">
        <w:rPr>
          <w:rFonts w:cs="Arial"/>
          <w:noProof/>
        </w:rPr>
        <w:t>6</w:t>
      </w:r>
      <w:r>
        <w:rPr>
          <w:rFonts w:asciiTheme="minorHAnsi" w:eastAsiaTheme="minorEastAsia" w:hAnsiTheme="minorHAnsi" w:cstheme="minorBidi"/>
          <w:noProof/>
        </w:rPr>
        <w:tab/>
      </w:r>
      <w:r w:rsidRPr="00CD5E1F">
        <w:rPr>
          <w:rFonts w:cs="Arial"/>
          <w:noProof/>
        </w:rPr>
        <w:t>Ownership and Publication</w:t>
      </w:r>
      <w:r>
        <w:rPr>
          <w:noProof/>
        </w:rPr>
        <w:tab/>
      </w:r>
      <w:r>
        <w:rPr>
          <w:noProof/>
        </w:rPr>
        <w:fldChar w:fldCharType="begin"/>
      </w:r>
      <w:r>
        <w:rPr>
          <w:noProof/>
        </w:rPr>
        <w:instrText xml:space="preserve"> PAGEREF _Toc489459264 \h </w:instrText>
      </w:r>
      <w:r>
        <w:rPr>
          <w:noProof/>
        </w:rPr>
      </w:r>
      <w:r>
        <w:rPr>
          <w:noProof/>
        </w:rPr>
        <w:fldChar w:fldCharType="separate"/>
      </w:r>
      <w:r w:rsidR="00D6505D">
        <w:rPr>
          <w:noProof/>
        </w:rPr>
        <w:t>5</w:t>
      </w:r>
      <w:r>
        <w:rPr>
          <w:noProof/>
        </w:rPr>
        <w:fldChar w:fldCharType="end"/>
      </w:r>
    </w:p>
    <w:p w14:paraId="45567901" w14:textId="77777777" w:rsidR="00B465CE" w:rsidRDefault="00B465CE">
      <w:pPr>
        <w:pStyle w:val="TOC1"/>
        <w:rPr>
          <w:rFonts w:asciiTheme="minorHAnsi" w:eastAsiaTheme="minorEastAsia" w:hAnsiTheme="minorHAnsi" w:cstheme="minorBidi"/>
          <w:noProof/>
        </w:rPr>
      </w:pPr>
      <w:r w:rsidRPr="00CD5E1F">
        <w:rPr>
          <w:rFonts w:cs="Arial"/>
          <w:noProof/>
        </w:rPr>
        <w:t>7</w:t>
      </w:r>
      <w:r>
        <w:rPr>
          <w:rFonts w:asciiTheme="minorHAnsi" w:eastAsiaTheme="minorEastAsia" w:hAnsiTheme="minorHAnsi" w:cstheme="minorBidi"/>
          <w:noProof/>
        </w:rPr>
        <w:tab/>
      </w:r>
      <w:r w:rsidRPr="00CD5E1F">
        <w:rPr>
          <w:rFonts w:cs="Arial"/>
          <w:noProof/>
        </w:rPr>
        <w:t>Quality Assurance</w:t>
      </w:r>
      <w:r>
        <w:rPr>
          <w:noProof/>
        </w:rPr>
        <w:tab/>
      </w:r>
      <w:r>
        <w:rPr>
          <w:noProof/>
        </w:rPr>
        <w:fldChar w:fldCharType="begin"/>
      </w:r>
      <w:r>
        <w:rPr>
          <w:noProof/>
        </w:rPr>
        <w:instrText xml:space="preserve"> PAGEREF _Toc489459265 \h </w:instrText>
      </w:r>
      <w:r>
        <w:rPr>
          <w:noProof/>
        </w:rPr>
      </w:r>
      <w:r>
        <w:rPr>
          <w:noProof/>
        </w:rPr>
        <w:fldChar w:fldCharType="separate"/>
      </w:r>
      <w:r w:rsidR="00D6505D">
        <w:rPr>
          <w:noProof/>
        </w:rPr>
        <w:t>5</w:t>
      </w:r>
      <w:r>
        <w:rPr>
          <w:noProof/>
        </w:rPr>
        <w:fldChar w:fldCharType="end"/>
      </w:r>
    </w:p>
    <w:p w14:paraId="216CF9B3" w14:textId="77777777" w:rsidR="00B465CE" w:rsidRDefault="00B465CE">
      <w:pPr>
        <w:pStyle w:val="TOC1"/>
        <w:rPr>
          <w:rFonts w:asciiTheme="minorHAnsi" w:eastAsiaTheme="minorEastAsia" w:hAnsiTheme="minorHAnsi" w:cstheme="minorBidi"/>
          <w:noProof/>
        </w:rPr>
      </w:pPr>
      <w:r w:rsidRPr="00CD5E1F">
        <w:rPr>
          <w:rFonts w:cs="Arial"/>
          <w:noProof/>
        </w:rPr>
        <w:t>8</w:t>
      </w:r>
      <w:r>
        <w:rPr>
          <w:rFonts w:asciiTheme="minorHAnsi" w:eastAsiaTheme="minorEastAsia" w:hAnsiTheme="minorHAnsi" w:cstheme="minorBidi"/>
          <w:noProof/>
        </w:rPr>
        <w:tab/>
      </w:r>
      <w:r w:rsidRPr="00CD5E1F">
        <w:rPr>
          <w:rFonts w:cs="Arial"/>
          <w:noProof/>
        </w:rPr>
        <w:t>Timetable</w:t>
      </w:r>
      <w:r>
        <w:rPr>
          <w:noProof/>
        </w:rPr>
        <w:tab/>
      </w:r>
      <w:r>
        <w:rPr>
          <w:noProof/>
        </w:rPr>
        <w:fldChar w:fldCharType="begin"/>
      </w:r>
      <w:r>
        <w:rPr>
          <w:noProof/>
        </w:rPr>
        <w:instrText xml:space="preserve"> PAGEREF _Toc489459266 \h </w:instrText>
      </w:r>
      <w:r>
        <w:rPr>
          <w:noProof/>
        </w:rPr>
      </w:r>
      <w:r>
        <w:rPr>
          <w:noProof/>
        </w:rPr>
        <w:fldChar w:fldCharType="separate"/>
      </w:r>
      <w:r w:rsidR="00D6505D">
        <w:rPr>
          <w:noProof/>
        </w:rPr>
        <w:t>5</w:t>
      </w:r>
      <w:r>
        <w:rPr>
          <w:noProof/>
        </w:rPr>
        <w:fldChar w:fldCharType="end"/>
      </w:r>
    </w:p>
    <w:p w14:paraId="6CB415CD" w14:textId="77777777" w:rsidR="00B465CE" w:rsidRDefault="00B465CE">
      <w:pPr>
        <w:pStyle w:val="TOC1"/>
        <w:rPr>
          <w:rFonts w:asciiTheme="minorHAnsi" w:eastAsiaTheme="minorEastAsia" w:hAnsiTheme="minorHAnsi" w:cstheme="minorBidi"/>
          <w:noProof/>
        </w:rPr>
      </w:pPr>
      <w:r w:rsidRPr="00CD5E1F">
        <w:rPr>
          <w:rFonts w:cs="Arial"/>
          <w:noProof/>
        </w:rPr>
        <w:t>9</w:t>
      </w:r>
      <w:r>
        <w:rPr>
          <w:rFonts w:asciiTheme="minorHAnsi" w:eastAsiaTheme="minorEastAsia" w:hAnsiTheme="minorHAnsi" w:cstheme="minorBidi"/>
          <w:noProof/>
        </w:rPr>
        <w:tab/>
      </w:r>
      <w:r w:rsidRPr="00CD5E1F">
        <w:rPr>
          <w:rFonts w:cs="Arial"/>
          <w:noProof/>
        </w:rPr>
        <w:t>Challenges</w:t>
      </w:r>
      <w:r>
        <w:rPr>
          <w:noProof/>
        </w:rPr>
        <w:tab/>
      </w:r>
      <w:r>
        <w:rPr>
          <w:noProof/>
        </w:rPr>
        <w:fldChar w:fldCharType="begin"/>
      </w:r>
      <w:r>
        <w:rPr>
          <w:noProof/>
        </w:rPr>
        <w:instrText xml:space="preserve"> PAGEREF _Toc489459267 \h </w:instrText>
      </w:r>
      <w:r>
        <w:rPr>
          <w:noProof/>
        </w:rPr>
      </w:r>
      <w:r>
        <w:rPr>
          <w:noProof/>
        </w:rPr>
        <w:fldChar w:fldCharType="separate"/>
      </w:r>
      <w:r w:rsidR="00D6505D">
        <w:rPr>
          <w:noProof/>
        </w:rPr>
        <w:t>6</w:t>
      </w:r>
      <w:r>
        <w:rPr>
          <w:noProof/>
        </w:rPr>
        <w:fldChar w:fldCharType="end"/>
      </w:r>
    </w:p>
    <w:p w14:paraId="53B54824" w14:textId="77777777" w:rsidR="00B465CE" w:rsidRDefault="00B465CE">
      <w:pPr>
        <w:pStyle w:val="TOC1"/>
        <w:rPr>
          <w:rFonts w:asciiTheme="minorHAnsi" w:eastAsiaTheme="minorEastAsia" w:hAnsiTheme="minorHAnsi" w:cstheme="minorBidi"/>
          <w:noProof/>
        </w:rPr>
      </w:pPr>
      <w:r w:rsidRPr="00CD5E1F">
        <w:rPr>
          <w:rFonts w:cs="Arial"/>
          <w:noProof/>
        </w:rPr>
        <w:t>10</w:t>
      </w:r>
      <w:r>
        <w:rPr>
          <w:rFonts w:asciiTheme="minorHAnsi" w:eastAsiaTheme="minorEastAsia" w:hAnsiTheme="minorHAnsi" w:cstheme="minorBidi"/>
          <w:noProof/>
        </w:rPr>
        <w:tab/>
      </w:r>
      <w:r w:rsidRPr="00CD5E1F">
        <w:rPr>
          <w:rFonts w:cs="Arial"/>
          <w:noProof/>
        </w:rPr>
        <w:t>Ethics</w:t>
      </w:r>
      <w:r>
        <w:rPr>
          <w:noProof/>
        </w:rPr>
        <w:tab/>
      </w:r>
      <w:r>
        <w:rPr>
          <w:noProof/>
        </w:rPr>
        <w:fldChar w:fldCharType="begin"/>
      </w:r>
      <w:r>
        <w:rPr>
          <w:noProof/>
        </w:rPr>
        <w:instrText xml:space="preserve"> PAGEREF _Toc489459268 \h </w:instrText>
      </w:r>
      <w:r>
        <w:rPr>
          <w:noProof/>
        </w:rPr>
      </w:r>
      <w:r>
        <w:rPr>
          <w:noProof/>
        </w:rPr>
        <w:fldChar w:fldCharType="separate"/>
      </w:r>
      <w:r w:rsidR="00D6505D">
        <w:rPr>
          <w:noProof/>
        </w:rPr>
        <w:t>6</w:t>
      </w:r>
      <w:r>
        <w:rPr>
          <w:noProof/>
        </w:rPr>
        <w:fldChar w:fldCharType="end"/>
      </w:r>
    </w:p>
    <w:p w14:paraId="6C9D71DB" w14:textId="4F5AC7B7" w:rsidR="00B465CE" w:rsidRDefault="00B465CE">
      <w:pPr>
        <w:pStyle w:val="TOC1"/>
        <w:rPr>
          <w:rFonts w:asciiTheme="minorHAnsi" w:eastAsiaTheme="minorEastAsia" w:hAnsiTheme="minorHAnsi" w:cstheme="minorBidi"/>
          <w:noProof/>
        </w:rPr>
      </w:pPr>
      <w:r w:rsidRPr="00CD5E1F">
        <w:rPr>
          <w:rFonts w:cs="Arial"/>
          <w:noProof/>
        </w:rPr>
        <w:t>11</w:t>
      </w:r>
      <w:r>
        <w:rPr>
          <w:rFonts w:asciiTheme="minorHAnsi" w:eastAsiaTheme="minorEastAsia" w:hAnsiTheme="minorHAnsi" w:cstheme="minorBidi"/>
          <w:noProof/>
        </w:rPr>
        <w:tab/>
      </w:r>
      <w:r w:rsidRPr="00CD5E1F">
        <w:rPr>
          <w:rFonts w:cs="Arial"/>
          <w:noProof/>
        </w:rPr>
        <w:t>Working Arrangements</w:t>
      </w:r>
      <w:r>
        <w:rPr>
          <w:noProof/>
        </w:rPr>
        <w:tab/>
      </w:r>
      <w:r w:rsidR="000A778B">
        <w:rPr>
          <w:noProof/>
        </w:rPr>
        <w:t>7</w:t>
      </w:r>
    </w:p>
    <w:p w14:paraId="6F25C429" w14:textId="68AC8F25" w:rsidR="00B465CE" w:rsidRDefault="00B465CE">
      <w:pPr>
        <w:pStyle w:val="TOC1"/>
        <w:rPr>
          <w:rFonts w:asciiTheme="minorHAnsi" w:eastAsiaTheme="minorEastAsia" w:hAnsiTheme="minorHAnsi" w:cstheme="minorBidi"/>
          <w:noProof/>
        </w:rPr>
      </w:pPr>
      <w:r w:rsidRPr="00CD5E1F">
        <w:rPr>
          <w:rFonts w:cs="Arial"/>
          <w:noProof/>
        </w:rPr>
        <w:t>12</w:t>
      </w:r>
      <w:r>
        <w:rPr>
          <w:rFonts w:asciiTheme="minorHAnsi" w:eastAsiaTheme="minorEastAsia" w:hAnsiTheme="minorHAnsi" w:cstheme="minorBidi"/>
          <w:noProof/>
        </w:rPr>
        <w:tab/>
      </w:r>
      <w:r w:rsidRPr="00CD5E1F">
        <w:rPr>
          <w:rFonts w:cs="Arial"/>
          <w:noProof/>
        </w:rPr>
        <w:t>Skills and experience</w:t>
      </w:r>
      <w:r>
        <w:rPr>
          <w:noProof/>
        </w:rPr>
        <w:tab/>
      </w:r>
      <w:r w:rsidR="000A778B">
        <w:rPr>
          <w:noProof/>
        </w:rPr>
        <w:t>7</w:t>
      </w:r>
    </w:p>
    <w:p w14:paraId="16E33E6D" w14:textId="77777777" w:rsidR="00B465CE" w:rsidRDefault="00B465CE">
      <w:pPr>
        <w:pStyle w:val="TOC1"/>
        <w:rPr>
          <w:rFonts w:asciiTheme="minorHAnsi" w:eastAsiaTheme="minorEastAsia" w:hAnsiTheme="minorHAnsi" w:cstheme="minorBidi"/>
          <w:noProof/>
        </w:rPr>
      </w:pPr>
      <w:r w:rsidRPr="00CD5E1F">
        <w:rPr>
          <w:rFonts w:cs="Arial"/>
          <w:noProof/>
        </w:rPr>
        <w:t>13</w:t>
      </w:r>
      <w:r>
        <w:rPr>
          <w:rFonts w:asciiTheme="minorHAnsi" w:eastAsiaTheme="minorEastAsia" w:hAnsiTheme="minorHAnsi" w:cstheme="minorBidi"/>
          <w:noProof/>
        </w:rPr>
        <w:tab/>
      </w:r>
      <w:r w:rsidRPr="00CD5E1F">
        <w:rPr>
          <w:rFonts w:cs="Arial"/>
          <w:noProof/>
        </w:rPr>
        <w:t>Consortium Bids</w:t>
      </w:r>
      <w:r>
        <w:rPr>
          <w:noProof/>
        </w:rPr>
        <w:tab/>
      </w:r>
      <w:r>
        <w:rPr>
          <w:noProof/>
        </w:rPr>
        <w:fldChar w:fldCharType="begin"/>
      </w:r>
      <w:r>
        <w:rPr>
          <w:noProof/>
        </w:rPr>
        <w:instrText xml:space="preserve"> PAGEREF _Toc489459271 \h </w:instrText>
      </w:r>
      <w:r>
        <w:rPr>
          <w:noProof/>
        </w:rPr>
      </w:r>
      <w:r>
        <w:rPr>
          <w:noProof/>
        </w:rPr>
        <w:fldChar w:fldCharType="separate"/>
      </w:r>
      <w:r w:rsidR="00D6505D">
        <w:rPr>
          <w:noProof/>
        </w:rPr>
        <w:t>7</w:t>
      </w:r>
      <w:r>
        <w:rPr>
          <w:noProof/>
        </w:rPr>
        <w:fldChar w:fldCharType="end"/>
      </w:r>
    </w:p>
    <w:p w14:paraId="26DE93DF" w14:textId="77777777" w:rsidR="00B465CE" w:rsidRDefault="00B465CE">
      <w:pPr>
        <w:pStyle w:val="TOC1"/>
        <w:rPr>
          <w:rFonts w:asciiTheme="minorHAnsi" w:eastAsiaTheme="minorEastAsia" w:hAnsiTheme="minorHAnsi" w:cstheme="minorBidi"/>
          <w:noProof/>
        </w:rPr>
      </w:pPr>
      <w:r w:rsidRPr="00CD5E1F">
        <w:rPr>
          <w:rFonts w:cs="Arial"/>
          <w:noProof/>
        </w:rPr>
        <w:t>14</w:t>
      </w:r>
      <w:r>
        <w:rPr>
          <w:rFonts w:asciiTheme="minorHAnsi" w:eastAsiaTheme="minorEastAsia" w:hAnsiTheme="minorHAnsi" w:cstheme="minorBidi"/>
          <w:noProof/>
        </w:rPr>
        <w:tab/>
      </w:r>
      <w:r w:rsidRPr="00CD5E1F">
        <w:rPr>
          <w:rFonts w:cs="Arial"/>
          <w:noProof/>
        </w:rPr>
        <w:t>Budget</w:t>
      </w:r>
      <w:r>
        <w:rPr>
          <w:noProof/>
        </w:rPr>
        <w:tab/>
      </w:r>
      <w:r>
        <w:rPr>
          <w:noProof/>
        </w:rPr>
        <w:fldChar w:fldCharType="begin"/>
      </w:r>
      <w:r>
        <w:rPr>
          <w:noProof/>
        </w:rPr>
        <w:instrText xml:space="preserve"> PAGEREF _Toc489459272 \h </w:instrText>
      </w:r>
      <w:r>
        <w:rPr>
          <w:noProof/>
        </w:rPr>
      </w:r>
      <w:r>
        <w:rPr>
          <w:noProof/>
        </w:rPr>
        <w:fldChar w:fldCharType="separate"/>
      </w:r>
      <w:r w:rsidR="00D6505D">
        <w:rPr>
          <w:noProof/>
        </w:rPr>
        <w:t>7</w:t>
      </w:r>
      <w:r>
        <w:rPr>
          <w:noProof/>
        </w:rPr>
        <w:fldChar w:fldCharType="end"/>
      </w:r>
    </w:p>
    <w:p w14:paraId="43DB954C" w14:textId="3EFC6C36" w:rsidR="00B465CE" w:rsidRDefault="00B465CE">
      <w:pPr>
        <w:pStyle w:val="TOC1"/>
        <w:rPr>
          <w:rFonts w:asciiTheme="minorHAnsi" w:eastAsiaTheme="minorEastAsia" w:hAnsiTheme="minorHAnsi" w:cstheme="minorBidi"/>
          <w:noProof/>
        </w:rPr>
      </w:pPr>
      <w:r w:rsidRPr="00CD5E1F">
        <w:rPr>
          <w:rFonts w:cs="Arial"/>
          <w:noProof/>
        </w:rPr>
        <w:t>15</w:t>
      </w:r>
      <w:r>
        <w:rPr>
          <w:rFonts w:asciiTheme="minorHAnsi" w:eastAsiaTheme="minorEastAsia" w:hAnsiTheme="minorHAnsi" w:cstheme="minorBidi"/>
          <w:noProof/>
        </w:rPr>
        <w:tab/>
      </w:r>
      <w:r w:rsidRPr="00CD5E1F">
        <w:rPr>
          <w:rFonts w:cs="Arial"/>
          <w:noProof/>
        </w:rPr>
        <w:t>Evaluation of Tenders</w:t>
      </w:r>
      <w:r>
        <w:rPr>
          <w:noProof/>
        </w:rPr>
        <w:tab/>
      </w:r>
      <w:r w:rsidR="000A778B">
        <w:rPr>
          <w:noProof/>
        </w:rPr>
        <w:t>8</w:t>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89459259"/>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16D51160" w14:textId="21AF2395" w:rsidR="00AE2F8D" w:rsidRDefault="00AA2BAC" w:rsidP="00AE2F8D">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sidR="00E60901">
        <w:rPr>
          <w:rFonts w:ascii="Arial" w:hAnsi="Arial" w:cs="Arial"/>
          <w:sz w:val="22"/>
          <w:szCs w:val="22"/>
        </w:rPr>
        <w:t>g</w:t>
      </w:r>
      <w:r w:rsidR="00E60901" w:rsidRPr="002133A0">
        <w:rPr>
          <w:rFonts w:ascii="Arial" w:hAnsi="Arial" w:cs="Arial"/>
          <w:sz w:val="22"/>
          <w:szCs w:val="22"/>
        </w:rPr>
        <w:t xml:space="preserve">overnment’s </w:t>
      </w:r>
      <w:r w:rsidRPr="002133A0">
        <w:rPr>
          <w:rFonts w:ascii="Arial" w:hAnsi="Arial" w:cs="Arial"/>
          <w:sz w:val="22"/>
          <w:szCs w:val="22"/>
        </w:rPr>
        <w:t xml:space="preserve">statutory advisers on preparing for climate change. </w:t>
      </w:r>
      <w:r w:rsidR="00AE2F8D">
        <w:rPr>
          <w:rFonts w:ascii="Arial" w:hAnsi="Arial" w:cs="Arial"/>
          <w:sz w:val="22"/>
          <w:szCs w:val="22"/>
        </w:rPr>
        <w:t xml:space="preserve">One of the roles of the ASC is to scrutinise progress made by the government in managing climate change risks. The Committee </w:t>
      </w:r>
      <w:r w:rsidR="007E44F3">
        <w:rPr>
          <w:rFonts w:ascii="Arial" w:hAnsi="Arial" w:cs="Arial"/>
          <w:sz w:val="22"/>
          <w:szCs w:val="22"/>
        </w:rPr>
        <w:t>make</w:t>
      </w:r>
      <w:r w:rsidR="00E60901">
        <w:rPr>
          <w:rFonts w:ascii="Arial" w:hAnsi="Arial" w:cs="Arial"/>
          <w:sz w:val="22"/>
          <w:szCs w:val="22"/>
        </w:rPr>
        <w:t>s</w:t>
      </w:r>
      <w:r w:rsidR="007E44F3">
        <w:rPr>
          <w:rFonts w:ascii="Arial" w:hAnsi="Arial" w:cs="Arial"/>
          <w:sz w:val="22"/>
          <w:szCs w:val="22"/>
        </w:rPr>
        <w:t xml:space="preserve"> use of</w:t>
      </w:r>
      <w:r w:rsidR="00AE2F8D">
        <w:rPr>
          <w:rFonts w:ascii="Arial" w:hAnsi="Arial" w:cs="Arial"/>
          <w:sz w:val="22"/>
          <w:szCs w:val="22"/>
        </w:rPr>
        <w:t xml:space="preserve"> evidence to assess whether the </w:t>
      </w:r>
      <w:r w:rsidR="00E60901">
        <w:rPr>
          <w:rFonts w:ascii="Arial" w:hAnsi="Arial" w:cs="Arial"/>
          <w:sz w:val="22"/>
          <w:szCs w:val="22"/>
        </w:rPr>
        <w:t xml:space="preserve">government </w:t>
      </w:r>
      <w:r w:rsidR="00AE2F8D">
        <w:rPr>
          <w:rFonts w:ascii="Arial" w:hAnsi="Arial" w:cs="Arial"/>
          <w:sz w:val="22"/>
          <w:szCs w:val="22"/>
        </w:rPr>
        <w:t xml:space="preserve">is delivering its own </w:t>
      </w:r>
      <w:r w:rsidR="00C64355">
        <w:rPr>
          <w:rFonts w:ascii="Arial" w:hAnsi="Arial" w:cs="Arial"/>
          <w:sz w:val="22"/>
          <w:szCs w:val="22"/>
        </w:rPr>
        <w:t>objectives</w:t>
      </w:r>
      <w:r w:rsidR="00AE2F8D">
        <w:rPr>
          <w:rFonts w:ascii="Arial" w:hAnsi="Arial" w:cs="Arial"/>
          <w:sz w:val="22"/>
          <w:szCs w:val="22"/>
        </w:rPr>
        <w:t xml:space="preserve">, and whether these </w:t>
      </w:r>
      <w:r w:rsidR="00C64355">
        <w:rPr>
          <w:rFonts w:ascii="Arial" w:hAnsi="Arial" w:cs="Arial"/>
          <w:sz w:val="22"/>
          <w:szCs w:val="22"/>
        </w:rPr>
        <w:t xml:space="preserve">objectives </w:t>
      </w:r>
      <w:r w:rsidR="00AE2F8D">
        <w:rPr>
          <w:rFonts w:ascii="Arial" w:hAnsi="Arial" w:cs="Arial"/>
          <w:sz w:val="22"/>
          <w:szCs w:val="22"/>
        </w:rPr>
        <w:t xml:space="preserve">are in-line with </w:t>
      </w:r>
      <w:r w:rsidR="001A6B9B">
        <w:rPr>
          <w:rFonts w:ascii="Arial" w:hAnsi="Arial" w:cs="Arial"/>
          <w:sz w:val="22"/>
          <w:szCs w:val="22"/>
        </w:rPr>
        <w:t xml:space="preserve">managing </w:t>
      </w:r>
      <w:r w:rsidR="00AE2F8D">
        <w:rPr>
          <w:rFonts w:ascii="Arial" w:hAnsi="Arial" w:cs="Arial"/>
          <w:sz w:val="22"/>
          <w:szCs w:val="22"/>
        </w:rPr>
        <w:t xml:space="preserve">the long-term </w:t>
      </w:r>
      <w:r w:rsidR="007E44F3">
        <w:rPr>
          <w:rFonts w:ascii="Arial" w:hAnsi="Arial" w:cs="Arial"/>
          <w:sz w:val="22"/>
          <w:szCs w:val="22"/>
        </w:rPr>
        <w:t>changes in risk</w:t>
      </w:r>
      <w:r w:rsidR="00AE2F8D">
        <w:rPr>
          <w:rFonts w:ascii="Arial" w:hAnsi="Arial" w:cs="Arial"/>
          <w:sz w:val="22"/>
          <w:szCs w:val="22"/>
        </w:rPr>
        <w:t>.</w:t>
      </w:r>
    </w:p>
    <w:p w14:paraId="67651351" w14:textId="77777777" w:rsidR="00AE2F8D" w:rsidRDefault="00AE2F8D" w:rsidP="00AE2F8D">
      <w:pPr>
        <w:rPr>
          <w:rFonts w:ascii="Arial" w:hAnsi="Arial" w:cs="Arial"/>
          <w:sz w:val="22"/>
          <w:szCs w:val="22"/>
        </w:rPr>
      </w:pPr>
    </w:p>
    <w:p w14:paraId="1E144B8D" w14:textId="56F4D42F" w:rsidR="006F5E0F" w:rsidRDefault="00AE2F8D" w:rsidP="00471745">
      <w:pPr>
        <w:rPr>
          <w:rFonts w:ascii="Arial" w:hAnsi="Arial" w:cs="Arial"/>
          <w:sz w:val="22"/>
          <w:szCs w:val="22"/>
        </w:rPr>
      </w:pPr>
      <w:r>
        <w:rPr>
          <w:rFonts w:ascii="Arial" w:hAnsi="Arial" w:cs="Arial"/>
          <w:sz w:val="22"/>
          <w:szCs w:val="22"/>
        </w:rPr>
        <w:t xml:space="preserve">The UK Climate Change Risk Assessment 2017 found that </w:t>
      </w:r>
      <w:r w:rsidR="002E54A8" w:rsidRPr="002E54A8">
        <w:rPr>
          <w:rFonts w:ascii="Arial" w:hAnsi="Arial" w:cs="Arial"/>
          <w:sz w:val="22"/>
          <w:szCs w:val="22"/>
        </w:rPr>
        <w:t>rainfall patterns in the UK are intensifying, with the existing drainage and public sewerage network already under</w:t>
      </w:r>
      <w:r>
        <w:rPr>
          <w:rFonts w:ascii="Arial" w:hAnsi="Arial" w:cs="Arial"/>
          <w:sz w:val="22"/>
          <w:szCs w:val="22"/>
        </w:rPr>
        <w:t xml:space="preserve"> severe pressure in some areas. </w:t>
      </w:r>
      <w:r w:rsidR="006A195A">
        <w:rPr>
          <w:rFonts w:ascii="Arial" w:hAnsi="Arial" w:cs="Arial"/>
          <w:sz w:val="22"/>
          <w:szCs w:val="22"/>
        </w:rPr>
        <w:t xml:space="preserve">However, there is currently no </w:t>
      </w:r>
      <w:r w:rsidR="00E60901">
        <w:rPr>
          <w:rFonts w:ascii="Arial" w:hAnsi="Arial" w:cs="Arial"/>
          <w:sz w:val="22"/>
          <w:szCs w:val="22"/>
        </w:rPr>
        <w:t xml:space="preserve">government </w:t>
      </w:r>
      <w:r w:rsidR="006A195A">
        <w:rPr>
          <w:rFonts w:ascii="Arial" w:hAnsi="Arial" w:cs="Arial"/>
          <w:sz w:val="22"/>
          <w:szCs w:val="22"/>
        </w:rPr>
        <w:t>objective for managing this risk</w:t>
      </w:r>
      <w:r w:rsidR="00825116">
        <w:rPr>
          <w:rFonts w:ascii="Arial" w:hAnsi="Arial" w:cs="Arial"/>
          <w:sz w:val="22"/>
          <w:szCs w:val="22"/>
        </w:rPr>
        <w:t xml:space="preserve"> in the long term</w:t>
      </w:r>
      <w:r w:rsidR="006A195A">
        <w:rPr>
          <w:rFonts w:ascii="Arial" w:hAnsi="Arial" w:cs="Arial"/>
          <w:sz w:val="22"/>
          <w:szCs w:val="22"/>
        </w:rPr>
        <w:t>, and the overall impact of ongoing actions from local authorities and water companies is unknown.</w:t>
      </w:r>
    </w:p>
    <w:p w14:paraId="2C38FAC8" w14:textId="77777777" w:rsidR="002E54A8" w:rsidRDefault="002E54A8" w:rsidP="00471745">
      <w:pPr>
        <w:rPr>
          <w:rFonts w:ascii="Arial" w:hAnsi="Arial" w:cs="Arial"/>
          <w:sz w:val="22"/>
          <w:szCs w:val="22"/>
        </w:rPr>
      </w:pPr>
    </w:p>
    <w:p w14:paraId="5EA87557" w14:textId="097CECBD" w:rsidR="00622E6B" w:rsidRPr="00A84C7F" w:rsidRDefault="00470E7F" w:rsidP="00A84C7F">
      <w:pPr>
        <w:rPr>
          <w:rFonts w:ascii="Arial" w:hAnsi="Arial" w:cs="Arial"/>
          <w:sz w:val="22"/>
          <w:szCs w:val="22"/>
        </w:rPr>
      </w:pPr>
      <w:r w:rsidRPr="002133A0">
        <w:rPr>
          <w:rFonts w:ascii="Arial" w:hAnsi="Arial" w:cs="Arial"/>
          <w:sz w:val="22"/>
          <w:szCs w:val="22"/>
        </w:rPr>
        <w:t xml:space="preserve">The </w:t>
      </w:r>
      <w:r w:rsidR="00E6478F" w:rsidRPr="002133A0">
        <w:rPr>
          <w:rFonts w:ascii="Arial" w:hAnsi="Arial" w:cs="Arial"/>
          <w:sz w:val="22"/>
          <w:szCs w:val="22"/>
        </w:rPr>
        <w:t xml:space="preserve">ASC </w:t>
      </w:r>
      <w:r w:rsidR="007248E4" w:rsidRPr="002133A0">
        <w:rPr>
          <w:rFonts w:ascii="Arial" w:hAnsi="Arial" w:cs="Arial"/>
          <w:sz w:val="22"/>
          <w:szCs w:val="22"/>
        </w:rPr>
        <w:t xml:space="preserve">would like to </w:t>
      </w:r>
      <w:r w:rsidR="00825116">
        <w:rPr>
          <w:rFonts w:ascii="Arial" w:hAnsi="Arial" w:cs="Arial"/>
          <w:sz w:val="22"/>
          <w:szCs w:val="22"/>
        </w:rPr>
        <w:t xml:space="preserve">define </w:t>
      </w:r>
      <w:r w:rsidR="00C74568">
        <w:rPr>
          <w:rFonts w:ascii="Arial" w:hAnsi="Arial" w:cs="Arial"/>
          <w:sz w:val="22"/>
          <w:szCs w:val="22"/>
        </w:rPr>
        <w:t xml:space="preserve">metrics to measure progress made in managing surface flooding </w:t>
      </w:r>
      <w:r w:rsidR="006A195A">
        <w:rPr>
          <w:rFonts w:ascii="Arial" w:hAnsi="Arial" w:cs="Arial"/>
          <w:sz w:val="22"/>
          <w:szCs w:val="22"/>
        </w:rPr>
        <w:t xml:space="preserve">at </w:t>
      </w:r>
      <w:r w:rsidR="00E60901">
        <w:rPr>
          <w:rFonts w:ascii="Arial" w:hAnsi="Arial" w:cs="Arial"/>
          <w:sz w:val="22"/>
          <w:szCs w:val="22"/>
        </w:rPr>
        <w:t xml:space="preserve">the local </w:t>
      </w:r>
      <w:r w:rsidR="006A195A">
        <w:rPr>
          <w:rFonts w:ascii="Arial" w:hAnsi="Arial" w:cs="Arial"/>
          <w:sz w:val="22"/>
          <w:szCs w:val="22"/>
        </w:rPr>
        <w:t>level</w:t>
      </w:r>
      <w:r w:rsidR="00825116">
        <w:rPr>
          <w:rFonts w:ascii="Arial" w:hAnsi="Arial" w:cs="Arial"/>
          <w:sz w:val="22"/>
          <w:szCs w:val="22"/>
        </w:rPr>
        <w:t xml:space="preserve">, based on available data, </w:t>
      </w:r>
      <w:r w:rsidR="00C74568">
        <w:rPr>
          <w:rFonts w:ascii="Arial" w:hAnsi="Arial" w:cs="Arial"/>
          <w:sz w:val="22"/>
          <w:szCs w:val="22"/>
        </w:rPr>
        <w:t>and collate these metrics to gain a national picture of the current situation</w:t>
      </w:r>
      <w:r w:rsidR="00A84C7F">
        <w:rPr>
          <w:rFonts w:ascii="Arial" w:hAnsi="Arial" w:cs="Arial"/>
          <w:sz w:val="22"/>
          <w:szCs w:val="22"/>
        </w:rPr>
        <w:t>.</w:t>
      </w: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489459260"/>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625B63B2" w14:textId="51794706" w:rsidR="00AA2BAC"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 xml:space="preserve">a statutory duty to report to Parliament with an independent assessment of the UK </w:t>
      </w:r>
      <w:r w:rsidR="00E60901">
        <w:rPr>
          <w:rFonts w:ascii="Arial" w:hAnsi="Arial" w:cs="Arial"/>
          <w:sz w:val="22"/>
          <w:szCs w:val="22"/>
        </w:rPr>
        <w:t>g</w:t>
      </w:r>
      <w:r w:rsidR="00E60901" w:rsidRPr="002133A0">
        <w:rPr>
          <w:rFonts w:ascii="Arial" w:hAnsi="Arial" w:cs="Arial"/>
          <w:sz w:val="22"/>
          <w:szCs w:val="22"/>
        </w:rPr>
        <w:t xml:space="preserve">overnment’s </w:t>
      </w:r>
      <w:r w:rsidR="00AA2BAC" w:rsidRPr="002133A0">
        <w:rPr>
          <w:rFonts w:ascii="Arial" w:hAnsi="Arial" w:cs="Arial"/>
          <w:sz w:val="22"/>
          <w:szCs w:val="22"/>
        </w:rPr>
        <w:t>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This programme, published in July 2013, sets out the </w:t>
      </w:r>
      <w:r w:rsidR="00E60901">
        <w:rPr>
          <w:rFonts w:ascii="Arial" w:hAnsi="Arial" w:cs="Arial"/>
          <w:sz w:val="22"/>
          <w:szCs w:val="22"/>
        </w:rPr>
        <w:t>g</w:t>
      </w:r>
      <w:r w:rsidR="00E60901" w:rsidRPr="002133A0">
        <w:rPr>
          <w:rFonts w:ascii="Arial" w:hAnsi="Arial" w:cs="Arial"/>
          <w:sz w:val="22"/>
          <w:szCs w:val="22"/>
        </w:rPr>
        <w:t xml:space="preserve">overnment’s </w:t>
      </w:r>
      <w:r w:rsidR="00AA2BAC" w:rsidRPr="002133A0">
        <w:rPr>
          <w:rFonts w:ascii="Arial" w:hAnsi="Arial" w:cs="Arial"/>
          <w:sz w:val="22"/>
          <w:szCs w:val="22"/>
        </w:rPr>
        <w:t xml:space="preserve">objectives and policies for adaptation primarily in England, addressing the risks and opportunities identified by the UK Climate Change Risk Assessment (CCRA), first published in January 2012. The ASC published an </w:t>
      </w:r>
      <w:hyperlink r:id="rId11"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2"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7742C4">
        <w:rPr>
          <w:rFonts w:ascii="Arial" w:hAnsi="Arial" w:cs="Arial"/>
          <w:sz w:val="22"/>
          <w:szCs w:val="22"/>
        </w:rPr>
        <w:t xml:space="preserve">The CCRA found that </w:t>
      </w:r>
      <w:r w:rsidR="007742C4" w:rsidRPr="002E54A8">
        <w:rPr>
          <w:rFonts w:ascii="Arial" w:hAnsi="Arial" w:cs="Arial"/>
          <w:sz w:val="22"/>
          <w:szCs w:val="22"/>
        </w:rPr>
        <w:t>rainfall patterns in the UK are intensifying, with the existing drainage and public sewerage network already under</w:t>
      </w:r>
      <w:r w:rsidR="007742C4">
        <w:rPr>
          <w:rFonts w:ascii="Arial" w:hAnsi="Arial" w:cs="Arial"/>
          <w:sz w:val="22"/>
          <w:szCs w:val="22"/>
        </w:rPr>
        <w:t xml:space="preserve"> severe pressure in some areas.</w:t>
      </w:r>
    </w:p>
    <w:p w14:paraId="107545CA" w14:textId="77777777" w:rsidR="007742C4" w:rsidRPr="002133A0" w:rsidRDefault="007742C4" w:rsidP="00AA2BAC">
      <w:pPr>
        <w:rPr>
          <w:rFonts w:ascii="Arial" w:hAnsi="Arial" w:cs="Arial"/>
          <w:sz w:val="22"/>
          <w:szCs w:val="22"/>
        </w:rPr>
      </w:pPr>
    </w:p>
    <w:p w14:paraId="53966A99" w14:textId="38992128" w:rsidR="00872002" w:rsidRDefault="00AA2BAC" w:rsidP="006A195A">
      <w:pPr>
        <w:rPr>
          <w:rFonts w:ascii="Arial" w:hAnsi="Arial" w:cs="Arial"/>
          <w:sz w:val="22"/>
          <w:szCs w:val="22"/>
        </w:rPr>
      </w:pPr>
      <w:r w:rsidRPr="002133A0">
        <w:rPr>
          <w:rFonts w:ascii="Arial" w:hAnsi="Arial" w:cs="Arial"/>
          <w:sz w:val="22"/>
          <w:szCs w:val="22"/>
        </w:rPr>
        <w:t xml:space="preserve">In 2015, the ASC produced its </w:t>
      </w:r>
      <w:hyperlink r:id="rId13"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4"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r w:rsidR="007E44F3">
        <w:rPr>
          <w:rFonts w:ascii="Arial" w:hAnsi="Arial" w:cs="Arial"/>
          <w:sz w:val="22"/>
          <w:szCs w:val="22"/>
        </w:rPr>
        <w:t xml:space="preserve"> </w:t>
      </w:r>
      <w:r w:rsidR="006A195A">
        <w:rPr>
          <w:rFonts w:ascii="Arial" w:hAnsi="Arial" w:cs="Arial"/>
          <w:sz w:val="22"/>
          <w:szCs w:val="22"/>
        </w:rPr>
        <w:t>This report highlighted that the r</w:t>
      </w:r>
      <w:r w:rsidR="006A195A" w:rsidRPr="002E54A8">
        <w:rPr>
          <w:rFonts w:ascii="Arial" w:hAnsi="Arial" w:cs="Arial"/>
          <w:sz w:val="22"/>
          <w:szCs w:val="22"/>
        </w:rPr>
        <w:t xml:space="preserve">esponsibility for </w:t>
      </w:r>
      <w:r w:rsidR="006A195A">
        <w:rPr>
          <w:rFonts w:ascii="Arial" w:hAnsi="Arial" w:cs="Arial"/>
          <w:sz w:val="22"/>
          <w:szCs w:val="22"/>
        </w:rPr>
        <w:t xml:space="preserve">managing surface water flooding </w:t>
      </w:r>
      <w:r w:rsidR="006A195A" w:rsidRPr="002E54A8">
        <w:rPr>
          <w:rFonts w:ascii="Arial" w:hAnsi="Arial" w:cs="Arial"/>
          <w:sz w:val="22"/>
          <w:szCs w:val="22"/>
        </w:rPr>
        <w:t>is fragmented</w:t>
      </w:r>
      <w:r w:rsidR="006A195A">
        <w:rPr>
          <w:rFonts w:ascii="Arial" w:hAnsi="Arial" w:cs="Arial"/>
          <w:sz w:val="22"/>
          <w:szCs w:val="22"/>
        </w:rPr>
        <w:t>, mainly</w:t>
      </w:r>
      <w:r w:rsidR="006A195A" w:rsidRPr="002E54A8">
        <w:rPr>
          <w:rFonts w:ascii="Arial" w:hAnsi="Arial" w:cs="Arial"/>
          <w:sz w:val="22"/>
          <w:szCs w:val="22"/>
        </w:rPr>
        <w:t xml:space="preserve"> between water companies</w:t>
      </w:r>
      <w:r w:rsidR="00E60901">
        <w:rPr>
          <w:rFonts w:ascii="Arial" w:hAnsi="Arial" w:cs="Arial"/>
          <w:sz w:val="22"/>
          <w:szCs w:val="22"/>
        </w:rPr>
        <w:t>, highways authorities</w:t>
      </w:r>
      <w:r w:rsidR="006A195A" w:rsidRPr="002E54A8">
        <w:rPr>
          <w:rFonts w:ascii="Arial" w:hAnsi="Arial" w:cs="Arial"/>
          <w:sz w:val="22"/>
          <w:szCs w:val="22"/>
        </w:rPr>
        <w:t xml:space="preserve"> and </w:t>
      </w:r>
      <w:r w:rsidR="006A195A">
        <w:rPr>
          <w:rFonts w:ascii="Arial" w:hAnsi="Arial" w:cs="Arial"/>
          <w:sz w:val="22"/>
          <w:szCs w:val="22"/>
        </w:rPr>
        <w:t xml:space="preserve">lead local flood authorities. </w:t>
      </w:r>
      <w:r w:rsidR="000E02D7">
        <w:rPr>
          <w:rFonts w:ascii="Arial" w:hAnsi="Arial" w:cs="Arial"/>
          <w:sz w:val="22"/>
          <w:szCs w:val="22"/>
        </w:rPr>
        <w:t xml:space="preserve">The analysis also concluded that it is unclear whether the actions carried out by these bodies are effectively tackling this challenge. For instance, whilst most lead local flood authorities have published a local flood risk management strategy, </w:t>
      </w:r>
      <w:r w:rsidR="000E02D7" w:rsidRPr="002E54A8">
        <w:rPr>
          <w:rFonts w:ascii="Arial" w:hAnsi="Arial" w:cs="Arial"/>
          <w:sz w:val="22"/>
          <w:szCs w:val="22"/>
        </w:rPr>
        <w:t xml:space="preserve">the impact of </w:t>
      </w:r>
      <w:r w:rsidR="000E02D7">
        <w:rPr>
          <w:rFonts w:ascii="Arial" w:hAnsi="Arial" w:cs="Arial"/>
          <w:sz w:val="22"/>
          <w:szCs w:val="22"/>
        </w:rPr>
        <w:t xml:space="preserve">these </w:t>
      </w:r>
      <w:r w:rsidR="000E02D7" w:rsidRPr="002E54A8">
        <w:rPr>
          <w:rFonts w:ascii="Arial" w:hAnsi="Arial" w:cs="Arial"/>
          <w:sz w:val="22"/>
          <w:szCs w:val="22"/>
        </w:rPr>
        <w:t>strategies in reducing surface water flood risk</w:t>
      </w:r>
      <w:r w:rsidR="000E02D7">
        <w:rPr>
          <w:rFonts w:ascii="Arial" w:hAnsi="Arial" w:cs="Arial"/>
          <w:sz w:val="22"/>
          <w:szCs w:val="22"/>
        </w:rPr>
        <w:t xml:space="preserve"> is not known.</w:t>
      </w:r>
    </w:p>
    <w:p w14:paraId="0AF5DAEB" w14:textId="77777777" w:rsidR="00872002" w:rsidRDefault="00872002" w:rsidP="006A195A">
      <w:pPr>
        <w:rPr>
          <w:rFonts w:ascii="Arial" w:hAnsi="Arial" w:cs="Arial"/>
          <w:sz w:val="22"/>
          <w:szCs w:val="22"/>
        </w:rPr>
      </w:pPr>
    </w:p>
    <w:p w14:paraId="258C596B" w14:textId="05210948" w:rsidR="006A195A" w:rsidRDefault="000E02D7" w:rsidP="00AA2BAC">
      <w:pPr>
        <w:rPr>
          <w:rFonts w:ascii="Arial" w:hAnsi="Arial" w:cs="Arial"/>
          <w:sz w:val="22"/>
          <w:szCs w:val="22"/>
        </w:rPr>
      </w:pPr>
      <w:r>
        <w:rPr>
          <w:rFonts w:ascii="Arial" w:hAnsi="Arial" w:cs="Arial"/>
          <w:sz w:val="22"/>
          <w:szCs w:val="22"/>
        </w:rPr>
        <w:t xml:space="preserve">The </w:t>
      </w:r>
      <w:r w:rsidR="00E60901">
        <w:rPr>
          <w:rFonts w:ascii="Arial" w:hAnsi="Arial" w:cs="Arial"/>
          <w:sz w:val="22"/>
          <w:szCs w:val="22"/>
        </w:rPr>
        <w:t xml:space="preserve">government’s </w:t>
      </w:r>
      <w:r>
        <w:rPr>
          <w:rFonts w:ascii="Arial" w:hAnsi="Arial" w:cs="Arial"/>
          <w:sz w:val="22"/>
          <w:szCs w:val="22"/>
        </w:rPr>
        <w:t xml:space="preserve">six-year </w:t>
      </w:r>
      <w:r w:rsidRPr="000E02D7">
        <w:rPr>
          <w:rFonts w:ascii="Arial" w:hAnsi="Arial" w:cs="Arial"/>
          <w:sz w:val="22"/>
          <w:szCs w:val="22"/>
        </w:rPr>
        <w:t>investment</w:t>
      </w:r>
      <w:r>
        <w:rPr>
          <w:rFonts w:ascii="Arial" w:hAnsi="Arial" w:cs="Arial"/>
          <w:sz w:val="22"/>
          <w:szCs w:val="22"/>
        </w:rPr>
        <w:t xml:space="preserve"> programme for</w:t>
      </w:r>
      <w:r w:rsidRPr="000E02D7">
        <w:rPr>
          <w:rFonts w:ascii="Arial" w:hAnsi="Arial" w:cs="Arial"/>
          <w:sz w:val="22"/>
          <w:szCs w:val="22"/>
        </w:rPr>
        <w:t xml:space="preserve"> flood alleviation schemes should deliver 1,500 schemes that benefit 300,000 households</w:t>
      </w:r>
      <w:r w:rsidR="00E60901">
        <w:rPr>
          <w:rFonts w:ascii="Arial" w:hAnsi="Arial" w:cs="Arial"/>
          <w:sz w:val="22"/>
          <w:szCs w:val="22"/>
        </w:rPr>
        <w:t xml:space="preserve"> by 2021</w:t>
      </w:r>
      <w:r w:rsidRPr="000E02D7">
        <w:rPr>
          <w:rFonts w:ascii="Arial" w:hAnsi="Arial" w:cs="Arial"/>
          <w:sz w:val="22"/>
          <w:szCs w:val="22"/>
        </w:rPr>
        <w:t xml:space="preserve">, reducing expected annual </w:t>
      </w:r>
      <w:r w:rsidR="00C74568">
        <w:rPr>
          <w:rFonts w:ascii="Arial" w:hAnsi="Arial" w:cs="Arial"/>
          <w:sz w:val="22"/>
          <w:szCs w:val="22"/>
        </w:rPr>
        <w:t>damage from</w:t>
      </w:r>
      <w:r>
        <w:rPr>
          <w:rFonts w:ascii="Arial" w:hAnsi="Arial" w:cs="Arial"/>
          <w:sz w:val="22"/>
          <w:szCs w:val="22"/>
        </w:rPr>
        <w:t xml:space="preserve"> </w:t>
      </w:r>
      <w:r w:rsidR="00C74568" w:rsidRPr="000E02D7">
        <w:rPr>
          <w:rFonts w:ascii="Arial" w:hAnsi="Arial" w:cs="Arial"/>
          <w:sz w:val="22"/>
          <w:szCs w:val="22"/>
        </w:rPr>
        <w:t xml:space="preserve">flood </w:t>
      </w:r>
      <w:r w:rsidR="007D1052">
        <w:rPr>
          <w:rFonts w:ascii="Arial" w:hAnsi="Arial" w:cs="Arial"/>
          <w:sz w:val="22"/>
          <w:szCs w:val="22"/>
        </w:rPr>
        <w:t xml:space="preserve">from all sources </w:t>
      </w:r>
      <w:r w:rsidRPr="000E02D7">
        <w:rPr>
          <w:rFonts w:ascii="Arial" w:hAnsi="Arial" w:cs="Arial"/>
          <w:sz w:val="22"/>
          <w:szCs w:val="22"/>
        </w:rPr>
        <w:t xml:space="preserve">by 5%. </w:t>
      </w:r>
      <w:r>
        <w:rPr>
          <w:rFonts w:ascii="Arial" w:hAnsi="Arial" w:cs="Arial"/>
          <w:sz w:val="22"/>
          <w:szCs w:val="22"/>
        </w:rPr>
        <w:t>T</w:t>
      </w:r>
      <w:r w:rsidR="002B173B">
        <w:rPr>
          <w:rFonts w:ascii="Arial" w:hAnsi="Arial" w:cs="Arial"/>
          <w:sz w:val="22"/>
          <w:szCs w:val="22"/>
        </w:rPr>
        <w:t>he Environment Agency</w:t>
      </w:r>
      <w:r>
        <w:rPr>
          <w:rFonts w:ascii="Arial" w:hAnsi="Arial" w:cs="Arial"/>
          <w:sz w:val="22"/>
          <w:szCs w:val="22"/>
        </w:rPr>
        <w:t xml:space="preserve"> uses Outcome Measures to measure progress toward this target and </w:t>
      </w:r>
      <w:r w:rsidR="00C74568">
        <w:rPr>
          <w:rFonts w:ascii="Arial" w:hAnsi="Arial" w:cs="Arial"/>
          <w:sz w:val="22"/>
          <w:szCs w:val="22"/>
        </w:rPr>
        <w:t xml:space="preserve">to </w:t>
      </w:r>
      <w:r w:rsidR="002B173B">
        <w:rPr>
          <w:rFonts w:ascii="Arial" w:hAnsi="Arial" w:cs="Arial"/>
          <w:sz w:val="22"/>
          <w:szCs w:val="22"/>
        </w:rPr>
        <w:t>prioritise</w:t>
      </w:r>
      <w:r w:rsidR="007D1052">
        <w:rPr>
          <w:rFonts w:ascii="Arial" w:hAnsi="Arial" w:cs="Arial"/>
          <w:sz w:val="22"/>
          <w:szCs w:val="22"/>
        </w:rPr>
        <w:t xml:space="preserve"> funding</w:t>
      </w:r>
      <w:r w:rsidR="002B173B">
        <w:rPr>
          <w:rFonts w:ascii="Arial" w:hAnsi="Arial" w:cs="Arial"/>
          <w:sz w:val="22"/>
          <w:szCs w:val="22"/>
        </w:rPr>
        <w:t xml:space="preserve"> contributions</w:t>
      </w:r>
      <w:r>
        <w:rPr>
          <w:rFonts w:ascii="Arial" w:hAnsi="Arial" w:cs="Arial"/>
          <w:sz w:val="22"/>
          <w:szCs w:val="22"/>
        </w:rPr>
        <w:t xml:space="preserve"> toward </w:t>
      </w:r>
      <w:r w:rsidR="007D1052">
        <w:rPr>
          <w:rFonts w:ascii="Arial" w:hAnsi="Arial" w:cs="Arial"/>
          <w:sz w:val="22"/>
          <w:szCs w:val="22"/>
        </w:rPr>
        <w:t xml:space="preserve">flood alleviation </w:t>
      </w:r>
      <w:r>
        <w:rPr>
          <w:rFonts w:ascii="Arial" w:hAnsi="Arial" w:cs="Arial"/>
          <w:sz w:val="22"/>
          <w:szCs w:val="22"/>
        </w:rPr>
        <w:t>schemes</w:t>
      </w:r>
      <w:r w:rsidR="002B173B">
        <w:rPr>
          <w:rFonts w:ascii="Arial" w:hAnsi="Arial" w:cs="Arial"/>
          <w:sz w:val="22"/>
          <w:szCs w:val="22"/>
        </w:rPr>
        <w:t xml:space="preserve">. </w:t>
      </w:r>
      <w:r w:rsidR="00E60901">
        <w:rPr>
          <w:rFonts w:ascii="Arial" w:hAnsi="Arial" w:cs="Arial"/>
          <w:sz w:val="22"/>
          <w:szCs w:val="22"/>
        </w:rPr>
        <w:t xml:space="preserve">The relative balance between making progress on river, coastal and surface water flood risk is not reported, though most Grant-In-Aid is allocated   towards river and coastal flood alleviation schemes. </w:t>
      </w:r>
      <w:r w:rsidR="00193872">
        <w:rPr>
          <w:rFonts w:ascii="Arial" w:hAnsi="Arial" w:cs="Arial"/>
          <w:sz w:val="22"/>
          <w:szCs w:val="22"/>
        </w:rPr>
        <w:t xml:space="preserve"> </w:t>
      </w:r>
      <w:proofErr w:type="spellStart"/>
      <w:r w:rsidR="001D4355">
        <w:rPr>
          <w:rFonts w:ascii="Arial" w:hAnsi="Arial" w:cs="Arial"/>
          <w:sz w:val="22"/>
          <w:szCs w:val="22"/>
        </w:rPr>
        <w:t>Ofwat</w:t>
      </w:r>
      <w:proofErr w:type="spellEnd"/>
      <w:r w:rsidR="001D4355">
        <w:rPr>
          <w:rFonts w:ascii="Arial" w:hAnsi="Arial" w:cs="Arial"/>
          <w:sz w:val="22"/>
          <w:szCs w:val="22"/>
        </w:rPr>
        <w:t xml:space="preserve"> </w:t>
      </w:r>
      <w:r w:rsidR="00193872">
        <w:rPr>
          <w:rFonts w:ascii="Arial" w:hAnsi="Arial" w:cs="Arial"/>
          <w:sz w:val="22"/>
          <w:szCs w:val="22"/>
        </w:rPr>
        <w:t xml:space="preserve">however has proposed </w:t>
      </w:r>
      <w:r w:rsidR="00E60901">
        <w:rPr>
          <w:rFonts w:ascii="Arial" w:hAnsi="Arial" w:cs="Arial"/>
          <w:sz w:val="22"/>
          <w:szCs w:val="22"/>
        </w:rPr>
        <w:t xml:space="preserve">new </w:t>
      </w:r>
      <w:r w:rsidR="001D4355">
        <w:rPr>
          <w:rFonts w:ascii="Arial" w:hAnsi="Arial" w:cs="Arial"/>
          <w:sz w:val="22"/>
          <w:szCs w:val="22"/>
        </w:rPr>
        <w:t xml:space="preserve">resilience metrics </w:t>
      </w:r>
      <w:r w:rsidR="007E44F3">
        <w:rPr>
          <w:rFonts w:ascii="Arial" w:hAnsi="Arial" w:cs="Arial"/>
          <w:sz w:val="22"/>
          <w:szCs w:val="22"/>
        </w:rPr>
        <w:t>to measure water</w:t>
      </w:r>
      <w:r w:rsidR="001D4355">
        <w:rPr>
          <w:rFonts w:ascii="Arial" w:hAnsi="Arial" w:cs="Arial"/>
          <w:sz w:val="22"/>
          <w:szCs w:val="22"/>
        </w:rPr>
        <w:t xml:space="preserve"> </w:t>
      </w:r>
      <w:r w:rsidR="007E44F3">
        <w:rPr>
          <w:rFonts w:ascii="Arial" w:hAnsi="Arial" w:cs="Arial"/>
          <w:sz w:val="22"/>
          <w:szCs w:val="22"/>
        </w:rPr>
        <w:t>companies’ progress in managing</w:t>
      </w:r>
      <w:r w:rsidR="001D4355" w:rsidRPr="001D4355">
        <w:rPr>
          <w:rFonts w:ascii="Arial" w:hAnsi="Arial" w:cs="Arial"/>
          <w:sz w:val="22"/>
          <w:szCs w:val="22"/>
        </w:rPr>
        <w:t xml:space="preserve"> flood</w:t>
      </w:r>
      <w:r w:rsidR="00C4459A">
        <w:rPr>
          <w:rFonts w:ascii="Arial" w:hAnsi="Arial" w:cs="Arial"/>
          <w:sz w:val="22"/>
          <w:szCs w:val="22"/>
        </w:rPr>
        <w:t>ing</w:t>
      </w:r>
      <w:r w:rsidR="007E44F3" w:rsidRPr="007E44F3">
        <w:rPr>
          <w:rFonts w:ascii="Arial" w:hAnsi="Arial" w:cs="Arial"/>
          <w:sz w:val="22"/>
          <w:szCs w:val="22"/>
        </w:rPr>
        <w:t xml:space="preserve"> </w:t>
      </w:r>
      <w:r w:rsidR="007E44F3">
        <w:rPr>
          <w:rFonts w:ascii="Arial" w:hAnsi="Arial" w:cs="Arial"/>
          <w:sz w:val="22"/>
          <w:szCs w:val="22"/>
        </w:rPr>
        <w:t xml:space="preserve">of </w:t>
      </w:r>
      <w:r w:rsidR="007E44F3" w:rsidRPr="001D4355">
        <w:rPr>
          <w:rFonts w:ascii="Arial" w:hAnsi="Arial" w:cs="Arial"/>
          <w:sz w:val="22"/>
          <w:szCs w:val="22"/>
        </w:rPr>
        <w:t>wastewater system</w:t>
      </w:r>
      <w:r w:rsidR="007E44F3">
        <w:rPr>
          <w:rFonts w:ascii="Arial" w:hAnsi="Arial" w:cs="Arial"/>
          <w:sz w:val="22"/>
          <w:szCs w:val="22"/>
        </w:rPr>
        <w:t>s</w:t>
      </w:r>
      <w:r w:rsidR="00193872">
        <w:rPr>
          <w:rFonts w:ascii="Arial" w:hAnsi="Arial" w:cs="Arial"/>
          <w:sz w:val="22"/>
          <w:szCs w:val="22"/>
        </w:rPr>
        <w:t xml:space="preserve"> as part of a wider consultation on its approach to Price Review 2019</w:t>
      </w:r>
      <w:r w:rsidR="00C4459A">
        <w:rPr>
          <w:rFonts w:ascii="Arial" w:hAnsi="Arial" w:cs="Arial"/>
          <w:sz w:val="22"/>
          <w:szCs w:val="22"/>
        </w:rPr>
        <w:t>.</w:t>
      </w:r>
      <w:r w:rsidR="006801F2">
        <w:rPr>
          <w:rStyle w:val="FootnoteReference"/>
          <w:rFonts w:ascii="Arial" w:hAnsi="Arial" w:cs="Arial"/>
          <w:sz w:val="22"/>
          <w:szCs w:val="22"/>
        </w:rPr>
        <w:footnoteReference w:id="1"/>
      </w:r>
      <w:r w:rsidR="002D1717">
        <w:rPr>
          <w:rFonts w:ascii="Arial" w:hAnsi="Arial" w:cs="Arial"/>
          <w:sz w:val="22"/>
          <w:szCs w:val="22"/>
        </w:rPr>
        <w:t xml:space="preserve"> </w:t>
      </w: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489459261"/>
      <w:r w:rsidRPr="007963DA">
        <w:rPr>
          <w:rFonts w:ascii="Arial" w:hAnsi="Arial" w:cs="Arial"/>
          <w:sz w:val="24"/>
          <w:szCs w:val="24"/>
        </w:rPr>
        <w:lastRenderedPageBreak/>
        <w:t>Aims and Objectives</w:t>
      </w:r>
      <w:bookmarkEnd w:id="13"/>
      <w:bookmarkEnd w:id="14"/>
      <w:bookmarkEnd w:id="15"/>
      <w:bookmarkEnd w:id="16"/>
    </w:p>
    <w:p w14:paraId="1B88C31B" w14:textId="13EC865B" w:rsidR="00C74568" w:rsidRDefault="00C74568" w:rsidP="00770A4F">
      <w:pPr>
        <w:spacing w:before="120"/>
        <w:rPr>
          <w:rFonts w:ascii="Arial" w:hAnsi="Arial" w:cs="Arial"/>
          <w:sz w:val="22"/>
          <w:szCs w:val="22"/>
        </w:rPr>
      </w:pPr>
      <w:bookmarkStart w:id="17" w:name="_Toc381969509"/>
      <w:bookmarkStart w:id="18" w:name="_Toc405888458"/>
      <w:bookmarkStart w:id="19" w:name="_Toc489459262"/>
      <w:r w:rsidRPr="00C74568">
        <w:rPr>
          <w:rFonts w:ascii="Arial" w:hAnsi="Arial" w:cs="Arial"/>
          <w:sz w:val="22"/>
          <w:szCs w:val="22"/>
        </w:rPr>
        <w:t xml:space="preserve">The ASC would like to define metrics to measure progress </w:t>
      </w:r>
      <w:r w:rsidR="00FA2841">
        <w:rPr>
          <w:rFonts w:ascii="Arial" w:hAnsi="Arial" w:cs="Arial"/>
          <w:sz w:val="22"/>
          <w:szCs w:val="22"/>
        </w:rPr>
        <w:t xml:space="preserve">made </w:t>
      </w:r>
      <w:r w:rsidRPr="00C74568">
        <w:rPr>
          <w:rFonts w:ascii="Arial" w:hAnsi="Arial" w:cs="Arial"/>
          <w:sz w:val="22"/>
          <w:szCs w:val="22"/>
        </w:rPr>
        <w:t xml:space="preserve">in managing </w:t>
      </w:r>
      <w:r w:rsidR="00FA2841">
        <w:rPr>
          <w:rFonts w:ascii="Arial" w:hAnsi="Arial" w:cs="Arial"/>
          <w:sz w:val="22"/>
          <w:szCs w:val="22"/>
        </w:rPr>
        <w:t xml:space="preserve">the risk of </w:t>
      </w:r>
      <w:r w:rsidRPr="00C74568">
        <w:rPr>
          <w:rFonts w:ascii="Arial" w:hAnsi="Arial" w:cs="Arial"/>
          <w:sz w:val="22"/>
          <w:szCs w:val="22"/>
        </w:rPr>
        <w:t xml:space="preserve">surface flooding at </w:t>
      </w:r>
      <w:r w:rsidR="00C97AC6">
        <w:rPr>
          <w:rFonts w:ascii="Arial" w:hAnsi="Arial" w:cs="Arial"/>
          <w:sz w:val="22"/>
          <w:szCs w:val="22"/>
        </w:rPr>
        <w:t>a local</w:t>
      </w:r>
      <w:r w:rsidR="00C97AC6" w:rsidRPr="00C74568">
        <w:rPr>
          <w:rFonts w:ascii="Arial" w:hAnsi="Arial" w:cs="Arial"/>
          <w:sz w:val="22"/>
          <w:szCs w:val="22"/>
        </w:rPr>
        <w:t xml:space="preserve"> </w:t>
      </w:r>
      <w:r w:rsidRPr="00C74568">
        <w:rPr>
          <w:rFonts w:ascii="Arial" w:hAnsi="Arial" w:cs="Arial"/>
          <w:sz w:val="22"/>
          <w:szCs w:val="22"/>
        </w:rPr>
        <w:t xml:space="preserve">level, </w:t>
      </w:r>
      <w:r w:rsidR="00C97AC6">
        <w:rPr>
          <w:rFonts w:ascii="Arial" w:hAnsi="Arial" w:cs="Arial"/>
          <w:sz w:val="22"/>
          <w:szCs w:val="22"/>
        </w:rPr>
        <w:t xml:space="preserve">and </w:t>
      </w:r>
      <w:r w:rsidRPr="00C74568">
        <w:rPr>
          <w:rFonts w:ascii="Arial" w:hAnsi="Arial" w:cs="Arial"/>
          <w:sz w:val="22"/>
          <w:szCs w:val="22"/>
        </w:rPr>
        <w:t xml:space="preserve">based on </w:t>
      </w:r>
      <w:r w:rsidR="00C97AC6">
        <w:rPr>
          <w:rFonts w:ascii="Arial" w:hAnsi="Arial" w:cs="Arial"/>
          <w:sz w:val="22"/>
          <w:szCs w:val="22"/>
        </w:rPr>
        <w:t xml:space="preserve">the </w:t>
      </w:r>
      <w:r w:rsidRPr="00C74568">
        <w:rPr>
          <w:rFonts w:ascii="Arial" w:hAnsi="Arial" w:cs="Arial"/>
          <w:sz w:val="22"/>
          <w:szCs w:val="22"/>
        </w:rPr>
        <w:t xml:space="preserve">available data, collate these metrics to gain a national picture of the </w:t>
      </w:r>
      <w:r w:rsidR="00C97AC6">
        <w:rPr>
          <w:rFonts w:ascii="Arial" w:hAnsi="Arial" w:cs="Arial"/>
          <w:sz w:val="22"/>
          <w:szCs w:val="22"/>
        </w:rPr>
        <w:t>progress being made</w:t>
      </w:r>
      <w:r w:rsidRPr="00C74568">
        <w:rPr>
          <w:rFonts w:ascii="Arial" w:hAnsi="Arial" w:cs="Arial"/>
          <w:sz w:val="22"/>
          <w:szCs w:val="22"/>
        </w:rPr>
        <w:t>.</w:t>
      </w:r>
    </w:p>
    <w:p w14:paraId="50E18568" w14:textId="76C7C02B" w:rsidR="00C74568" w:rsidRDefault="00077CCA" w:rsidP="00770A4F">
      <w:pPr>
        <w:spacing w:before="120"/>
        <w:rPr>
          <w:rFonts w:ascii="Arial" w:hAnsi="Arial" w:cs="Arial"/>
          <w:sz w:val="22"/>
          <w:szCs w:val="22"/>
        </w:rPr>
      </w:pPr>
      <w:r>
        <w:rPr>
          <w:rFonts w:ascii="Arial" w:hAnsi="Arial" w:cs="Arial"/>
          <w:sz w:val="22"/>
          <w:szCs w:val="22"/>
        </w:rPr>
        <w:t>The main research questions are:</w:t>
      </w:r>
    </w:p>
    <w:p w14:paraId="78EF65AC" w14:textId="79D0181C" w:rsidR="00193872" w:rsidRDefault="00193872" w:rsidP="00C74568">
      <w:pPr>
        <w:numPr>
          <w:ilvl w:val="0"/>
          <w:numId w:val="13"/>
        </w:numPr>
        <w:spacing w:before="120" w:after="120" w:line="276" w:lineRule="auto"/>
        <w:rPr>
          <w:rFonts w:ascii="Arial" w:eastAsia="MS Mincho" w:hAnsi="Arial" w:cs="Arial"/>
          <w:sz w:val="22"/>
          <w:szCs w:val="22"/>
          <w:lang w:eastAsia="en-US"/>
        </w:rPr>
      </w:pPr>
      <w:r>
        <w:rPr>
          <w:rFonts w:ascii="Arial" w:eastAsia="MS Mincho" w:hAnsi="Arial" w:cs="Arial"/>
          <w:sz w:val="22"/>
          <w:szCs w:val="22"/>
          <w:lang w:eastAsia="en-US"/>
        </w:rPr>
        <w:t>How much national funding (FCERM Grant-In-Aid) is being spent on managing surface water flood risk as part of the six-year investment plan? How much local (partnership) funding are these projects leveraging, and what are the sources of these funds? What outcomes and benefits will these surface water projects achieve in comparison with river and coastal flood alleviation schemes?</w:t>
      </w:r>
    </w:p>
    <w:p w14:paraId="7D3A2C48" w14:textId="2793DB3C" w:rsidR="00FA2F9C" w:rsidRPr="00C74568" w:rsidRDefault="00FA2F9C" w:rsidP="00C74568">
      <w:pPr>
        <w:numPr>
          <w:ilvl w:val="0"/>
          <w:numId w:val="13"/>
        </w:numPr>
        <w:spacing w:before="120" w:after="120" w:line="276" w:lineRule="auto"/>
        <w:rPr>
          <w:rFonts w:ascii="Arial" w:eastAsia="MS Mincho" w:hAnsi="Arial" w:cs="Arial"/>
          <w:sz w:val="22"/>
          <w:szCs w:val="22"/>
          <w:lang w:eastAsia="en-US"/>
        </w:rPr>
      </w:pPr>
      <w:r w:rsidRPr="00C74568">
        <w:rPr>
          <w:rFonts w:ascii="Arial" w:eastAsia="MS Mincho" w:hAnsi="Arial" w:cs="Arial"/>
          <w:sz w:val="22"/>
          <w:szCs w:val="22"/>
          <w:lang w:eastAsia="en-US"/>
        </w:rPr>
        <w:t xml:space="preserve">How </w:t>
      </w:r>
      <w:r w:rsidR="00193872">
        <w:rPr>
          <w:rFonts w:ascii="Arial" w:eastAsia="MS Mincho" w:hAnsi="Arial" w:cs="Arial"/>
          <w:sz w:val="22"/>
          <w:szCs w:val="22"/>
          <w:lang w:eastAsia="en-US"/>
        </w:rPr>
        <w:t xml:space="preserve">is (or could) </w:t>
      </w:r>
      <w:r w:rsidRPr="00C74568">
        <w:rPr>
          <w:rFonts w:ascii="Arial" w:eastAsia="MS Mincho" w:hAnsi="Arial" w:cs="Arial"/>
          <w:sz w:val="22"/>
          <w:szCs w:val="22"/>
          <w:lang w:eastAsia="en-US"/>
        </w:rPr>
        <w:t xml:space="preserve">progress </w:t>
      </w:r>
      <w:r w:rsidR="00C74568" w:rsidRPr="00C74568">
        <w:rPr>
          <w:rFonts w:ascii="Arial" w:eastAsia="MS Mincho" w:hAnsi="Arial" w:cs="Arial"/>
          <w:sz w:val="22"/>
          <w:szCs w:val="22"/>
          <w:lang w:eastAsia="en-US"/>
        </w:rPr>
        <w:t xml:space="preserve">in managing </w:t>
      </w:r>
      <w:r w:rsidRPr="00C74568">
        <w:rPr>
          <w:rFonts w:ascii="Arial" w:eastAsia="MS Mincho" w:hAnsi="Arial" w:cs="Arial"/>
          <w:sz w:val="22"/>
          <w:szCs w:val="22"/>
          <w:lang w:eastAsia="en-US"/>
        </w:rPr>
        <w:t>surface water flood risk be measured</w:t>
      </w:r>
      <w:r w:rsidR="00C74568">
        <w:rPr>
          <w:rFonts w:ascii="Arial" w:eastAsia="MS Mincho" w:hAnsi="Arial" w:cs="Arial"/>
          <w:sz w:val="22"/>
          <w:szCs w:val="22"/>
          <w:lang w:eastAsia="en-US"/>
        </w:rPr>
        <w:t xml:space="preserve"> at </w:t>
      </w:r>
      <w:r w:rsidR="00C97AC6">
        <w:rPr>
          <w:rFonts w:ascii="Arial" w:eastAsia="MS Mincho" w:hAnsi="Arial" w:cs="Arial"/>
          <w:sz w:val="22"/>
          <w:szCs w:val="22"/>
          <w:lang w:eastAsia="en-US"/>
        </w:rPr>
        <w:t>the local</w:t>
      </w:r>
      <w:r w:rsidR="00193872">
        <w:rPr>
          <w:rFonts w:ascii="Arial" w:eastAsia="MS Mincho" w:hAnsi="Arial" w:cs="Arial"/>
          <w:sz w:val="22"/>
          <w:szCs w:val="22"/>
          <w:lang w:eastAsia="en-US"/>
        </w:rPr>
        <w:t xml:space="preserve"> level</w:t>
      </w:r>
      <w:r w:rsidRPr="00C74568">
        <w:rPr>
          <w:rFonts w:ascii="Arial" w:eastAsia="MS Mincho" w:hAnsi="Arial" w:cs="Arial"/>
          <w:sz w:val="22"/>
          <w:szCs w:val="22"/>
          <w:lang w:eastAsia="en-US"/>
        </w:rPr>
        <w:t>?</w:t>
      </w:r>
      <w:r w:rsidR="00C74568" w:rsidRPr="00C74568">
        <w:rPr>
          <w:rFonts w:ascii="Arial" w:eastAsia="MS Mincho" w:hAnsi="Arial" w:cs="Arial"/>
          <w:sz w:val="22"/>
          <w:szCs w:val="22"/>
          <w:lang w:eastAsia="en-US"/>
        </w:rPr>
        <w:t xml:space="preserve"> </w:t>
      </w:r>
    </w:p>
    <w:p w14:paraId="18D356AD" w14:textId="6E4E67AF" w:rsidR="00FA2F9C" w:rsidRDefault="00C74568" w:rsidP="006801F2">
      <w:pPr>
        <w:numPr>
          <w:ilvl w:val="0"/>
          <w:numId w:val="13"/>
        </w:numPr>
        <w:spacing w:before="120" w:after="120" w:line="276" w:lineRule="auto"/>
        <w:rPr>
          <w:rFonts w:ascii="Arial" w:eastAsia="MS Mincho" w:hAnsi="Arial" w:cs="Arial"/>
          <w:sz w:val="22"/>
          <w:szCs w:val="22"/>
          <w:lang w:eastAsia="en-US"/>
        </w:rPr>
      </w:pPr>
      <w:r>
        <w:rPr>
          <w:rFonts w:ascii="Arial" w:eastAsia="MS Mincho" w:hAnsi="Arial" w:cs="Arial"/>
          <w:sz w:val="22"/>
          <w:szCs w:val="22"/>
          <w:lang w:eastAsia="en-US"/>
        </w:rPr>
        <w:t xml:space="preserve">What are the </w:t>
      </w:r>
      <w:r w:rsidR="006801F2">
        <w:rPr>
          <w:rFonts w:ascii="Arial" w:eastAsia="MS Mincho" w:hAnsi="Arial" w:cs="Arial"/>
          <w:sz w:val="22"/>
          <w:szCs w:val="22"/>
          <w:lang w:eastAsia="en-US"/>
        </w:rPr>
        <w:t xml:space="preserve">advantages, disadvantages and possible unintended consequences of using </w:t>
      </w:r>
      <w:r>
        <w:rPr>
          <w:rFonts w:ascii="Arial" w:eastAsia="MS Mincho" w:hAnsi="Arial" w:cs="Arial"/>
          <w:sz w:val="22"/>
          <w:szCs w:val="22"/>
          <w:lang w:eastAsia="en-US"/>
        </w:rPr>
        <w:t>different metrics</w:t>
      </w:r>
      <w:r w:rsidR="00A474DA">
        <w:rPr>
          <w:rFonts w:ascii="Arial" w:eastAsia="MS Mincho" w:hAnsi="Arial" w:cs="Arial"/>
          <w:sz w:val="22"/>
          <w:szCs w:val="22"/>
          <w:lang w:eastAsia="en-US"/>
        </w:rPr>
        <w:t>?</w:t>
      </w:r>
    </w:p>
    <w:p w14:paraId="545775D6" w14:textId="2869F7A0" w:rsidR="00D74A12" w:rsidRDefault="00193872" w:rsidP="00A474DA">
      <w:pPr>
        <w:numPr>
          <w:ilvl w:val="0"/>
          <w:numId w:val="13"/>
        </w:numPr>
        <w:spacing w:before="120" w:after="120" w:line="276" w:lineRule="auto"/>
        <w:rPr>
          <w:rFonts w:ascii="Arial" w:eastAsia="MS Mincho" w:hAnsi="Arial" w:cs="Arial"/>
          <w:sz w:val="22"/>
          <w:szCs w:val="22"/>
          <w:lang w:eastAsia="en-US"/>
        </w:rPr>
      </w:pPr>
      <w:r>
        <w:rPr>
          <w:rFonts w:ascii="Arial" w:eastAsia="MS Mincho" w:hAnsi="Arial" w:cs="Arial"/>
          <w:sz w:val="22"/>
          <w:szCs w:val="22"/>
          <w:lang w:eastAsia="en-US"/>
        </w:rPr>
        <w:t xml:space="preserve">How can national and local data best be combined to assess the </w:t>
      </w:r>
      <w:r w:rsidR="00C97AC6">
        <w:rPr>
          <w:rFonts w:ascii="Arial" w:eastAsia="MS Mincho" w:hAnsi="Arial" w:cs="Arial"/>
          <w:sz w:val="22"/>
          <w:szCs w:val="22"/>
          <w:lang w:eastAsia="en-US"/>
        </w:rPr>
        <w:t xml:space="preserve">progress being made in managing </w:t>
      </w:r>
      <w:r w:rsidR="00D77DA4">
        <w:rPr>
          <w:rFonts w:ascii="Arial" w:eastAsia="MS Mincho" w:hAnsi="Arial" w:cs="Arial"/>
          <w:sz w:val="22"/>
          <w:szCs w:val="22"/>
          <w:lang w:eastAsia="en-US"/>
        </w:rPr>
        <w:t xml:space="preserve">surface water flood risk </w:t>
      </w:r>
      <w:r w:rsidR="00C97AC6">
        <w:rPr>
          <w:rFonts w:ascii="Arial" w:eastAsia="MS Mincho" w:hAnsi="Arial" w:cs="Arial"/>
          <w:sz w:val="22"/>
          <w:szCs w:val="22"/>
          <w:lang w:eastAsia="en-US"/>
        </w:rPr>
        <w:t>in England</w:t>
      </w:r>
      <w:r w:rsidR="00D77DA4">
        <w:rPr>
          <w:rFonts w:ascii="Arial" w:eastAsia="MS Mincho" w:hAnsi="Arial" w:cs="Arial"/>
          <w:sz w:val="22"/>
          <w:szCs w:val="22"/>
          <w:lang w:eastAsia="en-US"/>
        </w:rPr>
        <w:t>?</w:t>
      </w:r>
    </w:p>
    <w:p w14:paraId="3E6B0DAA" w14:textId="3F39D518" w:rsidR="00C97AC6" w:rsidRPr="00B86041" w:rsidRDefault="00C97AC6" w:rsidP="00A474DA">
      <w:pPr>
        <w:numPr>
          <w:ilvl w:val="0"/>
          <w:numId w:val="13"/>
        </w:numPr>
        <w:spacing w:before="120" w:after="120" w:line="276" w:lineRule="auto"/>
        <w:rPr>
          <w:rFonts w:ascii="Arial" w:eastAsia="MS Mincho" w:hAnsi="Arial" w:cs="Arial"/>
          <w:sz w:val="22"/>
          <w:szCs w:val="22"/>
          <w:lang w:eastAsia="en-US"/>
        </w:rPr>
      </w:pPr>
      <w:r>
        <w:rPr>
          <w:rFonts w:ascii="Arial" w:eastAsia="MS Mincho" w:hAnsi="Arial" w:cs="Arial"/>
          <w:sz w:val="22"/>
          <w:szCs w:val="22"/>
          <w:lang w:eastAsia="en-US"/>
        </w:rPr>
        <w:t xml:space="preserve">What </w:t>
      </w:r>
      <w:r w:rsidR="00193872">
        <w:rPr>
          <w:rFonts w:ascii="Arial" w:eastAsia="MS Mincho" w:hAnsi="Arial" w:cs="Arial"/>
          <w:sz w:val="22"/>
          <w:szCs w:val="22"/>
          <w:lang w:eastAsia="en-US"/>
        </w:rPr>
        <w:t xml:space="preserve">types of </w:t>
      </w:r>
      <w:r>
        <w:rPr>
          <w:rFonts w:ascii="Arial" w:eastAsia="MS Mincho" w:hAnsi="Arial" w:cs="Arial"/>
          <w:sz w:val="22"/>
          <w:szCs w:val="22"/>
          <w:lang w:eastAsia="en-US"/>
        </w:rPr>
        <w:t>interventions are contributing the most towards this progress, and what are the costs and benefits of these?</w:t>
      </w:r>
    </w:p>
    <w:p w14:paraId="5EA8755C" w14:textId="77777777" w:rsidR="00C4141B" w:rsidRDefault="00E85ED1" w:rsidP="007248E4">
      <w:pPr>
        <w:pStyle w:val="Heading1"/>
        <w:numPr>
          <w:ilvl w:val="0"/>
          <w:numId w:val="3"/>
        </w:numPr>
        <w:rPr>
          <w:rFonts w:ascii="Arial" w:hAnsi="Arial" w:cs="Arial"/>
          <w:sz w:val="24"/>
          <w:szCs w:val="24"/>
        </w:rPr>
      </w:pPr>
      <w:r w:rsidRPr="00E85ED1">
        <w:rPr>
          <w:rFonts w:ascii="Arial" w:hAnsi="Arial" w:cs="Arial"/>
          <w:sz w:val="24"/>
          <w:szCs w:val="24"/>
        </w:rPr>
        <w:t>Methodology</w:t>
      </w:r>
      <w:bookmarkEnd w:id="17"/>
      <w:bookmarkEnd w:id="18"/>
      <w:bookmarkEnd w:id="19"/>
    </w:p>
    <w:p w14:paraId="5A1BB8BA" w14:textId="77777777" w:rsidR="00DD521A" w:rsidRDefault="00DD521A" w:rsidP="00DD521A">
      <w:pPr>
        <w:pStyle w:val="Norma"/>
      </w:pPr>
    </w:p>
    <w:p w14:paraId="3148B2B1" w14:textId="2AB25699" w:rsidR="00D8268D" w:rsidRPr="00585404" w:rsidRDefault="00186D9B" w:rsidP="00585404">
      <w:pPr>
        <w:spacing w:before="120" w:after="120" w:line="276" w:lineRule="auto"/>
        <w:rPr>
          <w:rFonts w:ascii="Arial" w:eastAsia="MS Mincho" w:hAnsi="Arial" w:cs="Arial"/>
          <w:sz w:val="22"/>
          <w:szCs w:val="22"/>
          <w:lang w:eastAsia="en-US"/>
        </w:rPr>
      </w:pPr>
      <w:r w:rsidRPr="00585404">
        <w:rPr>
          <w:rFonts w:ascii="Arial" w:eastAsia="MS Mincho" w:hAnsi="Arial" w:cs="Arial"/>
          <w:sz w:val="22"/>
          <w:szCs w:val="22"/>
          <w:lang w:eastAsia="en-US"/>
        </w:rPr>
        <w:t xml:space="preserve">Bids should </w:t>
      </w:r>
      <w:r w:rsidR="00B46E98">
        <w:rPr>
          <w:rFonts w:ascii="Arial" w:eastAsia="MS Mincho" w:hAnsi="Arial" w:cs="Arial"/>
          <w:sz w:val="22"/>
          <w:szCs w:val="22"/>
          <w:lang w:eastAsia="en-US"/>
        </w:rPr>
        <w:t xml:space="preserve">propose a </w:t>
      </w:r>
      <w:r w:rsidRPr="00585404">
        <w:rPr>
          <w:rFonts w:ascii="Arial" w:eastAsia="MS Mincho" w:hAnsi="Arial" w:cs="Arial"/>
          <w:sz w:val="22"/>
          <w:szCs w:val="22"/>
          <w:lang w:eastAsia="en-US"/>
        </w:rPr>
        <w:t xml:space="preserve">methodology to address </w:t>
      </w:r>
      <w:r w:rsidR="00D8268D" w:rsidRPr="00585404">
        <w:rPr>
          <w:rFonts w:ascii="Arial" w:eastAsia="MS Mincho" w:hAnsi="Arial" w:cs="Arial"/>
          <w:sz w:val="22"/>
          <w:szCs w:val="22"/>
          <w:lang w:eastAsia="en-US"/>
        </w:rPr>
        <w:t>the above aims</w:t>
      </w:r>
      <w:r w:rsidR="00C97AC6">
        <w:rPr>
          <w:rFonts w:ascii="Arial" w:eastAsia="MS Mincho" w:hAnsi="Arial" w:cs="Arial"/>
          <w:sz w:val="22"/>
          <w:szCs w:val="22"/>
          <w:lang w:eastAsia="en-US"/>
        </w:rPr>
        <w:t xml:space="preserve">, </w:t>
      </w:r>
      <w:r w:rsidR="00D8268D" w:rsidRPr="00585404">
        <w:rPr>
          <w:rFonts w:ascii="Arial" w:eastAsia="MS Mincho" w:hAnsi="Arial" w:cs="Arial"/>
          <w:sz w:val="22"/>
          <w:szCs w:val="22"/>
          <w:lang w:eastAsia="en-US"/>
        </w:rPr>
        <w:t xml:space="preserve">to include: </w:t>
      </w:r>
    </w:p>
    <w:p w14:paraId="2F3E66C7" w14:textId="26DAE7BE" w:rsidR="00B46E98" w:rsidRDefault="00B46E98" w:rsidP="00ED626C">
      <w:pPr>
        <w:pStyle w:val="ListParagraph"/>
        <w:numPr>
          <w:ilvl w:val="0"/>
          <w:numId w:val="16"/>
        </w:numPr>
        <w:spacing w:before="120" w:after="120"/>
        <w:rPr>
          <w:rFonts w:ascii="Arial" w:hAnsi="Arial" w:cs="Arial"/>
        </w:rPr>
      </w:pPr>
      <w:r>
        <w:rPr>
          <w:rFonts w:ascii="Arial" w:hAnsi="Arial" w:cs="Arial"/>
        </w:rPr>
        <w:t>How data on schemes within the six-year investment programme will be collated, analysed and presented.</w:t>
      </w:r>
    </w:p>
    <w:p w14:paraId="7E35643F" w14:textId="1F665AB4" w:rsidR="00ED626C" w:rsidRPr="00ED626C" w:rsidRDefault="00D8268D" w:rsidP="00ED626C">
      <w:pPr>
        <w:pStyle w:val="ListParagraph"/>
        <w:numPr>
          <w:ilvl w:val="0"/>
          <w:numId w:val="16"/>
        </w:numPr>
        <w:spacing w:before="120" w:after="120"/>
        <w:rPr>
          <w:rFonts w:ascii="Arial" w:hAnsi="Arial" w:cs="Arial"/>
        </w:rPr>
      </w:pPr>
      <w:r w:rsidRPr="00D8268D">
        <w:rPr>
          <w:rFonts w:ascii="Arial" w:hAnsi="Arial" w:cs="Arial"/>
        </w:rPr>
        <w:t>Identification of a long list of metrics</w:t>
      </w:r>
      <w:r w:rsidR="00ED626C">
        <w:rPr>
          <w:rFonts w:ascii="Arial" w:hAnsi="Arial" w:cs="Arial"/>
        </w:rPr>
        <w:t xml:space="preserve"> that </w:t>
      </w:r>
      <w:r w:rsidR="00B46E98">
        <w:rPr>
          <w:rFonts w:ascii="Arial" w:hAnsi="Arial" w:cs="Arial"/>
        </w:rPr>
        <w:t>are being</w:t>
      </w:r>
      <w:r w:rsidR="000730BC">
        <w:rPr>
          <w:rFonts w:ascii="Arial" w:hAnsi="Arial" w:cs="Arial"/>
        </w:rPr>
        <w:t xml:space="preserve"> used</w:t>
      </w:r>
      <w:r w:rsidR="00B46E98">
        <w:rPr>
          <w:rFonts w:ascii="Arial" w:hAnsi="Arial" w:cs="Arial"/>
        </w:rPr>
        <w:t xml:space="preserve">, or </w:t>
      </w:r>
      <w:r w:rsidR="00ED626C">
        <w:rPr>
          <w:rFonts w:ascii="Arial" w:hAnsi="Arial" w:cs="Arial"/>
        </w:rPr>
        <w:t>could be</w:t>
      </w:r>
      <w:r w:rsidR="00B46E98">
        <w:rPr>
          <w:rFonts w:ascii="Arial" w:hAnsi="Arial" w:cs="Arial"/>
        </w:rPr>
        <w:t>,</w:t>
      </w:r>
      <w:r w:rsidR="00ED626C">
        <w:rPr>
          <w:rFonts w:ascii="Arial" w:hAnsi="Arial" w:cs="Arial"/>
        </w:rPr>
        <w:t xml:space="preserve"> to assess </w:t>
      </w:r>
      <w:r w:rsidR="00965547">
        <w:rPr>
          <w:rFonts w:ascii="Arial" w:hAnsi="Arial" w:cs="Arial"/>
        </w:rPr>
        <w:t>progress made in managing surface water flood risk</w:t>
      </w:r>
      <w:r w:rsidR="00FA2841">
        <w:rPr>
          <w:rFonts w:ascii="Arial" w:hAnsi="Arial" w:cs="Arial"/>
        </w:rPr>
        <w:t>, based on literature</w:t>
      </w:r>
      <w:r w:rsidR="00C97AC6">
        <w:rPr>
          <w:rFonts w:ascii="Arial" w:hAnsi="Arial" w:cs="Arial"/>
        </w:rPr>
        <w:t xml:space="preserve"> </w:t>
      </w:r>
      <w:r w:rsidR="00FA2841">
        <w:rPr>
          <w:rFonts w:ascii="Arial" w:hAnsi="Arial" w:cs="Arial"/>
        </w:rPr>
        <w:t>and current practice</w:t>
      </w:r>
      <w:r w:rsidR="00965547">
        <w:rPr>
          <w:rFonts w:ascii="Arial" w:hAnsi="Arial" w:cs="Arial"/>
        </w:rPr>
        <w:t xml:space="preserve">. </w:t>
      </w:r>
      <w:r w:rsidR="00C97AC6">
        <w:rPr>
          <w:rFonts w:ascii="Arial" w:hAnsi="Arial" w:cs="Arial"/>
        </w:rPr>
        <w:t xml:space="preserve">The </w:t>
      </w:r>
      <w:r w:rsidR="007457B2">
        <w:rPr>
          <w:rFonts w:ascii="Arial" w:hAnsi="Arial" w:cs="Arial"/>
        </w:rPr>
        <w:t>long list</w:t>
      </w:r>
      <w:r w:rsidR="00ED626C">
        <w:rPr>
          <w:rFonts w:ascii="Arial" w:hAnsi="Arial" w:cs="Arial"/>
        </w:rPr>
        <w:t xml:space="preserve"> should </w:t>
      </w:r>
      <w:r w:rsidRPr="00D8268D">
        <w:rPr>
          <w:rFonts w:ascii="Arial" w:hAnsi="Arial" w:cs="Arial"/>
        </w:rPr>
        <w:t>includ</w:t>
      </w:r>
      <w:r w:rsidR="00ED626C">
        <w:rPr>
          <w:rFonts w:ascii="Arial" w:hAnsi="Arial" w:cs="Arial"/>
        </w:rPr>
        <w:t>e</w:t>
      </w:r>
      <w:r w:rsidRPr="00D8268D">
        <w:rPr>
          <w:rFonts w:ascii="Arial" w:hAnsi="Arial" w:cs="Arial"/>
        </w:rPr>
        <w:t xml:space="preserve"> “ideal” </w:t>
      </w:r>
      <w:r w:rsidR="007457B2">
        <w:rPr>
          <w:rFonts w:ascii="Arial" w:hAnsi="Arial" w:cs="Arial"/>
        </w:rPr>
        <w:t>metrics</w:t>
      </w:r>
      <w:r w:rsidR="007457B2" w:rsidRPr="00D8268D">
        <w:rPr>
          <w:rFonts w:ascii="Arial" w:hAnsi="Arial" w:cs="Arial"/>
        </w:rPr>
        <w:t xml:space="preserve"> </w:t>
      </w:r>
      <w:r w:rsidRPr="00D8268D">
        <w:rPr>
          <w:rFonts w:ascii="Arial" w:hAnsi="Arial" w:cs="Arial"/>
        </w:rPr>
        <w:t>as well as those currently used or proposed,</w:t>
      </w:r>
      <w:r w:rsidRPr="00770A4F">
        <w:rPr>
          <w:rStyle w:val="FootnoteReference"/>
          <w:rFonts w:ascii="Arial" w:hAnsi="Arial" w:cs="Arial"/>
        </w:rPr>
        <w:footnoteReference w:id="2"/>
      </w:r>
      <w:r w:rsidRPr="00D8268D">
        <w:rPr>
          <w:rFonts w:ascii="Arial" w:hAnsi="Arial" w:cs="Arial"/>
        </w:rPr>
        <w:t xml:space="preserve"> and </w:t>
      </w:r>
      <w:r w:rsidR="0047679C">
        <w:rPr>
          <w:rFonts w:ascii="Arial" w:hAnsi="Arial" w:cs="Arial"/>
        </w:rPr>
        <w:t>other</w:t>
      </w:r>
      <w:r w:rsidR="00C97AC6">
        <w:rPr>
          <w:rFonts w:ascii="Arial" w:hAnsi="Arial" w:cs="Arial"/>
        </w:rPr>
        <w:t>s</w:t>
      </w:r>
      <w:r w:rsidRPr="00D8268D">
        <w:rPr>
          <w:rFonts w:ascii="Arial" w:hAnsi="Arial" w:cs="Arial"/>
        </w:rPr>
        <w:t xml:space="preserve"> that could be drawn from existing datasets or reports.</w:t>
      </w:r>
      <w:r w:rsidRPr="00770A4F">
        <w:rPr>
          <w:rStyle w:val="FootnoteReference"/>
          <w:rFonts w:ascii="Arial" w:hAnsi="Arial" w:cs="Arial"/>
        </w:rPr>
        <w:footnoteReference w:id="3"/>
      </w:r>
      <w:r w:rsidRPr="00D8268D">
        <w:rPr>
          <w:rFonts w:ascii="Arial" w:hAnsi="Arial" w:cs="Arial"/>
        </w:rPr>
        <w:t xml:space="preserve"> </w:t>
      </w:r>
      <w:r w:rsidR="00ED626C">
        <w:rPr>
          <w:rFonts w:ascii="Arial" w:hAnsi="Arial" w:cs="Arial"/>
        </w:rPr>
        <w:t>Where</w:t>
      </w:r>
      <w:r w:rsidR="00ED626C" w:rsidRPr="00D8268D">
        <w:rPr>
          <w:rFonts w:ascii="Arial" w:hAnsi="Arial" w:cs="Arial"/>
        </w:rPr>
        <w:t xml:space="preserve"> possible, these </w:t>
      </w:r>
      <w:r w:rsidR="00ED626C">
        <w:rPr>
          <w:rFonts w:ascii="Arial" w:hAnsi="Arial" w:cs="Arial"/>
        </w:rPr>
        <w:t>metrics</w:t>
      </w:r>
      <w:r w:rsidR="00ED626C" w:rsidRPr="00D8268D">
        <w:rPr>
          <w:rFonts w:ascii="Arial" w:hAnsi="Arial" w:cs="Arial"/>
        </w:rPr>
        <w:t xml:space="preserve"> should provide information on the </w:t>
      </w:r>
      <w:r w:rsidR="0047679C">
        <w:rPr>
          <w:rFonts w:ascii="Arial" w:hAnsi="Arial" w:cs="Arial"/>
        </w:rPr>
        <w:t xml:space="preserve">impact of </w:t>
      </w:r>
      <w:r w:rsidR="00ED626C" w:rsidRPr="00D8268D">
        <w:rPr>
          <w:rFonts w:ascii="Arial" w:hAnsi="Arial" w:cs="Arial"/>
        </w:rPr>
        <w:t>plans and actions</w:t>
      </w:r>
      <w:r w:rsidR="0047679C">
        <w:rPr>
          <w:rFonts w:ascii="Arial" w:hAnsi="Arial" w:cs="Arial"/>
        </w:rPr>
        <w:t xml:space="preserve"> in managing the risk</w:t>
      </w:r>
      <w:r w:rsidR="00ED626C" w:rsidRPr="00D8268D">
        <w:rPr>
          <w:rFonts w:ascii="Arial" w:hAnsi="Arial" w:cs="Arial"/>
        </w:rPr>
        <w:t xml:space="preserve"> i.e. should explicitly link plans</w:t>
      </w:r>
      <w:r w:rsidR="00C97AC6">
        <w:rPr>
          <w:rFonts w:ascii="Arial" w:hAnsi="Arial" w:cs="Arial"/>
        </w:rPr>
        <w:t xml:space="preserve"> and </w:t>
      </w:r>
      <w:r w:rsidR="00ED626C" w:rsidRPr="00D8268D">
        <w:rPr>
          <w:rFonts w:ascii="Arial" w:hAnsi="Arial" w:cs="Arial"/>
        </w:rPr>
        <w:t>actions to their outcome</w:t>
      </w:r>
      <w:r w:rsidR="00C97AC6">
        <w:rPr>
          <w:rFonts w:ascii="Arial" w:hAnsi="Arial" w:cs="Arial"/>
        </w:rPr>
        <w:t xml:space="preserve"> in terms of changes in flood risk</w:t>
      </w:r>
      <w:r w:rsidR="00ED626C" w:rsidRPr="00D8268D">
        <w:rPr>
          <w:rFonts w:ascii="Arial" w:hAnsi="Arial" w:cs="Arial"/>
        </w:rPr>
        <w:t>.</w:t>
      </w:r>
      <w:r w:rsidR="001511AF">
        <w:rPr>
          <w:rFonts w:ascii="Arial" w:hAnsi="Arial" w:cs="Arial"/>
        </w:rPr>
        <w:t xml:space="preserve"> Metrics should also consider other actions that may be contributing towards heightened risks, such as the impact of new development</w:t>
      </w:r>
      <w:r w:rsidR="006801F2">
        <w:rPr>
          <w:rFonts w:ascii="Arial" w:hAnsi="Arial" w:cs="Arial"/>
        </w:rPr>
        <w:t xml:space="preserve"> or </w:t>
      </w:r>
      <w:r w:rsidR="000730BC">
        <w:rPr>
          <w:rFonts w:ascii="Arial" w:hAnsi="Arial" w:cs="Arial"/>
        </w:rPr>
        <w:t xml:space="preserve">additional </w:t>
      </w:r>
      <w:r w:rsidR="006801F2">
        <w:rPr>
          <w:rFonts w:ascii="Arial" w:hAnsi="Arial" w:cs="Arial"/>
        </w:rPr>
        <w:t>infrastructure</w:t>
      </w:r>
      <w:r w:rsidR="000730BC">
        <w:rPr>
          <w:rFonts w:ascii="Arial" w:hAnsi="Arial" w:cs="Arial"/>
        </w:rPr>
        <w:t xml:space="preserve"> or other assets being built in areas at risk</w:t>
      </w:r>
      <w:r w:rsidR="001511AF">
        <w:rPr>
          <w:rFonts w:ascii="Arial" w:hAnsi="Arial" w:cs="Arial"/>
        </w:rPr>
        <w:t>.</w:t>
      </w:r>
    </w:p>
    <w:p w14:paraId="3C2C50E7" w14:textId="716BA255" w:rsidR="00ED626C" w:rsidRPr="00965547" w:rsidRDefault="00ED626C" w:rsidP="00B638A8">
      <w:pPr>
        <w:pStyle w:val="ListParagraph"/>
        <w:numPr>
          <w:ilvl w:val="0"/>
          <w:numId w:val="16"/>
        </w:numPr>
        <w:spacing w:before="120" w:after="120"/>
        <w:rPr>
          <w:rFonts w:ascii="Arial" w:hAnsi="Arial" w:cs="Arial"/>
        </w:rPr>
      </w:pPr>
      <w:r w:rsidRPr="00D8268D">
        <w:rPr>
          <w:rFonts w:ascii="Arial" w:hAnsi="Arial" w:cs="Arial"/>
        </w:rPr>
        <w:t xml:space="preserve">Assessment of pro and cons of </w:t>
      </w:r>
      <w:r w:rsidR="00965547">
        <w:rPr>
          <w:rFonts w:ascii="Arial" w:hAnsi="Arial" w:cs="Arial"/>
        </w:rPr>
        <w:t xml:space="preserve">using </w:t>
      </w:r>
      <w:r w:rsidRPr="00D8268D">
        <w:rPr>
          <w:rFonts w:ascii="Arial" w:hAnsi="Arial" w:cs="Arial"/>
        </w:rPr>
        <w:t xml:space="preserve">each </w:t>
      </w:r>
      <w:r w:rsidR="00965547">
        <w:rPr>
          <w:rFonts w:ascii="Arial" w:hAnsi="Arial" w:cs="Arial"/>
        </w:rPr>
        <w:t>metric and sets of metrics,</w:t>
      </w:r>
      <w:r>
        <w:rPr>
          <w:rFonts w:ascii="Arial" w:hAnsi="Arial" w:cs="Arial"/>
        </w:rPr>
        <w:t xml:space="preserve"> including</w:t>
      </w:r>
      <w:r w:rsidRPr="00D8268D">
        <w:rPr>
          <w:rFonts w:ascii="Arial" w:hAnsi="Arial" w:cs="Arial"/>
        </w:rPr>
        <w:t xml:space="preserve"> unintended consequences. This step should include looking at</w:t>
      </w:r>
      <w:r w:rsidR="00C97AC6">
        <w:rPr>
          <w:rFonts w:ascii="Arial" w:hAnsi="Arial" w:cs="Arial"/>
        </w:rPr>
        <w:t xml:space="preserve"> the</w:t>
      </w:r>
      <w:r w:rsidRPr="00D8268D">
        <w:rPr>
          <w:rFonts w:ascii="Arial" w:hAnsi="Arial" w:cs="Arial"/>
        </w:rPr>
        <w:t xml:space="preserve"> effectiveness of </w:t>
      </w:r>
      <w:r w:rsidR="00C97AC6">
        <w:rPr>
          <w:rFonts w:ascii="Arial" w:hAnsi="Arial" w:cs="Arial"/>
        </w:rPr>
        <w:t xml:space="preserve">current </w:t>
      </w:r>
      <w:r w:rsidRPr="00D8268D">
        <w:rPr>
          <w:rFonts w:ascii="Arial" w:hAnsi="Arial" w:cs="Arial"/>
        </w:rPr>
        <w:t>metrics</w:t>
      </w:r>
      <w:r w:rsidR="00C97AC6">
        <w:rPr>
          <w:rFonts w:ascii="Arial" w:hAnsi="Arial" w:cs="Arial"/>
        </w:rPr>
        <w:t xml:space="preserve"> used by lead local flood authorities and others</w:t>
      </w:r>
      <w:r w:rsidR="006801F2">
        <w:rPr>
          <w:rFonts w:ascii="Arial" w:hAnsi="Arial" w:cs="Arial"/>
        </w:rPr>
        <w:t xml:space="preserve"> such as water companies or local planning authorities</w:t>
      </w:r>
      <w:r w:rsidR="00965547">
        <w:rPr>
          <w:rFonts w:ascii="Arial" w:hAnsi="Arial" w:cs="Arial"/>
        </w:rPr>
        <w:t xml:space="preserve">. This analysis should </w:t>
      </w:r>
      <w:r w:rsidR="00C97AC6">
        <w:rPr>
          <w:rFonts w:ascii="Arial" w:hAnsi="Arial" w:cs="Arial"/>
        </w:rPr>
        <w:t>consider whether metrics are scalable</w:t>
      </w:r>
      <w:r w:rsidR="00965547">
        <w:rPr>
          <w:rFonts w:ascii="Arial" w:hAnsi="Arial" w:cs="Arial"/>
        </w:rPr>
        <w:t>, for example whether aggregating</w:t>
      </w:r>
      <w:r w:rsidR="00EF7799">
        <w:rPr>
          <w:rFonts w:ascii="Arial" w:hAnsi="Arial" w:cs="Arial"/>
        </w:rPr>
        <w:t xml:space="preserve"> </w:t>
      </w:r>
      <w:r w:rsidR="00C97AC6">
        <w:rPr>
          <w:rFonts w:ascii="Arial" w:hAnsi="Arial" w:cs="Arial"/>
        </w:rPr>
        <w:t xml:space="preserve">data to the </w:t>
      </w:r>
      <w:r w:rsidR="00965547">
        <w:rPr>
          <w:rFonts w:ascii="Arial" w:hAnsi="Arial" w:cs="Arial"/>
        </w:rPr>
        <w:t xml:space="preserve">national scale is meaningful or </w:t>
      </w:r>
      <w:r w:rsidR="00C97AC6">
        <w:rPr>
          <w:rFonts w:ascii="Arial" w:hAnsi="Arial" w:cs="Arial"/>
        </w:rPr>
        <w:t xml:space="preserve">a </w:t>
      </w:r>
      <w:r w:rsidR="00965547">
        <w:rPr>
          <w:rFonts w:ascii="Arial" w:hAnsi="Arial" w:cs="Arial"/>
        </w:rPr>
        <w:t xml:space="preserve">metric should only be used at </w:t>
      </w:r>
      <w:r w:rsidR="00C97AC6">
        <w:rPr>
          <w:rFonts w:ascii="Arial" w:hAnsi="Arial" w:cs="Arial"/>
        </w:rPr>
        <w:t xml:space="preserve">a </w:t>
      </w:r>
      <w:r w:rsidR="00965547">
        <w:rPr>
          <w:rFonts w:ascii="Arial" w:hAnsi="Arial" w:cs="Arial"/>
        </w:rPr>
        <w:t>sub-national level.</w:t>
      </w:r>
      <w:r w:rsidR="00B638A8">
        <w:rPr>
          <w:rStyle w:val="FootnoteReference"/>
          <w:rFonts w:ascii="Arial" w:hAnsi="Arial" w:cs="Arial"/>
        </w:rPr>
        <w:footnoteReference w:id="4"/>
      </w:r>
      <w:r w:rsidR="00965547">
        <w:rPr>
          <w:rFonts w:ascii="Arial" w:hAnsi="Arial" w:cs="Arial"/>
        </w:rPr>
        <w:t xml:space="preserve"> </w:t>
      </w:r>
    </w:p>
    <w:p w14:paraId="7253EA79" w14:textId="4135EBAA" w:rsidR="00ED626C" w:rsidRDefault="00ED626C" w:rsidP="00D8268D">
      <w:pPr>
        <w:pStyle w:val="ListParagraph"/>
        <w:numPr>
          <w:ilvl w:val="0"/>
          <w:numId w:val="16"/>
        </w:numPr>
        <w:spacing w:before="120" w:after="120"/>
        <w:rPr>
          <w:rFonts w:ascii="Arial" w:hAnsi="Arial" w:cs="Arial"/>
        </w:rPr>
      </w:pPr>
      <w:r w:rsidRPr="00ED626C">
        <w:rPr>
          <w:rFonts w:ascii="Arial" w:hAnsi="Arial" w:cs="Arial"/>
        </w:rPr>
        <w:lastRenderedPageBreak/>
        <w:t>Selection of a</w:t>
      </w:r>
      <w:r w:rsidR="00965547">
        <w:rPr>
          <w:rFonts w:ascii="Arial" w:hAnsi="Arial" w:cs="Arial"/>
        </w:rPr>
        <w:t xml:space="preserve"> set of metrics</w:t>
      </w:r>
      <w:r w:rsidRPr="00ED626C">
        <w:rPr>
          <w:rFonts w:ascii="Arial" w:hAnsi="Arial" w:cs="Arial"/>
        </w:rPr>
        <w:t xml:space="preserve"> </w:t>
      </w:r>
      <w:r w:rsidR="00965547">
        <w:rPr>
          <w:rFonts w:ascii="Arial" w:hAnsi="Arial" w:cs="Arial"/>
        </w:rPr>
        <w:t xml:space="preserve">based on the conclusions of the above assessment </w:t>
      </w:r>
      <w:r w:rsidR="007457B2">
        <w:rPr>
          <w:rFonts w:ascii="Arial" w:hAnsi="Arial" w:cs="Arial"/>
        </w:rPr>
        <w:t>and on</w:t>
      </w:r>
      <w:r w:rsidRPr="00ED626C">
        <w:rPr>
          <w:rFonts w:ascii="Arial" w:hAnsi="Arial" w:cs="Arial"/>
        </w:rPr>
        <w:t xml:space="preserve"> the availa</w:t>
      </w:r>
      <w:r w:rsidR="00EF79F5">
        <w:rPr>
          <w:rFonts w:ascii="Arial" w:hAnsi="Arial" w:cs="Arial"/>
        </w:rPr>
        <w:t xml:space="preserve">bility of the relevant </w:t>
      </w:r>
      <w:r w:rsidR="00965547">
        <w:rPr>
          <w:rFonts w:ascii="Arial" w:hAnsi="Arial" w:cs="Arial"/>
        </w:rPr>
        <w:t>data</w:t>
      </w:r>
      <w:r w:rsidR="00EF79F5">
        <w:rPr>
          <w:rFonts w:ascii="Arial" w:hAnsi="Arial" w:cs="Arial"/>
        </w:rPr>
        <w:t xml:space="preserve">. </w:t>
      </w:r>
      <w:r w:rsidR="00965547">
        <w:rPr>
          <w:rFonts w:ascii="Arial" w:hAnsi="Arial" w:cs="Arial"/>
        </w:rPr>
        <w:t>Where appropriate, the</w:t>
      </w:r>
      <w:r w:rsidR="00EF79F5">
        <w:rPr>
          <w:rFonts w:ascii="Arial" w:hAnsi="Arial" w:cs="Arial"/>
        </w:rPr>
        <w:t xml:space="preserve"> analysis should </w:t>
      </w:r>
      <w:r w:rsidR="00965547">
        <w:rPr>
          <w:rFonts w:ascii="Arial" w:hAnsi="Arial" w:cs="Arial"/>
        </w:rPr>
        <w:t>highlight instances</w:t>
      </w:r>
      <w:r w:rsidR="00EF79F5">
        <w:rPr>
          <w:rFonts w:ascii="Arial" w:hAnsi="Arial" w:cs="Arial"/>
        </w:rPr>
        <w:t xml:space="preserve"> </w:t>
      </w:r>
      <w:r w:rsidR="00965547">
        <w:rPr>
          <w:rFonts w:ascii="Arial" w:hAnsi="Arial" w:cs="Arial"/>
        </w:rPr>
        <w:t>of</w:t>
      </w:r>
      <w:r w:rsidR="00EF79F5">
        <w:rPr>
          <w:rFonts w:ascii="Arial" w:hAnsi="Arial" w:cs="Arial"/>
        </w:rPr>
        <w:t xml:space="preserve"> metrics </w:t>
      </w:r>
      <w:r w:rsidR="00965547">
        <w:rPr>
          <w:rFonts w:ascii="Arial" w:hAnsi="Arial" w:cs="Arial"/>
        </w:rPr>
        <w:t xml:space="preserve">that would be important but for which data are not available, and </w:t>
      </w:r>
      <w:r w:rsidR="00EF79F5">
        <w:rPr>
          <w:rFonts w:ascii="Arial" w:hAnsi="Arial" w:cs="Arial"/>
        </w:rPr>
        <w:t xml:space="preserve">identify the impact that this </w:t>
      </w:r>
      <w:r w:rsidR="00965547">
        <w:rPr>
          <w:rFonts w:ascii="Arial" w:hAnsi="Arial" w:cs="Arial"/>
        </w:rPr>
        <w:t xml:space="preserve">is likely to </w:t>
      </w:r>
      <w:r w:rsidR="00EF79F5">
        <w:rPr>
          <w:rFonts w:ascii="Arial" w:hAnsi="Arial" w:cs="Arial"/>
        </w:rPr>
        <w:t xml:space="preserve">have </w:t>
      </w:r>
      <w:r w:rsidR="007457B2">
        <w:rPr>
          <w:rFonts w:ascii="Arial" w:hAnsi="Arial" w:cs="Arial"/>
        </w:rPr>
        <w:t>on</w:t>
      </w:r>
      <w:r w:rsidR="00EF79F5">
        <w:rPr>
          <w:rFonts w:ascii="Arial" w:hAnsi="Arial" w:cs="Arial"/>
        </w:rPr>
        <w:t xml:space="preserve"> the </w:t>
      </w:r>
      <w:r w:rsidR="00965547">
        <w:rPr>
          <w:rFonts w:ascii="Arial" w:hAnsi="Arial" w:cs="Arial"/>
        </w:rPr>
        <w:t>accuracy of the national assessment.</w:t>
      </w:r>
    </w:p>
    <w:p w14:paraId="7DD5808F" w14:textId="3F77845A" w:rsidR="00D8268D" w:rsidRPr="00ED626C" w:rsidRDefault="00ED626C" w:rsidP="00D8268D">
      <w:pPr>
        <w:pStyle w:val="ListParagraph"/>
        <w:numPr>
          <w:ilvl w:val="0"/>
          <w:numId w:val="16"/>
        </w:numPr>
        <w:spacing w:before="120" w:after="120"/>
        <w:rPr>
          <w:rFonts w:ascii="Arial" w:hAnsi="Arial" w:cs="Arial"/>
        </w:rPr>
      </w:pPr>
      <w:r w:rsidRPr="00ED626C">
        <w:rPr>
          <w:rFonts w:ascii="Arial" w:hAnsi="Arial" w:cs="Arial"/>
        </w:rPr>
        <w:t>T</w:t>
      </w:r>
      <w:r w:rsidR="00D8268D" w:rsidRPr="00ED626C">
        <w:rPr>
          <w:rFonts w:ascii="Arial" w:hAnsi="Arial" w:cs="Arial"/>
        </w:rPr>
        <w:t xml:space="preserve">esting against case studies. This should include a minimum of three case studies to </w:t>
      </w:r>
      <w:r>
        <w:rPr>
          <w:rFonts w:ascii="Arial" w:hAnsi="Arial" w:cs="Arial"/>
        </w:rPr>
        <w:t xml:space="preserve">test the robustness </w:t>
      </w:r>
      <w:r w:rsidR="001511AF">
        <w:rPr>
          <w:rFonts w:ascii="Arial" w:hAnsi="Arial" w:cs="Arial"/>
        </w:rPr>
        <w:t xml:space="preserve">and practicality of applying </w:t>
      </w:r>
      <w:r>
        <w:rPr>
          <w:rFonts w:ascii="Arial" w:hAnsi="Arial" w:cs="Arial"/>
        </w:rPr>
        <w:t xml:space="preserve">the </w:t>
      </w:r>
      <w:r w:rsidR="00D8268D" w:rsidRPr="00ED626C">
        <w:rPr>
          <w:rFonts w:ascii="Arial" w:hAnsi="Arial" w:cs="Arial"/>
        </w:rPr>
        <w:t xml:space="preserve">metrics, </w:t>
      </w:r>
      <w:r w:rsidR="001511AF">
        <w:rPr>
          <w:rFonts w:ascii="Arial" w:hAnsi="Arial" w:cs="Arial"/>
        </w:rPr>
        <w:t>including verification with a sample of expert stakeholders</w:t>
      </w:r>
      <w:r w:rsidR="00DA51BE">
        <w:rPr>
          <w:rFonts w:ascii="Arial" w:hAnsi="Arial" w:cs="Arial"/>
        </w:rPr>
        <w:t xml:space="preserve">. </w:t>
      </w:r>
    </w:p>
    <w:p w14:paraId="74814D20" w14:textId="14394996" w:rsidR="00EF79F5" w:rsidRDefault="00D8268D" w:rsidP="00EF79F5">
      <w:pPr>
        <w:pStyle w:val="ListParagraph"/>
        <w:numPr>
          <w:ilvl w:val="0"/>
          <w:numId w:val="16"/>
        </w:numPr>
        <w:spacing w:before="120" w:after="120"/>
        <w:rPr>
          <w:rFonts w:ascii="Arial" w:hAnsi="Arial" w:cs="Arial"/>
        </w:rPr>
      </w:pPr>
      <w:r w:rsidRPr="00D8268D">
        <w:rPr>
          <w:rFonts w:ascii="Arial" w:hAnsi="Arial" w:cs="Arial"/>
        </w:rPr>
        <w:t xml:space="preserve">Collection of </w:t>
      </w:r>
      <w:r w:rsidR="001511AF">
        <w:rPr>
          <w:rFonts w:ascii="Arial" w:hAnsi="Arial" w:cs="Arial"/>
        </w:rPr>
        <w:t>data in order to compile results at the national level for England. I</w:t>
      </w:r>
      <w:r w:rsidRPr="00D8268D">
        <w:rPr>
          <w:rFonts w:ascii="Arial" w:hAnsi="Arial" w:cs="Arial"/>
        </w:rPr>
        <w:t xml:space="preserve">nterpretation </w:t>
      </w:r>
      <w:r w:rsidR="001511AF">
        <w:rPr>
          <w:rFonts w:ascii="Arial" w:hAnsi="Arial" w:cs="Arial"/>
        </w:rPr>
        <w:t xml:space="preserve">and discussion </w:t>
      </w:r>
      <w:r w:rsidRPr="00D8268D">
        <w:rPr>
          <w:rFonts w:ascii="Arial" w:hAnsi="Arial" w:cs="Arial"/>
        </w:rPr>
        <w:t xml:space="preserve">of </w:t>
      </w:r>
      <w:r>
        <w:rPr>
          <w:rFonts w:ascii="Arial" w:hAnsi="Arial" w:cs="Arial"/>
        </w:rPr>
        <w:t xml:space="preserve">the </w:t>
      </w:r>
      <w:r w:rsidRPr="00D8268D">
        <w:rPr>
          <w:rFonts w:ascii="Arial" w:hAnsi="Arial" w:cs="Arial"/>
        </w:rPr>
        <w:t>results.</w:t>
      </w:r>
    </w:p>
    <w:p w14:paraId="3700BEFF" w14:textId="5C656CDF" w:rsidR="00873B64" w:rsidRPr="00EF79F5" w:rsidRDefault="00873B64" w:rsidP="00EF79F5">
      <w:pPr>
        <w:pStyle w:val="ListParagraph"/>
        <w:numPr>
          <w:ilvl w:val="0"/>
          <w:numId w:val="16"/>
        </w:numPr>
        <w:spacing w:before="120" w:after="120"/>
        <w:rPr>
          <w:rFonts w:ascii="Arial" w:hAnsi="Arial" w:cs="Arial"/>
        </w:rPr>
      </w:pPr>
      <w:r>
        <w:rPr>
          <w:rFonts w:ascii="Arial" w:hAnsi="Arial" w:cs="Arial"/>
        </w:rPr>
        <w:t>For the case study areas, collection of data on the costs and benefits of, and funding arrangements for, surface water management activity to help determine those activities that are contributing the most towards local surface water risk reduction.</w:t>
      </w:r>
    </w:p>
    <w:p w14:paraId="5EA8755E" w14:textId="77777777"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489459263"/>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15115440" w14:textId="77777777" w:rsidR="00DD521A" w:rsidRDefault="00DD521A" w:rsidP="00DD521A">
      <w:pPr>
        <w:pStyle w:val="Norma"/>
      </w:pPr>
    </w:p>
    <w:p w14:paraId="4D57C82B" w14:textId="77777777" w:rsidR="00DD53FC" w:rsidRPr="002133A0" w:rsidRDefault="00DD53FC" w:rsidP="00DD53FC">
      <w:pPr>
        <w:pStyle w:val="Norma"/>
        <w:rPr>
          <w:rFonts w:cs="Arial"/>
          <w:color w:val="000000" w:themeColor="text1"/>
        </w:rPr>
      </w:pPr>
      <w:r w:rsidRPr="002133A0">
        <w:rPr>
          <w:rFonts w:cs="Arial"/>
          <w:color w:val="000000" w:themeColor="text1"/>
        </w:rPr>
        <w:t>The ASC expects that the project will deliver the following outputs:</w:t>
      </w:r>
    </w:p>
    <w:p w14:paraId="3BA6F569" w14:textId="00313C9B" w:rsidR="00DD53FC" w:rsidRDefault="00DD53FC" w:rsidP="006F71DF">
      <w:pPr>
        <w:pStyle w:val="Norma"/>
        <w:numPr>
          <w:ilvl w:val="0"/>
          <w:numId w:val="8"/>
        </w:numPr>
        <w:rPr>
          <w:rFonts w:cs="Arial"/>
          <w:bCs/>
          <w:iCs/>
          <w:color w:val="000000" w:themeColor="text1"/>
        </w:rPr>
      </w:pPr>
      <w:r w:rsidRPr="002133A0">
        <w:rPr>
          <w:rFonts w:cs="Arial"/>
          <w:bCs/>
          <w:iCs/>
          <w:color w:val="000000" w:themeColor="text1"/>
        </w:rPr>
        <w:t xml:space="preserve">A report outlining </w:t>
      </w:r>
      <w:r w:rsidR="00EF79F5">
        <w:rPr>
          <w:rFonts w:cs="Arial"/>
          <w:bCs/>
          <w:iCs/>
          <w:color w:val="000000" w:themeColor="text1"/>
        </w:rPr>
        <w:t xml:space="preserve">the methodology, the </w:t>
      </w:r>
      <w:r w:rsidR="000730BC">
        <w:rPr>
          <w:rFonts w:cs="Arial"/>
          <w:bCs/>
          <w:iCs/>
          <w:color w:val="000000" w:themeColor="text1"/>
        </w:rPr>
        <w:t xml:space="preserve">summary statistics from schemes in the six-year investment plan, the </w:t>
      </w:r>
      <w:r w:rsidR="00EF79F5">
        <w:rPr>
          <w:rFonts w:cs="Arial"/>
          <w:bCs/>
          <w:iCs/>
          <w:color w:val="000000" w:themeColor="text1"/>
        </w:rPr>
        <w:t xml:space="preserve">assessment of </w:t>
      </w:r>
      <w:r w:rsidR="000730BC">
        <w:rPr>
          <w:rFonts w:cs="Arial"/>
          <w:bCs/>
          <w:iCs/>
          <w:color w:val="000000" w:themeColor="text1"/>
        </w:rPr>
        <w:t xml:space="preserve">candidate </w:t>
      </w:r>
      <w:r w:rsidR="00EF79F5">
        <w:rPr>
          <w:rFonts w:cs="Arial"/>
          <w:bCs/>
          <w:iCs/>
          <w:color w:val="000000" w:themeColor="text1"/>
        </w:rPr>
        <w:t xml:space="preserve">metrics, case study testing, </w:t>
      </w:r>
      <w:r w:rsidR="00873B64">
        <w:rPr>
          <w:rFonts w:cs="Arial"/>
          <w:bCs/>
          <w:iCs/>
          <w:color w:val="000000" w:themeColor="text1"/>
        </w:rPr>
        <w:t xml:space="preserve">the </w:t>
      </w:r>
      <w:r w:rsidR="00EF79F5">
        <w:rPr>
          <w:rFonts w:cs="Arial"/>
          <w:bCs/>
          <w:iCs/>
          <w:color w:val="000000" w:themeColor="text1"/>
        </w:rPr>
        <w:t>national assessment</w:t>
      </w:r>
      <w:r w:rsidR="00873B64">
        <w:rPr>
          <w:rFonts w:cs="Arial"/>
          <w:bCs/>
          <w:iCs/>
          <w:color w:val="000000" w:themeColor="text1"/>
        </w:rPr>
        <w:t>,</w:t>
      </w:r>
      <w:r w:rsidR="00EF79F5">
        <w:rPr>
          <w:rFonts w:cs="Arial"/>
          <w:bCs/>
          <w:iCs/>
          <w:color w:val="000000" w:themeColor="text1"/>
        </w:rPr>
        <w:t xml:space="preserve"> </w:t>
      </w:r>
      <w:r w:rsidR="00873B64">
        <w:rPr>
          <w:rFonts w:cs="Arial"/>
          <w:bCs/>
          <w:iCs/>
          <w:color w:val="000000" w:themeColor="text1"/>
        </w:rPr>
        <w:t xml:space="preserve">discussion </w:t>
      </w:r>
      <w:r w:rsidR="00EF79F5">
        <w:rPr>
          <w:rFonts w:cs="Arial"/>
          <w:bCs/>
          <w:iCs/>
          <w:color w:val="000000" w:themeColor="text1"/>
        </w:rPr>
        <w:t>and conclusions.</w:t>
      </w:r>
      <w:r w:rsidR="00B638A8">
        <w:rPr>
          <w:rFonts w:cs="Arial"/>
          <w:bCs/>
          <w:iCs/>
          <w:color w:val="000000" w:themeColor="text1"/>
        </w:rPr>
        <w:t xml:space="preserve"> </w:t>
      </w:r>
      <w:r w:rsidR="006F71DF">
        <w:rPr>
          <w:rFonts w:cs="Arial"/>
          <w:bCs/>
          <w:iCs/>
          <w:color w:val="000000" w:themeColor="text1"/>
        </w:rPr>
        <w:t xml:space="preserve">This should include a summary of </w:t>
      </w:r>
      <w:r w:rsidR="006F71DF" w:rsidRPr="006F71DF">
        <w:rPr>
          <w:rFonts w:cs="Arial"/>
          <w:bCs/>
          <w:iCs/>
          <w:color w:val="000000" w:themeColor="text1"/>
        </w:rPr>
        <w:t>the current data</w:t>
      </w:r>
      <w:r w:rsidR="006F71DF">
        <w:rPr>
          <w:rFonts w:cs="Arial"/>
          <w:bCs/>
          <w:iCs/>
          <w:color w:val="000000" w:themeColor="text1"/>
        </w:rPr>
        <w:t xml:space="preserve"> gaps, if any,</w:t>
      </w:r>
      <w:r w:rsidR="006F71DF" w:rsidRPr="006F71DF">
        <w:rPr>
          <w:rFonts w:cs="Arial"/>
          <w:bCs/>
          <w:iCs/>
          <w:color w:val="000000" w:themeColor="text1"/>
        </w:rPr>
        <w:t xml:space="preserve"> </w:t>
      </w:r>
      <w:r w:rsidR="006F71DF">
        <w:rPr>
          <w:rFonts w:cs="Arial"/>
          <w:bCs/>
          <w:iCs/>
          <w:color w:val="000000" w:themeColor="text1"/>
        </w:rPr>
        <w:t>that</w:t>
      </w:r>
      <w:r w:rsidR="006F71DF" w:rsidRPr="006F71DF">
        <w:rPr>
          <w:rFonts w:cs="Arial"/>
          <w:bCs/>
          <w:iCs/>
          <w:color w:val="000000" w:themeColor="text1"/>
        </w:rPr>
        <w:t xml:space="preserve"> </w:t>
      </w:r>
      <w:r w:rsidR="006F71DF">
        <w:rPr>
          <w:rFonts w:cs="Arial"/>
          <w:bCs/>
          <w:iCs/>
          <w:color w:val="000000" w:themeColor="text1"/>
        </w:rPr>
        <w:t>might be</w:t>
      </w:r>
      <w:r w:rsidR="006F71DF" w:rsidRPr="006F71DF">
        <w:rPr>
          <w:rFonts w:cs="Arial"/>
          <w:bCs/>
          <w:iCs/>
          <w:color w:val="000000" w:themeColor="text1"/>
        </w:rPr>
        <w:t xml:space="preserve"> preventing the creation of particular metrics.</w:t>
      </w:r>
    </w:p>
    <w:p w14:paraId="5EA8755F" w14:textId="7845F78D" w:rsidR="00A469D8" w:rsidRDefault="00EF79F5" w:rsidP="00EF79F5">
      <w:pPr>
        <w:pStyle w:val="Norma"/>
        <w:numPr>
          <w:ilvl w:val="0"/>
          <w:numId w:val="8"/>
        </w:numPr>
        <w:rPr>
          <w:rFonts w:cs="Arial"/>
          <w:bCs/>
          <w:iCs/>
          <w:color w:val="000000" w:themeColor="text1"/>
        </w:rPr>
      </w:pPr>
      <w:r>
        <w:rPr>
          <w:rFonts w:cs="Arial"/>
          <w:bCs/>
          <w:iCs/>
          <w:color w:val="000000" w:themeColor="text1"/>
        </w:rPr>
        <w:t>A s</w:t>
      </w:r>
      <w:r w:rsidR="00FD139A" w:rsidRPr="002133A0">
        <w:rPr>
          <w:rFonts w:cs="Arial"/>
          <w:bCs/>
          <w:iCs/>
          <w:color w:val="000000" w:themeColor="text1"/>
        </w:rPr>
        <w:t xml:space="preserve">preadsheet </w:t>
      </w:r>
      <w:r>
        <w:rPr>
          <w:rFonts w:cs="Arial"/>
          <w:bCs/>
          <w:iCs/>
          <w:color w:val="000000" w:themeColor="text1"/>
        </w:rPr>
        <w:t>with the list of assessed metric</w:t>
      </w:r>
      <w:r w:rsidR="00965547">
        <w:rPr>
          <w:rFonts w:cs="Arial"/>
          <w:bCs/>
          <w:iCs/>
          <w:color w:val="000000" w:themeColor="text1"/>
        </w:rPr>
        <w:t>s</w:t>
      </w:r>
      <w:r>
        <w:rPr>
          <w:rFonts w:cs="Arial"/>
          <w:bCs/>
          <w:iCs/>
          <w:color w:val="000000" w:themeColor="text1"/>
        </w:rPr>
        <w:t>, summarising the pro and cons of each metric.</w:t>
      </w:r>
      <w:r w:rsidR="00B638A8">
        <w:rPr>
          <w:rFonts w:cs="Arial"/>
          <w:bCs/>
          <w:iCs/>
          <w:color w:val="000000" w:themeColor="text1"/>
        </w:rPr>
        <w:t xml:space="preserve"> </w:t>
      </w:r>
    </w:p>
    <w:p w14:paraId="6C8194AE" w14:textId="06E890CE" w:rsidR="00C82E1B" w:rsidRDefault="00C82E1B" w:rsidP="00EF79F5">
      <w:pPr>
        <w:pStyle w:val="Norma"/>
        <w:numPr>
          <w:ilvl w:val="0"/>
          <w:numId w:val="8"/>
        </w:numPr>
        <w:rPr>
          <w:rFonts w:cs="Arial"/>
          <w:bCs/>
          <w:iCs/>
          <w:color w:val="000000" w:themeColor="text1"/>
        </w:rPr>
      </w:pPr>
      <w:r>
        <w:rPr>
          <w:rFonts w:cs="Arial"/>
          <w:bCs/>
          <w:iCs/>
          <w:color w:val="000000" w:themeColor="text1"/>
        </w:rPr>
        <w:t>A spreadsheet with the national level assessment of progress in managing surface water flood risk.</w:t>
      </w:r>
    </w:p>
    <w:p w14:paraId="3471A58B" w14:textId="5CB5AB83" w:rsidR="00C82E1B" w:rsidRPr="00EF79F5" w:rsidRDefault="00C82E1B" w:rsidP="00EF79F5">
      <w:pPr>
        <w:pStyle w:val="Norma"/>
        <w:numPr>
          <w:ilvl w:val="0"/>
          <w:numId w:val="8"/>
        </w:numPr>
        <w:rPr>
          <w:rFonts w:cs="Arial"/>
          <w:bCs/>
          <w:iCs/>
          <w:color w:val="000000" w:themeColor="text1"/>
        </w:rPr>
      </w:pPr>
      <w:r>
        <w:rPr>
          <w:rFonts w:cs="Arial"/>
          <w:bCs/>
          <w:iCs/>
          <w:color w:val="000000" w:themeColor="text1"/>
        </w:rPr>
        <w:t>A spreadsheet containing data on the costs, benefits and funding arrangements for individual surface water risk management projects and activities.</w:t>
      </w: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489459264"/>
      <w:bookmarkStart w:id="27" w:name="_Ref373505205"/>
      <w:bookmarkStart w:id="28" w:name="_Ref357541720"/>
      <w:r>
        <w:rPr>
          <w:rFonts w:ascii="Arial" w:hAnsi="Arial" w:cs="Arial"/>
          <w:sz w:val="24"/>
          <w:szCs w:val="24"/>
        </w:rPr>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EA87562" w14:textId="77777777" w:rsidR="006700D3" w:rsidRDefault="00936F29" w:rsidP="007248E4">
      <w:pPr>
        <w:pStyle w:val="Heading1"/>
        <w:numPr>
          <w:ilvl w:val="0"/>
          <w:numId w:val="3"/>
        </w:numPr>
        <w:rPr>
          <w:rFonts w:ascii="Arial" w:hAnsi="Arial" w:cs="Arial"/>
          <w:sz w:val="24"/>
          <w:szCs w:val="24"/>
        </w:rPr>
      </w:pPr>
      <w:bookmarkStart w:id="29" w:name="_Toc489459265"/>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EA87563" w14:textId="3E70F2A6" w:rsidR="006700D3" w:rsidRPr="002133A0" w:rsidRDefault="004B2557" w:rsidP="004B2557">
      <w:pPr>
        <w:pStyle w:val="Norma"/>
        <w:jc w:val="both"/>
        <w:rPr>
          <w:rFonts w:cs="Arial"/>
        </w:rPr>
      </w:pPr>
      <w:r w:rsidRPr="002133A0">
        <w:rPr>
          <w:rFonts w:cs="Arial"/>
        </w:rPr>
        <w:t>The QA process to be followed to ensure the robustness of findings should be outlined in the bid.</w:t>
      </w:r>
    </w:p>
    <w:p w14:paraId="5EA87564" w14:textId="77777777" w:rsidR="0038006D"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489459266"/>
      <w:r w:rsidRPr="002D32D5">
        <w:rPr>
          <w:rFonts w:ascii="Arial" w:hAnsi="Arial" w:cs="Arial"/>
          <w:sz w:val="24"/>
          <w:szCs w:val="24"/>
        </w:rPr>
        <w:t>Timetable</w:t>
      </w:r>
      <w:bookmarkEnd w:id="28"/>
      <w:bookmarkEnd w:id="30"/>
      <w:bookmarkEnd w:id="31"/>
      <w:bookmarkEnd w:id="32"/>
      <w:bookmarkEnd w:id="33"/>
    </w:p>
    <w:p w14:paraId="0F755DEB" w14:textId="77777777" w:rsidR="00DD521A" w:rsidRDefault="00DD521A" w:rsidP="00DD521A">
      <w:pPr>
        <w:pStyle w:val="Norma"/>
      </w:pPr>
    </w:p>
    <w:p w14:paraId="2AA4DE06" w14:textId="6FFC3120"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 xml:space="preserve">An indicative timeline for deliverables is presented below. The contractors can propose modifications to the timeline to better suit their analysis if appropriate, though the final submission date must remain the same. Any proposed modifications should be set out in their bid and will require approval from the ASC secretariat.  </w:t>
      </w:r>
    </w:p>
    <w:p w14:paraId="11E6596F" w14:textId="77777777" w:rsidR="004B2557" w:rsidRPr="00AD15BE"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954CA3" w14:paraId="520C45CA" w14:textId="77777777" w:rsidTr="00954CA3">
        <w:trPr>
          <w:tblHeader/>
        </w:trPr>
        <w:tc>
          <w:tcPr>
            <w:tcW w:w="1545" w:type="dxa"/>
            <w:tcBorders>
              <w:bottom w:val="single" w:sz="12" w:space="0" w:color="000000"/>
            </w:tcBorders>
            <w:shd w:val="solid" w:color="808080" w:fill="FFFFFF"/>
          </w:tcPr>
          <w:p w14:paraId="4D01B537"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Date</w:t>
            </w:r>
          </w:p>
        </w:tc>
      </w:tr>
      <w:tr w:rsidR="004B2557" w:rsidRPr="00954CA3" w14:paraId="2BCB5789" w14:textId="77777777" w:rsidTr="00954CA3">
        <w:tc>
          <w:tcPr>
            <w:tcW w:w="1545" w:type="dxa"/>
            <w:shd w:val="clear" w:color="auto" w:fill="auto"/>
          </w:tcPr>
          <w:p w14:paraId="3BDE2B5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Bidding</w:t>
            </w:r>
          </w:p>
        </w:tc>
        <w:tc>
          <w:tcPr>
            <w:tcW w:w="4252" w:type="dxa"/>
            <w:shd w:val="clear" w:color="auto" w:fill="auto"/>
          </w:tcPr>
          <w:p w14:paraId="5531F4C9"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Bids received</w:t>
            </w:r>
          </w:p>
        </w:tc>
        <w:tc>
          <w:tcPr>
            <w:tcW w:w="2675" w:type="dxa"/>
            <w:shd w:val="clear" w:color="auto" w:fill="auto"/>
          </w:tcPr>
          <w:p w14:paraId="78889BBB" w14:textId="68F8047E" w:rsidR="004B2557" w:rsidRPr="00954CA3" w:rsidRDefault="00637DE2" w:rsidP="00637DE2">
            <w:pPr>
              <w:spacing w:after="120" w:line="276" w:lineRule="auto"/>
              <w:jc w:val="both"/>
              <w:rPr>
                <w:rFonts w:ascii="Arial" w:hAnsi="Arial" w:cs="Arial"/>
                <w:sz w:val="22"/>
                <w:szCs w:val="22"/>
              </w:rPr>
            </w:pPr>
            <w:r>
              <w:rPr>
                <w:rFonts w:ascii="Arial" w:hAnsi="Arial" w:cs="Arial"/>
                <w:sz w:val="22"/>
                <w:szCs w:val="22"/>
              </w:rPr>
              <w:t>18</w:t>
            </w:r>
            <w:r w:rsidR="00AC0FE2" w:rsidRPr="00AC0FE2">
              <w:rPr>
                <w:rFonts w:ascii="Arial" w:hAnsi="Arial" w:cs="Arial"/>
                <w:sz w:val="22"/>
                <w:szCs w:val="22"/>
                <w:vertAlign w:val="superscript"/>
              </w:rPr>
              <w:t>th</w:t>
            </w:r>
            <w:r w:rsidR="00AC0FE2">
              <w:rPr>
                <w:rFonts w:ascii="Arial" w:hAnsi="Arial" w:cs="Arial"/>
                <w:sz w:val="22"/>
                <w:szCs w:val="22"/>
              </w:rPr>
              <w:t xml:space="preserve"> </w:t>
            </w:r>
            <w:r>
              <w:rPr>
                <w:rFonts w:ascii="Arial" w:hAnsi="Arial" w:cs="Arial"/>
                <w:sz w:val="22"/>
                <w:szCs w:val="22"/>
              </w:rPr>
              <w:t>October</w:t>
            </w:r>
            <w:r w:rsidR="009222FF" w:rsidRPr="00954CA3">
              <w:rPr>
                <w:rFonts w:ascii="Arial" w:hAnsi="Arial" w:cs="Arial"/>
                <w:sz w:val="22"/>
                <w:szCs w:val="22"/>
              </w:rPr>
              <w:t xml:space="preserve"> 2017</w:t>
            </w:r>
          </w:p>
        </w:tc>
      </w:tr>
      <w:tr w:rsidR="004B2557" w:rsidRPr="00954CA3" w14:paraId="05DD2149" w14:textId="77777777" w:rsidTr="00954CA3">
        <w:tc>
          <w:tcPr>
            <w:tcW w:w="1545" w:type="dxa"/>
            <w:shd w:val="clear" w:color="auto" w:fill="auto"/>
          </w:tcPr>
          <w:p w14:paraId="32E9ED53"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Interviews conducted</w:t>
            </w:r>
          </w:p>
        </w:tc>
        <w:tc>
          <w:tcPr>
            <w:tcW w:w="2675" w:type="dxa"/>
            <w:shd w:val="clear" w:color="auto" w:fill="auto"/>
          </w:tcPr>
          <w:p w14:paraId="3352ADAA" w14:textId="35E063B7" w:rsidR="004B2557" w:rsidRPr="00954CA3" w:rsidRDefault="004B2557" w:rsidP="009222FF">
            <w:pPr>
              <w:spacing w:after="120" w:line="276" w:lineRule="auto"/>
              <w:jc w:val="both"/>
              <w:rPr>
                <w:rFonts w:ascii="Arial" w:hAnsi="Arial" w:cs="Arial"/>
                <w:sz w:val="22"/>
                <w:szCs w:val="22"/>
              </w:rPr>
            </w:pPr>
            <w:r w:rsidRPr="00954CA3">
              <w:rPr>
                <w:rFonts w:ascii="Arial" w:hAnsi="Arial" w:cs="Arial"/>
                <w:sz w:val="22"/>
                <w:szCs w:val="22"/>
              </w:rPr>
              <w:t xml:space="preserve">w/c </w:t>
            </w:r>
            <w:r w:rsidR="00AC0FE2">
              <w:rPr>
                <w:rFonts w:ascii="Arial" w:hAnsi="Arial" w:cs="Arial"/>
                <w:sz w:val="22"/>
                <w:szCs w:val="22"/>
              </w:rPr>
              <w:t xml:space="preserve"> </w:t>
            </w:r>
            <w:r w:rsidR="00637DE2">
              <w:rPr>
                <w:rFonts w:ascii="Arial" w:hAnsi="Arial" w:cs="Arial"/>
                <w:sz w:val="22"/>
                <w:szCs w:val="22"/>
              </w:rPr>
              <w:t>23</w:t>
            </w:r>
            <w:r w:rsidR="00637DE2" w:rsidRPr="008503EA">
              <w:rPr>
                <w:rFonts w:ascii="Arial" w:hAnsi="Arial" w:cs="Arial"/>
                <w:sz w:val="22"/>
                <w:szCs w:val="22"/>
                <w:vertAlign w:val="superscript"/>
              </w:rPr>
              <w:t>rd</w:t>
            </w:r>
            <w:r w:rsidR="00637DE2">
              <w:rPr>
                <w:rFonts w:ascii="Arial" w:hAnsi="Arial" w:cs="Arial"/>
                <w:sz w:val="22"/>
                <w:szCs w:val="22"/>
              </w:rPr>
              <w:t xml:space="preserve"> </w:t>
            </w:r>
            <w:r w:rsidR="00471745">
              <w:rPr>
                <w:rFonts w:ascii="Arial" w:hAnsi="Arial" w:cs="Arial"/>
                <w:sz w:val="22"/>
                <w:szCs w:val="22"/>
              </w:rPr>
              <w:t>October</w:t>
            </w:r>
            <w:r w:rsidR="00471745" w:rsidRPr="00954CA3">
              <w:rPr>
                <w:rFonts w:ascii="Arial" w:hAnsi="Arial" w:cs="Arial"/>
                <w:sz w:val="22"/>
                <w:szCs w:val="22"/>
              </w:rPr>
              <w:t xml:space="preserve"> </w:t>
            </w:r>
            <w:r w:rsidR="00D30FE3">
              <w:rPr>
                <w:rFonts w:ascii="Arial" w:hAnsi="Arial" w:cs="Arial"/>
                <w:sz w:val="22"/>
                <w:szCs w:val="22"/>
              </w:rPr>
              <w:t>2017</w:t>
            </w:r>
          </w:p>
        </w:tc>
      </w:tr>
      <w:tr w:rsidR="004B2557" w:rsidRPr="00954CA3" w14:paraId="35983DF7" w14:textId="77777777" w:rsidTr="00954CA3">
        <w:tc>
          <w:tcPr>
            <w:tcW w:w="1545" w:type="dxa"/>
            <w:shd w:val="clear" w:color="auto" w:fill="auto"/>
          </w:tcPr>
          <w:p w14:paraId="0F52AEC9"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72081083"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Contract awarded</w:t>
            </w:r>
          </w:p>
        </w:tc>
        <w:tc>
          <w:tcPr>
            <w:tcW w:w="2675" w:type="dxa"/>
            <w:shd w:val="clear" w:color="auto" w:fill="auto"/>
          </w:tcPr>
          <w:p w14:paraId="3A6E53F9" w14:textId="7C5E4662" w:rsidR="004B2557" w:rsidRPr="00954CA3" w:rsidRDefault="00D74687" w:rsidP="009222FF">
            <w:pPr>
              <w:spacing w:after="120" w:line="276" w:lineRule="auto"/>
              <w:jc w:val="both"/>
              <w:rPr>
                <w:rFonts w:ascii="Arial" w:hAnsi="Arial" w:cs="Arial"/>
                <w:sz w:val="22"/>
                <w:szCs w:val="22"/>
              </w:rPr>
            </w:pPr>
            <w:r>
              <w:rPr>
                <w:rFonts w:ascii="Arial" w:hAnsi="Arial" w:cs="Arial"/>
                <w:sz w:val="22"/>
                <w:szCs w:val="22"/>
              </w:rPr>
              <w:t>27</w:t>
            </w:r>
            <w:r w:rsidR="00AC0FE2" w:rsidRPr="00AC0FE2">
              <w:rPr>
                <w:rFonts w:ascii="Arial" w:hAnsi="Arial" w:cs="Arial"/>
                <w:sz w:val="22"/>
                <w:szCs w:val="22"/>
                <w:vertAlign w:val="superscript"/>
              </w:rPr>
              <w:t>th</w:t>
            </w:r>
            <w:r w:rsidR="00AC0FE2">
              <w:rPr>
                <w:rFonts w:ascii="Arial" w:hAnsi="Arial" w:cs="Arial"/>
                <w:sz w:val="22"/>
                <w:szCs w:val="22"/>
              </w:rPr>
              <w:t xml:space="preserve"> </w:t>
            </w:r>
            <w:r w:rsidR="00471745">
              <w:rPr>
                <w:rFonts w:ascii="Arial" w:hAnsi="Arial" w:cs="Arial"/>
                <w:sz w:val="22"/>
                <w:szCs w:val="22"/>
              </w:rPr>
              <w:t>October</w:t>
            </w:r>
            <w:r w:rsidR="00471745" w:rsidRPr="00954CA3">
              <w:rPr>
                <w:rFonts w:ascii="Arial" w:hAnsi="Arial" w:cs="Arial"/>
                <w:sz w:val="22"/>
                <w:szCs w:val="22"/>
              </w:rPr>
              <w:t xml:space="preserve"> </w:t>
            </w:r>
            <w:r w:rsidR="009222FF" w:rsidRPr="00954CA3">
              <w:rPr>
                <w:rFonts w:ascii="Arial" w:hAnsi="Arial" w:cs="Arial"/>
                <w:sz w:val="22"/>
                <w:szCs w:val="22"/>
              </w:rPr>
              <w:t>2017</w:t>
            </w:r>
          </w:p>
        </w:tc>
      </w:tr>
      <w:tr w:rsidR="004B2557" w:rsidRPr="00954CA3" w14:paraId="6BCB348B" w14:textId="77777777" w:rsidTr="00954CA3">
        <w:trPr>
          <w:trHeight w:val="406"/>
        </w:trPr>
        <w:tc>
          <w:tcPr>
            <w:tcW w:w="1545" w:type="dxa"/>
            <w:shd w:val="clear" w:color="auto" w:fill="auto"/>
          </w:tcPr>
          <w:p w14:paraId="2C8E03A6" w14:textId="77777777" w:rsidR="004B2557" w:rsidRPr="00954CA3" w:rsidRDefault="004B2557" w:rsidP="00FD139A">
            <w:pPr>
              <w:spacing w:after="120" w:line="276" w:lineRule="auto"/>
              <w:rPr>
                <w:rFonts w:ascii="Arial" w:hAnsi="Arial" w:cs="Arial"/>
                <w:sz w:val="22"/>
                <w:szCs w:val="22"/>
              </w:rPr>
            </w:pPr>
            <w:r w:rsidRPr="00954CA3">
              <w:rPr>
                <w:rFonts w:ascii="Arial" w:hAnsi="Arial" w:cs="Arial"/>
                <w:sz w:val="22"/>
                <w:szCs w:val="22"/>
              </w:rPr>
              <w:t>Project development</w:t>
            </w:r>
          </w:p>
        </w:tc>
        <w:tc>
          <w:tcPr>
            <w:tcW w:w="4252" w:type="dxa"/>
            <w:tcBorders>
              <w:bottom w:val="single" w:sz="4" w:space="0" w:color="auto"/>
            </w:tcBorders>
            <w:shd w:val="clear" w:color="auto" w:fill="auto"/>
          </w:tcPr>
          <w:p w14:paraId="5F2EC5C1"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Kick off meeting with ASC</w:t>
            </w:r>
          </w:p>
        </w:tc>
        <w:tc>
          <w:tcPr>
            <w:tcW w:w="2675" w:type="dxa"/>
            <w:tcBorders>
              <w:bottom w:val="single" w:sz="4" w:space="0" w:color="auto"/>
            </w:tcBorders>
            <w:shd w:val="clear" w:color="auto" w:fill="auto"/>
          </w:tcPr>
          <w:p w14:paraId="20655DC6" w14:textId="47BF14D0" w:rsidR="004B2557" w:rsidRPr="00954CA3" w:rsidRDefault="004B2557" w:rsidP="00AC0FE2">
            <w:pPr>
              <w:spacing w:after="120" w:line="276" w:lineRule="auto"/>
              <w:jc w:val="both"/>
              <w:rPr>
                <w:rFonts w:ascii="Arial" w:hAnsi="Arial" w:cs="Arial"/>
                <w:sz w:val="22"/>
                <w:szCs w:val="22"/>
              </w:rPr>
            </w:pPr>
            <w:r w:rsidRPr="00954CA3">
              <w:rPr>
                <w:rFonts w:ascii="Arial" w:hAnsi="Arial" w:cs="Arial"/>
                <w:sz w:val="22"/>
                <w:szCs w:val="22"/>
              </w:rPr>
              <w:t xml:space="preserve">w/c </w:t>
            </w:r>
            <w:r w:rsidR="00D74687">
              <w:rPr>
                <w:rFonts w:ascii="Arial" w:hAnsi="Arial" w:cs="Arial"/>
                <w:sz w:val="22"/>
                <w:szCs w:val="22"/>
              </w:rPr>
              <w:t>30</w:t>
            </w:r>
            <w:r w:rsidRPr="00954CA3">
              <w:rPr>
                <w:rFonts w:ascii="Arial" w:hAnsi="Arial" w:cs="Arial"/>
                <w:sz w:val="22"/>
                <w:szCs w:val="22"/>
                <w:vertAlign w:val="superscript"/>
              </w:rPr>
              <w:t>th</w:t>
            </w:r>
            <w:r w:rsidRPr="00954CA3">
              <w:rPr>
                <w:rFonts w:ascii="Arial" w:hAnsi="Arial" w:cs="Arial"/>
                <w:sz w:val="22"/>
                <w:szCs w:val="22"/>
              </w:rPr>
              <w:t xml:space="preserve"> </w:t>
            </w:r>
            <w:r w:rsidR="00471745">
              <w:rPr>
                <w:rFonts w:ascii="Arial" w:hAnsi="Arial" w:cs="Arial"/>
                <w:sz w:val="22"/>
                <w:szCs w:val="22"/>
              </w:rPr>
              <w:t>October</w:t>
            </w:r>
            <w:r w:rsidR="00471745" w:rsidRPr="00954CA3">
              <w:rPr>
                <w:rFonts w:ascii="Arial" w:hAnsi="Arial" w:cs="Arial"/>
                <w:sz w:val="22"/>
                <w:szCs w:val="22"/>
              </w:rPr>
              <w:t xml:space="preserve"> </w:t>
            </w:r>
            <w:r w:rsidR="009222FF" w:rsidRPr="00954CA3">
              <w:rPr>
                <w:rFonts w:ascii="Arial" w:hAnsi="Arial" w:cs="Arial"/>
                <w:sz w:val="22"/>
                <w:szCs w:val="22"/>
              </w:rPr>
              <w:t>2017</w:t>
            </w:r>
          </w:p>
        </w:tc>
      </w:tr>
      <w:tr w:rsidR="004B2557" w:rsidRPr="00954CA3" w14:paraId="113D4D55" w14:textId="77777777" w:rsidTr="00954CA3">
        <w:trPr>
          <w:trHeight w:val="406"/>
        </w:trPr>
        <w:tc>
          <w:tcPr>
            <w:tcW w:w="1545" w:type="dxa"/>
            <w:shd w:val="clear" w:color="auto" w:fill="auto"/>
          </w:tcPr>
          <w:p w14:paraId="6DAB9A80" w14:textId="77777777" w:rsidR="004B2557" w:rsidRPr="00954CA3" w:rsidRDefault="004B2557" w:rsidP="00FD139A">
            <w:pPr>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6B5310D1" w14:textId="56BDA8C0" w:rsidR="004B2557" w:rsidRPr="00954CA3" w:rsidRDefault="009222FF" w:rsidP="00471745">
            <w:pPr>
              <w:spacing w:after="120" w:line="276" w:lineRule="auto"/>
              <w:jc w:val="both"/>
              <w:rPr>
                <w:rFonts w:ascii="Arial" w:hAnsi="Arial" w:cs="Arial"/>
                <w:sz w:val="22"/>
                <w:szCs w:val="22"/>
              </w:rPr>
            </w:pPr>
            <w:r w:rsidRPr="00954CA3">
              <w:rPr>
                <w:rFonts w:ascii="Arial" w:hAnsi="Arial" w:cs="Arial"/>
                <w:sz w:val="22"/>
                <w:szCs w:val="22"/>
              </w:rPr>
              <w:t>Final methodology agreed</w:t>
            </w:r>
          </w:p>
        </w:tc>
        <w:tc>
          <w:tcPr>
            <w:tcW w:w="2675" w:type="dxa"/>
            <w:tcBorders>
              <w:bottom w:val="single" w:sz="4" w:space="0" w:color="auto"/>
            </w:tcBorders>
            <w:shd w:val="clear" w:color="auto" w:fill="auto"/>
          </w:tcPr>
          <w:p w14:paraId="6CB9068D" w14:textId="277C922F" w:rsidR="004B2557" w:rsidRPr="00954CA3" w:rsidRDefault="00D74687" w:rsidP="00471745">
            <w:pPr>
              <w:spacing w:after="120" w:line="276" w:lineRule="auto"/>
              <w:jc w:val="both"/>
              <w:rPr>
                <w:rFonts w:ascii="Arial" w:hAnsi="Arial" w:cs="Arial"/>
                <w:sz w:val="22"/>
                <w:szCs w:val="22"/>
              </w:rPr>
            </w:pPr>
            <w:r>
              <w:rPr>
                <w:rFonts w:ascii="Arial" w:hAnsi="Arial" w:cs="Arial"/>
                <w:sz w:val="22"/>
                <w:szCs w:val="22"/>
              </w:rPr>
              <w:t>3</w:t>
            </w:r>
            <w:r w:rsidRPr="008503EA">
              <w:rPr>
                <w:rFonts w:ascii="Arial" w:hAnsi="Arial" w:cs="Arial"/>
                <w:sz w:val="22"/>
                <w:szCs w:val="22"/>
                <w:vertAlign w:val="superscript"/>
              </w:rPr>
              <w:t>rd</w:t>
            </w:r>
            <w:r>
              <w:rPr>
                <w:rFonts w:ascii="Arial" w:hAnsi="Arial" w:cs="Arial"/>
                <w:sz w:val="22"/>
                <w:szCs w:val="22"/>
              </w:rPr>
              <w:t xml:space="preserve"> November</w:t>
            </w:r>
            <w:r w:rsidR="009222FF" w:rsidRPr="00954CA3">
              <w:rPr>
                <w:rFonts w:ascii="Arial" w:hAnsi="Arial" w:cs="Arial"/>
                <w:sz w:val="22"/>
                <w:szCs w:val="22"/>
              </w:rPr>
              <w:t xml:space="preserve"> 2017</w:t>
            </w:r>
          </w:p>
        </w:tc>
      </w:tr>
      <w:tr w:rsidR="004B2557" w:rsidRPr="00954CA3" w14:paraId="04318361" w14:textId="77777777" w:rsidTr="00954CA3">
        <w:tc>
          <w:tcPr>
            <w:tcW w:w="1545" w:type="dxa"/>
            <w:shd w:val="clear" w:color="auto" w:fill="auto"/>
          </w:tcPr>
          <w:p w14:paraId="77CC5DF6"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763DAD63" w14:textId="66310F02" w:rsidR="004B2557" w:rsidRPr="00954CA3" w:rsidRDefault="00EF79F5" w:rsidP="00FA2841">
            <w:pPr>
              <w:spacing w:after="120" w:line="276" w:lineRule="auto"/>
              <w:rPr>
                <w:rFonts w:ascii="Arial" w:hAnsi="Arial" w:cs="Arial"/>
                <w:sz w:val="22"/>
                <w:szCs w:val="22"/>
              </w:rPr>
            </w:pPr>
            <w:r>
              <w:rPr>
                <w:rFonts w:ascii="Arial" w:hAnsi="Arial" w:cs="Arial"/>
                <w:sz w:val="22"/>
                <w:szCs w:val="22"/>
              </w:rPr>
              <w:t xml:space="preserve">Identification of </w:t>
            </w:r>
            <w:r w:rsidR="00FA2841">
              <w:rPr>
                <w:rFonts w:ascii="Arial" w:hAnsi="Arial" w:cs="Arial"/>
                <w:sz w:val="22"/>
                <w:szCs w:val="22"/>
              </w:rPr>
              <w:t>long list of</w:t>
            </w:r>
            <w:r>
              <w:rPr>
                <w:rFonts w:ascii="Arial" w:hAnsi="Arial" w:cs="Arial"/>
                <w:sz w:val="22"/>
                <w:szCs w:val="22"/>
              </w:rPr>
              <w:t xml:space="preserve"> metrics</w:t>
            </w:r>
          </w:p>
        </w:tc>
        <w:tc>
          <w:tcPr>
            <w:tcW w:w="2675" w:type="dxa"/>
            <w:tcBorders>
              <w:top w:val="single" w:sz="4" w:space="0" w:color="auto"/>
              <w:bottom w:val="single" w:sz="4" w:space="0" w:color="auto"/>
            </w:tcBorders>
            <w:shd w:val="clear" w:color="auto" w:fill="auto"/>
          </w:tcPr>
          <w:p w14:paraId="37319518" w14:textId="306681CF" w:rsidR="004B2557" w:rsidRPr="00954CA3" w:rsidRDefault="00D74687" w:rsidP="00D74687">
            <w:pPr>
              <w:spacing w:after="120"/>
              <w:rPr>
                <w:rFonts w:ascii="Arial" w:hAnsi="Arial" w:cs="Arial"/>
                <w:sz w:val="22"/>
                <w:szCs w:val="22"/>
              </w:rPr>
            </w:pPr>
            <w:r>
              <w:rPr>
                <w:rFonts w:ascii="Arial" w:hAnsi="Arial" w:cs="Arial"/>
                <w:sz w:val="22"/>
                <w:szCs w:val="22"/>
              </w:rPr>
              <w:t>24</w:t>
            </w:r>
            <w:r w:rsidRPr="008503EA">
              <w:rPr>
                <w:rFonts w:ascii="Arial" w:hAnsi="Arial" w:cs="Arial"/>
                <w:sz w:val="22"/>
                <w:szCs w:val="22"/>
                <w:vertAlign w:val="superscript"/>
              </w:rPr>
              <w:t>th</w:t>
            </w:r>
            <w:r>
              <w:rPr>
                <w:rFonts w:ascii="Arial" w:hAnsi="Arial" w:cs="Arial"/>
                <w:sz w:val="22"/>
                <w:szCs w:val="22"/>
              </w:rPr>
              <w:t xml:space="preserve"> </w:t>
            </w:r>
            <w:r w:rsidR="00AC0FE2">
              <w:rPr>
                <w:rFonts w:ascii="Arial" w:hAnsi="Arial" w:cs="Arial"/>
                <w:sz w:val="22"/>
                <w:szCs w:val="22"/>
              </w:rPr>
              <w:t>November</w:t>
            </w:r>
            <w:r w:rsidR="004B2557" w:rsidRPr="00954CA3">
              <w:rPr>
                <w:rFonts w:ascii="Arial" w:hAnsi="Arial" w:cs="Arial"/>
                <w:sz w:val="22"/>
                <w:szCs w:val="22"/>
              </w:rPr>
              <w:t xml:space="preserve"> 2017</w:t>
            </w:r>
          </w:p>
        </w:tc>
      </w:tr>
      <w:tr w:rsidR="009222FF" w:rsidRPr="00954CA3" w14:paraId="16479BFA" w14:textId="77777777" w:rsidTr="00954CA3">
        <w:tc>
          <w:tcPr>
            <w:tcW w:w="1545" w:type="dxa"/>
            <w:shd w:val="clear" w:color="auto" w:fill="auto"/>
          </w:tcPr>
          <w:p w14:paraId="0E19CFDB" w14:textId="77777777" w:rsidR="009222FF" w:rsidRPr="00954CA3" w:rsidRDefault="009222FF"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0F47BE2F" w14:textId="4FC90AE1" w:rsidR="009222FF" w:rsidRPr="00954CA3" w:rsidRDefault="00AC0FE2" w:rsidP="00FA2841">
            <w:pPr>
              <w:spacing w:after="120" w:line="276" w:lineRule="auto"/>
              <w:rPr>
                <w:rFonts w:ascii="Arial" w:hAnsi="Arial" w:cs="Arial"/>
                <w:sz w:val="22"/>
                <w:szCs w:val="22"/>
              </w:rPr>
            </w:pPr>
            <w:r>
              <w:rPr>
                <w:rFonts w:ascii="Arial" w:hAnsi="Arial" w:cs="Arial"/>
                <w:sz w:val="22"/>
                <w:szCs w:val="22"/>
              </w:rPr>
              <w:t xml:space="preserve">Final </w:t>
            </w:r>
            <w:r w:rsidR="00FA2841">
              <w:rPr>
                <w:rFonts w:ascii="Arial" w:hAnsi="Arial" w:cs="Arial"/>
                <w:sz w:val="22"/>
                <w:szCs w:val="22"/>
              </w:rPr>
              <w:t xml:space="preserve">set of </w:t>
            </w:r>
            <w:r>
              <w:rPr>
                <w:rFonts w:ascii="Arial" w:hAnsi="Arial" w:cs="Arial"/>
                <w:sz w:val="22"/>
                <w:szCs w:val="22"/>
              </w:rPr>
              <w:t>metrics and case study areas agreed</w:t>
            </w:r>
          </w:p>
        </w:tc>
        <w:tc>
          <w:tcPr>
            <w:tcW w:w="2675" w:type="dxa"/>
            <w:tcBorders>
              <w:top w:val="single" w:sz="4" w:space="0" w:color="auto"/>
              <w:bottom w:val="single" w:sz="4" w:space="0" w:color="auto"/>
            </w:tcBorders>
            <w:shd w:val="clear" w:color="auto" w:fill="auto"/>
          </w:tcPr>
          <w:p w14:paraId="4E57B856" w14:textId="46D4EE4B" w:rsidR="009222FF" w:rsidRPr="00954CA3" w:rsidRDefault="00D74687" w:rsidP="008503EA">
            <w:pPr>
              <w:spacing w:after="120"/>
              <w:rPr>
                <w:rFonts w:ascii="Arial" w:hAnsi="Arial" w:cs="Arial"/>
                <w:sz w:val="22"/>
                <w:szCs w:val="22"/>
              </w:rPr>
            </w:pPr>
            <w:r>
              <w:rPr>
                <w:rFonts w:ascii="Arial" w:hAnsi="Arial" w:cs="Arial"/>
                <w:sz w:val="22"/>
                <w:szCs w:val="22"/>
              </w:rPr>
              <w:t>8</w:t>
            </w:r>
            <w:r w:rsidRPr="008503EA">
              <w:rPr>
                <w:rFonts w:ascii="Arial" w:hAnsi="Arial" w:cs="Arial"/>
                <w:sz w:val="22"/>
                <w:szCs w:val="22"/>
                <w:vertAlign w:val="superscript"/>
              </w:rPr>
              <w:t>th</w:t>
            </w:r>
            <w:r w:rsidR="008503EA">
              <w:rPr>
                <w:rFonts w:ascii="Arial" w:hAnsi="Arial" w:cs="Arial"/>
                <w:sz w:val="22"/>
                <w:szCs w:val="22"/>
              </w:rPr>
              <w:t xml:space="preserve"> </w:t>
            </w:r>
            <w:r>
              <w:rPr>
                <w:rFonts w:ascii="Arial" w:hAnsi="Arial" w:cs="Arial"/>
                <w:sz w:val="22"/>
                <w:szCs w:val="22"/>
              </w:rPr>
              <w:t>December</w:t>
            </w:r>
            <w:r w:rsidR="009222FF" w:rsidRPr="00954CA3">
              <w:rPr>
                <w:rFonts w:ascii="Arial" w:hAnsi="Arial" w:cs="Arial"/>
                <w:sz w:val="22"/>
                <w:szCs w:val="22"/>
              </w:rPr>
              <w:t xml:space="preserve"> 2017</w:t>
            </w:r>
          </w:p>
        </w:tc>
      </w:tr>
      <w:tr w:rsidR="00AC0FE2" w:rsidRPr="00954CA3" w14:paraId="34FA02BD" w14:textId="77777777" w:rsidTr="00954CA3">
        <w:tc>
          <w:tcPr>
            <w:tcW w:w="1545" w:type="dxa"/>
            <w:shd w:val="clear" w:color="auto" w:fill="auto"/>
          </w:tcPr>
          <w:p w14:paraId="21EE66CD" w14:textId="77777777" w:rsidR="00AC0FE2" w:rsidRPr="00954CA3" w:rsidRDefault="00AC0FE2"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51EA8B08" w14:textId="632C78F6" w:rsidR="00AC0FE2" w:rsidRPr="00954CA3" w:rsidRDefault="00AC0FE2" w:rsidP="00AC0FE2">
            <w:pPr>
              <w:spacing w:after="120" w:line="276" w:lineRule="auto"/>
              <w:rPr>
                <w:rFonts w:ascii="Arial" w:hAnsi="Arial" w:cs="Arial"/>
                <w:sz w:val="22"/>
                <w:szCs w:val="22"/>
              </w:rPr>
            </w:pPr>
            <w:r>
              <w:rPr>
                <w:rFonts w:ascii="Arial" w:hAnsi="Arial" w:cs="Arial"/>
                <w:sz w:val="22"/>
                <w:szCs w:val="22"/>
              </w:rPr>
              <w:t>Meeting or teleconference with the ASC presenting case study outcomes</w:t>
            </w:r>
          </w:p>
        </w:tc>
        <w:tc>
          <w:tcPr>
            <w:tcW w:w="2675" w:type="dxa"/>
            <w:tcBorders>
              <w:top w:val="single" w:sz="4" w:space="0" w:color="auto"/>
              <w:bottom w:val="single" w:sz="4" w:space="0" w:color="auto"/>
            </w:tcBorders>
            <w:shd w:val="clear" w:color="auto" w:fill="auto"/>
          </w:tcPr>
          <w:p w14:paraId="2DE49377" w14:textId="0226FF13" w:rsidR="00AC0FE2" w:rsidRPr="00954CA3" w:rsidRDefault="00AC0FE2" w:rsidP="00FD139A">
            <w:pPr>
              <w:spacing w:after="120"/>
              <w:rPr>
                <w:rFonts w:ascii="Arial" w:hAnsi="Arial" w:cs="Arial"/>
                <w:sz w:val="22"/>
                <w:szCs w:val="22"/>
              </w:rPr>
            </w:pPr>
            <w:r>
              <w:rPr>
                <w:rFonts w:ascii="Arial" w:hAnsi="Arial" w:cs="Arial"/>
                <w:sz w:val="22"/>
                <w:szCs w:val="22"/>
              </w:rPr>
              <w:t>1</w:t>
            </w:r>
            <w:r w:rsidR="00D74687">
              <w:rPr>
                <w:rFonts w:ascii="Arial" w:hAnsi="Arial" w:cs="Arial"/>
                <w:sz w:val="22"/>
                <w:szCs w:val="22"/>
              </w:rPr>
              <w:t>8</w:t>
            </w:r>
            <w:r w:rsidRPr="00AC0FE2">
              <w:rPr>
                <w:rFonts w:ascii="Arial" w:hAnsi="Arial" w:cs="Arial"/>
                <w:sz w:val="22"/>
                <w:szCs w:val="22"/>
                <w:vertAlign w:val="superscript"/>
              </w:rPr>
              <w:t>th</w:t>
            </w:r>
            <w:r>
              <w:rPr>
                <w:rFonts w:ascii="Arial" w:hAnsi="Arial" w:cs="Arial"/>
                <w:sz w:val="22"/>
                <w:szCs w:val="22"/>
              </w:rPr>
              <w:t xml:space="preserve"> December</w:t>
            </w:r>
            <w:r w:rsidR="00D30FE3">
              <w:rPr>
                <w:rFonts w:ascii="Arial" w:hAnsi="Arial" w:cs="Arial"/>
                <w:sz w:val="22"/>
                <w:szCs w:val="22"/>
              </w:rPr>
              <w:t xml:space="preserve"> 2017</w:t>
            </w:r>
          </w:p>
        </w:tc>
      </w:tr>
      <w:tr w:rsidR="004B2557" w:rsidRPr="00954CA3" w14:paraId="08D9779D" w14:textId="77777777" w:rsidTr="00954CA3">
        <w:tc>
          <w:tcPr>
            <w:tcW w:w="1545" w:type="dxa"/>
            <w:shd w:val="clear" w:color="auto" w:fill="auto"/>
          </w:tcPr>
          <w:p w14:paraId="7A89C28D"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4F40BD9A" w:rsidR="004B2557" w:rsidRPr="00954CA3" w:rsidRDefault="004B2557" w:rsidP="00471745">
            <w:pPr>
              <w:spacing w:after="120" w:line="276" w:lineRule="auto"/>
              <w:rPr>
                <w:rFonts w:ascii="Arial" w:hAnsi="Arial" w:cs="Arial"/>
                <w:sz w:val="22"/>
                <w:szCs w:val="22"/>
              </w:rPr>
            </w:pPr>
            <w:r w:rsidRPr="00954CA3">
              <w:rPr>
                <w:rFonts w:ascii="Arial" w:hAnsi="Arial" w:cs="Arial"/>
                <w:sz w:val="22"/>
                <w:szCs w:val="22"/>
              </w:rPr>
              <w:t>Draft report to ASC</w:t>
            </w:r>
            <w:r w:rsidR="009222FF" w:rsidRPr="00954CA3">
              <w:rPr>
                <w:rFonts w:ascii="Arial" w:hAnsi="Arial" w:cs="Arial"/>
                <w:sz w:val="22"/>
                <w:szCs w:val="22"/>
              </w:rPr>
              <w:t xml:space="preserve"> for initial feedback</w:t>
            </w:r>
          </w:p>
        </w:tc>
        <w:tc>
          <w:tcPr>
            <w:tcW w:w="2675" w:type="dxa"/>
            <w:tcBorders>
              <w:top w:val="single" w:sz="4" w:space="0" w:color="auto"/>
              <w:bottom w:val="single" w:sz="4" w:space="0" w:color="auto"/>
            </w:tcBorders>
            <w:shd w:val="clear" w:color="auto" w:fill="auto"/>
          </w:tcPr>
          <w:p w14:paraId="30E629AC" w14:textId="50C1EAD4" w:rsidR="004B2557" w:rsidRPr="00954CA3" w:rsidRDefault="009222FF" w:rsidP="00FD139A">
            <w:pPr>
              <w:spacing w:after="120"/>
              <w:rPr>
                <w:rFonts w:ascii="Arial" w:hAnsi="Arial" w:cs="Arial"/>
                <w:sz w:val="22"/>
                <w:szCs w:val="22"/>
              </w:rPr>
            </w:pPr>
            <w:r w:rsidRPr="00954CA3">
              <w:rPr>
                <w:rFonts w:ascii="Arial" w:hAnsi="Arial" w:cs="Arial"/>
                <w:sz w:val="22"/>
                <w:szCs w:val="22"/>
              </w:rPr>
              <w:t>9</w:t>
            </w:r>
            <w:r w:rsidR="004B2557" w:rsidRPr="00954CA3">
              <w:rPr>
                <w:rFonts w:ascii="Arial" w:hAnsi="Arial" w:cs="Arial"/>
                <w:sz w:val="22"/>
                <w:szCs w:val="22"/>
                <w:vertAlign w:val="superscript"/>
              </w:rPr>
              <w:t>th</w:t>
            </w:r>
            <w:r w:rsidR="004B2557" w:rsidRPr="00954CA3">
              <w:rPr>
                <w:rFonts w:ascii="Arial" w:hAnsi="Arial" w:cs="Arial"/>
                <w:sz w:val="22"/>
                <w:szCs w:val="22"/>
              </w:rPr>
              <w:t xml:space="preserve"> February</w:t>
            </w:r>
            <w:r w:rsidRPr="00954CA3">
              <w:rPr>
                <w:rFonts w:ascii="Arial" w:hAnsi="Arial" w:cs="Arial"/>
                <w:sz w:val="22"/>
                <w:szCs w:val="22"/>
              </w:rPr>
              <w:t xml:space="preserve"> 2018</w:t>
            </w:r>
          </w:p>
        </w:tc>
      </w:tr>
      <w:tr w:rsidR="004B2557" w:rsidRPr="00954CA3" w14:paraId="3D7497EF" w14:textId="77777777" w:rsidTr="00954CA3">
        <w:tc>
          <w:tcPr>
            <w:tcW w:w="1545" w:type="dxa"/>
            <w:shd w:val="clear" w:color="auto" w:fill="auto"/>
          </w:tcPr>
          <w:p w14:paraId="19CE8A7E"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01B6A46D" w:rsidR="004B2557" w:rsidRPr="00954CA3" w:rsidRDefault="009222FF" w:rsidP="00471745">
            <w:pPr>
              <w:spacing w:after="120" w:line="276" w:lineRule="auto"/>
              <w:rPr>
                <w:rFonts w:ascii="Arial" w:hAnsi="Arial" w:cs="Arial"/>
                <w:sz w:val="22"/>
                <w:szCs w:val="22"/>
              </w:rPr>
            </w:pPr>
            <w:r w:rsidRPr="00954CA3">
              <w:rPr>
                <w:rFonts w:ascii="Arial" w:hAnsi="Arial" w:cs="Arial"/>
                <w:sz w:val="22"/>
                <w:szCs w:val="22"/>
              </w:rPr>
              <w:t xml:space="preserve">Second </w:t>
            </w:r>
            <w:r w:rsidR="004B2557" w:rsidRPr="00954CA3">
              <w:rPr>
                <w:rFonts w:ascii="Arial" w:hAnsi="Arial" w:cs="Arial"/>
                <w:sz w:val="22"/>
                <w:szCs w:val="22"/>
              </w:rPr>
              <w:t xml:space="preserve">report </w:t>
            </w:r>
            <w:r w:rsidRPr="00954CA3">
              <w:rPr>
                <w:rFonts w:ascii="Arial" w:hAnsi="Arial" w:cs="Arial"/>
                <w:sz w:val="22"/>
                <w:szCs w:val="22"/>
              </w:rPr>
              <w:t>to ASC, and subject to technical and peer review</w:t>
            </w:r>
          </w:p>
        </w:tc>
        <w:tc>
          <w:tcPr>
            <w:tcW w:w="2675" w:type="dxa"/>
            <w:tcBorders>
              <w:top w:val="single" w:sz="4" w:space="0" w:color="auto"/>
              <w:bottom w:val="single" w:sz="4" w:space="0" w:color="auto"/>
            </w:tcBorders>
            <w:shd w:val="clear" w:color="auto" w:fill="auto"/>
          </w:tcPr>
          <w:p w14:paraId="5E71591D" w14:textId="42D6B7DA" w:rsidR="004B2557" w:rsidRPr="00954CA3" w:rsidRDefault="009222FF" w:rsidP="00FD139A">
            <w:pPr>
              <w:spacing w:after="120"/>
              <w:rPr>
                <w:rFonts w:ascii="Arial" w:hAnsi="Arial" w:cs="Arial"/>
                <w:sz w:val="22"/>
                <w:szCs w:val="22"/>
              </w:rPr>
            </w:pPr>
            <w:r w:rsidRPr="00954CA3">
              <w:rPr>
                <w:rFonts w:ascii="Arial" w:hAnsi="Arial" w:cs="Arial"/>
                <w:sz w:val="22"/>
                <w:szCs w:val="22"/>
              </w:rPr>
              <w:t>9</w:t>
            </w:r>
            <w:r w:rsidR="004B2557" w:rsidRPr="00954CA3">
              <w:rPr>
                <w:rFonts w:ascii="Arial" w:hAnsi="Arial" w:cs="Arial"/>
                <w:sz w:val="22"/>
                <w:szCs w:val="22"/>
                <w:vertAlign w:val="superscript"/>
              </w:rPr>
              <w:t>th</w:t>
            </w:r>
            <w:r w:rsidRPr="00954CA3">
              <w:rPr>
                <w:rFonts w:ascii="Arial" w:hAnsi="Arial" w:cs="Arial"/>
                <w:sz w:val="22"/>
                <w:szCs w:val="22"/>
              </w:rPr>
              <w:t xml:space="preserve"> March 2018</w:t>
            </w:r>
          </w:p>
        </w:tc>
      </w:tr>
      <w:tr w:rsidR="004B2557" w:rsidRPr="00954CA3" w14:paraId="03C860A0" w14:textId="77777777" w:rsidTr="00954CA3">
        <w:tc>
          <w:tcPr>
            <w:tcW w:w="1545" w:type="dxa"/>
            <w:shd w:val="clear" w:color="auto" w:fill="auto"/>
          </w:tcPr>
          <w:p w14:paraId="3CF582F7"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31AE2116" w14:textId="56CE9727" w:rsidR="004B2557" w:rsidRPr="00954CA3" w:rsidRDefault="004B2557" w:rsidP="00471745">
            <w:pPr>
              <w:spacing w:after="120" w:line="276" w:lineRule="auto"/>
              <w:rPr>
                <w:rFonts w:ascii="Arial" w:hAnsi="Arial" w:cs="Arial"/>
                <w:sz w:val="22"/>
                <w:szCs w:val="22"/>
              </w:rPr>
            </w:pPr>
            <w:r w:rsidRPr="00954CA3">
              <w:rPr>
                <w:rFonts w:ascii="Arial" w:hAnsi="Arial" w:cs="Arial"/>
                <w:sz w:val="22"/>
                <w:szCs w:val="22"/>
              </w:rPr>
              <w:t xml:space="preserve">Final report </w:t>
            </w:r>
            <w:r w:rsidR="00B543C1">
              <w:rPr>
                <w:rFonts w:ascii="Arial" w:hAnsi="Arial" w:cs="Arial"/>
                <w:sz w:val="22"/>
                <w:szCs w:val="22"/>
              </w:rPr>
              <w:t>submitted</w:t>
            </w:r>
          </w:p>
        </w:tc>
        <w:tc>
          <w:tcPr>
            <w:tcW w:w="2675" w:type="dxa"/>
            <w:tcBorders>
              <w:top w:val="single" w:sz="4" w:space="0" w:color="auto"/>
              <w:bottom w:val="single" w:sz="4" w:space="0" w:color="auto"/>
            </w:tcBorders>
            <w:shd w:val="clear" w:color="auto" w:fill="auto"/>
          </w:tcPr>
          <w:p w14:paraId="00381D4A" w14:textId="6647BB39" w:rsidR="004B2557" w:rsidRPr="00954CA3" w:rsidRDefault="004B2557" w:rsidP="009222FF">
            <w:pPr>
              <w:spacing w:after="120"/>
              <w:rPr>
                <w:rFonts w:ascii="Arial" w:hAnsi="Arial" w:cs="Arial"/>
                <w:sz w:val="22"/>
                <w:szCs w:val="22"/>
              </w:rPr>
            </w:pPr>
            <w:r w:rsidRPr="00954CA3">
              <w:rPr>
                <w:rFonts w:ascii="Arial" w:hAnsi="Arial" w:cs="Arial"/>
                <w:sz w:val="22"/>
                <w:szCs w:val="22"/>
              </w:rPr>
              <w:t>3</w:t>
            </w:r>
            <w:r w:rsidR="009222FF" w:rsidRPr="00954CA3">
              <w:rPr>
                <w:rFonts w:ascii="Arial" w:hAnsi="Arial" w:cs="Arial"/>
                <w:sz w:val="22"/>
                <w:szCs w:val="22"/>
              </w:rPr>
              <w:t>0</w:t>
            </w:r>
            <w:r w:rsidR="009222FF" w:rsidRPr="00954CA3">
              <w:rPr>
                <w:rFonts w:ascii="Arial" w:hAnsi="Arial" w:cs="Arial"/>
                <w:sz w:val="22"/>
                <w:szCs w:val="22"/>
                <w:vertAlign w:val="superscript"/>
              </w:rPr>
              <w:t>th</w:t>
            </w:r>
            <w:r w:rsidR="009222FF" w:rsidRPr="00954CA3">
              <w:rPr>
                <w:rFonts w:ascii="Arial" w:hAnsi="Arial" w:cs="Arial"/>
                <w:sz w:val="22"/>
                <w:szCs w:val="22"/>
              </w:rPr>
              <w:t xml:space="preserve"> March 2018</w:t>
            </w:r>
          </w:p>
        </w:tc>
      </w:tr>
    </w:tbl>
    <w:p w14:paraId="5EA87566" w14:textId="77777777" w:rsidR="002F59AC" w:rsidRDefault="004C7039" w:rsidP="007248E4">
      <w:pPr>
        <w:pStyle w:val="Heading1"/>
        <w:numPr>
          <w:ilvl w:val="0"/>
          <w:numId w:val="3"/>
        </w:numPr>
        <w:rPr>
          <w:rFonts w:ascii="Arial" w:hAnsi="Arial" w:cs="Arial"/>
          <w:sz w:val="24"/>
          <w:szCs w:val="24"/>
        </w:rPr>
      </w:pPr>
      <w:bookmarkStart w:id="34" w:name="_Ref357541731"/>
      <w:bookmarkStart w:id="35" w:name="_Toc381969514"/>
      <w:bookmarkStart w:id="36" w:name="_Toc405888463"/>
      <w:bookmarkStart w:id="37" w:name="_Toc489459267"/>
      <w:r w:rsidRPr="002D32D5">
        <w:rPr>
          <w:rFonts w:ascii="Arial" w:hAnsi="Arial" w:cs="Arial"/>
          <w:sz w:val="24"/>
          <w:szCs w:val="24"/>
        </w:rPr>
        <w:t>C</w:t>
      </w:r>
      <w:r w:rsidR="002F59AC" w:rsidRPr="002D32D5">
        <w:rPr>
          <w:rFonts w:ascii="Arial" w:hAnsi="Arial" w:cs="Arial"/>
          <w:sz w:val="24"/>
          <w:szCs w:val="24"/>
        </w:rPr>
        <w:t>hallenges</w:t>
      </w:r>
      <w:bookmarkEnd w:id="34"/>
      <w:bookmarkEnd w:id="35"/>
      <w:bookmarkEnd w:id="36"/>
      <w:bookmarkEnd w:id="37"/>
    </w:p>
    <w:p w14:paraId="284AE220" w14:textId="77777777" w:rsidR="00DD521A" w:rsidRPr="002133A0" w:rsidRDefault="00DD521A" w:rsidP="00DD521A">
      <w:pPr>
        <w:pStyle w:val="Norma"/>
        <w:rPr>
          <w:rFonts w:cs="Arial"/>
        </w:rPr>
      </w:pPr>
    </w:p>
    <w:p w14:paraId="0ED713B6" w14:textId="77777777" w:rsidR="00FD139A" w:rsidRDefault="00FD139A" w:rsidP="00FD139A">
      <w:pPr>
        <w:pStyle w:val="Norma"/>
        <w:rPr>
          <w:rFonts w:cs="Arial"/>
        </w:rPr>
      </w:pPr>
      <w:r w:rsidRPr="002133A0">
        <w:rPr>
          <w:rFonts w:cs="Arial"/>
        </w:rPr>
        <w:t>The specific challenges that the ASC envisage with this project include:</w:t>
      </w:r>
    </w:p>
    <w:p w14:paraId="760C8A33" w14:textId="77777777" w:rsidR="00AC0FE2" w:rsidRPr="002133A0" w:rsidRDefault="00AC0FE2" w:rsidP="00FD139A">
      <w:pPr>
        <w:pStyle w:val="Norma"/>
        <w:rPr>
          <w:rFonts w:cs="Arial"/>
        </w:rPr>
      </w:pPr>
    </w:p>
    <w:p w14:paraId="43846C96" w14:textId="2D141C6C" w:rsidR="00AC0FE2" w:rsidRDefault="00AC0FE2" w:rsidP="00FD139A">
      <w:pPr>
        <w:pStyle w:val="Norma"/>
        <w:numPr>
          <w:ilvl w:val="0"/>
          <w:numId w:val="9"/>
        </w:numPr>
        <w:rPr>
          <w:rFonts w:cs="Arial"/>
        </w:rPr>
      </w:pPr>
      <w:r>
        <w:rPr>
          <w:rFonts w:cs="Arial"/>
        </w:rPr>
        <w:t xml:space="preserve">Identifying </w:t>
      </w:r>
      <w:r w:rsidR="00FA2841">
        <w:rPr>
          <w:rFonts w:cs="Arial"/>
        </w:rPr>
        <w:t>set of</w:t>
      </w:r>
      <w:r>
        <w:rPr>
          <w:rFonts w:cs="Arial"/>
        </w:rPr>
        <w:t xml:space="preserve"> metrics </w:t>
      </w:r>
      <w:r w:rsidR="000730BC">
        <w:rPr>
          <w:rFonts w:cs="Arial"/>
        </w:rPr>
        <w:t xml:space="preserve">for </w:t>
      </w:r>
      <w:r w:rsidR="00FA2841">
        <w:rPr>
          <w:rFonts w:cs="Arial"/>
        </w:rPr>
        <w:t>which data</w:t>
      </w:r>
      <w:r>
        <w:rPr>
          <w:rFonts w:cs="Arial"/>
        </w:rPr>
        <w:t xml:space="preserve"> are readily available.</w:t>
      </w:r>
    </w:p>
    <w:p w14:paraId="2D70F242" w14:textId="77932EA1" w:rsidR="00FA2841" w:rsidRDefault="00FA2841" w:rsidP="00FD139A">
      <w:pPr>
        <w:pStyle w:val="Norma"/>
        <w:numPr>
          <w:ilvl w:val="0"/>
          <w:numId w:val="9"/>
        </w:numPr>
        <w:rPr>
          <w:rFonts w:cs="Arial"/>
        </w:rPr>
      </w:pPr>
      <w:r>
        <w:rPr>
          <w:rFonts w:cs="Arial"/>
        </w:rPr>
        <w:t xml:space="preserve">Collate data if they are distributed </w:t>
      </w:r>
      <w:r w:rsidR="000730BC">
        <w:rPr>
          <w:rFonts w:cs="Arial"/>
        </w:rPr>
        <w:t xml:space="preserve">between </w:t>
      </w:r>
      <w:r>
        <w:rPr>
          <w:rFonts w:cs="Arial"/>
        </w:rPr>
        <w:t>many sources (e.g. different local authorities).</w:t>
      </w:r>
    </w:p>
    <w:p w14:paraId="5EA87567" w14:textId="6470CDB3" w:rsidR="00585DA5" w:rsidRDefault="00AC0FE2" w:rsidP="00AC0FE2">
      <w:pPr>
        <w:pStyle w:val="Norma"/>
        <w:numPr>
          <w:ilvl w:val="0"/>
          <w:numId w:val="9"/>
        </w:numPr>
        <w:rPr>
          <w:rFonts w:cs="Arial"/>
        </w:rPr>
      </w:pPr>
      <w:r>
        <w:rPr>
          <w:rFonts w:cs="Arial"/>
        </w:rPr>
        <w:t xml:space="preserve">Request and </w:t>
      </w:r>
      <w:r w:rsidR="000730BC">
        <w:rPr>
          <w:rFonts w:cs="Arial"/>
        </w:rPr>
        <w:t xml:space="preserve">receiving </w:t>
      </w:r>
      <w:r>
        <w:rPr>
          <w:rFonts w:cs="Arial"/>
        </w:rPr>
        <w:t xml:space="preserve">data </w:t>
      </w:r>
      <w:r w:rsidR="000730BC">
        <w:rPr>
          <w:rFonts w:cs="Arial"/>
        </w:rPr>
        <w:t xml:space="preserve">in a </w:t>
      </w:r>
      <w:r>
        <w:rPr>
          <w:rFonts w:cs="Arial"/>
        </w:rPr>
        <w:t>timely</w:t>
      </w:r>
      <w:r w:rsidR="000730BC">
        <w:rPr>
          <w:rFonts w:cs="Arial"/>
        </w:rPr>
        <w:t xml:space="preserve"> manner</w:t>
      </w:r>
      <w:r>
        <w:rPr>
          <w:rFonts w:cs="Arial"/>
        </w:rPr>
        <w:t>.</w:t>
      </w:r>
    </w:p>
    <w:p w14:paraId="6D077C54" w14:textId="72FE07D6" w:rsidR="00FA2841" w:rsidRPr="00AC0FE2" w:rsidRDefault="00FA2841" w:rsidP="00AC0FE2">
      <w:pPr>
        <w:pStyle w:val="Norma"/>
        <w:numPr>
          <w:ilvl w:val="0"/>
          <w:numId w:val="9"/>
        </w:numPr>
        <w:rPr>
          <w:rFonts w:cs="Arial"/>
        </w:rPr>
      </w:pPr>
      <w:r>
        <w:rPr>
          <w:rFonts w:cs="Arial"/>
        </w:rPr>
        <w:t xml:space="preserve">Identify suitable case studies and </w:t>
      </w:r>
      <w:r w:rsidR="000730BC">
        <w:rPr>
          <w:rFonts w:cs="Arial"/>
        </w:rPr>
        <w:t xml:space="preserve">being able to </w:t>
      </w:r>
      <w:r>
        <w:rPr>
          <w:rFonts w:cs="Arial"/>
        </w:rPr>
        <w:t>access the relevant data.</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8" w:name="_Toc381969515"/>
      <w:bookmarkStart w:id="39" w:name="_Toc405888464"/>
      <w:bookmarkStart w:id="40" w:name="_Toc489459268"/>
      <w:bookmarkStart w:id="41" w:name="_Toc271272913"/>
      <w:r w:rsidRPr="002D32D5">
        <w:rPr>
          <w:rFonts w:ascii="Arial" w:hAnsi="Arial" w:cs="Arial"/>
          <w:sz w:val="24"/>
          <w:szCs w:val="24"/>
        </w:rPr>
        <w:t>Ethics</w:t>
      </w:r>
      <w:bookmarkEnd w:id="38"/>
      <w:bookmarkEnd w:id="39"/>
      <w:bookmarkEnd w:id="40"/>
    </w:p>
    <w:p w14:paraId="3E692CD6" w14:textId="77777777" w:rsidR="00A83808" w:rsidRDefault="00A83808" w:rsidP="00A83808">
      <w:pPr>
        <w:pStyle w:val="Norma"/>
        <w:rPr>
          <w:rFonts w:cs="Arial"/>
        </w:rPr>
      </w:pPr>
    </w:p>
    <w:p w14:paraId="5EA8756A" w14:textId="77777777" w:rsidR="005C0467" w:rsidRPr="00A83808" w:rsidRDefault="008F4BEB" w:rsidP="00A83808">
      <w:pPr>
        <w:pStyle w:val="Norma"/>
        <w:rPr>
          <w:rFonts w:cs="Arial"/>
        </w:rPr>
      </w:pPr>
      <w:r w:rsidRPr="00A83808">
        <w:rPr>
          <w:rFonts w:cs="Arial"/>
        </w:rPr>
        <w:t>All applicants will need to identify and propose arrangements for initial scrutiny and on-going monitoring of ethical issues.</w:t>
      </w:r>
      <w:r w:rsidR="00BF74E5" w:rsidRPr="00A83808">
        <w:rPr>
          <w:rFonts w:cs="Arial"/>
        </w:rPr>
        <w:t xml:space="preserve"> </w:t>
      </w:r>
      <w:r w:rsidR="005C0467" w:rsidRPr="00A83808">
        <w:rPr>
          <w:rFonts w:cs="Arial"/>
        </w:rPr>
        <w:t>The appropriate handling of ethical issues is part of the tender assessment exercise and proposals will be evaluated on this as part of the ‘addressing challenges and risks’ criterion.</w:t>
      </w:r>
    </w:p>
    <w:p w14:paraId="5EA8756B" w14:textId="77777777" w:rsidR="005C0467" w:rsidRPr="00A83808" w:rsidRDefault="005C0467" w:rsidP="00A83808">
      <w:pPr>
        <w:pStyle w:val="Norma"/>
        <w:rPr>
          <w:rFonts w:cs="Arial"/>
        </w:rPr>
      </w:pPr>
    </w:p>
    <w:p w14:paraId="5EA8756C" w14:textId="77777777" w:rsidR="00D75586" w:rsidRPr="000F78E0" w:rsidRDefault="00BF74E5" w:rsidP="00A83808">
      <w:pPr>
        <w:pStyle w:val="Norma"/>
        <w:rPr>
          <w:rFonts w:cs="Arial"/>
        </w:rPr>
      </w:pPr>
      <w:r w:rsidRPr="000F78E0">
        <w:rPr>
          <w:rFonts w:cs="Arial"/>
        </w:rPr>
        <w:t>We expect contractors to adhere to the</w:t>
      </w:r>
      <w:r w:rsidR="00D75586" w:rsidRPr="000F78E0">
        <w:rPr>
          <w:rFonts w:cs="Arial"/>
        </w:rPr>
        <w:t xml:space="preserve"> following</w:t>
      </w:r>
      <w:r w:rsidRPr="000F78E0">
        <w:rPr>
          <w:rFonts w:cs="Arial"/>
        </w:rPr>
        <w:t xml:space="preserve"> GSR</w:t>
      </w:r>
      <w:r w:rsidR="00D75586" w:rsidRPr="000F78E0">
        <w:rPr>
          <w:rFonts w:cs="Arial"/>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2" w:name="_Ref338852517"/>
      <w:bookmarkStart w:id="43" w:name="_Toc381969516"/>
      <w:bookmarkStart w:id="44" w:name="_Toc405888465"/>
      <w:bookmarkStart w:id="45" w:name="_Toc489459269"/>
      <w:bookmarkEnd w:id="41"/>
      <w:r w:rsidRPr="002D32D5">
        <w:rPr>
          <w:rFonts w:ascii="Arial" w:hAnsi="Arial" w:cs="Arial"/>
          <w:sz w:val="24"/>
          <w:szCs w:val="24"/>
        </w:rPr>
        <w:t>Working Arrangements</w:t>
      </w:r>
      <w:bookmarkEnd w:id="42"/>
      <w:bookmarkEnd w:id="43"/>
      <w:bookmarkEnd w:id="44"/>
      <w:bookmarkEnd w:id="45"/>
    </w:p>
    <w:p w14:paraId="5EA87574" w14:textId="77777777" w:rsidR="00AA62E8" w:rsidRPr="000F78E0" w:rsidRDefault="00AA62E8" w:rsidP="005A7FBC">
      <w:pPr>
        <w:pStyle w:val="Norma"/>
        <w:jc w:val="both"/>
        <w:rPr>
          <w:rFonts w:cs="Arial"/>
          <w:b/>
          <w:bCs/>
          <w:iCs/>
        </w:rPr>
      </w:pPr>
    </w:p>
    <w:p w14:paraId="5EA87575" w14:textId="016847B5" w:rsidR="00AA62E8" w:rsidRPr="000F78E0" w:rsidRDefault="00AA62E8" w:rsidP="00A83808">
      <w:pPr>
        <w:pStyle w:val="Norma"/>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97210C" w:rsidRPr="000F78E0">
        <w:rPr>
          <w:rFonts w:cs="Arial"/>
          <w:bCs/>
        </w:rPr>
        <w:t>nquiries can be filtered. A CCC</w:t>
      </w:r>
      <w:r w:rsidRPr="000F78E0">
        <w:rPr>
          <w:rFonts w:cs="Arial"/>
          <w:bCs/>
        </w:rPr>
        <w:t xml:space="preserve"> project manager will be assigned to the project and will be the central point of contact. </w:t>
      </w:r>
    </w:p>
    <w:p w14:paraId="5EA87578" w14:textId="77777777" w:rsidR="00AA62E8" w:rsidRPr="000F78E0" w:rsidRDefault="00AA62E8" w:rsidP="00AA62E8">
      <w:pPr>
        <w:pStyle w:val="ListParagraph"/>
        <w:ind w:left="0"/>
        <w:rPr>
          <w:rFonts w:eastAsia="Times New Roman" w:cs="Calibri"/>
        </w:rPr>
      </w:pPr>
    </w:p>
    <w:p w14:paraId="5EA87579" w14:textId="77777777" w:rsidR="003C1CE8" w:rsidRPr="002D32D5" w:rsidRDefault="007A7010" w:rsidP="007248E4">
      <w:pPr>
        <w:pStyle w:val="Heading1"/>
        <w:numPr>
          <w:ilvl w:val="0"/>
          <w:numId w:val="3"/>
        </w:numPr>
        <w:rPr>
          <w:rFonts w:ascii="Arial" w:hAnsi="Arial" w:cs="Arial"/>
          <w:sz w:val="24"/>
          <w:szCs w:val="24"/>
        </w:rPr>
      </w:pPr>
      <w:bookmarkStart w:id="46" w:name="_Toc489459270"/>
      <w:r>
        <w:rPr>
          <w:rFonts w:ascii="Arial" w:hAnsi="Arial" w:cs="Arial"/>
          <w:sz w:val="24"/>
          <w:szCs w:val="24"/>
        </w:rPr>
        <w:t>Skills and experience</w:t>
      </w:r>
      <w:bookmarkEnd w:id="46"/>
    </w:p>
    <w:p w14:paraId="5EA8757A" w14:textId="77777777" w:rsidR="00427AFA" w:rsidRPr="000F78E0" w:rsidRDefault="00427AFA" w:rsidP="00B960BC">
      <w:pPr>
        <w:pStyle w:val="Norma"/>
        <w:ind w:left="360"/>
        <w:jc w:val="both"/>
        <w:rPr>
          <w:rFonts w:cs="Arial"/>
        </w:rPr>
      </w:pPr>
    </w:p>
    <w:p w14:paraId="5EA8757B" w14:textId="5FB8080B" w:rsidR="00FA702B" w:rsidRPr="000F78E0" w:rsidRDefault="0097210C" w:rsidP="00A83808">
      <w:pPr>
        <w:pStyle w:val="PTablebodyCharCharChar"/>
        <w:tabs>
          <w:tab w:val="clear" w:pos="7823"/>
          <w:tab w:val="right" w:pos="709"/>
        </w:tabs>
        <w:spacing w:after="0"/>
        <w:ind w:left="0"/>
        <w:rPr>
          <w:rFonts w:cs="Arial"/>
          <w:sz w:val="22"/>
          <w:szCs w:val="22"/>
          <w:highlight w:val="yellow"/>
        </w:rPr>
      </w:pPr>
      <w:r w:rsidRPr="000F78E0">
        <w:rPr>
          <w:rFonts w:ascii="Arial" w:hAnsi="Arial" w:cs="Arial"/>
          <w:sz w:val="22"/>
          <w:szCs w:val="22"/>
        </w:rPr>
        <w:t>C</w:t>
      </w:r>
      <w:r w:rsidR="004B3AD5" w:rsidRPr="000F78E0">
        <w:rPr>
          <w:rFonts w:ascii="Arial" w:hAnsi="Arial" w:cs="Arial"/>
          <w:sz w:val="22"/>
          <w:szCs w:val="22"/>
        </w:rPr>
        <w:t xml:space="preserve">CC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6C79B7F5" w:rsidR="003C1CE8" w:rsidRPr="000F78E0" w:rsidRDefault="003C1CE8" w:rsidP="00A83808">
      <w:pPr>
        <w:pStyle w:val="PTablebodyCharCharChar"/>
        <w:tabs>
          <w:tab w:val="clear" w:pos="7823"/>
          <w:tab w:val="right" w:pos="709"/>
        </w:tabs>
        <w:spacing w:after="0"/>
        <w:ind w:left="0"/>
        <w:rPr>
          <w:rFonts w:ascii="Arial" w:hAnsi="Arial" w:cs="Arial"/>
          <w:sz w:val="22"/>
          <w:szCs w:val="22"/>
        </w:rPr>
      </w:pPr>
      <w:r w:rsidRPr="000F78E0">
        <w:rPr>
          <w:rFonts w:ascii="Arial" w:hAnsi="Arial"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A83808">
      <w:pPr>
        <w:pStyle w:val="Norma"/>
        <w:jc w:val="both"/>
        <w:rPr>
          <w:rFonts w:cs="Arial"/>
        </w:rPr>
      </w:pPr>
      <w:r w:rsidRPr="000F78E0">
        <w:rPr>
          <w:rFonts w:cs="Arial"/>
        </w:rPr>
        <w:t>Contractors should identify the individual(s) who will be responsible for managing the project.</w:t>
      </w:r>
      <w:bookmarkStart w:id="47"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8" w:name="_Ref373505239"/>
      <w:bookmarkStart w:id="49" w:name="_Toc381969518"/>
      <w:bookmarkStart w:id="50" w:name="_Toc405888467"/>
      <w:bookmarkStart w:id="51" w:name="_Toc489459271"/>
      <w:r w:rsidRPr="002D32D5">
        <w:rPr>
          <w:rFonts w:ascii="Arial" w:hAnsi="Arial" w:cs="Arial"/>
          <w:sz w:val="24"/>
          <w:szCs w:val="24"/>
        </w:rPr>
        <w:t>C</w:t>
      </w:r>
      <w:r w:rsidR="00A64B82" w:rsidRPr="002D32D5">
        <w:rPr>
          <w:rFonts w:ascii="Arial" w:hAnsi="Arial" w:cs="Arial"/>
          <w:sz w:val="24"/>
          <w:szCs w:val="24"/>
        </w:rPr>
        <w:t>onsortium Bids</w:t>
      </w:r>
      <w:bookmarkEnd w:id="48"/>
      <w:bookmarkEnd w:id="49"/>
      <w:bookmarkEnd w:id="50"/>
      <w:bookmarkEnd w:id="51"/>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A83808">
      <w:pPr>
        <w:pStyle w:val="FootnoteText"/>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A83808">
      <w:pPr>
        <w:pStyle w:val="FootnoteText"/>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A83808">
      <w:pPr>
        <w:pStyle w:val="NoSpacing"/>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A83808">
      <w:pPr>
        <w:pStyle w:val="NoSpacing"/>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2" w:name="_Ref357541811"/>
      <w:bookmarkStart w:id="53" w:name="_Toc381969519"/>
      <w:bookmarkStart w:id="54" w:name="_Toc405888468"/>
      <w:bookmarkStart w:id="55" w:name="_Toc489459272"/>
      <w:bookmarkStart w:id="56" w:name="_Toc246831559"/>
      <w:bookmarkStart w:id="57" w:name="_Toc271272917"/>
      <w:bookmarkStart w:id="58" w:name="_Ref338852577"/>
      <w:bookmarkEnd w:id="47"/>
      <w:r w:rsidRPr="002D32D5">
        <w:rPr>
          <w:rFonts w:ascii="Arial" w:hAnsi="Arial" w:cs="Arial"/>
          <w:sz w:val="24"/>
          <w:szCs w:val="24"/>
        </w:rPr>
        <w:t>Budget</w:t>
      </w:r>
      <w:bookmarkEnd w:id="52"/>
      <w:bookmarkEnd w:id="53"/>
      <w:bookmarkEnd w:id="54"/>
      <w:bookmarkEnd w:id="55"/>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E" w14:textId="2B7F0D56" w:rsidR="00B00EA2" w:rsidRPr="00A83808" w:rsidRDefault="003C1CE8" w:rsidP="00A83808">
      <w:pPr>
        <w:pStyle w:val="NoSpacing"/>
        <w:jc w:val="both"/>
        <w:rPr>
          <w:rFonts w:ascii="Arial" w:hAnsi="Arial" w:cs="Arial"/>
        </w:rPr>
      </w:pPr>
      <w:r w:rsidRPr="00A83808">
        <w:rPr>
          <w:rFonts w:ascii="Arial" w:hAnsi="Arial" w:cs="Arial"/>
        </w:rPr>
        <w:t xml:space="preserve">The budget for this project is </w:t>
      </w:r>
      <w:r w:rsidR="000730BC" w:rsidRPr="00811D88">
        <w:rPr>
          <w:rFonts w:ascii="Arial" w:hAnsi="Arial" w:cs="Arial"/>
        </w:rPr>
        <w:t>£</w:t>
      </w:r>
      <w:r w:rsidR="000730BC">
        <w:rPr>
          <w:rFonts w:ascii="Arial" w:hAnsi="Arial" w:cs="Arial"/>
        </w:rPr>
        <w:t>30,000</w:t>
      </w:r>
      <w:r w:rsidR="000730BC" w:rsidRPr="00A83808">
        <w:rPr>
          <w:rFonts w:ascii="Arial" w:hAnsi="Arial" w:cs="Arial"/>
        </w:rPr>
        <w:t xml:space="preserve"> </w:t>
      </w:r>
      <w:r w:rsidRPr="00A83808">
        <w:rPr>
          <w:rFonts w:ascii="Arial" w:hAnsi="Arial" w:cs="Arial"/>
        </w:rPr>
        <w:t>to</w:t>
      </w:r>
      <w:r w:rsidR="00526862" w:rsidRPr="00A83808">
        <w:rPr>
          <w:rFonts w:ascii="Arial" w:hAnsi="Arial" w:cs="Arial"/>
        </w:rPr>
        <w:t xml:space="preserve"> </w:t>
      </w:r>
      <w:r w:rsidR="00293D12" w:rsidRPr="00A83808">
        <w:rPr>
          <w:rFonts w:ascii="Arial" w:hAnsi="Arial" w:cs="Arial"/>
        </w:rPr>
        <w:t>£</w:t>
      </w:r>
      <w:r w:rsidR="00471745" w:rsidRPr="00A83808">
        <w:rPr>
          <w:rFonts w:ascii="Arial" w:hAnsi="Arial" w:cs="Arial"/>
        </w:rPr>
        <w:t>40,000</w:t>
      </w:r>
      <w:r w:rsidR="00685B87" w:rsidRPr="00A83808">
        <w:rPr>
          <w:rFonts w:ascii="Arial" w:hAnsi="Arial" w:cs="Arial"/>
        </w:rPr>
        <w:t xml:space="preserve"> excluding VAT</w:t>
      </w:r>
      <w:r w:rsidRPr="00A83808">
        <w:rPr>
          <w:rFonts w:ascii="Arial" w:hAnsi="Arial" w:cs="Arial"/>
        </w:rPr>
        <w:t>.</w:t>
      </w:r>
    </w:p>
    <w:p w14:paraId="5EA87590" w14:textId="3597590E" w:rsidR="00272E19" w:rsidRPr="000F78E0" w:rsidRDefault="003C1CE8" w:rsidP="00A83808">
      <w:pPr>
        <w:pStyle w:val="NoSpacing"/>
        <w:jc w:val="both"/>
        <w:rPr>
          <w:rFonts w:ascii="Arial" w:hAnsi="Arial" w:cs="Arial"/>
        </w:rPr>
      </w:pPr>
      <w:r w:rsidRPr="00A83808">
        <w:rPr>
          <w:rFonts w:ascii="Arial" w:hAnsi="Arial" w:cs="Arial"/>
        </w:rPr>
        <w:t xml:space="preserve">Contractors should provide a full and detailed breakdown of costs (including options where appropriate). This should include staff (and day rate) allocated to specific tasks. </w:t>
      </w:r>
      <w:bookmarkEnd w:id="56"/>
      <w:bookmarkEnd w:id="57"/>
      <w:bookmarkEnd w:id="58"/>
    </w:p>
    <w:p w14:paraId="5EA87591" w14:textId="14D991A2" w:rsidR="00220792" w:rsidRPr="00A83808" w:rsidRDefault="00220792" w:rsidP="00A83808">
      <w:pPr>
        <w:pStyle w:val="NoSpacing"/>
        <w:jc w:val="both"/>
        <w:rPr>
          <w:rFonts w:ascii="Arial" w:hAnsi="Arial" w:cs="Arial"/>
        </w:rPr>
      </w:pPr>
      <w:r w:rsidRPr="00A83808">
        <w:rPr>
          <w:rFonts w:ascii="Arial" w:hAnsi="Arial" w:cs="Arial"/>
        </w:rPr>
        <w:t>Cost will be a criterion against wh</w:t>
      </w:r>
      <w:r w:rsidR="00C20EAE" w:rsidRPr="00A83808">
        <w:rPr>
          <w:rFonts w:ascii="Arial" w:hAnsi="Arial" w:cs="Arial"/>
        </w:rPr>
        <w:t>ich bids which will be assessed</w:t>
      </w:r>
      <w:r w:rsidR="002133A0" w:rsidRPr="00A83808">
        <w:rPr>
          <w:rFonts w:ascii="Arial" w:hAnsi="Arial" w:cs="Arial"/>
        </w:rPr>
        <w:t>.</w:t>
      </w:r>
    </w:p>
    <w:p w14:paraId="5EA87592" w14:textId="77777777" w:rsidR="00220792" w:rsidRPr="000F78E0" w:rsidRDefault="00220792" w:rsidP="00A83808">
      <w:pPr>
        <w:pStyle w:val="NoSpacing"/>
        <w:jc w:val="both"/>
        <w:rPr>
          <w:rFonts w:ascii="Arial" w:hAnsi="Arial" w:cs="Arial"/>
        </w:rPr>
      </w:pPr>
    </w:p>
    <w:p w14:paraId="5EA87593" w14:textId="442F69CB" w:rsidR="00272E19" w:rsidRPr="000F78E0" w:rsidRDefault="00272E19" w:rsidP="00A83808">
      <w:pPr>
        <w:pStyle w:val="NoSpacing"/>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C43DB">
        <w:rPr>
          <w:rFonts w:ascii="Arial" w:hAnsi="Arial" w:cs="Arial"/>
        </w:rPr>
        <w:t>.</w:t>
      </w:r>
    </w:p>
    <w:p w14:paraId="5EA87594" w14:textId="77777777" w:rsidR="00DC39C6" w:rsidRPr="000F78E0" w:rsidRDefault="00DC39C6" w:rsidP="00A83808">
      <w:pPr>
        <w:pStyle w:val="NoSpacing"/>
        <w:jc w:val="both"/>
        <w:rPr>
          <w:rFonts w:ascii="Arial" w:hAnsi="Arial" w:cs="Arial"/>
        </w:rPr>
      </w:pPr>
    </w:p>
    <w:p w14:paraId="5EA87595" w14:textId="77777777" w:rsidR="008261E0" w:rsidRPr="00A83808" w:rsidRDefault="003C06AA" w:rsidP="00A83808">
      <w:pPr>
        <w:pStyle w:val="NoSpacing"/>
        <w:jc w:val="both"/>
        <w:rPr>
          <w:rFonts w:ascii="Arial" w:hAnsi="Arial" w:cs="Arial"/>
        </w:rPr>
      </w:pPr>
      <w:r w:rsidRPr="00A83808">
        <w:rPr>
          <w:rFonts w:ascii="Arial" w:hAnsi="Arial"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A83808" w:rsidRDefault="00532695" w:rsidP="00A83808">
      <w:pPr>
        <w:pStyle w:val="NoSpacing"/>
        <w:jc w:val="both"/>
        <w:rPr>
          <w:rFonts w:ascii="Arial" w:hAnsi="Arial" w:cs="Arial"/>
        </w:rPr>
      </w:pPr>
    </w:p>
    <w:p w14:paraId="5EA87597" w14:textId="77777777" w:rsidR="00443DE6" w:rsidRPr="00A83808" w:rsidRDefault="008261E0" w:rsidP="00A83808">
      <w:pPr>
        <w:pStyle w:val="NoSpacing"/>
        <w:jc w:val="both"/>
        <w:rPr>
          <w:rFonts w:ascii="Arial" w:hAnsi="Arial" w:cs="Arial"/>
        </w:rPr>
      </w:pPr>
      <w:r w:rsidRPr="00A83808">
        <w:rPr>
          <w:rFonts w:ascii="Arial" w:hAnsi="Arial" w:cs="Arial"/>
        </w:rPr>
        <w:lastRenderedPageBreak/>
        <w:t>The Department aims to pay all correctly submitted invoices as soon as possible with a target of 10 days from the date of receipt and within 30 days at the latest in line with standard terms and conditions of contract</w:t>
      </w:r>
      <w:r w:rsidR="00443DE6" w:rsidRPr="00A83808">
        <w:rPr>
          <w:rFonts w:ascii="Arial" w:hAnsi="Arial" w:cs="Arial"/>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59" w:name="_Ref357541836"/>
      <w:bookmarkStart w:id="60" w:name="_Toc381969520"/>
      <w:bookmarkStart w:id="61" w:name="_Toc405888469"/>
      <w:bookmarkStart w:id="62" w:name="_Toc489459273"/>
      <w:r w:rsidRPr="002D32D5">
        <w:rPr>
          <w:rFonts w:ascii="Arial" w:hAnsi="Arial" w:cs="Arial"/>
          <w:sz w:val="24"/>
          <w:szCs w:val="24"/>
        </w:rPr>
        <w:t>Evaluation of Tenders</w:t>
      </w:r>
      <w:bookmarkEnd w:id="59"/>
      <w:bookmarkEnd w:id="60"/>
      <w:bookmarkEnd w:id="61"/>
      <w:bookmarkEnd w:id="62"/>
    </w:p>
    <w:p w14:paraId="5EA8759A" w14:textId="77777777" w:rsidR="003C1CE8" w:rsidRPr="00E4650D" w:rsidRDefault="003C1CE8" w:rsidP="00E4650D">
      <w:pPr>
        <w:pStyle w:val="Norma"/>
        <w:jc w:val="both"/>
        <w:rPr>
          <w:rFonts w:cs="Arial"/>
          <w:sz w:val="24"/>
          <w:szCs w:val="24"/>
        </w:rPr>
      </w:pPr>
    </w:p>
    <w:p w14:paraId="5EA8759B" w14:textId="26C2A24E" w:rsidR="005C788B" w:rsidRPr="00A83808" w:rsidRDefault="003C1CE8" w:rsidP="00A83808">
      <w:pPr>
        <w:pStyle w:val="NoSpacing"/>
        <w:jc w:val="both"/>
        <w:rPr>
          <w:rFonts w:ascii="Arial" w:hAnsi="Arial" w:cs="Arial"/>
        </w:rPr>
      </w:pPr>
      <w:r w:rsidRPr="00A83808">
        <w:rPr>
          <w:rFonts w:ascii="Arial" w:hAnsi="Arial" w:cs="Arial"/>
        </w:rPr>
        <w:t xml:space="preserve">Contractors are invited to submit full tenders of no more than </w:t>
      </w:r>
      <w:r w:rsidR="002133A0" w:rsidRPr="00811D88">
        <w:rPr>
          <w:rFonts w:ascii="Arial" w:hAnsi="Arial" w:cs="Arial"/>
        </w:rPr>
        <w:t>25</w:t>
      </w:r>
      <w:r w:rsidR="00832B02" w:rsidRPr="00A83808">
        <w:rPr>
          <w:rFonts w:ascii="Arial" w:hAnsi="Arial" w:cs="Arial"/>
          <w:color w:val="FF0000"/>
        </w:rPr>
        <w:t xml:space="preserve"> </w:t>
      </w:r>
      <w:r w:rsidRPr="00A83808">
        <w:rPr>
          <w:rFonts w:ascii="Arial" w:hAnsi="Arial" w:cs="Arial"/>
        </w:rPr>
        <w:t>pages</w:t>
      </w:r>
      <w:r w:rsidR="008036AA" w:rsidRPr="00A83808">
        <w:rPr>
          <w:rFonts w:ascii="Arial" w:hAnsi="Arial" w:cs="Arial"/>
        </w:rPr>
        <w:t>, excluding declarations</w:t>
      </w:r>
      <w:r w:rsidRPr="00A83808">
        <w:rPr>
          <w:rFonts w:ascii="Arial" w:hAnsi="Arial" w:cs="Arial"/>
        </w:rPr>
        <w:t>.</w:t>
      </w:r>
      <w:r w:rsidR="00E4650D" w:rsidRPr="00A83808">
        <w:rPr>
          <w:rFonts w:ascii="Arial" w:hAnsi="Arial" w:cs="Arial"/>
        </w:rPr>
        <w:t xml:space="preserve"> </w:t>
      </w:r>
      <w:r w:rsidR="003C54D5" w:rsidRPr="00A83808">
        <w:rPr>
          <w:rFonts w:ascii="Arial" w:hAnsi="Arial" w:cs="Arial"/>
        </w:rPr>
        <w:t xml:space="preserve">Tenders will be evaluated by at least three </w:t>
      </w:r>
      <w:r w:rsidR="0097210C" w:rsidRPr="00A83808">
        <w:rPr>
          <w:rFonts w:ascii="Arial" w:hAnsi="Arial" w:cs="Arial"/>
        </w:rPr>
        <w:t>C</w:t>
      </w:r>
      <w:r w:rsidR="003C54D5" w:rsidRPr="00A83808">
        <w:rPr>
          <w:rFonts w:ascii="Arial" w:hAnsi="Arial" w:cs="Arial"/>
        </w:rPr>
        <w:t>CC staff</w:t>
      </w:r>
      <w:r w:rsidR="005C788B" w:rsidRPr="00A83808">
        <w:rPr>
          <w:rFonts w:ascii="Arial" w:hAnsi="Arial" w:cs="Arial"/>
        </w:rPr>
        <w:t>.</w:t>
      </w:r>
    </w:p>
    <w:p w14:paraId="5EA8759C" w14:textId="77777777" w:rsidR="00E4650D" w:rsidRPr="00A83808" w:rsidRDefault="00E4650D" w:rsidP="00A83808">
      <w:pPr>
        <w:pStyle w:val="NoSpacing"/>
        <w:jc w:val="both"/>
        <w:rPr>
          <w:rFonts w:ascii="Arial" w:hAnsi="Arial" w:cs="Arial"/>
        </w:rPr>
      </w:pPr>
    </w:p>
    <w:p w14:paraId="5EA8759F" w14:textId="66D1713C" w:rsidR="00002825" w:rsidRPr="000F78E0" w:rsidRDefault="0097210C" w:rsidP="00A83808">
      <w:pPr>
        <w:pStyle w:val="NoSpacing"/>
        <w:jc w:val="both"/>
        <w:rPr>
          <w:rFonts w:ascii="Arial" w:hAnsi="Arial" w:cs="Arial"/>
        </w:rPr>
      </w:pPr>
      <w:r w:rsidRPr="000F78E0">
        <w:rPr>
          <w:rFonts w:ascii="Arial" w:hAnsi="Arial" w:cs="Arial"/>
        </w:rPr>
        <w:t>C</w:t>
      </w:r>
      <w:r w:rsidR="003C54D5" w:rsidRPr="000F78E0">
        <w:rPr>
          <w:rFonts w:ascii="Arial" w:hAnsi="Arial" w:cs="Arial"/>
        </w:rPr>
        <w:t xml:space="preserve">CC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3" w:name="p2"/>
            <w:bookmarkStart w:id="64" w:name="_Toc489459274"/>
            <w:r w:rsidRPr="00F7796D">
              <w:rPr>
                <w:rFonts w:ascii="Arial" w:hAnsi="Arial" w:cs="Arial"/>
              </w:rPr>
              <w:t>Criterion</w:t>
            </w:r>
            <w:bookmarkEnd w:id="63"/>
            <w:bookmarkEnd w:id="64"/>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5" w:name="_Toc489459275"/>
            <w:r w:rsidRPr="00F7796D">
              <w:rPr>
                <w:rFonts w:ascii="Arial" w:hAnsi="Arial" w:cs="Arial"/>
              </w:rPr>
              <w:t>Description</w:t>
            </w:r>
            <w:bookmarkEnd w:id="65"/>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6" w:name="_Toc489459276"/>
            <w:r w:rsidRPr="00F7796D">
              <w:rPr>
                <w:rFonts w:ascii="Arial" w:hAnsi="Arial" w:cs="Arial"/>
              </w:rPr>
              <w:t>Weighting</w:t>
            </w:r>
            <w:bookmarkEnd w:id="66"/>
          </w:p>
        </w:tc>
      </w:tr>
      <w:tr w:rsidR="001623B7" w:rsidRPr="00C6546D" w14:paraId="5EA875B1" w14:textId="77777777" w:rsidTr="00FF4DBE">
        <w:tc>
          <w:tcPr>
            <w:tcW w:w="1133" w:type="dxa"/>
          </w:tcPr>
          <w:p w14:paraId="5EA875AE" w14:textId="699A64BB" w:rsidR="001623B7" w:rsidRPr="00F7796D" w:rsidRDefault="00F81BC1" w:rsidP="00FD139A">
            <w:pPr>
              <w:pStyle w:val="Norma"/>
              <w:rPr>
                <w:rFonts w:cs="Arial"/>
              </w:rPr>
            </w:pPr>
            <w:r>
              <w:rPr>
                <w:rFonts w:cs="Arial"/>
              </w:rPr>
              <w:t>1</w:t>
            </w:r>
          </w:p>
        </w:tc>
        <w:tc>
          <w:tcPr>
            <w:tcW w:w="5638" w:type="dxa"/>
            <w:shd w:val="clear" w:color="auto" w:fill="auto"/>
          </w:tcPr>
          <w:p w14:paraId="5EA875AF" w14:textId="644AFD13" w:rsidR="001623B7" w:rsidRPr="00F7796D" w:rsidRDefault="00F81BC1" w:rsidP="00FD139A">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D139A">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D139A">
            <w:pPr>
              <w:pStyle w:val="Norma"/>
              <w:rPr>
                <w:rFonts w:cs="Arial"/>
              </w:rPr>
            </w:pPr>
            <w:r>
              <w:rPr>
                <w:rFonts w:cs="Arial"/>
              </w:rPr>
              <w:t>2</w:t>
            </w:r>
          </w:p>
        </w:tc>
        <w:tc>
          <w:tcPr>
            <w:tcW w:w="5638" w:type="dxa"/>
            <w:shd w:val="clear" w:color="auto" w:fill="auto"/>
          </w:tcPr>
          <w:p w14:paraId="5EA875B3" w14:textId="382A88F7" w:rsidR="001623B7" w:rsidRPr="00F7796D" w:rsidRDefault="00F81BC1" w:rsidP="00FD139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36AB2B5D" w:rsidR="001623B7" w:rsidRPr="00F7796D" w:rsidRDefault="00A83808" w:rsidP="00FD139A">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D139A">
            <w:pPr>
              <w:pStyle w:val="Norma"/>
              <w:rPr>
                <w:rFonts w:cs="Arial"/>
              </w:rPr>
            </w:pPr>
            <w:r>
              <w:rPr>
                <w:rFonts w:cs="Arial"/>
              </w:rPr>
              <w:t>3</w:t>
            </w:r>
          </w:p>
        </w:tc>
        <w:tc>
          <w:tcPr>
            <w:tcW w:w="5638" w:type="dxa"/>
            <w:shd w:val="clear" w:color="auto" w:fill="auto"/>
          </w:tcPr>
          <w:p w14:paraId="5EA875B7" w14:textId="2D79AC43" w:rsidR="001623B7" w:rsidRPr="00F7796D" w:rsidRDefault="00F81BC1" w:rsidP="00FD139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3362E37B" w:rsidR="001623B7" w:rsidRPr="00F7796D" w:rsidRDefault="00A83808" w:rsidP="00FD139A">
            <w:pPr>
              <w:pStyle w:val="Norma"/>
              <w:rPr>
                <w:rFonts w:cs="Arial"/>
              </w:rPr>
            </w:pPr>
            <w:r>
              <w:rPr>
                <w:rFonts w:cs="Arial"/>
              </w:rPr>
              <w:t>5</w:t>
            </w:r>
            <w:r w:rsidR="00DE76AF">
              <w:rPr>
                <w:rFonts w:cs="Arial"/>
              </w:rPr>
              <w:t>%</w:t>
            </w:r>
          </w:p>
        </w:tc>
      </w:tr>
      <w:tr w:rsidR="001623B7" w:rsidRPr="00C6546D" w14:paraId="5EA875BD" w14:textId="77777777" w:rsidTr="00FF4DBE">
        <w:tc>
          <w:tcPr>
            <w:tcW w:w="1133" w:type="dxa"/>
          </w:tcPr>
          <w:p w14:paraId="5EA875BA" w14:textId="3E205DAC" w:rsidR="001623B7" w:rsidRPr="00F7796D" w:rsidRDefault="00F81BC1" w:rsidP="00FD139A">
            <w:pPr>
              <w:pStyle w:val="Norma"/>
              <w:rPr>
                <w:rFonts w:cs="Arial"/>
              </w:rPr>
            </w:pPr>
            <w:r>
              <w:rPr>
                <w:rFonts w:cs="Arial"/>
              </w:rPr>
              <w:t>4</w:t>
            </w:r>
          </w:p>
        </w:tc>
        <w:tc>
          <w:tcPr>
            <w:tcW w:w="5638" w:type="dxa"/>
            <w:shd w:val="clear" w:color="auto" w:fill="auto"/>
          </w:tcPr>
          <w:p w14:paraId="5EA875BB" w14:textId="676381F9" w:rsidR="001623B7" w:rsidRPr="00F7796D" w:rsidRDefault="00F81BC1" w:rsidP="00FD139A">
            <w:pPr>
              <w:pStyle w:val="Norma"/>
              <w:rPr>
                <w:rFonts w:cs="Arial"/>
              </w:rPr>
            </w:pPr>
            <w:r w:rsidRPr="00334AEE">
              <w:rPr>
                <w:rFonts w:ascii="Calibri" w:hAnsi="Calibri"/>
                <w:b/>
              </w:rPr>
              <w:t>MANAGEMENT STRUCTURE</w:t>
            </w:r>
          </w:p>
        </w:tc>
        <w:tc>
          <w:tcPr>
            <w:tcW w:w="2693" w:type="dxa"/>
            <w:shd w:val="clear" w:color="auto" w:fill="auto"/>
          </w:tcPr>
          <w:p w14:paraId="5EA875BC" w14:textId="39E10571" w:rsidR="001623B7" w:rsidRPr="00F7796D" w:rsidRDefault="00A83808" w:rsidP="00FD139A">
            <w:pPr>
              <w:pStyle w:val="Norma"/>
              <w:rPr>
                <w:rFonts w:cs="Arial"/>
              </w:rPr>
            </w:pPr>
            <w:r>
              <w:rPr>
                <w:rFonts w:cs="Arial"/>
              </w:rPr>
              <w:t>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FD139A">
            <w:pPr>
              <w:pStyle w:val="Norma"/>
              <w:rPr>
                <w:rFonts w:cs="Arial"/>
              </w:rPr>
            </w:pPr>
            <w:r>
              <w:rPr>
                <w:rFonts w:cs="Arial"/>
              </w:rPr>
              <w:t>5</w:t>
            </w:r>
          </w:p>
        </w:tc>
        <w:tc>
          <w:tcPr>
            <w:tcW w:w="5638" w:type="dxa"/>
            <w:shd w:val="clear" w:color="auto" w:fill="auto"/>
          </w:tcPr>
          <w:p w14:paraId="5EA875BF" w14:textId="14D3D04F" w:rsidR="001623B7" w:rsidRPr="00F7796D" w:rsidRDefault="00F81BC1" w:rsidP="00FD139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507AB416" w:rsidR="001623B7" w:rsidRPr="00F7796D" w:rsidRDefault="00A83808" w:rsidP="00FD139A">
            <w:pPr>
              <w:pStyle w:val="Norma"/>
              <w:rPr>
                <w:rFonts w:cs="Arial"/>
              </w:rPr>
            </w:pPr>
            <w:r>
              <w:rPr>
                <w:rFonts w:cs="Arial"/>
              </w:rPr>
              <w:t>15</w:t>
            </w:r>
            <w:r w:rsidR="00DE76AF">
              <w:rPr>
                <w:rFonts w:cs="Arial"/>
              </w:rPr>
              <w:t>%</w:t>
            </w:r>
          </w:p>
        </w:tc>
      </w:tr>
      <w:tr w:rsidR="001623B7" w:rsidRPr="00C6546D" w14:paraId="5EA875C5" w14:textId="77777777" w:rsidTr="00FF4DBE">
        <w:tc>
          <w:tcPr>
            <w:tcW w:w="1133" w:type="dxa"/>
          </w:tcPr>
          <w:p w14:paraId="5EA875C2" w14:textId="416F5849" w:rsidR="001623B7" w:rsidRPr="00F7796D" w:rsidRDefault="00F81BC1" w:rsidP="00FD139A">
            <w:pPr>
              <w:pStyle w:val="Norma"/>
              <w:rPr>
                <w:rFonts w:cs="Arial"/>
              </w:rPr>
            </w:pPr>
            <w:r>
              <w:rPr>
                <w:rFonts w:cs="Arial"/>
              </w:rPr>
              <w:t>6</w:t>
            </w:r>
          </w:p>
        </w:tc>
        <w:tc>
          <w:tcPr>
            <w:tcW w:w="5638" w:type="dxa"/>
            <w:shd w:val="clear" w:color="auto" w:fill="auto"/>
          </w:tcPr>
          <w:p w14:paraId="5EA875C3" w14:textId="7958EC74" w:rsidR="001623B7" w:rsidRPr="00F7796D" w:rsidRDefault="00F81BC1" w:rsidP="00A83808">
            <w:pPr>
              <w:pStyle w:val="Norma"/>
              <w:rPr>
                <w:rFonts w:cs="Arial"/>
              </w:rPr>
            </w:pPr>
            <w:r w:rsidRPr="00334AEE">
              <w:rPr>
                <w:rFonts w:ascii="Calibri" w:hAnsi="Calibri"/>
                <w:b/>
              </w:rPr>
              <w:t>METHOD, ABILITY AND TECHNICAL CAPACITY</w:t>
            </w:r>
          </w:p>
        </w:tc>
        <w:tc>
          <w:tcPr>
            <w:tcW w:w="2693" w:type="dxa"/>
            <w:shd w:val="clear" w:color="auto" w:fill="auto"/>
          </w:tcPr>
          <w:p w14:paraId="5EA875C4" w14:textId="29340934" w:rsidR="001623B7" w:rsidRPr="00F7796D" w:rsidRDefault="00A83808" w:rsidP="00FD139A">
            <w:pPr>
              <w:pStyle w:val="Norma"/>
              <w:rPr>
                <w:rFonts w:cs="Arial"/>
              </w:rPr>
            </w:pPr>
            <w:r>
              <w:rPr>
                <w:rFonts w:cs="Arial"/>
              </w:rPr>
              <w:t>20</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FD139A">
            <w:pPr>
              <w:pStyle w:val="Norma"/>
              <w:rPr>
                <w:rFonts w:cs="Arial"/>
              </w:rPr>
            </w:pPr>
            <w:r>
              <w:rPr>
                <w:rFonts w:cs="Arial"/>
              </w:rPr>
              <w:t>7</w:t>
            </w:r>
          </w:p>
        </w:tc>
        <w:tc>
          <w:tcPr>
            <w:tcW w:w="5638" w:type="dxa"/>
            <w:shd w:val="clear" w:color="auto" w:fill="auto"/>
          </w:tcPr>
          <w:p w14:paraId="5EA875C7" w14:textId="7433D552" w:rsidR="001623B7" w:rsidRPr="00F7796D" w:rsidRDefault="00F81BC1" w:rsidP="00FD139A">
            <w:pPr>
              <w:pStyle w:val="Norma"/>
              <w:rPr>
                <w:rFonts w:cs="Arial"/>
              </w:rPr>
            </w:pPr>
            <w:r w:rsidRPr="00334AEE">
              <w:rPr>
                <w:rFonts w:ascii="Calibri" w:hAnsi="Calibri"/>
                <w:b/>
              </w:rPr>
              <w:t>UNDERSTANDING OF REQUIREMENTS</w:t>
            </w:r>
          </w:p>
        </w:tc>
        <w:tc>
          <w:tcPr>
            <w:tcW w:w="2693" w:type="dxa"/>
            <w:shd w:val="clear" w:color="auto" w:fill="auto"/>
          </w:tcPr>
          <w:p w14:paraId="5EA875C8" w14:textId="4F6A61A2" w:rsidR="001623B7" w:rsidRPr="00F7796D" w:rsidRDefault="00A83808" w:rsidP="00FD139A">
            <w:pPr>
              <w:pStyle w:val="Norma"/>
              <w:rPr>
                <w:rFonts w:cs="Arial"/>
              </w:rPr>
            </w:pPr>
            <w:r>
              <w:rPr>
                <w:rFonts w:cs="Arial"/>
              </w:rPr>
              <w:t>20</w:t>
            </w:r>
            <w:r w:rsidR="00DE76AF">
              <w:rPr>
                <w:rFonts w:cs="Arial"/>
              </w:rPr>
              <w:t>%</w:t>
            </w:r>
          </w:p>
        </w:tc>
      </w:tr>
      <w:tr w:rsidR="00F81BC1" w:rsidRPr="00C6546D" w14:paraId="2E6C8FB4" w14:textId="77777777" w:rsidTr="00FF4DBE">
        <w:tc>
          <w:tcPr>
            <w:tcW w:w="1133" w:type="dxa"/>
          </w:tcPr>
          <w:p w14:paraId="1E560CCE" w14:textId="3433B6B8" w:rsidR="00F81BC1" w:rsidRPr="00F7796D" w:rsidRDefault="00F81BC1" w:rsidP="00FD139A">
            <w:pPr>
              <w:pStyle w:val="Norma"/>
              <w:rPr>
                <w:rFonts w:cs="Arial"/>
              </w:rPr>
            </w:pPr>
            <w:r>
              <w:rPr>
                <w:rFonts w:cs="Arial"/>
              </w:rPr>
              <w:t>8</w:t>
            </w:r>
          </w:p>
        </w:tc>
        <w:tc>
          <w:tcPr>
            <w:tcW w:w="5638" w:type="dxa"/>
            <w:shd w:val="clear" w:color="auto" w:fill="auto"/>
          </w:tcPr>
          <w:p w14:paraId="66360B15" w14:textId="1E9C66FF" w:rsidR="00F81BC1" w:rsidRPr="00F7796D" w:rsidRDefault="00F81BC1" w:rsidP="00FD139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08A98D46" w:rsidR="00F81BC1" w:rsidRPr="00F7796D" w:rsidRDefault="00DE76AF" w:rsidP="00FD139A">
            <w:pPr>
              <w:pStyle w:val="Norma"/>
              <w:rPr>
                <w:rFonts w:cs="Arial"/>
              </w:rPr>
            </w:pPr>
            <w:r>
              <w:rPr>
                <w:rFonts w:cs="Arial"/>
              </w:rPr>
              <w:t>10%</w:t>
            </w:r>
          </w:p>
        </w:tc>
      </w:tr>
      <w:tr w:rsidR="00F81BC1" w:rsidRPr="00C6546D" w14:paraId="1D5C5230" w14:textId="77777777" w:rsidTr="00FF4DBE">
        <w:tc>
          <w:tcPr>
            <w:tcW w:w="1133" w:type="dxa"/>
          </w:tcPr>
          <w:p w14:paraId="2768895F" w14:textId="77777777" w:rsidR="00F81BC1" w:rsidRPr="00F7796D" w:rsidRDefault="00F81BC1" w:rsidP="00FD139A">
            <w:pPr>
              <w:pStyle w:val="Norma"/>
              <w:rPr>
                <w:rFonts w:cs="Arial"/>
              </w:rPr>
            </w:pPr>
          </w:p>
        </w:tc>
        <w:tc>
          <w:tcPr>
            <w:tcW w:w="5638" w:type="dxa"/>
            <w:shd w:val="clear" w:color="auto" w:fill="auto"/>
          </w:tcPr>
          <w:p w14:paraId="706ACC83" w14:textId="77777777" w:rsidR="00F81BC1" w:rsidRPr="00F7796D" w:rsidRDefault="00F81BC1" w:rsidP="00FD139A">
            <w:pPr>
              <w:pStyle w:val="Norma"/>
              <w:rPr>
                <w:rFonts w:cs="Arial"/>
              </w:rPr>
            </w:pPr>
          </w:p>
        </w:tc>
        <w:tc>
          <w:tcPr>
            <w:tcW w:w="2693" w:type="dxa"/>
            <w:shd w:val="clear" w:color="auto" w:fill="auto"/>
          </w:tcPr>
          <w:p w14:paraId="4C34B6F9" w14:textId="77777777" w:rsidR="00F81BC1" w:rsidRPr="00F7796D" w:rsidRDefault="00F81BC1" w:rsidP="00FD139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FD139A">
            <w:pPr>
              <w:pStyle w:val="Norma"/>
              <w:rPr>
                <w:rFonts w:cs="Arial"/>
              </w:rPr>
            </w:pPr>
          </w:p>
        </w:tc>
        <w:tc>
          <w:tcPr>
            <w:tcW w:w="2693" w:type="dxa"/>
            <w:shd w:val="clear" w:color="auto" w:fill="auto"/>
          </w:tcPr>
          <w:p w14:paraId="5EA875CB" w14:textId="77777777" w:rsidR="001623B7" w:rsidRPr="00F7796D" w:rsidRDefault="001623B7" w:rsidP="00FD139A">
            <w:pPr>
              <w:pStyle w:val="Norma"/>
              <w:rPr>
                <w:rFonts w:cs="Arial"/>
              </w:rPr>
            </w:pPr>
            <w:r w:rsidRPr="00F7796D">
              <w:rPr>
                <w:rFonts w:cs="Arial"/>
              </w:rPr>
              <w:t>100%</w:t>
            </w:r>
          </w:p>
        </w:tc>
      </w:tr>
    </w:tbl>
    <w:p w14:paraId="5EA875CD" w14:textId="77777777" w:rsidR="001623B7" w:rsidRDefault="001623B7" w:rsidP="001623B7">
      <w:pPr>
        <w:pStyle w:val="Norma"/>
      </w:pPr>
    </w:p>
    <w:p w14:paraId="67CE40B2" w14:textId="77777777" w:rsidR="00A83808" w:rsidRPr="00A83808" w:rsidRDefault="00F129F3" w:rsidP="00A83808">
      <w:pPr>
        <w:pStyle w:val="Heading1"/>
        <w:numPr>
          <w:ilvl w:val="0"/>
          <w:numId w:val="3"/>
        </w:numPr>
        <w:rPr>
          <w:rFonts w:ascii="Arial" w:hAnsi="Arial" w:cs="Arial"/>
          <w:sz w:val="24"/>
          <w:szCs w:val="24"/>
        </w:rPr>
      </w:pPr>
      <w:r w:rsidRPr="00A83808">
        <w:rPr>
          <w:rFonts w:ascii="Arial" w:hAnsi="Arial" w:cs="Arial"/>
          <w:sz w:val="24"/>
          <w:szCs w:val="24"/>
        </w:rPr>
        <w:t>Scoring Method</w:t>
      </w:r>
    </w:p>
    <w:p w14:paraId="750A9288" w14:textId="77777777" w:rsidR="00A83808" w:rsidRDefault="00A83808" w:rsidP="00F129F3">
      <w:pPr>
        <w:pStyle w:val="Norma"/>
        <w:jc w:val="both"/>
        <w:rPr>
          <w:rFonts w:cs="Arial"/>
          <w:b/>
          <w:bCs/>
          <w:sz w:val="24"/>
          <w:szCs w:val="24"/>
        </w:rPr>
      </w:pPr>
    </w:p>
    <w:p w14:paraId="5EA875D0" w14:textId="6E94C84D" w:rsidR="00F129F3" w:rsidRPr="00A83808" w:rsidRDefault="00F129F3" w:rsidP="00A83808">
      <w:pPr>
        <w:pStyle w:val="NoSpacing"/>
        <w:jc w:val="both"/>
        <w:rPr>
          <w:rFonts w:ascii="Arial" w:hAnsi="Arial" w:cs="Arial"/>
        </w:rPr>
      </w:pPr>
      <w:r w:rsidRPr="00A83808">
        <w:rPr>
          <w:rFonts w:ascii="Arial" w:hAnsi="Arial" w:cs="Arial"/>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A83808" w:rsidRDefault="00F129F3" w:rsidP="00A83808">
      <w:pPr>
        <w:pStyle w:val="NoSpacing"/>
        <w:jc w:val="both"/>
        <w:rPr>
          <w:rFonts w:ascii="Arial" w:hAnsi="Arial" w:cs="Arial"/>
        </w:rPr>
      </w:pPr>
    </w:p>
    <w:p w14:paraId="5EA875D2" w14:textId="77777777" w:rsidR="00F129F3" w:rsidRPr="00A83808" w:rsidRDefault="00F129F3" w:rsidP="00A83808">
      <w:pPr>
        <w:pStyle w:val="NoSpacing"/>
        <w:jc w:val="both"/>
        <w:rPr>
          <w:rFonts w:ascii="Arial" w:hAnsi="Arial" w:cs="Arial"/>
        </w:rPr>
      </w:pPr>
      <w:r w:rsidRPr="00A83808">
        <w:rPr>
          <w:rFonts w:ascii="Arial" w:hAnsi="Arial"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A83808">
        <w:tc>
          <w:tcPr>
            <w:tcW w:w="828" w:type="dxa"/>
          </w:tcPr>
          <w:p w14:paraId="5EA875D4" w14:textId="77777777" w:rsidR="00F129F3" w:rsidRPr="000F78E0" w:rsidRDefault="00F129F3" w:rsidP="00FD139A">
            <w:pPr>
              <w:pStyle w:val="Norma"/>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FD139A">
            <w:pPr>
              <w:pStyle w:val="Norma"/>
              <w:spacing w:line="276" w:lineRule="auto"/>
              <w:jc w:val="both"/>
              <w:rPr>
                <w:rFonts w:cs="Arial"/>
                <w:b/>
              </w:rPr>
            </w:pPr>
            <w:r w:rsidRPr="000F78E0">
              <w:rPr>
                <w:rFonts w:cs="Arial"/>
                <w:b/>
              </w:rPr>
              <w:t>Description</w:t>
            </w:r>
          </w:p>
        </w:tc>
      </w:tr>
      <w:tr w:rsidR="00F129F3" w:rsidRPr="000F78E0" w14:paraId="5EA875D9" w14:textId="77777777" w:rsidTr="00A83808">
        <w:trPr>
          <w:trHeight w:val="313"/>
        </w:trPr>
        <w:tc>
          <w:tcPr>
            <w:tcW w:w="828" w:type="dxa"/>
          </w:tcPr>
          <w:p w14:paraId="5EA875D7" w14:textId="77777777" w:rsidR="00F129F3" w:rsidRPr="000F78E0" w:rsidRDefault="00F129F3" w:rsidP="00FD139A">
            <w:pPr>
              <w:pStyle w:val="Norma"/>
              <w:spacing w:line="276" w:lineRule="auto"/>
              <w:jc w:val="both"/>
              <w:rPr>
                <w:rFonts w:cs="Arial"/>
              </w:rPr>
            </w:pPr>
            <w:r w:rsidRPr="000F78E0">
              <w:rPr>
                <w:rFonts w:cs="Arial"/>
              </w:rPr>
              <w:t>1</w:t>
            </w:r>
          </w:p>
        </w:tc>
        <w:tc>
          <w:tcPr>
            <w:tcW w:w="7939" w:type="dxa"/>
          </w:tcPr>
          <w:p w14:paraId="5EA875D8" w14:textId="77777777" w:rsidR="00F129F3" w:rsidRPr="000F78E0" w:rsidRDefault="00F129F3" w:rsidP="00FD139A">
            <w:pPr>
              <w:pStyle w:val="NoSpacing"/>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A83808">
        <w:tc>
          <w:tcPr>
            <w:tcW w:w="828" w:type="dxa"/>
          </w:tcPr>
          <w:p w14:paraId="5EA875DA" w14:textId="77777777" w:rsidR="00F129F3" w:rsidRPr="000F78E0" w:rsidRDefault="00F129F3" w:rsidP="00FD139A">
            <w:pPr>
              <w:pStyle w:val="Norma"/>
              <w:spacing w:line="276" w:lineRule="auto"/>
              <w:jc w:val="both"/>
              <w:rPr>
                <w:rFonts w:cs="Arial"/>
              </w:rPr>
            </w:pPr>
            <w:r w:rsidRPr="000F78E0">
              <w:rPr>
                <w:rFonts w:cs="Arial"/>
              </w:rPr>
              <w:t>2</w:t>
            </w:r>
          </w:p>
        </w:tc>
        <w:tc>
          <w:tcPr>
            <w:tcW w:w="7939" w:type="dxa"/>
          </w:tcPr>
          <w:p w14:paraId="5EA875DB" w14:textId="77777777" w:rsidR="00F129F3" w:rsidRPr="000F78E0" w:rsidRDefault="00F129F3" w:rsidP="00FD139A">
            <w:pPr>
              <w:pStyle w:val="NoSpacing"/>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A83808">
        <w:tc>
          <w:tcPr>
            <w:tcW w:w="828" w:type="dxa"/>
          </w:tcPr>
          <w:p w14:paraId="5EA875DD" w14:textId="77777777" w:rsidR="00F129F3" w:rsidRPr="000F78E0" w:rsidRDefault="00F129F3" w:rsidP="00FD139A">
            <w:pPr>
              <w:pStyle w:val="Norma"/>
              <w:spacing w:line="276" w:lineRule="auto"/>
              <w:jc w:val="both"/>
              <w:rPr>
                <w:rFonts w:cs="Arial"/>
              </w:rPr>
            </w:pPr>
            <w:r w:rsidRPr="000F78E0">
              <w:rPr>
                <w:rFonts w:cs="Arial"/>
              </w:rPr>
              <w:t>3</w:t>
            </w:r>
          </w:p>
        </w:tc>
        <w:tc>
          <w:tcPr>
            <w:tcW w:w="7939" w:type="dxa"/>
          </w:tcPr>
          <w:p w14:paraId="5EA875DE" w14:textId="77777777" w:rsidR="00F129F3" w:rsidRPr="000F78E0" w:rsidRDefault="00F129F3" w:rsidP="00FD139A">
            <w:pPr>
              <w:pStyle w:val="NoSpacing"/>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A83808">
        <w:tc>
          <w:tcPr>
            <w:tcW w:w="828" w:type="dxa"/>
          </w:tcPr>
          <w:p w14:paraId="5EA875E0" w14:textId="77777777" w:rsidR="00F129F3" w:rsidRPr="000F78E0" w:rsidRDefault="00F129F3" w:rsidP="00FD139A">
            <w:pPr>
              <w:pStyle w:val="Norma"/>
              <w:spacing w:line="276" w:lineRule="auto"/>
              <w:jc w:val="both"/>
              <w:rPr>
                <w:rFonts w:cs="Arial"/>
              </w:rPr>
            </w:pPr>
            <w:r w:rsidRPr="000F78E0">
              <w:rPr>
                <w:rFonts w:cs="Arial"/>
              </w:rPr>
              <w:t>4</w:t>
            </w:r>
          </w:p>
        </w:tc>
        <w:tc>
          <w:tcPr>
            <w:tcW w:w="7939" w:type="dxa"/>
          </w:tcPr>
          <w:p w14:paraId="5EA875E1" w14:textId="77777777" w:rsidR="00F129F3" w:rsidRPr="000F78E0" w:rsidRDefault="00F129F3" w:rsidP="00FD139A">
            <w:pPr>
              <w:pStyle w:val="NoSpacing"/>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A83808">
        <w:tc>
          <w:tcPr>
            <w:tcW w:w="828" w:type="dxa"/>
          </w:tcPr>
          <w:p w14:paraId="5EA875E3" w14:textId="77777777" w:rsidR="00F129F3" w:rsidRPr="000F78E0" w:rsidRDefault="00F129F3" w:rsidP="00FD139A">
            <w:pPr>
              <w:pStyle w:val="Norma"/>
              <w:spacing w:line="276" w:lineRule="auto"/>
              <w:jc w:val="both"/>
              <w:rPr>
                <w:rFonts w:cs="Arial"/>
              </w:rPr>
            </w:pPr>
            <w:r w:rsidRPr="000F78E0">
              <w:rPr>
                <w:rFonts w:cs="Arial"/>
              </w:rPr>
              <w:t>5</w:t>
            </w:r>
          </w:p>
        </w:tc>
        <w:tc>
          <w:tcPr>
            <w:tcW w:w="7939" w:type="dxa"/>
          </w:tcPr>
          <w:p w14:paraId="5EA875E4" w14:textId="77777777" w:rsidR="00F129F3" w:rsidRPr="000F78E0" w:rsidRDefault="00F129F3" w:rsidP="00FD139A">
            <w:pPr>
              <w:pStyle w:val="NoSpacing"/>
              <w:rPr>
                <w:rFonts w:ascii="Arial" w:hAnsi="Arial" w:cs="Arial"/>
              </w:rPr>
            </w:pPr>
            <w:r w:rsidRPr="000F78E0">
              <w:rPr>
                <w:rFonts w:ascii="Arial" w:hAnsi="Arial" w:cs="Arial"/>
              </w:rPr>
              <w:t>Excellent: Proposal fully meets the required standard with high levels of assurance</w:t>
            </w:r>
          </w:p>
        </w:tc>
      </w:tr>
    </w:tbl>
    <w:p w14:paraId="5EA87616" w14:textId="77777777" w:rsidR="00BD1875" w:rsidRPr="00A83808" w:rsidRDefault="00BD1875" w:rsidP="00A83808">
      <w:pPr>
        <w:pStyle w:val="Heading1"/>
        <w:numPr>
          <w:ilvl w:val="0"/>
          <w:numId w:val="3"/>
        </w:numPr>
        <w:rPr>
          <w:rFonts w:ascii="Arial" w:hAnsi="Arial" w:cs="Arial"/>
          <w:sz w:val="24"/>
          <w:szCs w:val="24"/>
        </w:rPr>
      </w:pPr>
      <w:bookmarkStart w:id="67" w:name="nine01"/>
      <w:bookmarkEnd w:id="67"/>
      <w:r w:rsidRPr="00A83808">
        <w:rPr>
          <w:rFonts w:ascii="Arial" w:hAnsi="Arial" w:cs="Arial"/>
          <w:sz w:val="24"/>
          <w:szCs w:val="24"/>
        </w:rPr>
        <w:lastRenderedPageBreak/>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B" w14:textId="77777777" w:rsidR="000B02C5" w:rsidRPr="00A83808" w:rsidRDefault="000B02C5" w:rsidP="00A83808">
      <w:pPr>
        <w:pStyle w:val="Heading1"/>
        <w:numPr>
          <w:ilvl w:val="0"/>
          <w:numId w:val="3"/>
        </w:numPr>
        <w:rPr>
          <w:rFonts w:ascii="Arial" w:hAnsi="Arial" w:cs="Arial"/>
          <w:sz w:val="24"/>
          <w:szCs w:val="24"/>
        </w:rPr>
      </w:pPr>
      <w:r w:rsidRPr="00A83808">
        <w:rPr>
          <w:rFonts w:ascii="Arial" w:hAnsi="Arial" w:cs="Arial"/>
          <w:sz w:val="24"/>
          <w:szCs w:val="24"/>
        </w:rPr>
        <w:t>Evaluation for Interviews</w:t>
      </w:r>
      <w:r w:rsidR="00CF00CA" w:rsidRPr="00A83808">
        <w:rPr>
          <w:rFonts w:ascii="Arial" w:hAnsi="Arial" w:cs="Arial"/>
          <w:sz w:val="24"/>
          <w:szCs w:val="24"/>
        </w:rPr>
        <w:t>, if held</w:t>
      </w:r>
      <w:r w:rsidRPr="00A83808">
        <w:rPr>
          <w:rFonts w:ascii="Arial" w:hAnsi="Arial" w:cs="Arial"/>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17F146EF" w:rsidR="00802C0A" w:rsidRPr="000F78E0" w:rsidRDefault="00802C0A" w:rsidP="00802C0A">
      <w:pPr>
        <w:pStyle w:val="Norma"/>
        <w:jc w:val="both"/>
        <w:rPr>
          <w:rFonts w:cs="Arial"/>
          <w:szCs w:val="24"/>
        </w:rPr>
      </w:pPr>
      <w:r w:rsidRPr="000F78E0">
        <w:rPr>
          <w:rFonts w:cs="Arial"/>
          <w:szCs w:val="24"/>
        </w:rPr>
        <w:t xml:space="preserve">Should interviews go ahead, CCC will shortlist the top three suppliers with the highest marks from the written proposals. Interviews are provisionally expected to be held </w:t>
      </w:r>
      <w:r w:rsidR="00811D88">
        <w:rPr>
          <w:rFonts w:cs="Arial"/>
          <w:szCs w:val="24"/>
        </w:rPr>
        <w:t>w/c 23</w:t>
      </w:r>
      <w:r w:rsidR="00811D88" w:rsidRPr="00811D88">
        <w:rPr>
          <w:rFonts w:cs="Arial"/>
          <w:szCs w:val="24"/>
          <w:vertAlign w:val="superscript"/>
        </w:rPr>
        <w:t>rd</w:t>
      </w:r>
      <w:r w:rsidR="00811D88">
        <w:rPr>
          <w:rFonts w:cs="Arial"/>
          <w:szCs w:val="24"/>
        </w:rPr>
        <w:t xml:space="preserve"> October 2017,</w:t>
      </w:r>
      <w:r w:rsidRPr="000F78E0">
        <w:rPr>
          <w:rFonts w:cs="Arial"/>
          <w:szCs w:val="24"/>
        </w:rPr>
        <w:t xml:space="preserve"> If this date changes, CCC will notify applicants. </w:t>
      </w:r>
    </w:p>
    <w:p w14:paraId="1D18D5ED" w14:textId="77777777" w:rsidR="00802C0A" w:rsidRPr="000F78E0" w:rsidRDefault="00802C0A" w:rsidP="008A0415">
      <w:pPr>
        <w:pStyle w:val="Norma"/>
        <w:jc w:val="both"/>
        <w:rPr>
          <w:rFonts w:cs="Arial"/>
          <w:szCs w:val="24"/>
        </w:rPr>
      </w:pPr>
    </w:p>
    <w:p w14:paraId="5EA87621" w14:textId="335D7D1B" w:rsidR="006C44C2" w:rsidRPr="000F78E0" w:rsidRDefault="006C44C2" w:rsidP="008A0415">
      <w:pPr>
        <w:pStyle w:val="Norma"/>
        <w:jc w:val="both"/>
        <w:rPr>
          <w:rFonts w:cs="Arial"/>
          <w:szCs w:val="24"/>
        </w:rPr>
      </w:pPr>
      <w:r w:rsidRPr="000F78E0">
        <w:rPr>
          <w:rFonts w:cs="Arial"/>
          <w:szCs w:val="24"/>
        </w:rPr>
        <w:t>The areas to be covered in the interview, and markings allocated to each topic area 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6" w14:textId="2A935868" w:rsidR="00480D1F" w:rsidRPr="00A83808" w:rsidRDefault="00480D1F" w:rsidP="00A83808">
      <w:pPr>
        <w:pStyle w:val="Heading1"/>
        <w:numPr>
          <w:ilvl w:val="0"/>
          <w:numId w:val="3"/>
        </w:numPr>
        <w:rPr>
          <w:rFonts w:ascii="Arial" w:hAnsi="Arial" w:cs="Arial"/>
          <w:sz w:val="24"/>
          <w:szCs w:val="24"/>
        </w:rPr>
      </w:pPr>
      <w:r w:rsidRPr="00A83808">
        <w:rPr>
          <w:rFonts w:ascii="Arial" w:hAnsi="Arial" w:cs="Arial"/>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77777777"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will be given in the</w:t>
      </w:r>
      <w:r w:rsidRPr="000F78E0">
        <w:rPr>
          <w:rFonts w:cs="Arial"/>
          <w:szCs w:val="24"/>
        </w:rPr>
        <w:t xml:space="preserve"> unsuccessful letters</w:t>
      </w:r>
      <w:r w:rsidRPr="000F78E0" w:rsidDel="00AA6AF5">
        <w:rPr>
          <w:rFonts w:cs="Arial"/>
          <w:szCs w:val="24"/>
        </w:rPr>
        <w:t xml:space="preserve"> </w:t>
      </w:r>
      <w:r w:rsidR="000967DA" w:rsidRPr="000F78E0">
        <w:rPr>
          <w:rFonts w:cs="Arial"/>
          <w:szCs w:val="24"/>
        </w:rPr>
        <w:t>or emails.</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7742C4" w:rsidRDefault="007742C4" w:rsidP="00EB43D8">
      <w:pPr>
        <w:pStyle w:val="Norma"/>
      </w:pPr>
      <w:r>
        <w:separator/>
      </w:r>
    </w:p>
  </w:endnote>
  <w:endnote w:type="continuationSeparator" w:id="0">
    <w:p w14:paraId="5EA8762F" w14:textId="77777777" w:rsidR="007742C4" w:rsidRDefault="007742C4"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7742C4" w:rsidRDefault="007742C4" w:rsidP="00602CDD">
    <w:pPr>
      <w:pStyle w:val="Footer"/>
      <w:pBdr>
        <w:top w:val="single" w:sz="4" w:space="1" w:color="D9D9D9"/>
      </w:pBdr>
      <w:jc w:val="right"/>
    </w:pPr>
    <w:r>
      <w:fldChar w:fldCharType="begin"/>
    </w:r>
    <w:r>
      <w:instrText xml:space="preserve"> PAGE   \* MERGEFORMAT </w:instrText>
    </w:r>
    <w:r>
      <w:fldChar w:fldCharType="separate"/>
    </w:r>
    <w:r w:rsidR="0094337E">
      <w:rPr>
        <w:noProof/>
      </w:rPr>
      <w:t>9</w:t>
    </w:r>
    <w:r>
      <w:rPr>
        <w:noProof/>
      </w:rPr>
      <w:fldChar w:fldCharType="end"/>
    </w:r>
    <w:r>
      <w:t xml:space="preserve"> | </w:t>
    </w:r>
    <w:r w:rsidRPr="00602CDD">
      <w:rPr>
        <w:color w:val="808080"/>
        <w:spacing w:val="60"/>
      </w:rPr>
      <w:t>Page</w:t>
    </w:r>
  </w:p>
  <w:p w14:paraId="5EA87631" w14:textId="77777777" w:rsidR="007742C4" w:rsidRDefault="007742C4"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7742C4" w:rsidRDefault="007742C4" w:rsidP="00EB43D8">
      <w:pPr>
        <w:pStyle w:val="Norma"/>
      </w:pPr>
      <w:r>
        <w:separator/>
      </w:r>
    </w:p>
  </w:footnote>
  <w:footnote w:type="continuationSeparator" w:id="0">
    <w:p w14:paraId="5EA8762D" w14:textId="77777777" w:rsidR="007742C4" w:rsidRDefault="007742C4" w:rsidP="00EB43D8">
      <w:pPr>
        <w:pStyle w:val="Norma"/>
      </w:pPr>
      <w:r>
        <w:continuationSeparator/>
      </w:r>
    </w:p>
  </w:footnote>
  <w:footnote w:id="1">
    <w:p w14:paraId="167DA669" w14:textId="6E52150A" w:rsidR="006801F2" w:rsidRDefault="006801F2">
      <w:pPr>
        <w:pStyle w:val="FootnoteText"/>
      </w:pPr>
      <w:r>
        <w:rPr>
          <w:rStyle w:val="FootnoteReference"/>
        </w:rPr>
        <w:footnoteRef/>
      </w:r>
      <w:r>
        <w:t xml:space="preserve"> </w:t>
      </w:r>
      <w:proofErr w:type="spellStart"/>
      <w:r w:rsidRPr="006801F2">
        <w:t>Ofwat</w:t>
      </w:r>
      <w:proofErr w:type="spellEnd"/>
      <w:r w:rsidRPr="006801F2">
        <w:t xml:space="preserve"> will publish </w:t>
      </w:r>
      <w:r>
        <w:t>the</w:t>
      </w:r>
      <w:r w:rsidRPr="006801F2">
        <w:t xml:space="preserve"> final methodology in December</w:t>
      </w:r>
      <w:r>
        <w:t>, alongside the response of the consultation.</w:t>
      </w:r>
    </w:p>
  </w:footnote>
  <w:footnote w:id="2">
    <w:p w14:paraId="011B081F" w14:textId="7A5AD967" w:rsidR="007742C4" w:rsidRPr="00096875" w:rsidRDefault="007742C4" w:rsidP="00D8268D">
      <w:pPr>
        <w:pStyle w:val="FootnoteText"/>
        <w:spacing w:beforeLines="40" w:before="96" w:afterLines="40" w:after="96"/>
        <w:rPr>
          <w:sz w:val="18"/>
          <w:szCs w:val="18"/>
        </w:rPr>
      </w:pPr>
      <w:r w:rsidRPr="00096875">
        <w:rPr>
          <w:rStyle w:val="FootnoteReference"/>
          <w:sz w:val="18"/>
          <w:szCs w:val="18"/>
        </w:rPr>
        <w:footnoteRef/>
      </w:r>
      <w:r w:rsidRPr="00096875">
        <w:rPr>
          <w:sz w:val="18"/>
          <w:szCs w:val="18"/>
        </w:rPr>
        <w:t xml:space="preserve"> In particular EA’s outcome measures and </w:t>
      </w:r>
      <w:proofErr w:type="spellStart"/>
      <w:r w:rsidRPr="00096875">
        <w:rPr>
          <w:sz w:val="18"/>
          <w:szCs w:val="18"/>
        </w:rPr>
        <w:t>Ofwat</w:t>
      </w:r>
      <w:proofErr w:type="spellEnd"/>
      <w:r w:rsidRPr="00096875">
        <w:rPr>
          <w:sz w:val="18"/>
          <w:szCs w:val="18"/>
        </w:rPr>
        <w:t xml:space="preserve"> </w:t>
      </w:r>
      <w:r w:rsidR="00873B64">
        <w:rPr>
          <w:sz w:val="18"/>
          <w:szCs w:val="18"/>
        </w:rPr>
        <w:t xml:space="preserve">proposed </w:t>
      </w:r>
      <w:r w:rsidRPr="00096875">
        <w:rPr>
          <w:sz w:val="18"/>
          <w:szCs w:val="18"/>
        </w:rPr>
        <w:t>resilience metrics</w:t>
      </w:r>
      <w:r w:rsidR="00873B64">
        <w:rPr>
          <w:sz w:val="18"/>
          <w:szCs w:val="18"/>
        </w:rPr>
        <w:t xml:space="preserve"> for PR19.</w:t>
      </w:r>
    </w:p>
  </w:footnote>
  <w:footnote w:id="3">
    <w:p w14:paraId="05135041" w14:textId="74050705" w:rsidR="007742C4" w:rsidRPr="00096875" w:rsidRDefault="007742C4" w:rsidP="00D8268D">
      <w:pPr>
        <w:pStyle w:val="FootnoteText"/>
        <w:spacing w:beforeLines="40" w:before="96" w:afterLines="40" w:after="96"/>
        <w:rPr>
          <w:sz w:val="18"/>
          <w:szCs w:val="18"/>
        </w:rPr>
      </w:pPr>
      <w:r w:rsidRPr="00096875">
        <w:rPr>
          <w:rStyle w:val="FootnoteReference"/>
          <w:sz w:val="18"/>
          <w:szCs w:val="18"/>
        </w:rPr>
        <w:footnoteRef/>
      </w:r>
      <w:r w:rsidRPr="00096875">
        <w:rPr>
          <w:sz w:val="18"/>
          <w:szCs w:val="18"/>
        </w:rPr>
        <w:t xml:space="preserve"> Including Local Flood Risk </w:t>
      </w:r>
      <w:r w:rsidR="00873B64">
        <w:rPr>
          <w:sz w:val="18"/>
          <w:szCs w:val="18"/>
        </w:rPr>
        <w:t xml:space="preserve">Management </w:t>
      </w:r>
      <w:r w:rsidRPr="00096875">
        <w:rPr>
          <w:sz w:val="18"/>
          <w:szCs w:val="18"/>
        </w:rPr>
        <w:t>Strategies, information within the 6-year capital programme etc.</w:t>
      </w:r>
    </w:p>
  </w:footnote>
  <w:footnote w:id="4">
    <w:p w14:paraId="493F9894" w14:textId="3359738A" w:rsidR="00B638A8" w:rsidRDefault="00B638A8">
      <w:pPr>
        <w:pStyle w:val="FootnoteText"/>
      </w:pPr>
      <w:r>
        <w:rPr>
          <w:rStyle w:val="FootnoteReference"/>
        </w:rPr>
        <w:footnoteRef/>
      </w:r>
      <w:r>
        <w:t xml:space="preserve"> The </w:t>
      </w:r>
      <w:r w:rsidRPr="00B638A8">
        <w:t>applicability of each metric should be tested against (</w:t>
      </w:r>
      <w:proofErr w:type="spellStart"/>
      <w:r w:rsidRPr="00B638A8">
        <w:t>i</w:t>
      </w:r>
      <w:proofErr w:type="spellEnd"/>
      <w:r w:rsidRPr="00B638A8">
        <w:t>) local; (ii) regional, and; (iii) national</w:t>
      </w:r>
      <w:r>
        <w:t xml:space="preserve"> scales</w:t>
      </w:r>
      <w:r w:rsidRPr="00B638A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7742C4" w:rsidRDefault="007742C4"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50C3D"/>
    <w:multiLevelType w:val="hybridMultilevel"/>
    <w:tmpl w:val="3AAA1D04"/>
    <w:lvl w:ilvl="0" w:tplc="2F9CFAD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E394D"/>
    <w:multiLevelType w:val="hybridMultilevel"/>
    <w:tmpl w:val="E9F4D4F2"/>
    <w:lvl w:ilvl="0" w:tplc="A0102E3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4223CD"/>
    <w:multiLevelType w:val="hybridMultilevel"/>
    <w:tmpl w:val="32CE5C08"/>
    <w:lvl w:ilvl="0" w:tplc="672A4F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A4066"/>
    <w:multiLevelType w:val="hybridMultilevel"/>
    <w:tmpl w:val="2D384988"/>
    <w:lvl w:ilvl="0" w:tplc="4DB817F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A4A1566"/>
    <w:multiLevelType w:val="hybridMultilevel"/>
    <w:tmpl w:val="55948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5104F"/>
    <w:multiLevelType w:val="hybridMultilevel"/>
    <w:tmpl w:val="B694BDD4"/>
    <w:lvl w:ilvl="0" w:tplc="A0102E3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40890"/>
    <w:multiLevelType w:val="hybridMultilevel"/>
    <w:tmpl w:val="69AE9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5"/>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10"/>
  </w:num>
  <w:num w:numId="10">
    <w:abstractNumId w:val="0"/>
  </w:num>
  <w:num w:numId="11">
    <w:abstractNumId w:val="14"/>
  </w:num>
  <w:num w:numId="12">
    <w:abstractNumId w:val="9"/>
  </w:num>
  <w:num w:numId="13">
    <w:abstractNumId w:val="6"/>
  </w:num>
  <w:num w:numId="14">
    <w:abstractNumId w:val="1"/>
  </w:num>
  <w:num w:numId="15">
    <w:abstractNumId w:val="12"/>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55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3DE6"/>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AD7"/>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0BC"/>
    <w:rsid w:val="00073317"/>
    <w:rsid w:val="0007394B"/>
    <w:rsid w:val="00073F40"/>
    <w:rsid w:val="0007408F"/>
    <w:rsid w:val="0007416C"/>
    <w:rsid w:val="000744BD"/>
    <w:rsid w:val="00074692"/>
    <w:rsid w:val="00075D2C"/>
    <w:rsid w:val="00075F1B"/>
    <w:rsid w:val="000768E3"/>
    <w:rsid w:val="00077CCA"/>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A57"/>
    <w:rsid w:val="00090F0E"/>
    <w:rsid w:val="000913C5"/>
    <w:rsid w:val="00091732"/>
    <w:rsid w:val="00091EEA"/>
    <w:rsid w:val="00092266"/>
    <w:rsid w:val="0009297F"/>
    <w:rsid w:val="00092A70"/>
    <w:rsid w:val="00093040"/>
    <w:rsid w:val="00094795"/>
    <w:rsid w:val="00094BED"/>
    <w:rsid w:val="000967DA"/>
    <w:rsid w:val="00096B2D"/>
    <w:rsid w:val="00097813"/>
    <w:rsid w:val="000A2028"/>
    <w:rsid w:val="000A36AE"/>
    <w:rsid w:val="000A3759"/>
    <w:rsid w:val="000A3E1A"/>
    <w:rsid w:val="000A4BAC"/>
    <w:rsid w:val="000A5AE0"/>
    <w:rsid w:val="000A66E5"/>
    <w:rsid w:val="000A6829"/>
    <w:rsid w:val="000A6937"/>
    <w:rsid w:val="000A6E98"/>
    <w:rsid w:val="000A778B"/>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02D7"/>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46F1"/>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1AF"/>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6D9B"/>
    <w:rsid w:val="00187A2E"/>
    <w:rsid w:val="0019065C"/>
    <w:rsid w:val="001911B4"/>
    <w:rsid w:val="001914C9"/>
    <w:rsid w:val="00192A40"/>
    <w:rsid w:val="00192C0C"/>
    <w:rsid w:val="00192CDD"/>
    <w:rsid w:val="00193872"/>
    <w:rsid w:val="001946EB"/>
    <w:rsid w:val="001A1F4F"/>
    <w:rsid w:val="001A1FA4"/>
    <w:rsid w:val="001A380A"/>
    <w:rsid w:val="001A4227"/>
    <w:rsid w:val="001A5F6A"/>
    <w:rsid w:val="001A6304"/>
    <w:rsid w:val="001A6487"/>
    <w:rsid w:val="001A6B9B"/>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355"/>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5B9"/>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3A0"/>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A42"/>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34F"/>
    <w:rsid w:val="002A29EC"/>
    <w:rsid w:val="002A2D1C"/>
    <w:rsid w:val="002A36BB"/>
    <w:rsid w:val="002A406B"/>
    <w:rsid w:val="002A4E55"/>
    <w:rsid w:val="002A5504"/>
    <w:rsid w:val="002A5C78"/>
    <w:rsid w:val="002A638F"/>
    <w:rsid w:val="002A76E7"/>
    <w:rsid w:val="002A7790"/>
    <w:rsid w:val="002B173B"/>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17"/>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A8"/>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1C8A"/>
    <w:rsid w:val="00301D31"/>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2DDC"/>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59"/>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9CB"/>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745"/>
    <w:rsid w:val="00471B38"/>
    <w:rsid w:val="004721F4"/>
    <w:rsid w:val="00473065"/>
    <w:rsid w:val="0047472C"/>
    <w:rsid w:val="00474C51"/>
    <w:rsid w:val="00475747"/>
    <w:rsid w:val="0047579B"/>
    <w:rsid w:val="0047638E"/>
    <w:rsid w:val="0047679C"/>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62D"/>
    <w:rsid w:val="004A4B3D"/>
    <w:rsid w:val="004A4CDB"/>
    <w:rsid w:val="004A5C1C"/>
    <w:rsid w:val="004B0C5B"/>
    <w:rsid w:val="004B11F8"/>
    <w:rsid w:val="004B1235"/>
    <w:rsid w:val="004B2057"/>
    <w:rsid w:val="004B2557"/>
    <w:rsid w:val="004B2BB0"/>
    <w:rsid w:val="004B3AD5"/>
    <w:rsid w:val="004B40EE"/>
    <w:rsid w:val="004B54E0"/>
    <w:rsid w:val="004B5652"/>
    <w:rsid w:val="004B5CDC"/>
    <w:rsid w:val="004B602B"/>
    <w:rsid w:val="004B7B6A"/>
    <w:rsid w:val="004C03C6"/>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AF7"/>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404"/>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DE2"/>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88B"/>
    <w:rsid w:val="00656D4A"/>
    <w:rsid w:val="006572DD"/>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1F2"/>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4C2D"/>
    <w:rsid w:val="00695005"/>
    <w:rsid w:val="0069541B"/>
    <w:rsid w:val="00695A92"/>
    <w:rsid w:val="00695F18"/>
    <w:rsid w:val="00696533"/>
    <w:rsid w:val="006A02A3"/>
    <w:rsid w:val="006A0417"/>
    <w:rsid w:val="006A09D5"/>
    <w:rsid w:val="006A195A"/>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5E0F"/>
    <w:rsid w:val="006F70A3"/>
    <w:rsid w:val="006F71DF"/>
    <w:rsid w:val="006F752B"/>
    <w:rsid w:val="006F7FC2"/>
    <w:rsid w:val="00703801"/>
    <w:rsid w:val="007044BB"/>
    <w:rsid w:val="0070501A"/>
    <w:rsid w:val="00705ADE"/>
    <w:rsid w:val="007068EB"/>
    <w:rsid w:val="00707787"/>
    <w:rsid w:val="00707C6D"/>
    <w:rsid w:val="0071005D"/>
    <w:rsid w:val="007101CE"/>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7B2"/>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0A4F"/>
    <w:rsid w:val="0077193C"/>
    <w:rsid w:val="007739A3"/>
    <w:rsid w:val="007742C4"/>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43DB"/>
    <w:rsid w:val="007C59AF"/>
    <w:rsid w:val="007C620D"/>
    <w:rsid w:val="007C661F"/>
    <w:rsid w:val="007C7DF0"/>
    <w:rsid w:val="007D0B26"/>
    <w:rsid w:val="007D0D99"/>
    <w:rsid w:val="007D1049"/>
    <w:rsid w:val="007D1052"/>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44F3"/>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1D88"/>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116"/>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3EA"/>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002"/>
    <w:rsid w:val="00872AB4"/>
    <w:rsid w:val="00873B6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225"/>
    <w:rsid w:val="008B4415"/>
    <w:rsid w:val="008B486D"/>
    <w:rsid w:val="008B5319"/>
    <w:rsid w:val="008B723C"/>
    <w:rsid w:val="008B778E"/>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337E"/>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423"/>
    <w:rsid w:val="00956BBC"/>
    <w:rsid w:val="0096045F"/>
    <w:rsid w:val="0096082B"/>
    <w:rsid w:val="0096099B"/>
    <w:rsid w:val="00960D10"/>
    <w:rsid w:val="00963846"/>
    <w:rsid w:val="00963DF5"/>
    <w:rsid w:val="0096411D"/>
    <w:rsid w:val="00965547"/>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1C3"/>
    <w:rsid w:val="009B2375"/>
    <w:rsid w:val="009B2E5D"/>
    <w:rsid w:val="009B30DD"/>
    <w:rsid w:val="009B3B47"/>
    <w:rsid w:val="009B3C19"/>
    <w:rsid w:val="009B4805"/>
    <w:rsid w:val="009B6070"/>
    <w:rsid w:val="009B740F"/>
    <w:rsid w:val="009B7946"/>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2CA1"/>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4DA"/>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371"/>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808"/>
    <w:rsid w:val="00A83B45"/>
    <w:rsid w:val="00A84886"/>
    <w:rsid w:val="00A8498F"/>
    <w:rsid w:val="00A84C7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0FE2"/>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2F8D"/>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4A8"/>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5CE"/>
    <w:rsid w:val="00B46691"/>
    <w:rsid w:val="00B46E98"/>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38A8"/>
    <w:rsid w:val="00B6589F"/>
    <w:rsid w:val="00B67D80"/>
    <w:rsid w:val="00B70223"/>
    <w:rsid w:val="00B712F8"/>
    <w:rsid w:val="00B7246D"/>
    <w:rsid w:val="00B725E6"/>
    <w:rsid w:val="00B728E4"/>
    <w:rsid w:val="00B737A5"/>
    <w:rsid w:val="00B7440D"/>
    <w:rsid w:val="00B750D9"/>
    <w:rsid w:val="00B76829"/>
    <w:rsid w:val="00B77036"/>
    <w:rsid w:val="00B80BED"/>
    <w:rsid w:val="00B811AF"/>
    <w:rsid w:val="00B81B50"/>
    <w:rsid w:val="00B83D95"/>
    <w:rsid w:val="00B83EFA"/>
    <w:rsid w:val="00B845C6"/>
    <w:rsid w:val="00B84DC6"/>
    <w:rsid w:val="00B84F01"/>
    <w:rsid w:val="00B8517D"/>
    <w:rsid w:val="00B86041"/>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520"/>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59A"/>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355"/>
    <w:rsid w:val="00C648A2"/>
    <w:rsid w:val="00C648EB"/>
    <w:rsid w:val="00C6551C"/>
    <w:rsid w:val="00C65E41"/>
    <w:rsid w:val="00C67EE4"/>
    <w:rsid w:val="00C70012"/>
    <w:rsid w:val="00C70564"/>
    <w:rsid w:val="00C71B96"/>
    <w:rsid w:val="00C7241A"/>
    <w:rsid w:val="00C727F6"/>
    <w:rsid w:val="00C73CF1"/>
    <w:rsid w:val="00C74568"/>
    <w:rsid w:val="00C75751"/>
    <w:rsid w:val="00C768F6"/>
    <w:rsid w:val="00C8035F"/>
    <w:rsid w:val="00C8164F"/>
    <w:rsid w:val="00C81B38"/>
    <w:rsid w:val="00C81E75"/>
    <w:rsid w:val="00C82462"/>
    <w:rsid w:val="00C8253F"/>
    <w:rsid w:val="00C82E1B"/>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97AC6"/>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31ED"/>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2761"/>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0FE3"/>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05D"/>
    <w:rsid w:val="00D65A1E"/>
    <w:rsid w:val="00D65A99"/>
    <w:rsid w:val="00D66A16"/>
    <w:rsid w:val="00D66BC5"/>
    <w:rsid w:val="00D67F23"/>
    <w:rsid w:val="00D70E67"/>
    <w:rsid w:val="00D71BCB"/>
    <w:rsid w:val="00D71C5C"/>
    <w:rsid w:val="00D73FD0"/>
    <w:rsid w:val="00D74687"/>
    <w:rsid w:val="00D74A12"/>
    <w:rsid w:val="00D75586"/>
    <w:rsid w:val="00D7653B"/>
    <w:rsid w:val="00D76B07"/>
    <w:rsid w:val="00D777EA"/>
    <w:rsid w:val="00D77DA4"/>
    <w:rsid w:val="00D77E24"/>
    <w:rsid w:val="00D80757"/>
    <w:rsid w:val="00D81247"/>
    <w:rsid w:val="00D81A3B"/>
    <w:rsid w:val="00D81B9C"/>
    <w:rsid w:val="00D81D00"/>
    <w:rsid w:val="00D8268D"/>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1BE"/>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40B"/>
    <w:rsid w:val="00DC6CFB"/>
    <w:rsid w:val="00DC6E13"/>
    <w:rsid w:val="00DC7D19"/>
    <w:rsid w:val="00DD15F0"/>
    <w:rsid w:val="00DD34B0"/>
    <w:rsid w:val="00DD3909"/>
    <w:rsid w:val="00DD5078"/>
    <w:rsid w:val="00DD521A"/>
    <w:rsid w:val="00DD53FC"/>
    <w:rsid w:val="00DD5AF5"/>
    <w:rsid w:val="00DD645B"/>
    <w:rsid w:val="00DD667C"/>
    <w:rsid w:val="00DD699E"/>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C02"/>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1F02"/>
    <w:rsid w:val="00E2336E"/>
    <w:rsid w:val="00E237E9"/>
    <w:rsid w:val="00E242F7"/>
    <w:rsid w:val="00E2462B"/>
    <w:rsid w:val="00E250E1"/>
    <w:rsid w:val="00E266FD"/>
    <w:rsid w:val="00E2674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901"/>
    <w:rsid w:val="00E60A9A"/>
    <w:rsid w:val="00E61AB5"/>
    <w:rsid w:val="00E6323F"/>
    <w:rsid w:val="00E633D7"/>
    <w:rsid w:val="00E635FA"/>
    <w:rsid w:val="00E64350"/>
    <w:rsid w:val="00E6478F"/>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078"/>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26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799"/>
    <w:rsid w:val="00EF79F5"/>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31F"/>
    <w:rsid w:val="00F146C6"/>
    <w:rsid w:val="00F152A2"/>
    <w:rsid w:val="00F158BB"/>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9FA"/>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2841"/>
    <w:rsid w:val="00FA2F9C"/>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B0A83610-C382-4FB1-BF6B-62B05482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theccc.org.uk/wp-content/uploads/2015/06/6.736_CCC_ASC_Adaptation-Progress-Report_2015_FINAL_WEB_070715_RF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k-climate-change-risk-assessment-20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cc.org.uk/tackling-climate-change/preparing-for-climate-change/uk-climate-change-risk-assessment-201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ccc.org.uk/publication/2017-report-to-parliament-progress-in-preparing-for-climate-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B16762D2-A8BF-431C-91AD-D16ADE20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 Daniel (CCC)</dc:creator>
  <cp:lastModifiedBy>Taylor, Sean (CCC)</cp:lastModifiedBy>
  <cp:revision>5</cp:revision>
  <cp:lastPrinted>2017-09-05T15:20:00Z</cp:lastPrinted>
  <dcterms:created xsi:type="dcterms:W3CDTF">2017-09-28T13:43:00Z</dcterms:created>
  <dcterms:modified xsi:type="dcterms:W3CDTF">2017-09-28T13:57:00Z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