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8FC70" w14:textId="77777777" w:rsidR="00AA1382" w:rsidRDefault="00AA1382">
      <w:r>
        <w:rPr>
          <w:noProof/>
          <w:lang w:eastAsia="en-GB"/>
        </w:rPr>
        <w:drawing>
          <wp:inline distT="0" distB="0" distL="0" distR="0" wp14:anchorId="531219FF" wp14:editId="0E2D6B95">
            <wp:extent cx="164592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71600"/>
                    </a:xfrm>
                    <a:prstGeom prst="rect">
                      <a:avLst/>
                    </a:prstGeom>
                    <a:noFill/>
                  </pic:spPr>
                </pic:pic>
              </a:graphicData>
            </a:graphic>
          </wp:inline>
        </w:drawing>
      </w:r>
    </w:p>
    <w:p w14:paraId="3F08C0A5" w14:textId="77777777" w:rsidR="00AA1382" w:rsidRDefault="00AA1382"/>
    <w:p w14:paraId="30B7DA56" w14:textId="24E3135C" w:rsidR="00AA1382" w:rsidRPr="0029061C" w:rsidRDefault="00AE6F33" w:rsidP="00AA1382">
      <w:pPr>
        <w:spacing w:after="200" w:line="276" w:lineRule="auto"/>
        <w:rPr>
          <w:b/>
          <w:sz w:val="36"/>
          <w:szCs w:val="36"/>
        </w:rPr>
      </w:pPr>
      <w:r>
        <w:rPr>
          <w:b/>
          <w:sz w:val="36"/>
          <w:szCs w:val="36"/>
        </w:rPr>
        <w:t>Annex A</w:t>
      </w:r>
      <w:r w:rsidR="00AA1382">
        <w:rPr>
          <w:b/>
          <w:sz w:val="36"/>
          <w:szCs w:val="36"/>
        </w:rPr>
        <w:t xml:space="preserve"> – Statement of Requirements</w:t>
      </w:r>
    </w:p>
    <w:p w14:paraId="183FEB6A" w14:textId="000FF564" w:rsidR="00AA1382" w:rsidRDefault="00AA1382" w:rsidP="00AA1382">
      <w:pPr>
        <w:spacing w:line="360" w:lineRule="auto"/>
        <w:ind w:left="2835" w:hanging="2835"/>
        <w:rPr>
          <w:sz w:val="32"/>
          <w:szCs w:val="32"/>
        </w:rPr>
      </w:pPr>
      <w:bookmarkStart w:id="0" w:name="_1fob9te" w:colFirst="0" w:colLast="0"/>
      <w:bookmarkEnd w:id="0"/>
      <w:r w:rsidRPr="0037419F">
        <w:rPr>
          <w:sz w:val="32"/>
          <w:szCs w:val="32"/>
          <w:highlight w:val="white"/>
        </w:rPr>
        <w:t>Contract Reference:</w:t>
      </w:r>
      <w:r w:rsidR="006534DE" w:rsidRPr="006534DE">
        <w:rPr>
          <w:sz w:val="32"/>
          <w:szCs w:val="32"/>
        </w:rPr>
        <w:t xml:space="preserve"> </w:t>
      </w:r>
      <w:r w:rsidR="007354F1">
        <w:rPr>
          <w:sz w:val="32"/>
          <w:szCs w:val="32"/>
        </w:rPr>
        <w:t xml:space="preserve">CCCC20B43 - The Provision of </w:t>
      </w:r>
      <w:r w:rsidR="006534DE" w:rsidRPr="006534DE">
        <w:rPr>
          <w:sz w:val="32"/>
          <w:szCs w:val="32"/>
        </w:rPr>
        <w:t xml:space="preserve">GCF Blueprints Consultancy </w:t>
      </w:r>
    </w:p>
    <w:p w14:paraId="01997F08" w14:textId="57EC6ED8" w:rsidR="00455C47" w:rsidRPr="00351E25" w:rsidRDefault="00455C47" w:rsidP="00AA1382">
      <w:pPr>
        <w:spacing w:line="360" w:lineRule="auto"/>
        <w:ind w:left="2835" w:hanging="2835"/>
      </w:pPr>
    </w:p>
    <w:p w14:paraId="05825834" w14:textId="78D92FB9" w:rsidR="00AA1382" w:rsidRDefault="00AA1382">
      <w:pPr>
        <w:rPr>
          <w:b/>
          <w:szCs w:val="22"/>
          <w:lang w:eastAsia="en-GB"/>
        </w:rPr>
      </w:pPr>
      <w:r>
        <w:br w:type="page"/>
      </w:r>
    </w:p>
    <w:p w14:paraId="52111C44" w14:textId="114E5793" w:rsidR="00FE18AC" w:rsidRDefault="00FE18AC" w:rsidP="00FE18AC">
      <w:pPr>
        <w:pStyle w:val="bodystrongcentred"/>
      </w:pPr>
      <w:r>
        <w:lastRenderedPageBreak/>
        <w:t>CONTENTS</w:t>
      </w:r>
    </w:p>
    <w:p w14:paraId="757634AA" w14:textId="77777777" w:rsidR="00FE18AC" w:rsidRDefault="00FE18AC" w:rsidP="00FE18AC"/>
    <w:p w14:paraId="5FFC900F" w14:textId="77777777" w:rsidR="00AE6F33"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53747664" w:history="1">
        <w:r w:rsidR="00AE6F33" w:rsidRPr="00DC35CB">
          <w:rPr>
            <w:rStyle w:val="Hyperlink"/>
            <w:noProof/>
          </w:rPr>
          <w:t>1.</w:t>
        </w:r>
        <w:r w:rsidR="00AE6F33">
          <w:rPr>
            <w:rFonts w:asciiTheme="minorHAnsi" w:eastAsiaTheme="minorEastAsia" w:hAnsiTheme="minorHAnsi" w:cstheme="minorBidi"/>
            <w:caps w:val="0"/>
            <w:noProof/>
            <w:szCs w:val="22"/>
            <w:lang w:eastAsia="en-GB"/>
          </w:rPr>
          <w:tab/>
        </w:r>
        <w:r w:rsidR="00AE6F33" w:rsidRPr="00DC35CB">
          <w:rPr>
            <w:rStyle w:val="Hyperlink"/>
            <w:noProof/>
          </w:rPr>
          <w:t>PURPOSE</w:t>
        </w:r>
        <w:r w:rsidR="00AE6F33">
          <w:rPr>
            <w:noProof/>
            <w:webHidden/>
          </w:rPr>
          <w:tab/>
        </w:r>
        <w:r w:rsidR="00AE6F33">
          <w:rPr>
            <w:noProof/>
            <w:webHidden/>
          </w:rPr>
          <w:fldChar w:fldCharType="begin"/>
        </w:r>
        <w:r w:rsidR="00AE6F33">
          <w:rPr>
            <w:noProof/>
            <w:webHidden/>
          </w:rPr>
          <w:instrText xml:space="preserve"> PAGEREF _Toc53747664 \h </w:instrText>
        </w:r>
        <w:r w:rsidR="00AE6F33">
          <w:rPr>
            <w:noProof/>
            <w:webHidden/>
          </w:rPr>
        </w:r>
        <w:r w:rsidR="00AE6F33">
          <w:rPr>
            <w:noProof/>
            <w:webHidden/>
          </w:rPr>
          <w:fldChar w:fldCharType="separate"/>
        </w:r>
        <w:r w:rsidR="00AE6F33">
          <w:rPr>
            <w:noProof/>
            <w:webHidden/>
          </w:rPr>
          <w:t>3</w:t>
        </w:r>
        <w:r w:rsidR="00AE6F33">
          <w:rPr>
            <w:noProof/>
            <w:webHidden/>
          </w:rPr>
          <w:fldChar w:fldCharType="end"/>
        </w:r>
      </w:hyperlink>
    </w:p>
    <w:p w14:paraId="772F79B2" w14:textId="77777777" w:rsidR="00AE6F33" w:rsidRDefault="005E7BA0">
      <w:pPr>
        <w:pStyle w:val="TOC1"/>
        <w:rPr>
          <w:rFonts w:asciiTheme="minorHAnsi" w:eastAsiaTheme="minorEastAsia" w:hAnsiTheme="minorHAnsi" w:cstheme="minorBidi"/>
          <w:caps w:val="0"/>
          <w:noProof/>
          <w:szCs w:val="22"/>
          <w:lang w:eastAsia="en-GB"/>
        </w:rPr>
      </w:pPr>
      <w:hyperlink w:anchor="_Toc53747665" w:history="1">
        <w:r w:rsidR="00AE6F33" w:rsidRPr="00DC35CB">
          <w:rPr>
            <w:rStyle w:val="Hyperlink"/>
            <w:noProof/>
          </w:rPr>
          <w:t>2.</w:t>
        </w:r>
        <w:r w:rsidR="00AE6F33">
          <w:rPr>
            <w:rFonts w:asciiTheme="minorHAnsi" w:eastAsiaTheme="minorEastAsia" w:hAnsiTheme="minorHAnsi" w:cstheme="minorBidi"/>
            <w:caps w:val="0"/>
            <w:noProof/>
            <w:szCs w:val="22"/>
            <w:lang w:eastAsia="en-GB"/>
          </w:rPr>
          <w:tab/>
        </w:r>
        <w:r w:rsidR="00AE6F33" w:rsidRPr="00DC35CB">
          <w:rPr>
            <w:rStyle w:val="Hyperlink"/>
            <w:noProof/>
          </w:rPr>
          <w:t>Background to requirement/OVERVIEW of requirement</w:t>
        </w:r>
        <w:r w:rsidR="00AE6F33">
          <w:rPr>
            <w:noProof/>
            <w:webHidden/>
          </w:rPr>
          <w:tab/>
        </w:r>
        <w:r w:rsidR="00AE6F33">
          <w:rPr>
            <w:noProof/>
            <w:webHidden/>
          </w:rPr>
          <w:fldChar w:fldCharType="begin"/>
        </w:r>
        <w:r w:rsidR="00AE6F33">
          <w:rPr>
            <w:noProof/>
            <w:webHidden/>
          </w:rPr>
          <w:instrText xml:space="preserve"> PAGEREF _Toc53747665 \h </w:instrText>
        </w:r>
        <w:r w:rsidR="00AE6F33">
          <w:rPr>
            <w:noProof/>
            <w:webHidden/>
          </w:rPr>
        </w:r>
        <w:r w:rsidR="00AE6F33">
          <w:rPr>
            <w:noProof/>
            <w:webHidden/>
          </w:rPr>
          <w:fldChar w:fldCharType="separate"/>
        </w:r>
        <w:r w:rsidR="00AE6F33">
          <w:rPr>
            <w:noProof/>
            <w:webHidden/>
          </w:rPr>
          <w:t>3</w:t>
        </w:r>
        <w:r w:rsidR="00AE6F33">
          <w:rPr>
            <w:noProof/>
            <w:webHidden/>
          </w:rPr>
          <w:fldChar w:fldCharType="end"/>
        </w:r>
      </w:hyperlink>
    </w:p>
    <w:p w14:paraId="735C913B" w14:textId="77777777" w:rsidR="00AE6F33" w:rsidRDefault="005E7BA0">
      <w:pPr>
        <w:pStyle w:val="TOC1"/>
        <w:rPr>
          <w:rFonts w:asciiTheme="minorHAnsi" w:eastAsiaTheme="minorEastAsia" w:hAnsiTheme="minorHAnsi" w:cstheme="minorBidi"/>
          <w:caps w:val="0"/>
          <w:noProof/>
          <w:szCs w:val="22"/>
          <w:lang w:eastAsia="en-GB"/>
        </w:rPr>
      </w:pPr>
      <w:hyperlink w:anchor="_Toc53747666" w:history="1">
        <w:r w:rsidR="00AE6F33" w:rsidRPr="00DC35CB">
          <w:rPr>
            <w:rStyle w:val="Hyperlink"/>
            <w:noProof/>
          </w:rPr>
          <w:t>3.</w:t>
        </w:r>
        <w:r w:rsidR="00AE6F33">
          <w:rPr>
            <w:rFonts w:asciiTheme="minorHAnsi" w:eastAsiaTheme="minorEastAsia" w:hAnsiTheme="minorHAnsi" w:cstheme="minorBidi"/>
            <w:caps w:val="0"/>
            <w:noProof/>
            <w:szCs w:val="22"/>
            <w:lang w:eastAsia="en-GB"/>
          </w:rPr>
          <w:tab/>
        </w:r>
        <w:r w:rsidR="00AE6F33" w:rsidRPr="00DC35CB">
          <w:rPr>
            <w:rStyle w:val="Hyperlink"/>
            <w:noProof/>
          </w:rPr>
          <w:t>definitions</w:t>
        </w:r>
        <w:r w:rsidR="00AE6F33">
          <w:rPr>
            <w:noProof/>
            <w:webHidden/>
          </w:rPr>
          <w:tab/>
        </w:r>
        <w:r w:rsidR="00AE6F33">
          <w:rPr>
            <w:noProof/>
            <w:webHidden/>
          </w:rPr>
          <w:fldChar w:fldCharType="begin"/>
        </w:r>
        <w:r w:rsidR="00AE6F33">
          <w:rPr>
            <w:noProof/>
            <w:webHidden/>
          </w:rPr>
          <w:instrText xml:space="preserve"> PAGEREF _Toc53747666 \h </w:instrText>
        </w:r>
        <w:r w:rsidR="00AE6F33">
          <w:rPr>
            <w:noProof/>
            <w:webHidden/>
          </w:rPr>
        </w:r>
        <w:r w:rsidR="00AE6F33">
          <w:rPr>
            <w:noProof/>
            <w:webHidden/>
          </w:rPr>
          <w:fldChar w:fldCharType="separate"/>
        </w:r>
        <w:r w:rsidR="00AE6F33">
          <w:rPr>
            <w:noProof/>
            <w:webHidden/>
          </w:rPr>
          <w:t>4</w:t>
        </w:r>
        <w:r w:rsidR="00AE6F33">
          <w:rPr>
            <w:noProof/>
            <w:webHidden/>
          </w:rPr>
          <w:fldChar w:fldCharType="end"/>
        </w:r>
      </w:hyperlink>
    </w:p>
    <w:p w14:paraId="413C701B" w14:textId="77777777" w:rsidR="00AE6F33" w:rsidRDefault="005E7BA0">
      <w:pPr>
        <w:pStyle w:val="TOC1"/>
        <w:rPr>
          <w:rFonts w:asciiTheme="minorHAnsi" w:eastAsiaTheme="minorEastAsia" w:hAnsiTheme="minorHAnsi" w:cstheme="minorBidi"/>
          <w:caps w:val="0"/>
          <w:noProof/>
          <w:szCs w:val="22"/>
          <w:lang w:eastAsia="en-GB"/>
        </w:rPr>
      </w:pPr>
      <w:hyperlink w:anchor="_Toc53747667" w:history="1">
        <w:r w:rsidR="00AE6F33" w:rsidRPr="00DC35CB">
          <w:rPr>
            <w:rStyle w:val="Hyperlink"/>
            <w:noProof/>
          </w:rPr>
          <w:t>4.</w:t>
        </w:r>
        <w:r w:rsidR="00AE6F33">
          <w:rPr>
            <w:rFonts w:asciiTheme="minorHAnsi" w:eastAsiaTheme="minorEastAsia" w:hAnsiTheme="minorHAnsi" w:cstheme="minorBidi"/>
            <w:caps w:val="0"/>
            <w:noProof/>
            <w:szCs w:val="22"/>
            <w:lang w:eastAsia="en-GB"/>
          </w:rPr>
          <w:tab/>
        </w:r>
        <w:r w:rsidR="00AE6F33" w:rsidRPr="00DC35CB">
          <w:rPr>
            <w:rStyle w:val="Hyperlink"/>
            <w:noProof/>
          </w:rPr>
          <w:t>scope of requirement</w:t>
        </w:r>
        <w:r w:rsidR="00AE6F33">
          <w:rPr>
            <w:noProof/>
            <w:webHidden/>
          </w:rPr>
          <w:tab/>
        </w:r>
        <w:r w:rsidR="00AE6F33">
          <w:rPr>
            <w:noProof/>
            <w:webHidden/>
          </w:rPr>
          <w:fldChar w:fldCharType="begin"/>
        </w:r>
        <w:r w:rsidR="00AE6F33">
          <w:rPr>
            <w:noProof/>
            <w:webHidden/>
          </w:rPr>
          <w:instrText xml:space="preserve"> PAGEREF _Toc53747667 \h </w:instrText>
        </w:r>
        <w:r w:rsidR="00AE6F33">
          <w:rPr>
            <w:noProof/>
            <w:webHidden/>
          </w:rPr>
        </w:r>
        <w:r w:rsidR="00AE6F33">
          <w:rPr>
            <w:noProof/>
            <w:webHidden/>
          </w:rPr>
          <w:fldChar w:fldCharType="separate"/>
        </w:r>
        <w:r w:rsidR="00AE6F33">
          <w:rPr>
            <w:noProof/>
            <w:webHidden/>
          </w:rPr>
          <w:t>4</w:t>
        </w:r>
        <w:r w:rsidR="00AE6F33">
          <w:rPr>
            <w:noProof/>
            <w:webHidden/>
          </w:rPr>
          <w:fldChar w:fldCharType="end"/>
        </w:r>
      </w:hyperlink>
    </w:p>
    <w:p w14:paraId="46A59666" w14:textId="77777777" w:rsidR="00AE6F33" w:rsidRDefault="005E7BA0">
      <w:pPr>
        <w:pStyle w:val="TOC1"/>
        <w:rPr>
          <w:rFonts w:asciiTheme="minorHAnsi" w:eastAsiaTheme="minorEastAsia" w:hAnsiTheme="minorHAnsi" w:cstheme="minorBidi"/>
          <w:caps w:val="0"/>
          <w:noProof/>
          <w:szCs w:val="22"/>
          <w:lang w:eastAsia="en-GB"/>
        </w:rPr>
      </w:pPr>
      <w:hyperlink w:anchor="_Toc53747668" w:history="1">
        <w:r w:rsidR="00AE6F33" w:rsidRPr="00DC35CB">
          <w:rPr>
            <w:rStyle w:val="Hyperlink"/>
            <w:noProof/>
          </w:rPr>
          <w:t>5.</w:t>
        </w:r>
        <w:r w:rsidR="00AE6F33">
          <w:rPr>
            <w:rFonts w:asciiTheme="minorHAnsi" w:eastAsiaTheme="minorEastAsia" w:hAnsiTheme="minorHAnsi" w:cstheme="minorBidi"/>
            <w:caps w:val="0"/>
            <w:noProof/>
            <w:szCs w:val="22"/>
            <w:lang w:eastAsia="en-GB"/>
          </w:rPr>
          <w:tab/>
        </w:r>
        <w:r w:rsidR="00AE6F33" w:rsidRPr="00DC35CB">
          <w:rPr>
            <w:rStyle w:val="Hyperlink"/>
            <w:noProof/>
          </w:rPr>
          <w:t>The requirement</w:t>
        </w:r>
        <w:r w:rsidR="00AE6F33">
          <w:rPr>
            <w:noProof/>
            <w:webHidden/>
          </w:rPr>
          <w:tab/>
        </w:r>
        <w:r w:rsidR="00AE6F33">
          <w:rPr>
            <w:noProof/>
            <w:webHidden/>
          </w:rPr>
          <w:fldChar w:fldCharType="begin"/>
        </w:r>
        <w:r w:rsidR="00AE6F33">
          <w:rPr>
            <w:noProof/>
            <w:webHidden/>
          </w:rPr>
          <w:instrText xml:space="preserve"> PAGEREF _Toc53747668 \h </w:instrText>
        </w:r>
        <w:r w:rsidR="00AE6F33">
          <w:rPr>
            <w:noProof/>
            <w:webHidden/>
          </w:rPr>
        </w:r>
        <w:r w:rsidR="00AE6F33">
          <w:rPr>
            <w:noProof/>
            <w:webHidden/>
          </w:rPr>
          <w:fldChar w:fldCharType="separate"/>
        </w:r>
        <w:r w:rsidR="00AE6F33">
          <w:rPr>
            <w:noProof/>
            <w:webHidden/>
          </w:rPr>
          <w:t>4</w:t>
        </w:r>
        <w:r w:rsidR="00AE6F33">
          <w:rPr>
            <w:noProof/>
            <w:webHidden/>
          </w:rPr>
          <w:fldChar w:fldCharType="end"/>
        </w:r>
      </w:hyperlink>
    </w:p>
    <w:p w14:paraId="598791AF" w14:textId="77777777" w:rsidR="00AE6F33" w:rsidRDefault="005E7BA0">
      <w:pPr>
        <w:pStyle w:val="TOC1"/>
        <w:rPr>
          <w:rFonts w:asciiTheme="minorHAnsi" w:eastAsiaTheme="minorEastAsia" w:hAnsiTheme="minorHAnsi" w:cstheme="minorBidi"/>
          <w:caps w:val="0"/>
          <w:noProof/>
          <w:szCs w:val="22"/>
          <w:lang w:eastAsia="en-GB"/>
        </w:rPr>
      </w:pPr>
      <w:hyperlink w:anchor="_Toc53747669" w:history="1">
        <w:r w:rsidR="00AE6F33" w:rsidRPr="00DC35CB">
          <w:rPr>
            <w:rStyle w:val="Hyperlink"/>
            <w:rFonts w:cs="Arial"/>
            <w:noProof/>
          </w:rPr>
          <w:t>6.</w:t>
        </w:r>
        <w:r w:rsidR="00AE6F33">
          <w:rPr>
            <w:rFonts w:asciiTheme="minorHAnsi" w:eastAsiaTheme="minorEastAsia" w:hAnsiTheme="minorHAnsi" w:cstheme="minorBidi"/>
            <w:caps w:val="0"/>
            <w:noProof/>
            <w:szCs w:val="22"/>
            <w:lang w:eastAsia="en-GB"/>
          </w:rPr>
          <w:tab/>
        </w:r>
        <w:r w:rsidR="00AE6F33" w:rsidRPr="00DC35CB">
          <w:rPr>
            <w:rStyle w:val="Hyperlink"/>
            <w:rFonts w:cs="Arial"/>
            <w:noProof/>
          </w:rPr>
          <w:t>MANAGEMENT INFORMATION/reporting</w:t>
        </w:r>
        <w:r w:rsidR="00AE6F33">
          <w:rPr>
            <w:noProof/>
            <w:webHidden/>
          </w:rPr>
          <w:tab/>
        </w:r>
        <w:r w:rsidR="00AE6F33">
          <w:rPr>
            <w:noProof/>
            <w:webHidden/>
          </w:rPr>
          <w:fldChar w:fldCharType="begin"/>
        </w:r>
        <w:r w:rsidR="00AE6F33">
          <w:rPr>
            <w:noProof/>
            <w:webHidden/>
          </w:rPr>
          <w:instrText xml:space="preserve"> PAGEREF _Toc53747669 \h </w:instrText>
        </w:r>
        <w:r w:rsidR="00AE6F33">
          <w:rPr>
            <w:noProof/>
            <w:webHidden/>
          </w:rPr>
        </w:r>
        <w:r w:rsidR="00AE6F33">
          <w:rPr>
            <w:noProof/>
            <w:webHidden/>
          </w:rPr>
          <w:fldChar w:fldCharType="separate"/>
        </w:r>
        <w:r w:rsidR="00AE6F33">
          <w:rPr>
            <w:noProof/>
            <w:webHidden/>
          </w:rPr>
          <w:t>5</w:t>
        </w:r>
        <w:r w:rsidR="00AE6F33">
          <w:rPr>
            <w:noProof/>
            <w:webHidden/>
          </w:rPr>
          <w:fldChar w:fldCharType="end"/>
        </w:r>
      </w:hyperlink>
    </w:p>
    <w:p w14:paraId="40ECBD1E" w14:textId="77777777" w:rsidR="00AE6F33" w:rsidRDefault="005E7BA0">
      <w:pPr>
        <w:pStyle w:val="TOC1"/>
        <w:rPr>
          <w:rFonts w:asciiTheme="minorHAnsi" w:eastAsiaTheme="minorEastAsia" w:hAnsiTheme="minorHAnsi" w:cstheme="minorBidi"/>
          <w:caps w:val="0"/>
          <w:noProof/>
          <w:szCs w:val="22"/>
          <w:lang w:eastAsia="en-GB"/>
        </w:rPr>
      </w:pPr>
      <w:hyperlink w:anchor="_Toc53747670" w:history="1">
        <w:r w:rsidR="00AE6F33" w:rsidRPr="00DC35CB">
          <w:rPr>
            <w:rStyle w:val="Hyperlink"/>
            <w:rFonts w:cs="Arial"/>
            <w:noProof/>
          </w:rPr>
          <w:t>7.</w:t>
        </w:r>
        <w:r w:rsidR="00AE6F33">
          <w:rPr>
            <w:rFonts w:asciiTheme="minorHAnsi" w:eastAsiaTheme="minorEastAsia" w:hAnsiTheme="minorHAnsi" w:cstheme="minorBidi"/>
            <w:caps w:val="0"/>
            <w:noProof/>
            <w:szCs w:val="22"/>
            <w:lang w:eastAsia="en-GB"/>
          </w:rPr>
          <w:tab/>
        </w:r>
        <w:r w:rsidR="00AE6F33" w:rsidRPr="00DC35CB">
          <w:rPr>
            <w:rStyle w:val="Hyperlink"/>
            <w:rFonts w:cs="Arial"/>
            <w:noProof/>
          </w:rPr>
          <w:t>volumes</w:t>
        </w:r>
        <w:r w:rsidR="00AE6F33">
          <w:rPr>
            <w:noProof/>
            <w:webHidden/>
          </w:rPr>
          <w:tab/>
        </w:r>
        <w:r w:rsidR="00AE6F33">
          <w:rPr>
            <w:noProof/>
            <w:webHidden/>
          </w:rPr>
          <w:fldChar w:fldCharType="begin"/>
        </w:r>
        <w:r w:rsidR="00AE6F33">
          <w:rPr>
            <w:noProof/>
            <w:webHidden/>
          </w:rPr>
          <w:instrText xml:space="preserve"> PAGEREF _Toc53747670 \h </w:instrText>
        </w:r>
        <w:r w:rsidR="00AE6F33">
          <w:rPr>
            <w:noProof/>
            <w:webHidden/>
          </w:rPr>
        </w:r>
        <w:r w:rsidR="00AE6F33">
          <w:rPr>
            <w:noProof/>
            <w:webHidden/>
          </w:rPr>
          <w:fldChar w:fldCharType="separate"/>
        </w:r>
        <w:r w:rsidR="00AE6F33">
          <w:rPr>
            <w:noProof/>
            <w:webHidden/>
          </w:rPr>
          <w:t>5</w:t>
        </w:r>
        <w:r w:rsidR="00AE6F33">
          <w:rPr>
            <w:noProof/>
            <w:webHidden/>
          </w:rPr>
          <w:fldChar w:fldCharType="end"/>
        </w:r>
      </w:hyperlink>
    </w:p>
    <w:p w14:paraId="551FF9DE" w14:textId="77777777" w:rsidR="00AE6F33" w:rsidRDefault="005E7BA0">
      <w:pPr>
        <w:pStyle w:val="TOC1"/>
        <w:rPr>
          <w:rFonts w:asciiTheme="minorHAnsi" w:eastAsiaTheme="minorEastAsia" w:hAnsiTheme="minorHAnsi" w:cstheme="minorBidi"/>
          <w:caps w:val="0"/>
          <w:noProof/>
          <w:szCs w:val="22"/>
          <w:lang w:eastAsia="en-GB"/>
        </w:rPr>
      </w:pPr>
      <w:hyperlink w:anchor="_Toc53747671" w:history="1">
        <w:r w:rsidR="00AE6F33" w:rsidRPr="00DC35CB">
          <w:rPr>
            <w:rStyle w:val="Hyperlink"/>
            <w:rFonts w:cs="Arial"/>
            <w:noProof/>
          </w:rPr>
          <w:t>8.</w:t>
        </w:r>
        <w:r w:rsidR="00AE6F33">
          <w:rPr>
            <w:rFonts w:asciiTheme="minorHAnsi" w:eastAsiaTheme="minorEastAsia" w:hAnsiTheme="minorHAnsi" w:cstheme="minorBidi"/>
            <w:caps w:val="0"/>
            <w:noProof/>
            <w:szCs w:val="22"/>
            <w:lang w:eastAsia="en-GB"/>
          </w:rPr>
          <w:tab/>
        </w:r>
        <w:r w:rsidR="00AE6F33" w:rsidRPr="00DC35CB">
          <w:rPr>
            <w:rStyle w:val="Hyperlink"/>
            <w:rFonts w:cs="Arial"/>
            <w:noProof/>
          </w:rPr>
          <w:t>continuous improvement</w:t>
        </w:r>
        <w:r w:rsidR="00AE6F33">
          <w:rPr>
            <w:noProof/>
            <w:webHidden/>
          </w:rPr>
          <w:tab/>
        </w:r>
        <w:r w:rsidR="00AE6F33">
          <w:rPr>
            <w:noProof/>
            <w:webHidden/>
          </w:rPr>
          <w:fldChar w:fldCharType="begin"/>
        </w:r>
        <w:r w:rsidR="00AE6F33">
          <w:rPr>
            <w:noProof/>
            <w:webHidden/>
          </w:rPr>
          <w:instrText xml:space="preserve"> PAGEREF _Toc53747671 \h </w:instrText>
        </w:r>
        <w:r w:rsidR="00AE6F33">
          <w:rPr>
            <w:noProof/>
            <w:webHidden/>
          </w:rPr>
        </w:r>
        <w:r w:rsidR="00AE6F33">
          <w:rPr>
            <w:noProof/>
            <w:webHidden/>
          </w:rPr>
          <w:fldChar w:fldCharType="separate"/>
        </w:r>
        <w:r w:rsidR="00AE6F33">
          <w:rPr>
            <w:noProof/>
            <w:webHidden/>
          </w:rPr>
          <w:t>6</w:t>
        </w:r>
        <w:r w:rsidR="00AE6F33">
          <w:rPr>
            <w:noProof/>
            <w:webHidden/>
          </w:rPr>
          <w:fldChar w:fldCharType="end"/>
        </w:r>
      </w:hyperlink>
    </w:p>
    <w:p w14:paraId="46C1AEE9" w14:textId="77777777" w:rsidR="00AE6F33" w:rsidRDefault="005E7BA0">
      <w:pPr>
        <w:pStyle w:val="TOC1"/>
        <w:rPr>
          <w:rFonts w:asciiTheme="minorHAnsi" w:eastAsiaTheme="minorEastAsia" w:hAnsiTheme="minorHAnsi" w:cstheme="minorBidi"/>
          <w:caps w:val="0"/>
          <w:noProof/>
          <w:szCs w:val="22"/>
          <w:lang w:eastAsia="en-GB"/>
        </w:rPr>
      </w:pPr>
      <w:hyperlink w:anchor="_Toc53747672" w:history="1">
        <w:r w:rsidR="00AE6F33" w:rsidRPr="00DC35CB">
          <w:rPr>
            <w:rStyle w:val="Hyperlink"/>
            <w:rFonts w:cs="Arial"/>
            <w:noProof/>
          </w:rPr>
          <w:t>9.</w:t>
        </w:r>
        <w:r w:rsidR="00AE6F33">
          <w:rPr>
            <w:rFonts w:asciiTheme="minorHAnsi" w:eastAsiaTheme="minorEastAsia" w:hAnsiTheme="minorHAnsi" w:cstheme="minorBidi"/>
            <w:caps w:val="0"/>
            <w:noProof/>
            <w:szCs w:val="22"/>
            <w:lang w:eastAsia="en-GB"/>
          </w:rPr>
          <w:tab/>
        </w:r>
        <w:r w:rsidR="00AE6F33" w:rsidRPr="00DC35CB">
          <w:rPr>
            <w:rStyle w:val="Hyperlink"/>
            <w:rFonts w:cs="Arial"/>
            <w:noProof/>
          </w:rPr>
          <w:t>quality</w:t>
        </w:r>
        <w:r w:rsidR="00AE6F33">
          <w:rPr>
            <w:noProof/>
            <w:webHidden/>
          </w:rPr>
          <w:tab/>
        </w:r>
        <w:r w:rsidR="00AE6F33">
          <w:rPr>
            <w:noProof/>
            <w:webHidden/>
          </w:rPr>
          <w:fldChar w:fldCharType="begin"/>
        </w:r>
        <w:r w:rsidR="00AE6F33">
          <w:rPr>
            <w:noProof/>
            <w:webHidden/>
          </w:rPr>
          <w:instrText xml:space="preserve"> PAGEREF _Toc53747672 \h </w:instrText>
        </w:r>
        <w:r w:rsidR="00AE6F33">
          <w:rPr>
            <w:noProof/>
            <w:webHidden/>
          </w:rPr>
        </w:r>
        <w:r w:rsidR="00AE6F33">
          <w:rPr>
            <w:noProof/>
            <w:webHidden/>
          </w:rPr>
          <w:fldChar w:fldCharType="separate"/>
        </w:r>
        <w:r w:rsidR="00AE6F33">
          <w:rPr>
            <w:noProof/>
            <w:webHidden/>
          </w:rPr>
          <w:t>6</w:t>
        </w:r>
        <w:r w:rsidR="00AE6F33">
          <w:rPr>
            <w:noProof/>
            <w:webHidden/>
          </w:rPr>
          <w:fldChar w:fldCharType="end"/>
        </w:r>
      </w:hyperlink>
    </w:p>
    <w:p w14:paraId="0F6004C1" w14:textId="77777777" w:rsidR="00AE6F33" w:rsidRDefault="005E7BA0">
      <w:pPr>
        <w:pStyle w:val="TOC1"/>
        <w:rPr>
          <w:rFonts w:asciiTheme="minorHAnsi" w:eastAsiaTheme="minorEastAsia" w:hAnsiTheme="minorHAnsi" w:cstheme="minorBidi"/>
          <w:caps w:val="0"/>
          <w:noProof/>
          <w:szCs w:val="22"/>
          <w:lang w:eastAsia="en-GB"/>
        </w:rPr>
      </w:pPr>
      <w:hyperlink w:anchor="_Toc53747673" w:history="1">
        <w:r w:rsidR="00AE6F33" w:rsidRPr="00DC35CB">
          <w:rPr>
            <w:rStyle w:val="Hyperlink"/>
            <w:rFonts w:cs="Arial"/>
            <w:noProof/>
          </w:rPr>
          <w:t>10.</w:t>
        </w:r>
        <w:r w:rsidR="00AE6F33">
          <w:rPr>
            <w:rFonts w:asciiTheme="minorHAnsi" w:eastAsiaTheme="minorEastAsia" w:hAnsiTheme="minorHAnsi" w:cstheme="minorBidi"/>
            <w:caps w:val="0"/>
            <w:noProof/>
            <w:szCs w:val="22"/>
            <w:lang w:eastAsia="en-GB"/>
          </w:rPr>
          <w:tab/>
        </w:r>
        <w:r w:rsidR="00AE6F33" w:rsidRPr="00DC35CB">
          <w:rPr>
            <w:rStyle w:val="Hyperlink"/>
            <w:rFonts w:cs="Arial"/>
            <w:noProof/>
          </w:rPr>
          <w:t>STAFF AND CUSTOMER SERVICE</w:t>
        </w:r>
        <w:r w:rsidR="00AE6F33">
          <w:rPr>
            <w:noProof/>
            <w:webHidden/>
          </w:rPr>
          <w:tab/>
        </w:r>
        <w:r w:rsidR="00AE6F33">
          <w:rPr>
            <w:noProof/>
            <w:webHidden/>
          </w:rPr>
          <w:fldChar w:fldCharType="begin"/>
        </w:r>
        <w:r w:rsidR="00AE6F33">
          <w:rPr>
            <w:noProof/>
            <w:webHidden/>
          </w:rPr>
          <w:instrText xml:space="preserve"> PAGEREF _Toc53747673 \h </w:instrText>
        </w:r>
        <w:r w:rsidR="00AE6F33">
          <w:rPr>
            <w:noProof/>
            <w:webHidden/>
          </w:rPr>
        </w:r>
        <w:r w:rsidR="00AE6F33">
          <w:rPr>
            <w:noProof/>
            <w:webHidden/>
          </w:rPr>
          <w:fldChar w:fldCharType="separate"/>
        </w:r>
        <w:r w:rsidR="00AE6F33">
          <w:rPr>
            <w:noProof/>
            <w:webHidden/>
          </w:rPr>
          <w:t>6</w:t>
        </w:r>
        <w:r w:rsidR="00AE6F33">
          <w:rPr>
            <w:noProof/>
            <w:webHidden/>
          </w:rPr>
          <w:fldChar w:fldCharType="end"/>
        </w:r>
      </w:hyperlink>
    </w:p>
    <w:p w14:paraId="71A30700" w14:textId="77777777" w:rsidR="00AE6F33" w:rsidRDefault="005E7BA0">
      <w:pPr>
        <w:pStyle w:val="TOC1"/>
        <w:rPr>
          <w:rFonts w:asciiTheme="minorHAnsi" w:eastAsiaTheme="minorEastAsia" w:hAnsiTheme="minorHAnsi" w:cstheme="minorBidi"/>
          <w:caps w:val="0"/>
          <w:noProof/>
          <w:szCs w:val="22"/>
          <w:lang w:eastAsia="en-GB"/>
        </w:rPr>
      </w:pPr>
      <w:hyperlink w:anchor="_Toc53747674" w:history="1">
        <w:r w:rsidR="00AE6F33" w:rsidRPr="00DC35CB">
          <w:rPr>
            <w:rStyle w:val="Hyperlink"/>
            <w:noProof/>
          </w:rPr>
          <w:t>11.</w:t>
        </w:r>
        <w:r w:rsidR="00AE6F33">
          <w:rPr>
            <w:rFonts w:asciiTheme="minorHAnsi" w:eastAsiaTheme="minorEastAsia" w:hAnsiTheme="minorHAnsi" w:cstheme="minorBidi"/>
            <w:caps w:val="0"/>
            <w:noProof/>
            <w:szCs w:val="22"/>
            <w:lang w:eastAsia="en-GB"/>
          </w:rPr>
          <w:tab/>
        </w:r>
        <w:r w:rsidR="00AE6F33" w:rsidRPr="00DC35CB">
          <w:rPr>
            <w:rStyle w:val="Hyperlink"/>
            <w:noProof/>
          </w:rPr>
          <w:t>Security and CONFIDENTIALITY requirements</w:t>
        </w:r>
        <w:r w:rsidR="00AE6F33">
          <w:rPr>
            <w:noProof/>
            <w:webHidden/>
          </w:rPr>
          <w:tab/>
        </w:r>
        <w:r w:rsidR="00AE6F33">
          <w:rPr>
            <w:noProof/>
            <w:webHidden/>
          </w:rPr>
          <w:fldChar w:fldCharType="begin"/>
        </w:r>
        <w:r w:rsidR="00AE6F33">
          <w:rPr>
            <w:noProof/>
            <w:webHidden/>
          </w:rPr>
          <w:instrText xml:space="preserve"> PAGEREF _Toc53747674 \h </w:instrText>
        </w:r>
        <w:r w:rsidR="00AE6F33">
          <w:rPr>
            <w:noProof/>
            <w:webHidden/>
          </w:rPr>
        </w:r>
        <w:r w:rsidR="00AE6F33">
          <w:rPr>
            <w:noProof/>
            <w:webHidden/>
          </w:rPr>
          <w:fldChar w:fldCharType="separate"/>
        </w:r>
        <w:r w:rsidR="00AE6F33">
          <w:rPr>
            <w:noProof/>
            <w:webHidden/>
          </w:rPr>
          <w:t>6</w:t>
        </w:r>
        <w:r w:rsidR="00AE6F33">
          <w:rPr>
            <w:noProof/>
            <w:webHidden/>
          </w:rPr>
          <w:fldChar w:fldCharType="end"/>
        </w:r>
      </w:hyperlink>
    </w:p>
    <w:p w14:paraId="16506F42" w14:textId="77777777" w:rsidR="00AE6F33" w:rsidRDefault="005E7BA0">
      <w:pPr>
        <w:pStyle w:val="TOC1"/>
        <w:rPr>
          <w:rFonts w:asciiTheme="minorHAnsi" w:eastAsiaTheme="minorEastAsia" w:hAnsiTheme="minorHAnsi" w:cstheme="minorBidi"/>
          <w:caps w:val="0"/>
          <w:noProof/>
          <w:szCs w:val="22"/>
          <w:lang w:eastAsia="en-GB"/>
        </w:rPr>
      </w:pPr>
      <w:hyperlink w:anchor="_Toc53747675" w:history="1">
        <w:r w:rsidR="00AE6F33" w:rsidRPr="00DC35CB">
          <w:rPr>
            <w:rStyle w:val="Hyperlink"/>
            <w:rFonts w:cs="Arial"/>
            <w:noProof/>
          </w:rPr>
          <w:t>12.</w:t>
        </w:r>
        <w:r w:rsidR="00AE6F33">
          <w:rPr>
            <w:rFonts w:asciiTheme="minorHAnsi" w:eastAsiaTheme="minorEastAsia" w:hAnsiTheme="minorHAnsi" w:cstheme="minorBidi"/>
            <w:caps w:val="0"/>
            <w:noProof/>
            <w:szCs w:val="22"/>
            <w:lang w:eastAsia="en-GB"/>
          </w:rPr>
          <w:tab/>
        </w:r>
        <w:r w:rsidR="00AE6F33" w:rsidRPr="00DC35CB">
          <w:rPr>
            <w:rStyle w:val="Hyperlink"/>
            <w:rFonts w:cs="Arial"/>
            <w:noProof/>
          </w:rPr>
          <w:t>CONTRACT MANAGEMENT</w:t>
        </w:r>
        <w:r w:rsidR="00AE6F33">
          <w:rPr>
            <w:noProof/>
            <w:webHidden/>
          </w:rPr>
          <w:tab/>
        </w:r>
        <w:r w:rsidR="00AE6F33">
          <w:rPr>
            <w:noProof/>
            <w:webHidden/>
          </w:rPr>
          <w:fldChar w:fldCharType="begin"/>
        </w:r>
        <w:r w:rsidR="00AE6F33">
          <w:rPr>
            <w:noProof/>
            <w:webHidden/>
          </w:rPr>
          <w:instrText xml:space="preserve"> PAGEREF _Toc53747675 \h </w:instrText>
        </w:r>
        <w:r w:rsidR="00AE6F33">
          <w:rPr>
            <w:noProof/>
            <w:webHidden/>
          </w:rPr>
        </w:r>
        <w:r w:rsidR="00AE6F33">
          <w:rPr>
            <w:noProof/>
            <w:webHidden/>
          </w:rPr>
          <w:fldChar w:fldCharType="separate"/>
        </w:r>
        <w:r w:rsidR="00AE6F33">
          <w:rPr>
            <w:noProof/>
            <w:webHidden/>
          </w:rPr>
          <w:t>6</w:t>
        </w:r>
        <w:r w:rsidR="00AE6F33">
          <w:rPr>
            <w:noProof/>
            <w:webHidden/>
          </w:rPr>
          <w:fldChar w:fldCharType="end"/>
        </w:r>
      </w:hyperlink>
    </w:p>
    <w:p w14:paraId="26C8EBF4" w14:textId="77777777" w:rsidR="00AE6F33" w:rsidRDefault="005E7BA0">
      <w:pPr>
        <w:pStyle w:val="TOC1"/>
        <w:rPr>
          <w:rFonts w:asciiTheme="minorHAnsi" w:eastAsiaTheme="minorEastAsia" w:hAnsiTheme="minorHAnsi" w:cstheme="minorBidi"/>
          <w:caps w:val="0"/>
          <w:noProof/>
          <w:szCs w:val="22"/>
          <w:lang w:eastAsia="en-GB"/>
        </w:rPr>
      </w:pPr>
      <w:hyperlink w:anchor="_Toc53747676" w:history="1">
        <w:r w:rsidR="00AE6F33" w:rsidRPr="00DC35CB">
          <w:rPr>
            <w:rStyle w:val="Hyperlink"/>
            <w:noProof/>
          </w:rPr>
          <w:t>13.</w:t>
        </w:r>
        <w:r w:rsidR="00AE6F33">
          <w:rPr>
            <w:rFonts w:asciiTheme="minorHAnsi" w:eastAsiaTheme="minorEastAsia" w:hAnsiTheme="minorHAnsi" w:cstheme="minorBidi"/>
            <w:caps w:val="0"/>
            <w:noProof/>
            <w:szCs w:val="22"/>
            <w:lang w:eastAsia="en-GB"/>
          </w:rPr>
          <w:tab/>
        </w:r>
        <w:r w:rsidR="00AE6F33" w:rsidRPr="00DC35CB">
          <w:rPr>
            <w:rStyle w:val="Hyperlink"/>
            <w:noProof/>
          </w:rPr>
          <w:t>Location</w:t>
        </w:r>
        <w:r w:rsidR="00AE6F33">
          <w:rPr>
            <w:noProof/>
            <w:webHidden/>
          </w:rPr>
          <w:tab/>
        </w:r>
        <w:r w:rsidR="00AE6F33">
          <w:rPr>
            <w:noProof/>
            <w:webHidden/>
          </w:rPr>
          <w:fldChar w:fldCharType="begin"/>
        </w:r>
        <w:r w:rsidR="00AE6F33">
          <w:rPr>
            <w:noProof/>
            <w:webHidden/>
          </w:rPr>
          <w:instrText xml:space="preserve"> PAGEREF _Toc53747676 \h </w:instrText>
        </w:r>
        <w:r w:rsidR="00AE6F33">
          <w:rPr>
            <w:noProof/>
            <w:webHidden/>
          </w:rPr>
        </w:r>
        <w:r w:rsidR="00AE6F33">
          <w:rPr>
            <w:noProof/>
            <w:webHidden/>
          </w:rPr>
          <w:fldChar w:fldCharType="separate"/>
        </w:r>
        <w:r w:rsidR="00AE6F33">
          <w:rPr>
            <w:noProof/>
            <w:webHidden/>
          </w:rPr>
          <w:t>7</w:t>
        </w:r>
        <w:r w:rsidR="00AE6F33">
          <w:rPr>
            <w:noProof/>
            <w:webHidden/>
          </w:rPr>
          <w:fldChar w:fldCharType="end"/>
        </w:r>
      </w:hyperlink>
    </w:p>
    <w:p w14:paraId="374B790A" w14:textId="77777777" w:rsidR="00FE18AC" w:rsidRPr="00D37BAC" w:rsidRDefault="00E10E97" w:rsidP="00FE18AC">
      <w:pPr>
        <w:spacing w:after="120"/>
        <w:jc w:val="center"/>
        <w:rPr>
          <w:b/>
        </w:rPr>
      </w:pPr>
      <w:r w:rsidRPr="00FA5229">
        <w:rPr>
          <w:rFonts w:cs="Arial"/>
          <w:caps/>
        </w:rPr>
        <w:fldChar w:fldCharType="end"/>
      </w:r>
    </w:p>
    <w:p w14:paraId="4DA4FDFA" w14:textId="77777777" w:rsidR="00F44D62" w:rsidRPr="00F44D62" w:rsidRDefault="00F44D62" w:rsidP="001A45DF">
      <w:pPr>
        <w:adjustRightInd w:val="0"/>
        <w:spacing w:before="60" w:after="60"/>
        <w:ind w:left="142"/>
        <w:jc w:val="center"/>
        <w:rPr>
          <w:rFonts w:eastAsia="STZhongsong" w:cs="Arial"/>
          <w:b/>
          <w:szCs w:val="22"/>
          <w:highlight w:val="yellow"/>
        </w:rPr>
      </w:pPr>
      <w:bookmarkStart w:id="1" w:name="_Toc297554772"/>
    </w:p>
    <w:p w14:paraId="656F4A80" w14:textId="0A21CC3D"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r>
        <w:rPr>
          <w:caps w:val="0"/>
          <w:szCs w:val="22"/>
        </w:rPr>
        <w:br w:type="page"/>
      </w:r>
    </w:p>
    <w:p w14:paraId="7989F07B" w14:textId="77777777" w:rsidR="00FE18AC" w:rsidRPr="001A45DF" w:rsidRDefault="00FE18AC" w:rsidP="008F3470">
      <w:pPr>
        <w:pStyle w:val="Heading1"/>
        <w:numPr>
          <w:ilvl w:val="0"/>
          <w:numId w:val="30"/>
        </w:numPr>
        <w:tabs>
          <w:tab w:val="clear" w:pos="720"/>
        </w:tabs>
        <w:overflowPunct w:val="0"/>
        <w:autoSpaceDE w:val="0"/>
        <w:autoSpaceDN w:val="0"/>
        <w:spacing w:after="120"/>
        <w:textAlignment w:val="baseline"/>
        <w:rPr>
          <w:sz w:val="32"/>
          <w:szCs w:val="32"/>
        </w:rPr>
      </w:pPr>
      <w:bookmarkStart w:id="2" w:name="_Toc368573027"/>
      <w:bookmarkStart w:id="3" w:name="_Toc53747664"/>
      <w:r w:rsidRPr="001A45DF">
        <w:rPr>
          <w:caps w:val="0"/>
          <w:sz w:val="32"/>
          <w:szCs w:val="32"/>
        </w:rPr>
        <w:lastRenderedPageBreak/>
        <w:t>PURPOSE</w:t>
      </w:r>
      <w:bookmarkEnd w:id="1"/>
      <w:bookmarkEnd w:id="2"/>
      <w:bookmarkEnd w:id="3"/>
    </w:p>
    <w:p w14:paraId="3BDB92AC" w14:textId="5C974FEC" w:rsidR="00FE18AC" w:rsidRDefault="0084687E" w:rsidP="008F3470">
      <w:pPr>
        <w:pStyle w:val="Heading2"/>
        <w:tabs>
          <w:tab w:val="clear" w:pos="720"/>
          <w:tab w:val="num" w:pos="709"/>
        </w:tabs>
        <w:overflowPunct w:val="0"/>
        <w:autoSpaceDE w:val="0"/>
        <w:autoSpaceDN w:val="0"/>
        <w:spacing w:after="120"/>
        <w:ind w:left="709" w:hanging="709"/>
        <w:textAlignment w:val="baseline"/>
        <w:rPr>
          <w:sz w:val="24"/>
          <w:szCs w:val="24"/>
        </w:rPr>
      </w:pPr>
      <w:bookmarkStart w:id="4" w:name="_Toc296415791"/>
      <w:r w:rsidRPr="00DB0D66">
        <w:rPr>
          <w:sz w:val="24"/>
          <w:szCs w:val="24"/>
        </w:rPr>
        <w:t>The purpose of this</w:t>
      </w:r>
      <w:r w:rsidR="00AE6F33">
        <w:rPr>
          <w:sz w:val="24"/>
          <w:szCs w:val="24"/>
        </w:rPr>
        <w:t xml:space="preserve"> contract</w:t>
      </w:r>
      <w:r w:rsidRPr="00DB0D66">
        <w:rPr>
          <w:sz w:val="24"/>
          <w:szCs w:val="24"/>
        </w:rPr>
        <w:t xml:space="preserve"> is to provide strategic consultancy support to the Government Commercial Function’s Blueprints Team during the delivery of the largest centrally coordinated operational and organisational strategy exercise the function has ever seen. </w:t>
      </w:r>
    </w:p>
    <w:p w14:paraId="2EB60E02" w14:textId="06D81182" w:rsidR="00DB0D66" w:rsidRPr="00144AD6" w:rsidRDefault="00C32F1B" w:rsidP="00144AD6">
      <w:pPr>
        <w:pStyle w:val="Heading2"/>
        <w:tabs>
          <w:tab w:val="num" w:pos="6248"/>
        </w:tabs>
        <w:spacing w:after="120"/>
        <w:ind w:left="709" w:hanging="709"/>
        <w:rPr>
          <w:sz w:val="24"/>
          <w:szCs w:val="24"/>
        </w:rPr>
      </w:pPr>
      <w:r w:rsidRPr="00730011">
        <w:rPr>
          <w:sz w:val="24"/>
          <w:szCs w:val="24"/>
        </w:rPr>
        <w:t>The Cabinet Office hereaft</w:t>
      </w:r>
      <w:r w:rsidR="00135C56">
        <w:rPr>
          <w:sz w:val="24"/>
          <w:szCs w:val="24"/>
        </w:rPr>
        <w:t>er referred to as “The Customer</w:t>
      </w:r>
      <w:r w:rsidRPr="00730011">
        <w:rPr>
          <w:sz w:val="24"/>
          <w:szCs w:val="24"/>
        </w:rPr>
        <w:t>” requires</w:t>
      </w:r>
      <w:r w:rsidR="00AE6F33">
        <w:rPr>
          <w:sz w:val="24"/>
          <w:szCs w:val="24"/>
        </w:rPr>
        <w:t xml:space="preserve"> Baringa Partners LLP (henceforth to be referred to as “The Supplier) to provide</w:t>
      </w:r>
      <w:r w:rsidRPr="00730011">
        <w:rPr>
          <w:sz w:val="24"/>
          <w:szCs w:val="24"/>
        </w:rPr>
        <w:t xml:space="preserve"> urgent and immediate consultancy support in order to deliver a range of specialist projects and initiatives to enable the development and growth of Commercial Capability Services</w:t>
      </w:r>
      <w:r>
        <w:rPr>
          <w:sz w:val="24"/>
          <w:szCs w:val="24"/>
        </w:rPr>
        <w:t xml:space="preserve"> across central government and the wider public sector.</w:t>
      </w:r>
    </w:p>
    <w:p w14:paraId="7B211880" w14:textId="77777777" w:rsidR="005C4830" w:rsidRPr="005C4830" w:rsidRDefault="005C4830" w:rsidP="005C4830">
      <w:pPr>
        <w:pStyle w:val="Heading2"/>
        <w:numPr>
          <w:ilvl w:val="0"/>
          <w:numId w:val="0"/>
        </w:numPr>
        <w:spacing w:after="120"/>
        <w:ind w:left="709"/>
        <w:rPr>
          <w:sz w:val="24"/>
          <w:szCs w:val="24"/>
          <w:highlight w:val="yellow"/>
        </w:rPr>
      </w:pPr>
      <w:bookmarkStart w:id="5" w:name="_Toc297554773"/>
      <w:bookmarkStart w:id="6" w:name="_Toc296415805"/>
      <w:bookmarkStart w:id="7" w:name="_Toc296415793"/>
      <w:bookmarkEnd w:id="4"/>
    </w:p>
    <w:p w14:paraId="151A9D23" w14:textId="77777777" w:rsidR="00FE18AC" w:rsidRPr="001A45DF" w:rsidRDefault="00FE18AC" w:rsidP="008F3470">
      <w:pPr>
        <w:pStyle w:val="Heading1"/>
        <w:tabs>
          <w:tab w:val="clear" w:pos="720"/>
        </w:tabs>
        <w:overflowPunct w:val="0"/>
        <w:autoSpaceDE w:val="0"/>
        <w:autoSpaceDN w:val="0"/>
        <w:spacing w:after="120"/>
        <w:textAlignment w:val="baseline"/>
        <w:rPr>
          <w:sz w:val="32"/>
          <w:szCs w:val="32"/>
        </w:rPr>
      </w:pPr>
      <w:bookmarkStart w:id="8" w:name="_Toc368573029"/>
      <w:bookmarkStart w:id="9" w:name="_Toc53747665"/>
      <w:r w:rsidRPr="001A45DF">
        <w:rPr>
          <w:sz w:val="32"/>
          <w:szCs w:val="32"/>
        </w:rPr>
        <w:t>Background to requirement/OVERVIEW</w:t>
      </w:r>
      <w:bookmarkEnd w:id="5"/>
      <w:r w:rsidRPr="001A45DF">
        <w:rPr>
          <w:sz w:val="32"/>
          <w:szCs w:val="32"/>
        </w:rPr>
        <w:t xml:space="preserve"> of requirement</w:t>
      </w:r>
      <w:bookmarkEnd w:id="8"/>
      <w:bookmarkEnd w:id="9"/>
    </w:p>
    <w:p w14:paraId="49995F83" w14:textId="40D48F61" w:rsidR="006534DE" w:rsidRPr="00DB0D66" w:rsidRDefault="006534DE" w:rsidP="006534DE">
      <w:pPr>
        <w:pStyle w:val="Heading2"/>
        <w:spacing w:after="120"/>
        <w:ind w:left="709" w:hanging="709"/>
        <w:rPr>
          <w:sz w:val="24"/>
          <w:szCs w:val="24"/>
        </w:rPr>
      </w:pPr>
      <w:bookmarkStart w:id="10" w:name="_Toc297554774"/>
      <w:bookmarkEnd w:id="6"/>
      <w:r w:rsidRPr="00DB0D66">
        <w:rPr>
          <w:rFonts w:eastAsia="Times New Roman" w:cs="Arial"/>
          <w:color w:val="000000"/>
          <w:sz w:val="24"/>
          <w:szCs w:val="24"/>
          <w:lang w:eastAsia="en-US"/>
        </w:rPr>
        <w:t>The Commercial Blueprints Team sits within the GCF, and is part of the Commercial and Contract Management Capability Programme. The Blueprint Team’s mission is to support departments in making effective decisions on areas such as operational models, organisational models, resource levels, lifecycle influence and supplier base. The team is now launching its next and most ambitious cycle of Blueprints, the successful delivery of which will enable the following benefits:</w:t>
      </w:r>
    </w:p>
    <w:p w14:paraId="1BF2016E" w14:textId="77777777" w:rsidR="006534DE" w:rsidRPr="006534DE" w:rsidRDefault="006534DE" w:rsidP="006534DE">
      <w:pPr>
        <w:rPr>
          <w:rFonts w:ascii="Times New Roman" w:eastAsia="Times New Roman" w:hAnsi="Times New Roman"/>
          <w:sz w:val="24"/>
          <w:lang w:eastAsia="en-US"/>
        </w:rPr>
      </w:pPr>
    </w:p>
    <w:p w14:paraId="2E2D8E76" w14:textId="77777777" w:rsidR="006534DE" w:rsidRPr="00EB0E79" w:rsidRDefault="006534DE" w:rsidP="00EB0E79">
      <w:pPr>
        <w:pStyle w:val="Heading3"/>
        <w:rPr>
          <w:sz w:val="24"/>
          <w:lang w:eastAsia="en-US"/>
        </w:rPr>
      </w:pPr>
      <w:r w:rsidRPr="00EB0E79">
        <w:rPr>
          <w:sz w:val="24"/>
          <w:szCs w:val="24"/>
          <w:lang w:eastAsia="en-US"/>
        </w:rPr>
        <w:t>Cross-government view on departmental commercial landscapes </w:t>
      </w:r>
    </w:p>
    <w:p w14:paraId="24BF12DF" w14:textId="77777777" w:rsidR="006534DE" w:rsidRPr="00EB0E79" w:rsidRDefault="006534DE" w:rsidP="00EB0E79">
      <w:pPr>
        <w:pStyle w:val="Heading3"/>
        <w:rPr>
          <w:sz w:val="24"/>
          <w:lang w:eastAsia="en-US"/>
        </w:rPr>
      </w:pPr>
      <w:r w:rsidRPr="00EB0E79">
        <w:rPr>
          <w:sz w:val="24"/>
          <w:szCs w:val="24"/>
          <w:lang w:eastAsia="en-US"/>
        </w:rPr>
        <w:t>Intelligent data which supports strategy and planning </w:t>
      </w:r>
    </w:p>
    <w:p w14:paraId="5143ABDC" w14:textId="77777777" w:rsidR="006534DE" w:rsidRPr="00EB0E79" w:rsidRDefault="006534DE" w:rsidP="00EB0E79">
      <w:pPr>
        <w:pStyle w:val="Heading3"/>
        <w:rPr>
          <w:sz w:val="24"/>
          <w:lang w:eastAsia="en-US"/>
        </w:rPr>
      </w:pPr>
      <w:r w:rsidRPr="00EB0E79">
        <w:rPr>
          <w:sz w:val="24"/>
          <w:szCs w:val="24"/>
          <w:lang w:eastAsia="en-US"/>
        </w:rPr>
        <w:t>Senior leaders buy-in and approval into commercial direction of each government department </w:t>
      </w:r>
    </w:p>
    <w:p w14:paraId="2C24EF44" w14:textId="77777777" w:rsidR="006534DE" w:rsidRPr="00EB0E79" w:rsidRDefault="006534DE" w:rsidP="00EB0E79">
      <w:pPr>
        <w:pStyle w:val="Heading3"/>
        <w:rPr>
          <w:sz w:val="24"/>
          <w:lang w:eastAsia="en-US"/>
        </w:rPr>
      </w:pPr>
      <w:r w:rsidRPr="00EB0E79">
        <w:rPr>
          <w:sz w:val="24"/>
          <w:szCs w:val="24"/>
          <w:lang w:eastAsia="en-US"/>
        </w:rPr>
        <w:t>Enable knowledge sharing between departments </w:t>
      </w:r>
    </w:p>
    <w:p w14:paraId="1FFBBD1A" w14:textId="77777777" w:rsidR="006534DE" w:rsidRPr="00EB0E79" w:rsidRDefault="006534DE" w:rsidP="00EB0E79">
      <w:pPr>
        <w:pStyle w:val="Heading3"/>
        <w:rPr>
          <w:lang w:eastAsia="en-US"/>
        </w:rPr>
      </w:pPr>
      <w:r w:rsidRPr="00EB0E79">
        <w:rPr>
          <w:sz w:val="24"/>
          <w:szCs w:val="24"/>
          <w:lang w:eastAsia="en-US"/>
        </w:rPr>
        <w:t>A more joined up strategy across government, with better structured organisations to tackle challenges ahead </w:t>
      </w:r>
    </w:p>
    <w:p w14:paraId="1792472B" w14:textId="77777777" w:rsidR="006534DE" w:rsidRPr="00EB0E79" w:rsidRDefault="006534DE" w:rsidP="00EB0E79">
      <w:pPr>
        <w:pStyle w:val="Heading3"/>
        <w:rPr>
          <w:sz w:val="24"/>
          <w:lang w:eastAsia="en-US"/>
        </w:rPr>
      </w:pPr>
      <w:r w:rsidRPr="00EB0E79">
        <w:rPr>
          <w:sz w:val="24"/>
          <w:szCs w:val="24"/>
          <w:lang w:eastAsia="en-US"/>
        </w:rPr>
        <w:t>The foundations to build an internal organisational and operational advisory service </w:t>
      </w:r>
    </w:p>
    <w:p w14:paraId="61C1035A" w14:textId="77777777" w:rsidR="006534DE" w:rsidRPr="00EB0E79" w:rsidRDefault="006534DE" w:rsidP="00EB0E79">
      <w:pPr>
        <w:pStyle w:val="Heading3"/>
        <w:rPr>
          <w:sz w:val="24"/>
          <w:lang w:eastAsia="en-US"/>
        </w:rPr>
      </w:pPr>
      <w:r w:rsidRPr="00EB0E79">
        <w:rPr>
          <w:sz w:val="24"/>
          <w:szCs w:val="24"/>
          <w:lang w:eastAsia="en-US"/>
        </w:rPr>
        <w:t>Support and knowledge transfer to other functions (e.g. HR, GPA) to develop their version of Blueprints, enabling them to deliver stronger functional performance.</w:t>
      </w:r>
    </w:p>
    <w:p w14:paraId="248A7EBE" w14:textId="77777777" w:rsidR="006534DE" w:rsidRPr="006534DE" w:rsidRDefault="006534DE" w:rsidP="006534DE">
      <w:pPr>
        <w:pStyle w:val="Heading2"/>
        <w:numPr>
          <w:ilvl w:val="0"/>
          <w:numId w:val="0"/>
        </w:numPr>
        <w:spacing w:after="120"/>
        <w:ind w:left="709"/>
        <w:rPr>
          <w:sz w:val="24"/>
          <w:szCs w:val="24"/>
          <w:highlight w:val="yellow"/>
        </w:rPr>
      </w:pPr>
    </w:p>
    <w:p w14:paraId="1719546E" w14:textId="4B6054EB" w:rsidR="0084687E" w:rsidRDefault="006534DE" w:rsidP="0084687E">
      <w:pPr>
        <w:pStyle w:val="Heading2"/>
        <w:spacing w:after="120"/>
        <w:ind w:left="709" w:hanging="709"/>
        <w:rPr>
          <w:rFonts w:ascii="Times New Roman" w:eastAsia="Times New Roman" w:hAnsi="Times New Roman"/>
          <w:sz w:val="24"/>
          <w:szCs w:val="24"/>
          <w:lang w:eastAsia="en-US"/>
        </w:rPr>
      </w:pPr>
      <w:r w:rsidRPr="006534DE">
        <w:rPr>
          <w:rFonts w:eastAsia="Times New Roman" w:cs="Arial"/>
          <w:color w:val="000000"/>
          <w:sz w:val="24"/>
          <w:szCs w:val="24"/>
          <w:lang w:eastAsia="en-US"/>
        </w:rPr>
        <w:t xml:space="preserve">Blueprints Round 3 is a time limited project with specific and key deliverables. The consultancy service will play a key role in advising government departments on how to structure their organisations and be prepared for future </w:t>
      </w:r>
      <w:r w:rsidRPr="006534DE">
        <w:rPr>
          <w:rFonts w:eastAsia="Times New Roman" w:cs="Arial"/>
          <w:color w:val="000000"/>
          <w:sz w:val="24"/>
          <w:szCs w:val="24"/>
          <w:lang w:eastAsia="en-US"/>
        </w:rPr>
        <w:lastRenderedPageBreak/>
        <w:t xml:space="preserve">eventualities. The consultants will be specialists in </w:t>
      </w:r>
      <w:r w:rsidR="004E5FB4" w:rsidRPr="006534DE">
        <w:rPr>
          <w:rFonts w:eastAsia="Times New Roman" w:cs="Arial"/>
          <w:color w:val="000000"/>
          <w:sz w:val="24"/>
          <w:szCs w:val="24"/>
          <w:lang w:eastAsia="en-US"/>
        </w:rPr>
        <w:t>organisational</w:t>
      </w:r>
      <w:r w:rsidRPr="006534DE">
        <w:rPr>
          <w:rFonts w:eastAsia="Times New Roman" w:cs="Arial"/>
          <w:color w:val="000000"/>
          <w:sz w:val="24"/>
          <w:szCs w:val="24"/>
          <w:lang w:eastAsia="en-US"/>
        </w:rPr>
        <w:t xml:space="preserve"> and operational design, which is an expertise unavailable in house. </w:t>
      </w:r>
    </w:p>
    <w:p w14:paraId="3F50DAF9" w14:textId="3DC9359A" w:rsidR="006534DE" w:rsidRPr="0084687E" w:rsidRDefault="00AE6F33" w:rsidP="0084687E">
      <w:pPr>
        <w:pStyle w:val="Heading2"/>
        <w:spacing w:after="120"/>
        <w:ind w:left="709" w:hanging="709"/>
        <w:rPr>
          <w:rFonts w:ascii="Times New Roman" w:eastAsia="Times New Roman" w:hAnsi="Times New Roman"/>
          <w:sz w:val="24"/>
          <w:szCs w:val="24"/>
          <w:lang w:eastAsia="en-US"/>
        </w:rPr>
      </w:pPr>
      <w:r>
        <w:rPr>
          <w:rFonts w:eastAsia="Times New Roman" w:cs="Arial"/>
          <w:color w:val="000000"/>
          <w:sz w:val="24"/>
          <w:szCs w:val="24"/>
          <w:lang w:eastAsia="en-US"/>
        </w:rPr>
        <w:t xml:space="preserve">The Customer requires the Supplier’s consultants to have </w:t>
      </w:r>
      <w:r w:rsidR="006534DE" w:rsidRPr="0084687E">
        <w:rPr>
          <w:rFonts w:eastAsia="Times New Roman" w:cs="Arial"/>
          <w:color w:val="000000"/>
          <w:sz w:val="24"/>
          <w:szCs w:val="24"/>
          <w:lang w:eastAsia="en-US"/>
        </w:rPr>
        <w:t xml:space="preserve">the required knowledge, skills and flexibility to maintain the delivery of Blueprints at pace. </w:t>
      </w:r>
    </w:p>
    <w:p w14:paraId="70C3A13B" w14:textId="77777777" w:rsidR="006534DE" w:rsidRPr="001A45DF" w:rsidRDefault="006534DE" w:rsidP="006534DE">
      <w:pPr>
        <w:pStyle w:val="Heading2"/>
        <w:numPr>
          <w:ilvl w:val="0"/>
          <w:numId w:val="0"/>
        </w:numPr>
        <w:spacing w:after="120"/>
        <w:ind w:left="720" w:hanging="720"/>
        <w:rPr>
          <w:sz w:val="24"/>
          <w:szCs w:val="24"/>
          <w:highlight w:val="yellow"/>
        </w:rPr>
      </w:pPr>
    </w:p>
    <w:p w14:paraId="081CFAE7" w14:textId="4404AA16" w:rsidR="00C4233A" w:rsidRPr="001A45DF" w:rsidRDefault="00106F24">
      <w:pPr>
        <w:pStyle w:val="Heading1"/>
        <w:tabs>
          <w:tab w:val="clear" w:pos="720"/>
        </w:tabs>
        <w:overflowPunct w:val="0"/>
        <w:autoSpaceDE w:val="0"/>
        <w:autoSpaceDN w:val="0"/>
        <w:spacing w:after="120"/>
        <w:textAlignment w:val="baseline"/>
        <w:rPr>
          <w:sz w:val="32"/>
          <w:szCs w:val="32"/>
        </w:rPr>
      </w:pPr>
      <w:bookmarkStart w:id="11" w:name="_Toc53747666"/>
      <w:bookmarkStart w:id="12" w:name="_Toc368573030"/>
      <w:r w:rsidRPr="001A45DF">
        <w:rPr>
          <w:sz w:val="32"/>
          <w:szCs w:val="32"/>
        </w:rPr>
        <w:t>definitions</w:t>
      </w:r>
      <w:bookmarkEnd w:id="11"/>
      <w:r w:rsidRPr="001A45DF">
        <w:rPr>
          <w:sz w:val="32"/>
          <w:szCs w:val="32"/>
        </w:rPr>
        <w:t xml:space="preserve"> </w:t>
      </w:r>
    </w:p>
    <w:tbl>
      <w:tblPr>
        <w:tblStyle w:val="TableGrid"/>
        <w:tblW w:w="0" w:type="auto"/>
        <w:tblInd w:w="720" w:type="dxa"/>
        <w:tblLook w:val="04A0" w:firstRow="1" w:lastRow="0" w:firstColumn="1" w:lastColumn="0" w:noHBand="0" w:noVBand="1"/>
      </w:tblPr>
      <w:tblGrid>
        <w:gridCol w:w="1827"/>
        <w:gridCol w:w="6472"/>
      </w:tblGrid>
      <w:tr w:rsidR="00106F24" w14:paraId="553CCD95" w14:textId="77777777" w:rsidTr="002C0A45">
        <w:tc>
          <w:tcPr>
            <w:tcW w:w="1827" w:type="dxa"/>
            <w:shd w:val="clear" w:color="auto" w:fill="B8CCE4" w:themeFill="accent1" w:themeFillTint="66"/>
          </w:tcPr>
          <w:p w14:paraId="2E04E555" w14:textId="1E410DA5" w:rsidR="00106F24" w:rsidRPr="001A45DF" w:rsidRDefault="00106F24" w:rsidP="0081061A">
            <w:pPr>
              <w:pStyle w:val="Heading2"/>
              <w:numPr>
                <w:ilvl w:val="0"/>
                <w:numId w:val="0"/>
              </w:numPr>
              <w:spacing w:after="120"/>
              <w:ind w:left="18" w:hanging="18"/>
              <w:jc w:val="left"/>
              <w:outlineLvl w:val="1"/>
              <w:rPr>
                <w:b/>
                <w:sz w:val="24"/>
                <w:szCs w:val="24"/>
                <w:highlight w:val="yellow"/>
              </w:rPr>
            </w:pPr>
            <w:r w:rsidRPr="001A45DF">
              <w:rPr>
                <w:b/>
                <w:sz w:val="24"/>
                <w:szCs w:val="24"/>
              </w:rPr>
              <w:t>Expression</w:t>
            </w:r>
            <w:r w:rsidR="0081061A" w:rsidRPr="001A45DF">
              <w:rPr>
                <w:b/>
                <w:sz w:val="24"/>
                <w:szCs w:val="24"/>
              </w:rPr>
              <w:t xml:space="preserve"> or </w:t>
            </w:r>
            <w:r w:rsidRPr="001A45DF">
              <w:rPr>
                <w:b/>
                <w:sz w:val="24"/>
                <w:szCs w:val="24"/>
              </w:rPr>
              <w:t>Acronym</w:t>
            </w:r>
          </w:p>
        </w:tc>
        <w:tc>
          <w:tcPr>
            <w:tcW w:w="6472" w:type="dxa"/>
            <w:shd w:val="clear" w:color="auto" w:fill="B8CCE4" w:themeFill="accent1" w:themeFillTint="66"/>
          </w:tcPr>
          <w:p w14:paraId="0CDEAA6D" w14:textId="00739683" w:rsidR="00106F24" w:rsidRPr="001A45DF" w:rsidRDefault="00106F24" w:rsidP="0081061A">
            <w:pPr>
              <w:pStyle w:val="Heading2"/>
              <w:numPr>
                <w:ilvl w:val="0"/>
                <w:numId w:val="0"/>
              </w:numPr>
              <w:spacing w:after="120"/>
              <w:ind w:left="720" w:hanging="720"/>
              <w:outlineLvl w:val="1"/>
              <w:rPr>
                <w:b/>
                <w:sz w:val="24"/>
                <w:szCs w:val="24"/>
                <w:highlight w:val="yellow"/>
              </w:rPr>
            </w:pPr>
            <w:r w:rsidRPr="001A45DF">
              <w:rPr>
                <w:b/>
                <w:sz w:val="24"/>
                <w:szCs w:val="24"/>
              </w:rPr>
              <w:t>Definition</w:t>
            </w:r>
          </w:p>
        </w:tc>
      </w:tr>
      <w:tr w:rsidR="00135C56" w14:paraId="6CA4AE25" w14:textId="77777777" w:rsidTr="00106F24">
        <w:tc>
          <w:tcPr>
            <w:tcW w:w="1827" w:type="dxa"/>
          </w:tcPr>
          <w:p w14:paraId="74D46DE7" w14:textId="04B9B4AF" w:rsidR="00135C56" w:rsidRPr="00DB0D66" w:rsidRDefault="00135C56" w:rsidP="0081061A">
            <w:pPr>
              <w:pStyle w:val="Heading2"/>
              <w:numPr>
                <w:ilvl w:val="0"/>
                <w:numId w:val="0"/>
              </w:numPr>
              <w:spacing w:after="120"/>
              <w:ind w:left="720" w:hanging="720"/>
              <w:outlineLvl w:val="1"/>
              <w:rPr>
                <w:sz w:val="24"/>
                <w:szCs w:val="24"/>
              </w:rPr>
            </w:pPr>
            <w:r>
              <w:rPr>
                <w:sz w:val="24"/>
                <w:szCs w:val="24"/>
              </w:rPr>
              <w:t>BP</w:t>
            </w:r>
          </w:p>
        </w:tc>
        <w:tc>
          <w:tcPr>
            <w:tcW w:w="6472" w:type="dxa"/>
          </w:tcPr>
          <w:p w14:paraId="148926DD" w14:textId="43EBDEF9" w:rsidR="00135C56" w:rsidRPr="00DB0D66" w:rsidRDefault="00135C56" w:rsidP="00E24EE7">
            <w:pPr>
              <w:pStyle w:val="Heading2"/>
              <w:numPr>
                <w:ilvl w:val="0"/>
                <w:numId w:val="0"/>
              </w:numPr>
              <w:spacing w:after="120"/>
              <w:outlineLvl w:val="1"/>
              <w:rPr>
                <w:sz w:val="24"/>
                <w:szCs w:val="24"/>
              </w:rPr>
            </w:pPr>
            <w:r>
              <w:rPr>
                <w:sz w:val="24"/>
                <w:szCs w:val="24"/>
              </w:rPr>
              <w:t>means Blueprint</w:t>
            </w:r>
          </w:p>
        </w:tc>
      </w:tr>
      <w:tr w:rsidR="00413F91" w14:paraId="38D3F9B9" w14:textId="77777777" w:rsidTr="00106F24">
        <w:tc>
          <w:tcPr>
            <w:tcW w:w="1827" w:type="dxa"/>
          </w:tcPr>
          <w:p w14:paraId="30E3997E" w14:textId="371FFC95" w:rsidR="00413F91" w:rsidRDefault="00413F91" w:rsidP="0081061A">
            <w:pPr>
              <w:pStyle w:val="Heading2"/>
              <w:numPr>
                <w:ilvl w:val="0"/>
                <w:numId w:val="0"/>
              </w:numPr>
              <w:spacing w:after="120"/>
              <w:ind w:left="720" w:hanging="720"/>
              <w:outlineLvl w:val="1"/>
              <w:rPr>
                <w:sz w:val="24"/>
                <w:szCs w:val="24"/>
              </w:rPr>
            </w:pPr>
            <w:r>
              <w:rPr>
                <w:sz w:val="24"/>
                <w:szCs w:val="24"/>
              </w:rPr>
              <w:t>BPSS</w:t>
            </w:r>
          </w:p>
        </w:tc>
        <w:tc>
          <w:tcPr>
            <w:tcW w:w="6472" w:type="dxa"/>
          </w:tcPr>
          <w:p w14:paraId="26843437" w14:textId="4DD9C9D1" w:rsidR="00413F91" w:rsidRDefault="00413F91" w:rsidP="00E24EE7">
            <w:pPr>
              <w:pStyle w:val="Heading2"/>
              <w:numPr>
                <w:ilvl w:val="0"/>
                <w:numId w:val="0"/>
              </w:numPr>
              <w:spacing w:after="120"/>
              <w:outlineLvl w:val="1"/>
              <w:rPr>
                <w:sz w:val="24"/>
                <w:szCs w:val="24"/>
              </w:rPr>
            </w:pPr>
            <w:r>
              <w:rPr>
                <w:sz w:val="24"/>
                <w:szCs w:val="24"/>
              </w:rPr>
              <w:t xml:space="preserve">means Baseline Personal Security Standard </w:t>
            </w:r>
          </w:p>
        </w:tc>
      </w:tr>
      <w:tr w:rsidR="00707A96" w14:paraId="18D09D0F" w14:textId="77777777" w:rsidTr="00106F24">
        <w:tc>
          <w:tcPr>
            <w:tcW w:w="1827" w:type="dxa"/>
          </w:tcPr>
          <w:p w14:paraId="030E9EE8" w14:textId="7A4BC25C" w:rsidR="00707A96" w:rsidRPr="00DB0D66" w:rsidRDefault="00707A96" w:rsidP="0081061A">
            <w:pPr>
              <w:pStyle w:val="Heading2"/>
              <w:numPr>
                <w:ilvl w:val="0"/>
                <w:numId w:val="0"/>
              </w:numPr>
              <w:spacing w:after="120"/>
              <w:ind w:left="720" w:hanging="720"/>
              <w:outlineLvl w:val="1"/>
              <w:rPr>
                <w:sz w:val="24"/>
                <w:szCs w:val="24"/>
              </w:rPr>
            </w:pPr>
            <w:r w:rsidRPr="00730011">
              <w:rPr>
                <w:sz w:val="24"/>
                <w:szCs w:val="24"/>
              </w:rPr>
              <w:t>CCP</w:t>
            </w:r>
          </w:p>
        </w:tc>
        <w:tc>
          <w:tcPr>
            <w:tcW w:w="6472" w:type="dxa"/>
          </w:tcPr>
          <w:p w14:paraId="62F2D48A" w14:textId="7B45F79D" w:rsidR="00707A96" w:rsidRPr="00DB0D66" w:rsidRDefault="00707A96" w:rsidP="00E24EE7">
            <w:pPr>
              <w:pStyle w:val="Heading2"/>
              <w:numPr>
                <w:ilvl w:val="0"/>
                <w:numId w:val="0"/>
              </w:numPr>
              <w:spacing w:after="120"/>
              <w:outlineLvl w:val="1"/>
              <w:rPr>
                <w:sz w:val="24"/>
                <w:szCs w:val="24"/>
              </w:rPr>
            </w:pPr>
            <w:r>
              <w:rPr>
                <w:sz w:val="24"/>
                <w:szCs w:val="24"/>
              </w:rPr>
              <w:t>m</w:t>
            </w:r>
            <w:r w:rsidRPr="001A45DF">
              <w:rPr>
                <w:sz w:val="24"/>
                <w:szCs w:val="24"/>
              </w:rPr>
              <w:t>eans</w:t>
            </w:r>
            <w:r>
              <w:rPr>
                <w:sz w:val="24"/>
                <w:szCs w:val="24"/>
              </w:rPr>
              <w:t xml:space="preserve"> </w:t>
            </w:r>
            <w:r w:rsidRPr="00730011">
              <w:rPr>
                <w:sz w:val="24"/>
                <w:szCs w:val="24"/>
              </w:rPr>
              <w:t>Commercial Capability Programme</w:t>
            </w:r>
          </w:p>
        </w:tc>
      </w:tr>
      <w:tr w:rsidR="00707A96" w14:paraId="69CD209E" w14:textId="77777777" w:rsidTr="00106F24">
        <w:tc>
          <w:tcPr>
            <w:tcW w:w="1827" w:type="dxa"/>
          </w:tcPr>
          <w:p w14:paraId="75272F89" w14:textId="02A585AF" w:rsidR="00707A96" w:rsidRPr="00DB0D66" w:rsidRDefault="00707A96" w:rsidP="0081061A">
            <w:pPr>
              <w:pStyle w:val="Heading2"/>
              <w:numPr>
                <w:ilvl w:val="0"/>
                <w:numId w:val="0"/>
              </w:numPr>
              <w:spacing w:after="120"/>
              <w:ind w:left="720" w:hanging="720"/>
              <w:outlineLvl w:val="1"/>
              <w:rPr>
                <w:sz w:val="24"/>
                <w:szCs w:val="24"/>
              </w:rPr>
            </w:pPr>
            <w:r w:rsidRPr="00730011">
              <w:rPr>
                <w:sz w:val="24"/>
                <w:szCs w:val="24"/>
              </w:rPr>
              <w:t>GCCO</w:t>
            </w:r>
          </w:p>
        </w:tc>
        <w:tc>
          <w:tcPr>
            <w:tcW w:w="6472" w:type="dxa"/>
          </w:tcPr>
          <w:p w14:paraId="7B5793C7" w14:textId="62A19D81" w:rsidR="00707A96" w:rsidRPr="00DB0D66" w:rsidRDefault="00707A96" w:rsidP="00E24EE7">
            <w:pPr>
              <w:pStyle w:val="Heading2"/>
              <w:numPr>
                <w:ilvl w:val="0"/>
                <w:numId w:val="0"/>
              </w:numPr>
              <w:spacing w:after="120"/>
              <w:outlineLvl w:val="1"/>
              <w:rPr>
                <w:sz w:val="24"/>
                <w:szCs w:val="24"/>
              </w:rPr>
            </w:pPr>
            <w:r>
              <w:rPr>
                <w:sz w:val="24"/>
                <w:szCs w:val="24"/>
              </w:rPr>
              <w:t>m</w:t>
            </w:r>
            <w:r w:rsidRPr="001A45DF">
              <w:rPr>
                <w:sz w:val="24"/>
                <w:szCs w:val="24"/>
              </w:rPr>
              <w:t>ean</w:t>
            </w:r>
            <w:r>
              <w:rPr>
                <w:sz w:val="24"/>
                <w:szCs w:val="24"/>
              </w:rPr>
              <w:t xml:space="preserve">s </w:t>
            </w:r>
            <w:r w:rsidRPr="00730011">
              <w:rPr>
                <w:sz w:val="24"/>
                <w:szCs w:val="24"/>
              </w:rPr>
              <w:t>Government Chief Commercial Officer</w:t>
            </w:r>
          </w:p>
        </w:tc>
      </w:tr>
      <w:tr w:rsidR="00106F24" w14:paraId="722819D3" w14:textId="77777777" w:rsidTr="00106F24">
        <w:tc>
          <w:tcPr>
            <w:tcW w:w="1827" w:type="dxa"/>
          </w:tcPr>
          <w:p w14:paraId="18A7B53F" w14:textId="2537141B" w:rsidR="00106F24" w:rsidRPr="00DB0D66" w:rsidRDefault="0084687E" w:rsidP="0081061A">
            <w:pPr>
              <w:pStyle w:val="Heading2"/>
              <w:numPr>
                <w:ilvl w:val="0"/>
                <w:numId w:val="0"/>
              </w:numPr>
              <w:spacing w:after="120"/>
              <w:ind w:left="720" w:hanging="720"/>
              <w:outlineLvl w:val="1"/>
              <w:rPr>
                <w:sz w:val="24"/>
                <w:szCs w:val="24"/>
              </w:rPr>
            </w:pPr>
            <w:r w:rsidRPr="00DB0D66">
              <w:rPr>
                <w:sz w:val="24"/>
                <w:szCs w:val="24"/>
              </w:rPr>
              <w:t>GCF</w:t>
            </w:r>
          </w:p>
        </w:tc>
        <w:tc>
          <w:tcPr>
            <w:tcW w:w="6472" w:type="dxa"/>
          </w:tcPr>
          <w:p w14:paraId="74E0E117" w14:textId="7275B08B" w:rsidR="00106F24" w:rsidRPr="00DB0D66" w:rsidRDefault="0036555C" w:rsidP="00E24EE7">
            <w:pPr>
              <w:pStyle w:val="Heading2"/>
              <w:numPr>
                <w:ilvl w:val="0"/>
                <w:numId w:val="0"/>
              </w:numPr>
              <w:spacing w:after="120"/>
              <w:outlineLvl w:val="1"/>
              <w:rPr>
                <w:sz w:val="24"/>
                <w:szCs w:val="24"/>
              </w:rPr>
            </w:pPr>
            <w:r w:rsidRPr="00DB0D66">
              <w:rPr>
                <w:sz w:val="24"/>
                <w:szCs w:val="24"/>
              </w:rPr>
              <w:t xml:space="preserve">means </w:t>
            </w:r>
            <w:r w:rsidR="0084687E" w:rsidRPr="00DB0D66">
              <w:rPr>
                <w:sz w:val="24"/>
                <w:szCs w:val="24"/>
              </w:rPr>
              <w:t xml:space="preserve">Government Commercial Function </w:t>
            </w:r>
          </w:p>
        </w:tc>
      </w:tr>
      <w:tr w:rsidR="00135C56" w14:paraId="664C6F4B" w14:textId="77777777" w:rsidTr="00106F24">
        <w:tc>
          <w:tcPr>
            <w:tcW w:w="1827" w:type="dxa"/>
          </w:tcPr>
          <w:p w14:paraId="64DD9BE3" w14:textId="183B46D1" w:rsidR="00135C56" w:rsidRDefault="00135C56" w:rsidP="0081061A">
            <w:pPr>
              <w:pStyle w:val="Heading2"/>
              <w:numPr>
                <w:ilvl w:val="0"/>
                <w:numId w:val="0"/>
              </w:numPr>
              <w:spacing w:after="120"/>
              <w:ind w:left="720" w:hanging="720"/>
              <w:outlineLvl w:val="1"/>
              <w:rPr>
                <w:sz w:val="24"/>
                <w:szCs w:val="24"/>
              </w:rPr>
            </w:pPr>
            <w:r>
              <w:rPr>
                <w:sz w:val="24"/>
                <w:szCs w:val="24"/>
              </w:rPr>
              <w:t>SDP</w:t>
            </w:r>
          </w:p>
        </w:tc>
        <w:tc>
          <w:tcPr>
            <w:tcW w:w="6472" w:type="dxa"/>
          </w:tcPr>
          <w:p w14:paraId="24B246A2" w14:textId="50A09CE7" w:rsidR="00135C56" w:rsidRDefault="00413F91" w:rsidP="00E24EE7">
            <w:pPr>
              <w:pStyle w:val="Heading2"/>
              <w:numPr>
                <w:ilvl w:val="0"/>
                <w:numId w:val="0"/>
              </w:numPr>
              <w:spacing w:after="120"/>
              <w:outlineLvl w:val="1"/>
              <w:rPr>
                <w:sz w:val="24"/>
                <w:szCs w:val="24"/>
              </w:rPr>
            </w:pPr>
            <w:r>
              <w:rPr>
                <w:sz w:val="24"/>
                <w:szCs w:val="24"/>
              </w:rPr>
              <w:t>m</w:t>
            </w:r>
            <w:r w:rsidR="00135C56">
              <w:rPr>
                <w:sz w:val="24"/>
                <w:szCs w:val="24"/>
              </w:rPr>
              <w:t>eans Single Departmental Plan</w:t>
            </w:r>
          </w:p>
        </w:tc>
      </w:tr>
    </w:tbl>
    <w:p w14:paraId="0DAF43A5" w14:textId="77777777" w:rsidR="00671798" w:rsidRPr="001A45DF" w:rsidRDefault="00FE18AC" w:rsidP="00106F24">
      <w:pPr>
        <w:pStyle w:val="Heading1"/>
        <w:tabs>
          <w:tab w:val="clear" w:pos="720"/>
        </w:tabs>
        <w:overflowPunct w:val="0"/>
        <w:autoSpaceDE w:val="0"/>
        <w:autoSpaceDN w:val="0"/>
        <w:spacing w:before="240" w:after="120"/>
        <w:textAlignment w:val="baseline"/>
        <w:rPr>
          <w:sz w:val="32"/>
          <w:szCs w:val="32"/>
        </w:rPr>
      </w:pPr>
      <w:bookmarkStart w:id="13" w:name="_Toc53747667"/>
      <w:r w:rsidRPr="001A45DF">
        <w:rPr>
          <w:sz w:val="32"/>
          <w:szCs w:val="32"/>
        </w:rPr>
        <w:t>scope of requirement</w:t>
      </w:r>
      <w:bookmarkEnd w:id="10"/>
      <w:bookmarkEnd w:id="12"/>
      <w:bookmarkEnd w:id="13"/>
      <w:r w:rsidRPr="001A45DF">
        <w:rPr>
          <w:sz w:val="32"/>
          <w:szCs w:val="32"/>
        </w:rPr>
        <w:t xml:space="preserve"> </w:t>
      </w:r>
    </w:p>
    <w:bookmarkEnd w:id="7"/>
    <w:p w14:paraId="53043952" w14:textId="713E57F2" w:rsidR="003C35BD" w:rsidRPr="00707A96" w:rsidRDefault="00AE6F33" w:rsidP="00BD33A1">
      <w:pPr>
        <w:pStyle w:val="Heading2"/>
        <w:tabs>
          <w:tab w:val="clear" w:pos="720"/>
          <w:tab w:val="num" w:pos="862"/>
        </w:tabs>
        <w:overflowPunct w:val="0"/>
        <w:autoSpaceDE w:val="0"/>
        <w:autoSpaceDN w:val="0"/>
        <w:spacing w:after="120"/>
        <w:ind w:left="709" w:hanging="709"/>
        <w:textAlignment w:val="baseline"/>
        <w:rPr>
          <w:sz w:val="24"/>
          <w:szCs w:val="24"/>
        </w:rPr>
      </w:pPr>
      <w:r>
        <w:rPr>
          <w:rFonts w:eastAsia="Times New Roman" w:cs="Arial"/>
          <w:color w:val="000000"/>
          <w:sz w:val="24"/>
          <w:szCs w:val="24"/>
          <w:lang w:eastAsia="en-US"/>
        </w:rPr>
        <w:t>The Customer requires the Supplier</w:t>
      </w:r>
      <w:r w:rsidR="00707A96">
        <w:rPr>
          <w:rFonts w:eastAsia="Times New Roman" w:cs="Arial"/>
          <w:color w:val="000000"/>
          <w:sz w:val="24"/>
          <w:szCs w:val="24"/>
          <w:lang w:eastAsia="en-US"/>
        </w:rPr>
        <w:t xml:space="preserve"> to work flexibly with them</w:t>
      </w:r>
      <w:r w:rsidR="003C35BD" w:rsidRPr="00707A96">
        <w:rPr>
          <w:rFonts w:eastAsia="Times New Roman" w:cs="Arial"/>
          <w:color w:val="000000"/>
          <w:sz w:val="24"/>
          <w:szCs w:val="24"/>
          <w:lang w:eastAsia="en-US"/>
        </w:rPr>
        <w:t xml:space="preserve"> over the next 9 months </w:t>
      </w:r>
      <w:r>
        <w:rPr>
          <w:rFonts w:eastAsia="Times New Roman" w:cs="Arial"/>
          <w:color w:val="000000"/>
          <w:sz w:val="24"/>
          <w:szCs w:val="24"/>
          <w:lang w:eastAsia="en-US"/>
        </w:rPr>
        <w:t xml:space="preserve">(subject to any additional expressed contract duration extension being undertaken) </w:t>
      </w:r>
      <w:r w:rsidR="003C35BD" w:rsidRPr="00707A96">
        <w:rPr>
          <w:rFonts w:eastAsia="Times New Roman" w:cs="Arial"/>
          <w:color w:val="000000"/>
          <w:sz w:val="24"/>
          <w:szCs w:val="24"/>
          <w:lang w:eastAsia="en-US"/>
        </w:rPr>
        <w:t>during the delivery of Blueprints Round 3. Th</w:t>
      </w:r>
      <w:r w:rsidR="00103DBF">
        <w:rPr>
          <w:rFonts w:eastAsia="Times New Roman" w:cs="Arial"/>
          <w:color w:val="000000"/>
          <w:sz w:val="24"/>
          <w:szCs w:val="24"/>
          <w:lang w:eastAsia="en-US"/>
        </w:rPr>
        <w:t>e Supplier shall</w:t>
      </w:r>
      <w:r w:rsidR="003C35BD" w:rsidRPr="00707A96">
        <w:rPr>
          <w:rFonts w:eastAsia="Times New Roman" w:cs="Arial"/>
          <w:color w:val="000000"/>
          <w:sz w:val="24"/>
          <w:szCs w:val="24"/>
          <w:lang w:eastAsia="en-US"/>
        </w:rPr>
        <w:t xml:space="preserve"> provide support to develop commercial Blueprints for each government department. </w:t>
      </w:r>
    </w:p>
    <w:p w14:paraId="5D9B69C9" w14:textId="6D90211E" w:rsidR="0090047B" w:rsidRPr="00707A96" w:rsidRDefault="0090047B" w:rsidP="0090047B">
      <w:pPr>
        <w:pStyle w:val="Heading3"/>
        <w:tabs>
          <w:tab w:val="num" w:pos="6248"/>
        </w:tabs>
        <w:spacing w:after="120"/>
        <w:rPr>
          <w:sz w:val="24"/>
          <w:szCs w:val="24"/>
        </w:rPr>
      </w:pPr>
      <w:r w:rsidRPr="00707A96">
        <w:rPr>
          <w:sz w:val="24"/>
          <w:szCs w:val="24"/>
        </w:rPr>
        <w:t xml:space="preserve">Government departments will be allocated into waves, and there will be a total of 4 waves during which </w:t>
      </w:r>
      <w:r w:rsidR="00103DBF">
        <w:rPr>
          <w:sz w:val="24"/>
          <w:szCs w:val="24"/>
        </w:rPr>
        <w:t xml:space="preserve">support from </w:t>
      </w:r>
      <w:r w:rsidRPr="00707A96">
        <w:rPr>
          <w:sz w:val="24"/>
          <w:szCs w:val="24"/>
        </w:rPr>
        <w:t xml:space="preserve">the </w:t>
      </w:r>
      <w:r w:rsidR="00103DBF">
        <w:rPr>
          <w:sz w:val="24"/>
          <w:szCs w:val="24"/>
        </w:rPr>
        <w:t>Supplier</w:t>
      </w:r>
      <w:r w:rsidR="00103DBF" w:rsidRPr="00707A96">
        <w:rPr>
          <w:sz w:val="24"/>
          <w:szCs w:val="24"/>
        </w:rPr>
        <w:t xml:space="preserve"> </w:t>
      </w:r>
      <w:r w:rsidRPr="00707A96">
        <w:rPr>
          <w:sz w:val="24"/>
          <w:szCs w:val="24"/>
        </w:rPr>
        <w:t>will be necessary.</w:t>
      </w:r>
    </w:p>
    <w:p w14:paraId="1DBE9CCA" w14:textId="6CC53172" w:rsidR="00671798" w:rsidRPr="00FE53BD" w:rsidRDefault="00FE53BD">
      <w:pPr>
        <w:pStyle w:val="Heading3"/>
        <w:spacing w:after="120"/>
        <w:rPr>
          <w:sz w:val="24"/>
          <w:szCs w:val="24"/>
        </w:rPr>
      </w:pPr>
      <w:r w:rsidRPr="00FE53BD">
        <w:rPr>
          <w:sz w:val="24"/>
          <w:szCs w:val="24"/>
        </w:rPr>
        <w:t xml:space="preserve">The level of support </w:t>
      </w:r>
      <w:r>
        <w:rPr>
          <w:sz w:val="24"/>
          <w:szCs w:val="24"/>
        </w:rPr>
        <w:t xml:space="preserve">required </w:t>
      </w:r>
      <w:r w:rsidRPr="00FE53BD">
        <w:rPr>
          <w:sz w:val="24"/>
          <w:szCs w:val="24"/>
        </w:rPr>
        <w:t xml:space="preserve">on Data will </w:t>
      </w:r>
      <w:r>
        <w:rPr>
          <w:sz w:val="24"/>
          <w:szCs w:val="24"/>
        </w:rPr>
        <w:t xml:space="preserve">vary depending on internal resource, where permanent staff may also be able to support delivery. </w:t>
      </w:r>
    </w:p>
    <w:p w14:paraId="2AAA737B" w14:textId="77777777" w:rsidR="0090047B" w:rsidRDefault="0090047B" w:rsidP="0090047B">
      <w:pPr>
        <w:pStyle w:val="Heading3"/>
        <w:numPr>
          <w:ilvl w:val="0"/>
          <w:numId w:val="0"/>
        </w:numPr>
        <w:spacing w:after="120"/>
        <w:ind w:left="1800"/>
        <w:rPr>
          <w:sz w:val="24"/>
          <w:szCs w:val="24"/>
          <w:highlight w:val="yellow"/>
        </w:rPr>
      </w:pPr>
    </w:p>
    <w:p w14:paraId="3491B80B" w14:textId="77777777" w:rsidR="00671798" w:rsidRPr="001A45DF" w:rsidRDefault="00FE18AC">
      <w:pPr>
        <w:pStyle w:val="Heading1"/>
        <w:spacing w:after="120"/>
        <w:rPr>
          <w:sz w:val="32"/>
          <w:szCs w:val="32"/>
        </w:rPr>
      </w:pPr>
      <w:bookmarkStart w:id="14" w:name="_Toc368573031"/>
      <w:bookmarkStart w:id="15" w:name="_Toc53747668"/>
      <w:r w:rsidRPr="001A45DF">
        <w:rPr>
          <w:sz w:val="32"/>
          <w:szCs w:val="32"/>
        </w:rPr>
        <w:t>The requirement</w:t>
      </w:r>
      <w:bookmarkEnd w:id="14"/>
      <w:bookmarkEnd w:id="15"/>
    </w:p>
    <w:p w14:paraId="68CE0E89" w14:textId="15B7A793" w:rsidR="00BD33A1" w:rsidRPr="00707A96" w:rsidRDefault="00771C7A" w:rsidP="00BD33A1">
      <w:pPr>
        <w:pStyle w:val="Heading2"/>
        <w:spacing w:after="120"/>
        <w:ind w:left="709" w:hanging="709"/>
        <w:rPr>
          <w:sz w:val="24"/>
          <w:szCs w:val="24"/>
        </w:rPr>
      </w:pPr>
      <w:r w:rsidRPr="00707A96">
        <w:rPr>
          <w:rFonts w:eastAsia="Times New Roman" w:cs="Arial"/>
          <w:color w:val="000000"/>
          <w:sz w:val="24"/>
          <w:szCs w:val="24"/>
          <w:lang w:eastAsia="en-US"/>
        </w:rPr>
        <w:t xml:space="preserve">The </w:t>
      </w:r>
      <w:r w:rsidR="004E5FB4">
        <w:rPr>
          <w:rFonts w:eastAsia="Times New Roman" w:cs="Arial"/>
          <w:color w:val="000000"/>
          <w:sz w:val="24"/>
          <w:szCs w:val="24"/>
          <w:lang w:eastAsia="en-US"/>
        </w:rPr>
        <w:t>Supplier</w:t>
      </w:r>
      <w:r w:rsidRPr="00707A96">
        <w:rPr>
          <w:rFonts w:eastAsia="Times New Roman" w:cs="Arial"/>
          <w:color w:val="000000"/>
          <w:sz w:val="24"/>
          <w:szCs w:val="24"/>
          <w:lang w:eastAsia="en-US"/>
        </w:rPr>
        <w:t xml:space="preserve"> will s</w:t>
      </w:r>
      <w:r w:rsidR="00BD33A1" w:rsidRPr="00707A96">
        <w:rPr>
          <w:rFonts w:eastAsia="Times New Roman" w:cs="Arial"/>
          <w:color w:val="000000"/>
          <w:sz w:val="24"/>
          <w:szCs w:val="24"/>
          <w:lang w:eastAsia="en-US"/>
        </w:rPr>
        <w:t>upport</w:t>
      </w:r>
      <w:r w:rsidRPr="00707A96">
        <w:rPr>
          <w:rFonts w:eastAsia="Times New Roman" w:cs="Arial"/>
          <w:color w:val="000000"/>
          <w:sz w:val="24"/>
          <w:szCs w:val="24"/>
          <w:lang w:eastAsia="en-US"/>
        </w:rPr>
        <w:t xml:space="preserve"> the team</w:t>
      </w:r>
      <w:r w:rsidR="00BD33A1" w:rsidRPr="00707A96">
        <w:rPr>
          <w:rFonts w:eastAsia="Times New Roman" w:cs="Arial"/>
          <w:color w:val="000000"/>
          <w:sz w:val="24"/>
          <w:szCs w:val="24"/>
          <w:lang w:eastAsia="en-US"/>
        </w:rPr>
        <w:t xml:space="preserve"> in delivering departmental BPs ahead of Spending Review, thus enabling departments to demonstrate their investment case, align with departmental objectives and plan</w:t>
      </w:r>
      <w:r w:rsidR="00103DBF">
        <w:rPr>
          <w:rFonts w:eastAsia="Times New Roman" w:cs="Arial"/>
          <w:color w:val="000000"/>
          <w:sz w:val="24"/>
          <w:szCs w:val="24"/>
          <w:lang w:eastAsia="en-US"/>
        </w:rPr>
        <w:t xml:space="preserve"> their</w:t>
      </w:r>
      <w:r w:rsidR="00BD33A1" w:rsidRPr="00707A96">
        <w:rPr>
          <w:rFonts w:eastAsia="Times New Roman" w:cs="Arial"/>
          <w:color w:val="000000"/>
          <w:sz w:val="24"/>
          <w:szCs w:val="24"/>
          <w:lang w:eastAsia="en-US"/>
        </w:rPr>
        <w:t xml:space="preserve"> transformation journey.  </w:t>
      </w:r>
    </w:p>
    <w:p w14:paraId="63959EB5" w14:textId="49369705" w:rsidR="00BD33A1" w:rsidRPr="00707A96" w:rsidRDefault="00BD33A1" w:rsidP="00BD33A1">
      <w:pPr>
        <w:pStyle w:val="Heading2"/>
        <w:spacing w:after="120"/>
        <w:ind w:left="709" w:hanging="709"/>
        <w:rPr>
          <w:sz w:val="24"/>
          <w:szCs w:val="24"/>
        </w:rPr>
      </w:pPr>
      <w:r w:rsidRPr="00707A96">
        <w:rPr>
          <w:rFonts w:eastAsia="Times New Roman" w:cs="Arial"/>
          <w:color w:val="000000"/>
          <w:sz w:val="24"/>
          <w:szCs w:val="24"/>
          <w:lang w:eastAsia="en-US"/>
        </w:rPr>
        <w:t>Advise on specific functional challenges (e</w:t>
      </w:r>
      <w:r w:rsidR="004B3E72">
        <w:rPr>
          <w:rFonts w:eastAsia="Times New Roman" w:cs="Arial"/>
          <w:color w:val="000000"/>
          <w:sz w:val="24"/>
          <w:szCs w:val="24"/>
          <w:lang w:eastAsia="en-US"/>
        </w:rPr>
        <w:t>.</w:t>
      </w:r>
      <w:r w:rsidRPr="00707A96">
        <w:rPr>
          <w:rFonts w:eastAsia="Times New Roman" w:cs="Arial"/>
          <w:color w:val="000000"/>
          <w:sz w:val="24"/>
          <w:szCs w:val="24"/>
          <w:lang w:eastAsia="en-US"/>
        </w:rPr>
        <w:t>g</w:t>
      </w:r>
      <w:r w:rsidR="004B3E72">
        <w:rPr>
          <w:rFonts w:eastAsia="Times New Roman" w:cs="Arial"/>
          <w:color w:val="000000"/>
          <w:sz w:val="24"/>
          <w:szCs w:val="24"/>
          <w:lang w:eastAsia="en-US"/>
        </w:rPr>
        <w:t>.</w:t>
      </w:r>
      <w:r w:rsidRPr="00707A96">
        <w:rPr>
          <w:rFonts w:eastAsia="Times New Roman" w:cs="Arial"/>
          <w:color w:val="000000"/>
          <w:sz w:val="24"/>
          <w:szCs w:val="24"/>
          <w:lang w:eastAsia="en-US"/>
        </w:rPr>
        <w:t xml:space="preserve"> in areas such as organisational design, operating model, technology consolidation) using cross-sector expertise, knowledge and benchmarks. </w:t>
      </w:r>
    </w:p>
    <w:p w14:paraId="53CEA0AA" w14:textId="5497CA7C" w:rsidR="00BD33A1" w:rsidRPr="00707A96" w:rsidRDefault="00BD33A1" w:rsidP="00BD33A1">
      <w:pPr>
        <w:pStyle w:val="Heading2"/>
        <w:spacing w:after="120"/>
        <w:ind w:left="709" w:hanging="709"/>
        <w:rPr>
          <w:sz w:val="24"/>
          <w:szCs w:val="24"/>
        </w:rPr>
      </w:pPr>
      <w:r w:rsidRPr="00707A96">
        <w:rPr>
          <w:rFonts w:eastAsia="Times New Roman" w:cs="Arial"/>
          <w:color w:val="000000"/>
          <w:sz w:val="24"/>
          <w:szCs w:val="24"/>
          <w:lang w:eastAsia="en-US"/>
        </w:rPr>
        <w:t xml:space="preserve">Conduct specific data analysis including building reusable tools and dashboards and developing cross-government insights to help departments grow through knowledge sharing and to help central teams focus their support.  </w:t>
      </w:r>
    </w:p>
    <w:p w14:paraId="50A0351E" w14:textId="09E7AADF" w:rsidR="00BD33A1" w:rsidRPr="00707A96" w:rsidRDefault="00BD33A1" w:rsidP="00BD33A1">
      <w:pPr>
        <w:pStyle w:val="Heading2"/>
        <w:spacing w:after="120"/>
        <w:ind w:left="709" w:hanging="709"/>
        <w:rPr>
          <w:sz w:val="24"/>
          <w:szCs w:val="24"/>
        </w:rPr>
      </w:pPr>
      <w:r w:rsidRPr="00707A96">
        <w:rPr>
          <w:rFonts w:eastAsia="Times New Roman" w:cs="Arial"/>
          <w:color w:val="000000"/>
          <w:sz w:val="24"/>
          <w:szCs w:val="24"/>
          <w:lang w:eastAsia="en-US"/>
        </w:rPr>
        <w:lastRenderedPageBreak/>
        <w:t>Undertake objective external reviews of BPs and provide strategic advice and leadership support on a range of areas related to Commercial Function.</w:t>
      </w:r>
    </w:p>
    <w:p w14:paraId="1792F3AC" w14:textId="52C4DB10" w:rsidR="00771C7A" w:rsidRDefault="00771C7A" w:rsidP="00DB66FF">
      <w:pPr>
        <w:pStyle w:val="Heading2"/>
        <w:spacing w:after="120"/>
        <w:ind w:left="709" w:hanging="709"/>
        <w:rPr>
          <w:sz w:val="24"/>
          <w:szCs w:val="24"/>
        </w:rPr>
      </w:pPr>
      <w:r w:rsidRPr="00707A96">
        <w:rPr>
          <w:sz w:val="24"/>
          <w:szCs w:val="24"/>
        </w:rPr>
        <w:t>As each package of work is delivered, a full training or knowledge transfer session is to be held with the individual specialist teams.</w:t>
      </w:r>
    </w:p>
    <w:p w14:paraId="338E54BA" w14:textId="2CC16D21" w:rsidR="00EB0E79" w:rsidRPr="00BD33A1" w:rsidRDefault="00EB0E79" w:rsidP="00EB0E79">
      <w:pPr>
        <w:pStyle w:val="Heading2"/>
        <w:spacing w:after="120"/>
        <w:ind w:left="709" w:hanging="709"/>
        <w:rPr>
          <w:rFonts w:eastAsia="Times New Roman" w:cs="Arial"/>
          <w:color w:val="000000"/>
          <w:sz w:val="24"/>
          <w:szCs w:val="24"/>
          <w:lang w:eastAsia="en-US"/>
        </w:rPr>
      </w:pPr>
      <w:r>
        <w:rPr>
          <w:rFonts w:eastAsia="Times New Roman" w:cs="Arial"/>
          <w:color w:val="000000"/>
          <w:sz w:val="24"/>
          <w:szCs w:val="24"/>
          <w:lang w:eastAsia="en-US"/>
        </w:rPr>
        <w:t>The Supplier</w:t>
      </w:r>
      <w:r w:rsidRPr="00BD33A1">
        <w:rPr>
          <w:rFonts w:eastAsia="Times New Roman" w:cs="Arial"/>
          <w:color w:val="000000"/>
          <w:sz w:val="24"/>
          <w:szCs w:val="24"/>
          <w:lang w:eastAsia="en-US"/>
        </w:rPr>
        <w:t xml:space="preserve"> will be required to provide a knowledge </w:t>
      </w:r>
      <w:r w:rsidR="001616E2">
        <w:rPr>
          <w:rFonts w:eastAsia="Times New Roman" w:cs="Arial"/>
          <w:color w:val="000000"/>
          <w:sz w:val="24"/>
          <w:szCs w:val="24"/>
          <w:lang w:eastAsia="en-US"/>
        </w:rPr>
        <w:t>and skills transfer plan within two weeks of the Contract start date</w:t>
      </w:r>
      <w:r w:rsidRPr="00BD33A1">
        <w:rPr>
          <w:rFonts w:eastAsia="Times New Roman" w:cs="Arial"/>
          <w:color w:val="000000"/>
          <w:sz w:val="24"/>
          <w:szCs w:val="24"/>
          <w:lang w:eastAsia="en-US"/>
        </w:rPr>
        <w:t>, and qualified and experienced personnel to deliver the outputs and outcomes specified within the work packages - enabling permanent staff to develop their own skills in these areas.</w:t>
      </w:r>
    </w:p>
    <w:p w14:paraId="76553337" w14:textId="339C3133" w:rsidR="00EB0E79" w:rsidRPr="00BD33A1" w:rsidRDefault="00EB0E79" w:rsidP="00144AD6">
      <w:pPr>
        <w:pStyle w:val="Heading2"/>
        <w:numPr>
          <w:ilvl w:val="0"/>
          <w:numId w:val="0"/>
        </w:numPr>
        <w:spacing w:after="120"/>
        <w:ind w:left="709"/>
        <w:rPr>
          <w:sz w:val="24"/>
          <w:szCs w:val="24"/>
        </w:rPr>
      </w:pPr>
      <w:bookmarkStart w:id="16" w:name="_GoBack"/>
      <w:bookmarkEnd w:id="16"/>
      <w:r w:rsidRPr="00BD33A1">
        <w:rPr>
          <w:rFonts w:eastAsia="Times New Roman" w:cs="Arial"/>
          <w:color w:val="000000"/>
          <w:sz w:val="24"/>
          <w:szCs w:val="24"/>
          <w:lang w:eastAsia="en-US"/>
        </w:rPr>
        <w:t>the likelihood of using consultants again in the future. The consultancy firm will also be asked to deliver knowledge share workshops for staff in the wider GCF Central Teams. </w:t>
      </w:r>
    </w:p>
    <w:p w14:paraId="2017290B" w14:textId="19060D23" w:rsidR="00EB0E79" w:rsidRPr="00EB0E79" w:rsidRDefault="00EB0E79" w:rsidP="00EB0E79">
      <w:pPr>
        <w:pStyle w:val="Heading2"/>
        <w:spacing w:after="120"/>
        <w:ind w:left="709" w:hanging="709"/>
        <w:rPr>
          <w:sz w:val="24"/>
          <w:szCs w:val="24"/>
        </w:rPr>
      </w:pPr>
      <w:r w:rsidRPr="00BD33A1">
        <w:rPr>
          <w:rFonts w:eastAsia="Times New Roman" w:cs="Arial"/>
          <w:color w:val="000000"/>
          <w:sz w:val="24"/>
          <w:szCs w:val="24"/>
          <w:lang w:eastAsia="en-US"/>
        </w:rPr>
        <w:t>Each member of Blueprints Team, which will be made up of 3-4 permanent staff</w:t>
      </w:r>
      <w:r w:rsidR="00092982">
        <w:rPr>
          <w:rFonts w:eastAsia="Times New Roman" w:cs="Arial"/>
          <w:color w:val="000000"/>
          <w:sz w:val="24"/>
          <w:szCs w:val="24"/>
          <w:lang w:eastAsia="en-US"/>
        </w:rPr>
        <w:t xml:space="preserve"> of the customer</w:t>
      </w:r>
      <w:r w:rsidRPr="00BD33A1">
        <w:rPr>
          <w:rFonts w:eastAsia="Times New Roman" w:cs="Arial"/>
          <w:color w:val="000000"/>
          <w:sz w:val="24"/>
          <w:szCs w:val="24"/>
          <w:lang w:eastAsia="en-US"/>
        </w:rPr>
        <w:t>, will be required to demonstrate sufficient transfer of knowledge as part of annual performance reviews. This will reduce the likelihood of consultancy services of this kind being used in for similar work in future.</w:t>
      </w:r>
    </w:p>
    <w:p w14:paraId="3DB4A345" w14:textId="4BEBDB06" w:rsidR="00EB0E79" w:rsidRPr="00EB0E79" w:rsidRDefault="00AE6F33" w:rsidP="00EB0E79">
      <w:pPr>
        <w:pStyle w:val="Heading2"/>
        <w:spacing w:after="120"/>
        <w:ind w:left="709" w:hanging="709"/>
        <w:rPr>
          <w:sz w:val="24"/>
          <w:szCs w:val="24"/>
        </w:rPr>
      </w:pPr>
      <w:r>
        <w:rPr>
          <w:sz w:val="24"/>
          <w:szCs w:val="24"/>
        </w:rPr>
        <w:t>The Supplier is also required to</w:t>
      </w:r>
      <w:r w:rsidR="00EB0E79" w:rsidRPr="00EB0E79">
        <w:rPr>
          <w:sz w:val="24"/>
          <w:szCs w:val="24"/>
        </w:rPr>
        <w:t xml:space="preserve"> ensure knowledge management and transfer sessions with key staff – plus documentation setting out new ways of working and exit strategy.</w:t>
      </w:r>
    </w:p>
    <w:p w14:paraId="4DFD659D" w14:textId="77777777" w:rsidR="0090047B" w:rsidRPr="0090047B" w:rsidRDefault="0090047B" w:rsidP="0090047B">
      <w:pPr>
        <w:textAlignment w:val="baseline"/>
        <w:rPr>
          <w:rFonts w:eastAsia="Times New Roman" w:cs="Arial"/>
          <w:color w:val="000000"/>
          <w:sz w:val="24"/>
          <w:szCs w:val="22"/>
          <w:lang w:eastAsia="en-US"/>
        </w:rPr>
      </w:pPr>
      <w:bookmarkStart w:id="17" w:name="_Toc302637211"/>
    </w:p>
    <w:p w14:paraId="3E84E3FB" w14:textId="77777777" w:rsidR="00DB66FF" w:rsidRDefault="00DB66FF" w:rsidP="00F44D62">
      <w:pPr>
        <w:pStyle w:val="Heading1"/>
        <w:numPr>
          <w:ilvl w:val="0"/>
          <w:numId w:val="0"/>
        </w:numPr>
        <w:overflowPunct w:val="0"/>
        <w:autoSpaceDE w:val="0"/>
        <w:autoSpaceDN w:val="0"/>
        <w:spacing w:after="120"/>
        <w:textAlignment w:val="baseline"/>
        <w:rPr>
          <w:rFonts w:cs="Arial"/>
          <w:szCs w:val="22"/>
        </w:rPr>
      </w:pPr>
    </w:p>
    <w:p w14:paraId="203EC2B6" w14:textId="6BC3F211" w:rsidR="00671798" w:rsidRPr="001A45DF" w:rsidRDefault="009E3739">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8" w:name="_Toc368573033"/>
      <w:bookmarkStart w:id="19" w:name="_Toc53747669"/>
      <w:r w:rsidRPr="001A45DF">
        <w:rPr>
          <w:rFonts w:cs="Arial"/>
          <w:sz w:val="32"/>
          <w:szCs w:val="32"/>
        </w:rPr>
        <w:t>MANAGEMENT INFORMATION/</w:t>
      </w:r>
      <w:r w:rsidR="00FE18AC" w:rsidRPr="001A45DF">
        <w:rPr>
          <w:rFonts w:cs="Arial"/>
          <w:sz w:val="32"/>
          <w:szCs w:val="32"/>
        </w:rPr>
        <w:t>reporting</w:t>
      </w:r>
      <w:bookmarkEnd w:id="18"/>
      <w:bookmarkEnd w:id="19"/>
    </w:p>
    <w:p w14:paraId="60F8AC7B" w14:textId="05A6A05C" w:rsidR="00771C7A" w:rsidRPr="005060F0" w:rsidRDefault="00771C7A" w:rsidP="00771C7A">
      <w:pPr>
        <w:pStyle w:val="Heading2"/>
        <w:tabs>
          <w:tab w:val="num" w:pos="6248"/>
        </w:tabs>
        <w:spacing w:after="120"/>
        <w:ind w:left="709" w:hanging="709"/>
        <w:rPr>
          <w:sz w:val="24"/>
          <w:szCs w:val="24"/>
        </w:rPr>
      </w:pPr>
      <w:r w:rsidRPr="005060F0">
        <w:rPr>
          <w:sz w:val="24"/>
          <w:szCs w:val="24"/>
        </w:rPr>
        <w:t>The</w:t>
      </w:r>
      <w:r w:rsidR="00413F91">
        <w:rPr>
          <w:sz w:val="24"/>
          <w:szCs w:val="24"/>
        </w:rPr>
        <w:t xml:space="preserve"> Supplier</w:t>
      </w:r>
      <w:r w:rsidRPr="005060F0">
        <w:rPr>
          <w:sz w:val="24"/>
          <w:szCs w:val="24"/>
        </w:rPr>
        <w:t xml:space="preserve"> shall provide a weekly update and submit a monthly report to the GCF Capability Services leadership team following the end of each calendar month showing:</w:t>
      </w:r>
    </w:p>
    <w:p w14:paraId="3EFDE2F2" w14:textId="77777777" w:rsidR="00771C7A" w:rsidRPr="00730011" w:rsidRDefault="00771C7A" w:rsidP="00771C7A">
      <w:pPr>
        <w:pStyle w:val="Heading3"/>
        <w:rPr>
          <w:sz w:val="24"/>
          <w:szCs w:val="24"/>
        </w:rPr>
      </w:pPr>
      <w:r w:rsidRPr="00730011">
        <w:rPr>
          <w:sz w:val="24"/>
          <w:szCs w:val="24"/>
        </w:rPr>
        <w:t>Proposed work items during the following month; and</w:t>
      </w:r>
    </w:p>
    <w:p w14:paraId="2CF825D9" w14:textId="77777777" w:rsidR="00771C7A" w:rsidRPr="00730011" w:rsidRDefault="00771C7A" w:rsidP="00771C7A">
      <w:pPr>
        <w:pStyle w:val="Heading3"/>
        <w:rPr>
          <w:rFonts w:cs="Arial"/>
          <w:b/>
          <w:caps/>
          <w:sz w:val="24"/>
          <w:szCs w:val="24"/>
        </w:rPr>
      </w:pPr>
      <w:r w:rsidRPr="00730011">
        <w:rPr>
          <w:sz w:val="24"/>
          <w:szCs w:val="24"/>
        </w:rPr>
        <w:t>Issues to be raised impacting the work.</w:t>
      </w:r>
    </w:p>
    <w:p w14:paraId="46D0B7B2" w14:textId="6CA68D11" w:rsidR="00771C7A" w:rsidRPr="00730011" w:rsidRDefault="00771C7A" w:rsidP="00771C7A">
      <w:pPr>
        <w:pStyle w:val="Heading2"/>
        <w:tabs>
          <w:tab w:val="clear" w:pos="720"/>
          <w:tab w:val="num" w:pos="709"/>
          <w:tab w:val="num" w:pos="6248"/>
        </w:tabs>
        <w:spacing w:after="120"/>
        <w:ind w:left="709" w:hanging="709"/>
        <w:rPr>
          <w:sz w:val="24"/>
          <w:szCs w:val="24"/>
        </w:rPr>
      </w:pPr>
      <w:r w:rsidRPr="00730011">
        <w:rPr>
          <w:sz w:val="24"/>
          <w:szCs w:val="24"/>
        </w:rPr>
        <w:t xml:space="preserve">The </w:t>
      </w:r>
      <w:r w:rsidR="004E5FB4">
        <w:rPr>
          <w:sz w:val="24"/>
          <w:szCs w:val="24"/>
        </w:rPr>
        <w:t>Supplier</w:t>
      </w:r>
      <w:r w:rsidRPr="00730011">
        <w:rPr>
          <w:sz w:val="24"/>
          <w:szCs w:val="24"/>
        </w:rPr>
        <w:t xml:space="preserve"> shall have a performance rev</w:t>
      </w:r>
      <w:r>
        <w:rPr>
          <w:sz w:val="24"/>
          <w:szCs w:val="24"/>
        </w:rPr>
        <w:t>iew meeting with the GCF Capability Services</w:t>
      </w:r>
      <w:r w:rsidRPr="00730011">
        <w:rPr>
          <w:sz w:val="24"/>
          <w:szCs w:val="24"/>
        </w:rPr>
        <w:t xml:space="preserve"> leadership team every three months to assess progress and performance against the contract.</w:t>
      </w:r>
    </w:p>
    <w:p w14:paraId="0B0BDBB7" w14:textId="77777777" w:rsidR="00771C7A" w:rsidRPr="001A45DF" w:rsidRDefault="00771C7A" w:rsidP="00771C7A">
      <w:pPr>
        <w:pStyle w:val="Heading2"/>
        <w:numPr>
          <w:ilvl w:val="0"/>
          <w:numId w:val="0"/>
        </w:numPr>
        <w:spacing w:after="120"/>
        <w:ind w:left="709"/>
        <w:rPr>
          <w:sz w:val="24"/>
          <w:szCs w:val="24"/>
          <w:highlight w:val="yellow"/>
        </w:rPr>
      </w:pPr>
    </w:p>
    <w:p w14:paraId="40219839" w14:textId="77777777" w:rsidR="00E24EE7" w:rsidRPr="001A45DF" w:rsidRDefault="00FE18AC" w:rsidP="00E24EE7">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0" w:name="_Toc368573034"/>
      <w:bookmarkStart w:id="21" w:name="_Toc53747670"/>
      <w:r w:rsidRPr="001A45DF">
        <w:rPr>
          <w:rFonts w:cs="Arial"/>
          <w:sz w:val="32"/>
          <w:szCs w:val="32"/>
        </w:rPr>
        <w:t>volumes</w:t>
      </w:r>
      <w:bookmarkEnd w:id="20"/>
      <w:bookmarkEnd w:id="21"/>
    </w:p>
    <w:p w14:paraId="168227F7" w14:textId="3F0E3EFA" w:rsidR="00FE53BD" w:rsidRPr="00540CC2" w:rsidRDefault="00FE53BD" w:rsidP="00FE53BD">
      <w:pPr>
        <w:pStyle w:val="Heading2"/>
        <w:rPr>
          <w:rFonts w:cs="Arial"/>
          <w:sz w:val="24"/>
          <w:szCs w:val="24"/>
        </w:rPr>
      </w:pPr>
      <w:r w:rsidRPr="00540CC2">
        <w:rPr>
          <w:sz w:val="24"/>
          <w:szCs w:val="24"/>
        </w:rPr>
        <w:t xml:space="preserve">Analyst / Junior Consultant </w:t>
      </w:r>
      <w:r w:rsidR="00540CC2" w:rsidRPr="00540CC2">
        <w:rPr>
          <w:sz w:val="24"/>
          <w:szCs w:val="24"/>
        </w:rPr>
        <w:t>–</w:t>
      </w:r>
      <w:r w:rsidRPr="00540CC2">
        <w:rPr>
          <w:sz w:val="24"/>
          <w:szCs w:val="24"/>
        </w:rPr>
        <w:t xml:space="preserve"> </w:t>
      </w:r>
      <w:r w:rsidR="00540CC2" w:rsidRPr="00540CC2">
        <w:rPr>
          <w:sz w:val="24"/>
          <w:szCs w:val="24"/>
        </w:rPr>
        <w:t xml:space="preserve">will be required ad-hoc to provide data and analytics support, ensuring data gathered is neat, presentable and comparable with cross-government and private sector organisations. </w:t>
      </w:r>
      <w:r w:rsidR="00540CC2">
        <w:rPr>
          <w:sz w:val="24"/>
          <w:szCs w:val="24"/>
        </w:rPr>
        <w:t xml:space="preserve">Estimated for a total of 70 days (depending on the availability of internal resource). </w:t>
      </w:r>
    </w:p>
    <w:p w14:paraId="5211815A" w14:textId="5080DA76" w:rsidR="00FE53BD" w:rsidRDefault="00FE53BD" w:rsidP="00FE53BD">
      <w:pPr>
        <w:pStyle w:val="Heading2"/>
        <w:rPr>
          <w:rFonts w:cs="Arial"/>
          <w:sz w:val="24"/>
          <w:szCs w:val="24"/>
        </w:rPr>
      </w:pPr>
      <w:r>
        <w:rPr>
          <w:rFonts w:cs="Arial"/>
          <w:sz w:val="24"/>
          <w:szCs w:val="24"/>
        </w:rPr>
        <w:t xml:space="preserve">Manager / Senior Consultant </w:t>
      </w:r>
      <w:r w:rsidR="00540CC2">
        <w:rPr>
          <w:rFonts w:cs="Arial"/>
          <w:sz w:val="24"/>
          <w:szCs w:val="24"/>
        </w:rPr>
        <w:t xml:space="preserve">– will lead on the bulk of the contract delivery, although there is not requirement for it to be the same person throughout the contract. </w:t>
      </w:r>
      <w:r w:rsidR="0019405C">
        <w:rPr>
          <w:rFonts w:cs="Arial"/>
          <w:sz w:val="24"/>
          <w:szCs w:val="24"/>
        </w:rPr>
        <w:t>Please see scope of requirement for information on outputs. Estimated for a total of 150 days (</w:t>
      </w:r>
      <w:r w:rsidR="005060F0">
        <w:rPr>
          <w:rFonts w:cs="Arial"/>
          <w:sz w:val="24"/>
          <w:szCs w:val="24"/>
        </w:rPr>
        <w:t>4-</w:t>
      </w:r>
      <w:r w:rsidR="0019405C">
        <w:rPr>
          <w:rFonts w:cs="Arial"/>
          <w:sz w:val="24"/>
          <w:szCs w:val="24"/>
        </w:rPr>
        <w:t>5 days per week</w:t>
      </w:r>
      <w:r w:rsidR="005060F0">
        <w:rPr>
          <w:rFonts w:cs="Arial"/>
          <w:sz w:val="24"/>
          <w:szCs w:val="24"/>
        </w:rPr>
        <w:t xml:space="preserve">). </w:t>
      </w:r>
    </w:p>
    <w:p w14:paraId="6FE37926" w14:textId="70B907AA" w:rsidR="00FE53BD" w:rsidRPr="00413F91" w:rsidRDefault="00FE53BD" w:rsidP="00413F91">
      <w:pPr>
        <w:pStyle w:val="Heading2"/>
        <w:rPr>
          <w:rFonts w:cs="Arial"/>
          <w:sz w:val="24"/>
          <w:szCs w:val="24"/>
        </w:rPr>
      </w:pPr>
      <w:r>
        <w:rPr>
          <w:rFonts w:cs="Arial"/>
          <w:sz w:val="24"/>
          <w:szCs w:val="24"/>
        </w:rPr>
        <w:lastRenderedPageBreak/>
        <w:t xml:space="preserve">Partner </w:t>
      </w:r>
      <w:r w:rsidR="00540CC2">
        <w:rPr>
          <w:rFonts w:cs="Arial"/>
          <w:sz w:val="24"/>
          <w:szCs w:val="24"/>
        </w:rPr>
        <w:t>–</w:t>
      </w:r>
      <w:r>
        <w:rPr>
          <w:rFonts w:cs="Arial"/>
          <w:sz w:val="24"/>
          <w:szCs w:val="24"/>
        </w:rPr>
        <w:t xml:space="preserve"> </w:t>
      </w:r>
      <w:r w:rsidR="00540CC2">
        <w:rPr>
          <w:rFonts w:cs="Arial"/>
          <w:sz w:val="24"/>
          <w:szCs w:val="24"/>
        </w:rPr>
        <w:t>will oversee the work, advising on areas of difficulty and assuring delivery is both on time and of a high quality. The Partner will play a key role in reviewing the Blueprints during the review phase of the process. Estimated for a total of 25 days (depending on price).</w:t>
      </w:r>
    </w:p>
    <w:p w14:paraId="0C1E78CC"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2" w:name="_Toc368573035"/>
      <w:bookmarkStart w:id="23" w:name="_Toc53747671"/>
      <w:r w:rsidRPr="001A45DF">
        <w:rPr>
          <w:rFonts w:cs="Arial"/>
          <w:sz w:val="32"/>
          <w:szCs w:val="32"/>
        </w:rPr>
        <w:t>continuous improvement</w:t>
      </w:r>
      <w:bookmarkEnd w:id="22"/>
      <w:bookmarkEnd w:id="23"/>
    </w:p>
    <w:p w14:paraId="7B944B64" w14:textId="7879D2AE" w:rsidR="00671798" w:rsidRPr="00BD33A1" w:rsidRDefault="00FE18AC">
      <w:pPr>
        <w:pStyle w:val="Heading2"/>
        <w:tabs>
          <w:tab w:val="clear" w:pos="720"/>
          <w:tab w:val="num" w:pos="709"/>
        </w:tabs>
        <w:spacing w:after="120"/>
        <w:ind w:left="709" w:hanging="709"/>
        <w:rPr>
          <w:sz w:val="24"/>
          <w:szCs w:val="24"/>
        </w:rPr>
      </w:pPr>
      <w:r w:rsidRPr="00BD33A1">
        <w:rPr>
          <w:sz w:val="24"/>
          <w:szCs w:val="24"/>
        </w:rPr>
        <w:t xml:space="preserve">The </w:t>
      </w:r>
      <w:r w:rsidR="00413F91">
        <w:rPr>
          <w:sz w:val="24"/>
          <w:szCs w:val="24"/>
        </w:rPr>
        <w:t>Supplier will</w:t>
      </w:r>
      <w:r w:rsidR="00BD33A1" w:rsidRPr="00BD33A1">
        <w:rPr>
          <w:sz w:val="24"/>
          <w:szCs w:val="24"/>
        </w:rPr>
        <w:t xml:space="preserve"> </w:t>
      </w:r>
      <w:r w:rsidRPr="00BD33A1">
        <w:rPr>
          <w:sz w:val="24"/>
          <w:szCs w:val="24"/>
        </w:rPr>
        <w:t xml:space="preserve">present new ways of working to the Authority during </w:t>
      </w:r>
      <w:r w:rsidR="00BD33A1" w:rsidRPr="00BD33A1">
        <w:rPr>
          <w:sz w:val="24"/>
          <w:szCs w:val="24"/>
        </w:rPr>
        <w:t>monthly</w:t>
      </w:r>
      <w:r w:rsidRPr="00BD33A1">
        <w:rPr>
          <w:sz w:val="24"/>
          <w:szCs w:val="24"/>
        </w:rPr>
        <w:t xml:space="preserve"> Contract review meetings.</w:t>
      </w:r>
      <w:r w:rsidR="004D22DF" w:rsidRPr="00BD33A1">
        <w:rPr>
          <w:sz w:val="24"/>
          <w:szCs w:val="24"/>
        </w:rPr>
        <w:t xml:space="preserve"> </w:t>
      </w:r>
    </w:p>
    <w:p w14:paraId="031D2B5A" w14:textId="78B135C5" w:rsidR="00671798" w:rsidRPr="00BD33A1" w:rsidRDefault="00FE18AC">
      <w:pPr>
        <w:pStyle w:val="Heading2"/>
        <w:tabs>
          <w:tab w:val="clear" w:pos="720"/>
          <w:tab w:val="num" w:pos="709"/>
        </w:tabs>
        <w:spacing w:after="120"/>
        <w:ind w:left="709" w:hanging="709"/>
        <w:rPr>
          <w:sz w:val="24"/>
          <w:szCs w:val="24"/>
        </w:rPr>
      </w:pPr>
      <w:r w:rsidRPr="00BD33A1">
        <w:rPr>
          <w:sz w:val="24"/>
          <w:szCs w:val="24"/>
        </w:rPr>
        <w:t xml:space="preserve">Changes to the way in which the Services are to be delivered </w:t>
      </w:r>
      <w:r w:rsidR="00413F91">
        <w:rPr>
          <w:sz w:val="24"/>
          <w:szCs w:val="24"/>
        </w:rPr>
        <w:t>must be brought to the Customer</w:t>
      </w:r>
      <w:r w:rsidRPr="00BD33A1">
        <w:rPr>
          <w:sz w:val="24"/>
          <w:szCs w:val="24"/>
        </w:rPr>
        <w:t>’s attention and agreed prior to any changes being implemented.</w:t>
      </w:r>
    </w:p>
    <w:p w14:paraId="1114BE17"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4" w:name="_Toc368573036"/>
      <w:bookmarkStart w:id="25" w:name="_Toc53747672"/>
      <w:r w:rsidRPr="001A45DF">
        <w:rPr>
          <w:rFonts w:cs="Arial"/>
          <w:sz w:val="32"/>
          <w:szCs w:val="32"/>
        </w:rPr>
        <w:t>quality</w:t>
      </w:r>
      <w:bookmarkEnd w:id="24"/>
      <w:bookmarkEnd w:id="25"/>
    </w:p>
    <w:p w14:paraId="3E8C5B44" w14:textId="6BF80127" w:rsidR="005C2A84" w:rsidRPr="0090047B" w:rsidRDefault="00FE18AC" w:rsidP="00BE5FEF">
      <w:pPr>
        <w:pStyle w:val="Heading2"/>
        <w:spacing w:after="120"/>
        <w:ind w:left="709" w:hanging="709"/>
        <w:rPr>
          <w:sz w:val="24"/>
          <w:szCs w:val="24"/>
        </w:rPr>
      </w:pPr>
      <w:r w:rsidRPr="0090047B">
        <w:rPr>
          <w:sz w:val="24"/>
          <w:szCs w:val="24"/>
        </w:rPr>
        <w:t xml:space="preserve">Please </w:t>
      </w:r>
      <w:r w:rsidR="0090047B" w:rsidRPr="0090047B">
        <w:rPr>
          <w:sz w:val="24"/>
          <w:szCs w:val="24"/>
        </w:rPr>
        <w:t xml:space="preserve">see Service Levels and Performance Section </w:t>
      </w:r>
      <w:r w:rsidR="00AE6F33">
        <w:rPr>
          <w:sz w:val="24"/>
          <w:szCs w:val="24"/>
        </w:rPr>
        <w:t xml:space="preserve">as outlined within the Call Off Order Form </w:t>
      </w:r>
      <w:r w:rsidR="0090047B" w:rsidRPr="0090047B">
        <w:rPr>
          <w:sz w:val="24"/>
          <w:szCs w:val="24"/>
        </w:rPr>
        <w:t>for details on Quality related KPIs.</w:t>
      </w:r>
    </w:p>
    <w:p w14:paraId="6B1CA851"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6" w:name="_Toc368573038"/>
      <w:bookmarkStart w:id="27" w:name="_Toc53747673"/>
      <w:r w:rsidRPr="001A45DF">
        <w:rPr>
          <w:rFonts w:cs="Arial"/>
          <w:sz w:val="32"/>
          <w:szCs w:val="32"/>
        </w:rPr>
        <w:t>STAFF AND CUSTOMER SERVICE</w:t>
      </w:r>
      <w:bookmarkEnd w:id="26"/>
      <w:bookmarkEnd w:id="27"/>
    </w:p>
    <w:p w14:paraId="473FF9D3" w14:textId="18C5F264" w:rsidR="00671798" w:rsidRPr="001A45DF" w:rsidRDefault="00FE18AC">
      <w:pPr>
        <w:pStyle w:val="Heading2"/>
        <w:tabs>
          <w:tab w:val="clear" w:pos="720"/>
          <w:tab w:val="num" w:pos="709"/>
        </w:tabs>
        <w:spacing w:after="120"/>
        <w:ind w:left="709" w:hanging="709"/>
        <w:rPr>
          <w:sz w:val="24"/>
          <w:szCs w:val="24"/>
        </w:rPr>
      </w:pPr>
      <w:r w:rsidRPr="001A45DF">
        <w:rPr>
          <w:sz w:val="24"/>
          <w:szCs w:val="24"/>
        </w:rPr>
        <w:t xml:space="preserve">The </w:t>
      </w:r>
      <w:r w:rsidR="00413F91">
        <w:rPr>
          <w:sz w:val="24"/>
          <w:szCs w:val="24"/>
        </w:rPr>
        <w:t>Supplier will</w:t>
      </w:r>
      <w:r w:rsidR="008E77CC" w:rsidRPr="001A45DF">
        <w:rPr>
          <w:sz w:val="24"/>
          <w:szCs w:val="24"/>
        </w:rPr>
        <w:t xml:space="preserve"> </w:t>
      </w:r>
      <w:r w:rsidRPr="001A45DF">
        <w:rPr>
          <w:sz w:val="24"/>
          <w:szCs w:val="24"/>
        </w:rPr>
        <w:t>provide a sufficient level of resource</w:t>
      </w:r>
      <w:r w:rsidR="00A27147" w:rsidRPr="001A45DF">
        <w:rPr>
          <w:sz w:val="24"/>
          <w:szCs w:val="24"/>
        </w:rPr>
        <w:t xml:space="preserve"> throughout the duration of the</w:t>
      </w:r>
      <w:r w:rsidRPr="001A45DF">
        <w:rPr>
          <w:sz w:val="24"/>
          <w:szCs w:val="24"/>
        </w:rPr>
        <w:t xml:space="preserve"> Contract in order to consiste</w:t>
      </w:r>
      <w:r w:rsidR="00A27147" w:rsidRPr="001A45DF">
        <w:rPr>
          <w:sz w:val="24"/>
          <w:szCs w:val="24"/>
        </w:rPr>
        <w:t>ntly deliver a quality service</w:t>
      </w:r>
      <w:r w:rsidRPr="001A45DF">
        <w:rPr>
          <w:sz w:val="24"/>
          <w:szCs w:val="24"/>
        </w:rPr>
        <w:t>.</w:t>
      </w:r>
    </w:p>
    <w:p w14:paraId="7C5FF49B" w14:textId="5A52A6F5" w:rsidR="00671798" w:rsidRPr="001A45DF" w:rsidRDefault="008E77CC">
      <w:pPr>
        <w:pStyle w:val="Heading2"/>
        <w:tabs>
          <w:tab w:val="clear" w:pos="720"/>
          <w:tab w:val="num" w:pos="709"/>
        </w:tabs>
        <w:spacing w:after="120"/>
        <w:ind w:left="709" w:hanging="709"/>
        <w:rPr>
          <w:sz w:val="24"/>
          <w:szCs w:val="24"/>
        </w:rPr>
      </w:pPr>
      <w:r w:rsidRPr="001A45DF">
        <w:rPr>
          <w:sz w:val="24"/>
          <w:szCs w:val="24"/>
        </w:rPr>
        <w:t>The Supplier’s</w:t>
      </w:r>
      <w:r w:rsidR="00A27147" w:rsidRPr="001A45DF">
        <w:rPr>
          <w:sz w:val="24"/>
          <w:szCs w:val="24"/>
        </w:rPr>
        <w:t xml:space="preserve"> staff assigned to the </w:t>
      </w:r>
      <w:r w:rsidR="00FE18AC" w:rsidRPr="001A45DF">
        <w:rPr>
          <w:sz w:val="24"/>
          <w:szCs w:val="24"/>
        </w:rPr>
        <w:t xml:space="preserve">Contract shall have </w:t>
      </w:r>
      <w:r w:rsidR="00E63412" w:rsidRPr="001A45DF">
        <w:rPr>
          <w:sz w:val="24"/>
          <w:szCs w:val="24"/>
        </w:rPr>
        <w:t xml:space="preserve">the </w:t>
      </w:r>
      <w:r w:rsidR="00FE18AC" w:rsidRPr="001A45DF">
        <w:rPr>
          <w:sz w:val="24"/>
          <w:szCs w:val="24"/>
        </w:rPr>
        <w:t>relevant qualifications and experience to deliver</w:t>
      </w:r>
      <w:r w:rsidR="00E63412" w:rsidRPr="001A45DF">
        <w:rPr>
          <w:sz w:val="24"/>
          <w:szCs w:val="24"/>
        </w:rPr>
        <w:t xml:space="preserve"> the</w:t>
      </w:r>
      <w:r w:rsidR="00FE18AC" w:rsidRPr="001A45DF">
        <w:rPr>
          <w:sz w:val="24"/>
          <w:szCs w:val="24"/>
        </w:rPr>
        <w:t xml:space="preserve"> Contract</w:t>
      </w:r>
      <w:r w:rsidR="00C52C2C" w:rsidRPr="001A45DF">
        <w:rPr>
          <w:sz w:val="24"/>
          <w:szCs w:val="24"/>
        </w:rPr>
        <w:t xml:space="preserve"> to the required standard</w:t>
      </w:r>
      <w:r w:rsidR="00FE18AC" w:rsidRPr="001A45DF">
        <w:rPr>
          <w:sz w:val="24"/>
          <w:szCs w:val="24"/>
        </w:rPr>
        <w:t xml:space="preserve">. </w:t>
      </w:r>
    </w:p>
    <w:p w14:paraId="0837E02A" w14:textId="7E947517" w:rsidR="00671798" w:rsidRPr="001A45DF" w:rsidRDefault="00BE3468">
      <w:pPr>
        <w:pStyle w:val="Heading2"/>
        <w:tabs>
          <w:tab w:val="clear" w:pos="720"/>
          <w:tab w:val="num" w:pos="709"/>
        </w:tabs>
        <w:spacing w:after="120"/>
        <w:ind w:left="709" w:hanging="709"/>
        <w:rPr>
          <w:sz w:val="24"/>
          <w:szCs w:val="24"/>
        </w:rPr>
      </w:pPr>
      <w:r w:rsidRPr="001A45DF">
        <w:rPr>
          <w:sz w:val="24"/>
          <w:szCs w:val="24"/>
        </w:rPr>
        <w:t>The Supplier</w:t>
      </w:r>
      <w:r w:rsidR="00FE18AC" w:rsidRPr="001A45DF">
        <w:rPr>
          <w:sz w:val="24"/>
          <w:szCs w:val="24"/>
        </w:rPr>
        <w:t xml:space="preserve"> shall ensure that staff understand the Authority’s vision and objectives and </w:t>
      </w:r>
      <w:r w:rsidR="00E63412" w:rsidRPr="001A45DF">
        <w:rPr>
          <w:sz w:val="24"/>
          <w:szCs w:val="24"/>
        </w:rPr>
        <w:t xml:space="preserve">will </w:t>
      </w:r>
      <w:r w:rsidR="00FE18AC" w:rsidRPr="001A45DF">
        <w:rPr>
          <w:sz w:val="24"/>
          <w:szCs w:val="24"/>
        </w:rPr>
        <w:t xml:space="preserve">provide excellent customer service to the Authority throughout the duration of the Contract.  </w:t>
      </w:r>
    </w:p>
    <w:p w14:paraId="33FFDBD0" w14:textId="77777777" w:rsidR="00413F91" w:rsidRDefault="00413F91" w:rsidP="00413F91">
      <w:pPr>
        <w:pStyle w:val="Heading1"/>
        <w:numPr>
          <w:ilvl w:val="0"/>
          <w:numId w:val="0"/>
        </w:numPr>
        <w:spacing w:after="120"/>
        <w:ind w:left="720"/>
        <w:rPr>
          <w:sz w:val="32"/>
          <w:szCs w:val="32"/>
        </w:rPr>
      </w:pPr>
      <w:bookmarkStart w:id="28" w:name="_Toc368573040"/>
    </w:p>
    <w:p w14:paraId="3F767EF8" w14:textId="19C77641" w:rsidR="00671798" w:rsidRPr="001A45DF" w:rsidRDefault="00FE18AC">
      <w:pPr>
        <w:pStyle w:val="Heading1"/>
        <w:spacing w:after="120"/>
        <w:rPr>
          <w:sz w:val="32"/>
          <w:szCs w:val="32"/>
        </w:rPr>
      </w:pPr>
      <w:bookmarkStart w:id="29" w:name="_Toc53747674"/>
      <w:r w:rsidRPr="001A45DF">
        <w:rPr>
          <w:sz w:val="32"/>
          <w:szCs w:val="32"/>
        </w:rPr>
        <w:t xml:space="preserve">Security </w:t>
      </w:r>
      <w:r w:rsidR="00252FFC" w:rsidRPr="001A45DF">
        <w:rPr>
          <w:sz w:val="32"/>
          <w:szCs w:val="32"/>
        </w:rPr>
        <w:t>and CONFIDENTIA</w:t>
      </w:r>
      <w:r w:rsidR="00C52C2C" w:rsidRPr="001A45DF">
        <w:rPr>
          <w:sz w:val="32"/>
          <w:szCs w:val="32"/>
        </w:rPr>
        <w:t xml:space="preserve">LITY </w:t>
      </w:r>
      <w:r w:rsidRPr="001A45DF">
        <w:rPr>
          <w:sz w:val="32"/>
          <w:szCs w:val="32"/>
        </w:rPr>
        <w:t>requirements</w:t>
      </w:r>
      <w:bookmarkEnd w:id="28"/>
      <w:bookmarkEnd w:id="29"/>
    </w:p>
    <w:p w14:paraId="5C31356C" w14:textId="6C2FC375" w:rsidR="00353D6F" w:rsidRPr="0090047B" w:rsidRDefault="004E5FB4" w:rsidP="00353D6F">
      <w:pPr>
        <w:pStyle w:val="Heading2"/>
        <w:spacing w:after="120"/>
        <w:ind w:left="709" w:hanging="709"/>
        <w:rPr>
          <w:sz w:val="24"/>
          <w:szCs w:val="24"/>
        </w:rPr>
      </w:pPr>
      <w:r>
        <w:rPr>
          <w:sz w:val="24"/>
          <w:szCs w:val="24"/>
        </w:rPr>
        <w:t>The Supplier</w:t>
      </w:r>
      <w:r w:rsidR="00353D6F" w:rsidRPr="0090047B">
        <w:rPr>
          <w:sz w:val="24"/>
          <w:szCs w:val="24"/>
        </w:rPr>
        <w:t>’s staff shall possess the security clearance necessary for worki</w:t>
      </w:r>
      <w:r w:rsidR="001616E2">
        <w:rPr>
          <w:sz w:val="24"/>
          <w:szCs w:val="24"/>
        </w:rPr>
        <w:t xml:space="preserve">ng on the Authority’s premises </w:t>
      </w:r>
      <w:r w:rsidR="0030358B">
        <w:rPr>
          <w:sz w:val="24"/>
          <w:szCs w:val="24"/>
        </w:rPr>
        <w:t>Security Clearance</w:t>
      </w:r>
      <w:r w:rsidR="001616E2">
        <w:rPr>
          <w:sz w:val="24"/>
          <w:szCs w:val="24"/>
        </w:rPr>
        <w:t xml:space="preserve"> (SC) as a minimum</w:t>
      </w:r>
      <w:r w:rsidR="00353D6F" w:rsidRPr="0090047B">
        <w:rPr>
          <w:sz w:val="24"/>
          <w:szCs w:val="24"/>
        </w:rPr>
        <w:t>. If given access to computing or telecommunications e</w:t>
      </w:r>
      <w:r>
        <w:rPr>
          <w:sz w:val="24"/>
          <w:szCs w:val="24"/>
        </w:rPr>
        <w:t>quipment, the Supplier</w:t>
      </w:r>
      <w:r w:rsidR="00353D6F" w:rsidRPr="0090047B">
        <w:rPr>
          <w:sz w:val="24"/>
          <w:szCs w:val="24"/>
        </w:rPr>
        <w:t>’s staff shall abide by the conditions laid down by the Authority’s staff handbook for the use of such equipment.</w:t>
      </w:r>
    </w:p>
    <w:p w14:paraId="6AFAA6EF" w14:textId="77777777" w:rsidR="00353D6F" w:rsidRPr="001A45DF" w:rsidRDefault="00353D6F" w:rsidP="00353D6F">
      <w:pPr>
        <w:pStyle w:val="Heading2"/>
        <w:numPr>
          <w:ilvl w:val="0"/>
          <w:numId w:val="0"/>
        </w:numPr>
        <w:spacing w:after="120"/>
        <w:ind w:left="709"/>
        <w:rPr>
          <w:sz w:val="24"/>
          <w:szCs w:val="24"/>
          <w:highlight w:val="yellow"/>
        </w:rPr>
      </w:pPr>
    </w:p>
    <w:p w14:paraId="6828E644" w14:textId="77777777" w:rsidR="00E24EE7" w:rsidRPr="001A45DF" w:rsidRDefault="009E3739" w:rsidP="00E24EE7">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0" w:name="_Toc53747675"/>
      <w:r w:rsidRPr="001A45DF">
        <w:rPr>
          <w:rFonts w:cs="Arial"/>
          <w:sz w:val="32"/>
          <w:szCs w:val="32"/>
        </w:rPr>
        <w:t>CONTRACT MANAGEMENT</w:t>
      </w:r>
      <w:bookmarkEnd w:id="30"/>
      <w:r w:rsidR="00FE18AC" w:rsidRPr="001A45DF">
        <w:rPr>
          <w:rFonts w:cs="Arial"/>
          <w:sz w:val="32"/>
          <w:szCs w:val="32"/>
        </w:rPr>
        <w:t xml:space="preserve"> </w:t>
      </w:r>
    </w:p>
    <w:p w14:paraId="29F9CA78" w14:textId="0F1BF31F" w:rsidR="00BD33A1" w:rsidRDefault="00BD33A1" w:rsidP="00BD33A1">
      <w:pPr>
        <w:pStyle w:val="Heading2"/>
        <w:rPr>
          <w:rFonts w:eastAsia="Times New Roman" w:cs="Arial"/>
          <w:color w:val="222222"/>
          <w:sz w:val="24"/>
          <w:szCs w:val="22"/>
          <w:lang w:eastAsia="en-US"/>
        </w:rPr>
      </w:pPr>
      <w:r w:rsidRPr="00BD33A1">
        <w:rPr>
          <w:rFonts w:eastAsia="Times New Roman" w:cs="Arial"/>
          <w:color w:val="222222"/>
          <w:sz w:val="24"/>
          <w:szCs w:val="22"/>
          <w:lang w:eastAsia="en-US"/>
        </w:rPr>
        <w:t>The work under this contract will be initiated in a controlled manner and managed through weekly checkpoint meetings and more for</w:t>
      </w:r>
      <w:r w:rsidR="00EB0E79">
        <w:rPr>
          <w:rFonts w:eastAsia="Times New Roman" w:cs="Arial"/>
          <w:color w:val="222222"/>
          <w:sz w:val="24"/>
          <w:szCs w:val="22"/>
          <w:lang w:eastAsia="en-US"/>
        </w:rPr>
        <w:t>mal monthly/quarterly reviews.</w:t>
      </w:r>
    </w:p>
    <w:p w14:paraId="246F022B" w14:textId="655821A8" w:rsidR="00353D6F" w:rsidRPr="00353D6F" w:rsidRDefault="004E5FB4" w:rsidP="00353D6F">
      <w:pPr>
        <w:pStyle w:val="Heading2"/>
        <w:tabs>
          <w:tab w:val="num" w:pos="6248"/>
        </w:tabs>
        <w:spacing w:after="120"/>
        <w:ind w:left="709" w:hanging="709"/>
        <w:rPr>
          <w:sz w:val="24"/>
          <w:szCs w:val="24"/>
        </w:rPr>
      </w:pPr>
      <w:r>
        <w:rPr>
          <w:sz w:val="24"/>
          <w:szCs w:val="24"/>
        </w:rPr>
        <w:t>The Supplier</w:t>
      </w:r>
      <w:r w:rsidR="00353D6F" w:rsidRPr="00730011">
        <w:rPr>
          <w:sz w:val="24"/>
          <w:szCs w:val="24"/>
        </w:rPr>
        <w:t xml:space="preserve"> shall have a performance rev</w:t>
      </w:r>
      <w:r w:rsidR="00353D6F">
        <w:rPr>
          <w:sz w:val="24"/>
          <w:szCs w:val="24"/>
        </w:rPr>
        <w:t>iew meeting with the GCF Capability Services</w:t>
      </w:r>
      <w:r w:rsidR="00353D6F" w:rsidRPr="00730011">
        <w:rPr>
          <w:sz w:val="24"/>
          <w:szCs w:val="24"/>
        </w:rPr>
        <w:t xml:space="preserve"> leadership team every three months to assess progress and performance against the contract.</w:t>
      </w:r>
    </w:p>
    <w:p w14:paraId="788E4129" w14:textId="09AF3944" w:rsidR="00BE5FEF" w:rsidRDefault="00BE5FEF" w:rsidP="00BE5FEF">
      <w:pPr>
        <w:pStyle w:val="Heading2"/>
        <w:spacing w:after="120"/>
        <w:ind w:left="709" w:hanging="709"/>
        <w:rPr>
          <w:sz w:val="24"/>
          <w:szCs w:val="24"/>
        </w:rPr>
      </w:pPr>
      <w:r w:rsidRPr="009106C8">
        <w:rPr>
          <w:sz w:val="24"/>
          <w:szCs w:val="24"/>
        </w:rPr>
        <w:lastRenderedPageBreak/>
        <w:t>Attendance at Contract Review meetings shall be at the Supplier’s own expense.</w:t>
      </w:r>
    </w:p>
    <w:p w14:paraId="3F70600A" w14:textId="03B36223" w:rsidR="004E5FB4" w:rsidRDefault="004E5FB4" w:rsidP="00BE5FEF">
      <w:pPr>
        <w:pStyle w:val="Heading2"/>
        <w:spacing w:after="120"/>
        <w:ind w:left="709" w:hanging="709"/>
        <w:rPr>
          <w:sz w:val="24"/>
          <w:szCs w:val="24"/>
        </w:rPr>
      </w:pPr>
      <w:r>
        <w:rPr>
          <w:sz w:val="24"/>
          <w:szCs w:val="24"/>
        </w:rPr>
        <w:t>The Cabinet Office will be responsible for Contract Management for this requirement upon award.</w:t>
      </w:r>
    </w:p>
    <w:p w14:paraId="18C8D95D" w14:textId="77777777" w:rsidR="00BD33A1" w:rsidRPr="009106C8" w:rsidRDefault="00BD33A1" w:rsidP="00BD33A1">
      <w:pPr>
        <w:pStyle w:val="Heading2"/>
        <w:numPr>
          <w:ilvl w:val="0"/>
          <w:numId w:val="0"/>
        </w:numPr>
        <w:spacing w:after="120"/>
        <w:rPr>
          <w:sz w:val="24"/>
          <w:szCs w:val="24"/>
        </w:rPr>
      </w:pPr>
    </w:p>
    <w:p w14:paraId="04BBE808" w14:textId="77777777" w:rsidR="00671798" w:rsidRPr="009106C8" w:rsidRDefault="00FE18AC">
      <w:pPr>
        <w:pStyle w:val="Heading1"/>
        <w:spacing w:after="120"/>
        <w:rPr>
          <w:sz w:val="32"/>
          <w:szCs w:val="32"/>
        </w:rPr>
      </w:pPr>
      <w:bookmarkStart w:id="31" w:name="_Toc368573043"/>
      <w:bookmarkStart w:id="32" w:name="_Toc53747676"/>
      <w:bookmarkEnd w:id="17"/>
      <w:r w:rsidRPr="009106C8">
        <w:rPr>
          <w:sz w:val="32"/>
          <w:szCs w:val="32"/>
        </w:rPr>
        <w:t>Location</w:t>
      </w:r>
      <w:bookmarkEnd w:id="31"/>
      <w:bookmarkEnd w:id="32"/>
      <w:r w:rsidRPr="009106C8">
        <w:rPr>
          <w:sz w:val="32"/>
          <w:szCs w:val="32"/>
        </w:rPr>
        <w:t xml:space="preserve"> </w:t>
      </w:r>
    </w:p>
    <w:p w14:paraId="37C13A5F" w14:textId="19BBE6CF" w:rsidR="00671798" w:rsidRDefault="00FE18AC">
      <w:pPr>
        <w:pStyle w:val="Heading2"/>
        <w:tabs>
          <w:tab w:val="clear" w:pos="720"/>
          <w:tab w:val="num" w:pos="709"/>
        </w:tabs>
        <w:spacing w:after="120"/>
        <w:ind w:left="709" w:hanging="709"/>
        <w:rPr>
          <w:sz w:val="24"/>
          <w:szCs w:val="24"/>
        </w:rPr>
      </w:pPr>
      <w:r w:rsidRPr="009106C8">
        <w:rPr>
          <w:sz w:val="24"/>
          <w:szCs w:val="24"/>
        </w:rPr>
        <w:t>The location of the Services will be carried out at</w:t>
      </w:r>
      <w:r w:rsidR="000B5696">
        <w:rPr>
          <w:sz w:val="24"/>
          <w:szCs w:val="24"/>
        </w:rPr>
        <w:t>:</w:t>
      </w:r>
    </w:p>
    <w:p w14:paraId="26B8C609" w14:textId="291C5833" w:rsidR="00353D6F" w:rsidRPr="00413F91" w:rsidRDefault="000B5696" w:rsidP="000B5696">
      <w:pPr>
        <w:pStyle w:val="Heading3"/>
      </w:pPr>
      <w:r w:rsidRPr="00413F91">
        <w:rPr>
          <w:rFonts w:ascii="Helvetica" w:eastAsia="Times New Roman" w:hAnsi="Helvetica"/>
          <w:color w:val="222222"/>
          <w:sz w:val="24"/>
          <w:shd w:val="clear" w:color="auto" w:fill="FFFFFF"/>
          <w:lang w:eastAsia="en-US"/>
        </w:rPr>
        <w:t>10 South Colonnade, Canary Wharf, E14 4PU</w:t>
      </w:r>
      <w:r w:rsidR="004E5FB4">
        <w:rPr>
          <w:rFonts w:ascii="Helvetica" w:eastAsia="Times New Roman" w:hAnsi="Helvetica"/>
          <w:color w:val="222222"/>
          <w:sz w:val="24"/>
          <w:shd w:val="clear" w:color="auto" w:fill="FFFFFF"/>
          <w:lang w:eastAsia="en-US"/>
        </w:rPr>
        <w:t xml:space="preserve"> and working from home based on current restrictions implemented due to the current COVID19 pandemic</w:t>
      </w:r>
      <w:r w:rsidR="004E5FB4" w:rsidRPr="00413F91">
        <w:rPr>
          <w:rFonts w:ascii="Helvetica" w:eastAsia="Times New Roman" w:hAnsi="Helvetica"/>
          <w:color w:val="222222"/>
          <w:sz w:val="24"/>
          <w:shd w:val="clear" w:color="auto" w:fill="FFFFFF"/>
          <w:lang w:eastAsia="en-US"/>
        </w:rPr>
        <w:t>.</w:t>
      </w:r>
    </w:p>
    <w:p w14:paraId="31424888" w14:textId="77777777" w:rsidR="002F7AA1" w:rsidRPr="002F4D97" w:rsidRDefault="002F7AA1" w:rsidP="002F7AA1">
      <w:pPr>
        <w:pStyle w:val="Heading1"/>
        <w:numPr>
          <w:ilvl w:val="0"/>
          <w:numId w:val="0"/>
        </w:numPr>
        <w:spacing w:after="120"/>
        <w:ind w:left="720"/>
      </w:pPr>
    </w:p>
    <w:p w14:paraId="671F2EDB" w14:textId="0043DF7D" w:rsidR="00DB66FF" w:rsidRPr="00A74FE3" w:rsidRDefault="00DB66FF" w:rsidP="00AF2BB0">
      <w:pPr>
        <w:tabs>
          <w:tab w:val="left" w:pos="1392"/>
        </w:tabs>
        <w:rPr>
          <w:rFonts w:eastAsia="STZhongsong"/>
          <w:szCs w:val="20"/>
        </w:rPr>
      </w:pPr>
    </w:p>
    <w:sectPr w:rsidR="00DB66FF" w:rsidRPr="00A74FE3" w:rsidSect="00703BFD">
      <w:headerReference w:type="default" r:id="rId9"/>
      <w:footerReference w:type="default" r:id="rId10"/>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14903" w14:textId="77777777" w:rsidR="005E7BA0" w:rsidRDefault="005E7BA0">
      <w:pPr>
        <w:spacing w:line="20" w:lineRule="exact"/>
      </w:pPr>
    </w:p>
  </w:endnote>
  <w:endnote w:type="continuationSeparator" w:id="0">
    <w:p w14:paraId="1ABDC757" w14:textId="77777777" w:rsidR="005E7BA0" w:rsidRDefault="005E7BA0">
      <w:pPr>
        <w:spacing w:line="20" w:lineRule="exact"/>
      </w:pPr>
      <w:r>
        <w:t xml:space="preserve"> </w:t>
      </w:r>
    </w:p>
  </w:endnote>
  <w:endnote w:type="continuationNotice" w:id="1">
    <w:p w14:paraId="5D2C93B7" w14:textId="77777777" w:rsidR="005E7BA0" w:rsidRDefault="005E7BA0">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5E3BDC75" w14:textId="030527A3" w:rsidR="00C52C2C" w:rsidRDefault="00C52C2C"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81DC92"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C52C2C" w:rsidRPr="00985B4D" w:rsidRDefault="00C52C2C" w:rsidP="00985B4D">
        <w:pPr>
          <w:pStyle w:val="Footer"/>
          <w:jc w:val="center"/>
          <w:rPr>
            <w:sz w:val="20"/>
            <w:szCs w:val="20"/>
          </w:rPr>
        </w:pPr>
        <w:r w:rsidRPr="00985B4D">
          <w:rPr>
            <w:sz w:val="20"/>
            <w:szCs w:val="20"/>
          </w:rPr>
          <w:t>OFFICIAL</w:t>
        </w:r>
      </w:p>
      <w:p w14:paraId="551E1A67" w14:textId="35CDBCF1" w:rsidR="007354F1" w:rsidRDefault="00144AD6" w:rsidP="00B574FD">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 xml:space="preserve">Annex A </w:t>
        </w:r>
        <w:r w:rsidR="007354F1">
          <w:rPr>
            <w:sz w:val="20"/>
            <w:szCs w:val="20"/>
          </w:rPr>
          <w:t>The Provision of GCF Blueprints Consultancy</w:t>
        </w:r>
      </w:p>
      <w:p w14:paraId="475E2209" w14:textId="09624A88" w:rsidR="00B574FD" w:rsidRDefault="00B574FD" w:rsidP="00B574FD">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highlight w:val="white"/>
          </w:rPr>
          <w:t>Contract Reference</w:t>
        </w:r>
        <w:r>
          <w:rPr>
            <w:sz w:val="20"/>
            <w:szCs w:val="20"/>
          </w:rPr>
          <w:t>:</w:t>
        </w:r>
        <w:r w:rsidR="007354F1">
          <w:rPr>
            <w:sz w:val="20"/>
            <w:szCs w:val="20"/>
          </w:rPr>
          <w:t xml:space="preserve"> CCCC20B43</w:t>
        </w:r>
        <w:r w:rsidR="006534DE">
          <w:rPr>
            <w:sz w:val="20"/>
            <w:szCs w:val="20"/>
          </w:rPr>
          <w:t xml:space="preserve"> </w:t>
        </w:r>
        <w:r>
          <w:rPr>
            <w:sz w:val="20"/>
            <w:szCs w:val="20"/>
          </w:rPr>
          <w:t xml:space="preserve">                                     Page </w:t>
        </w:r>
        <w:r>
          <w:rPr>
            <w:sz w:val="20"/>
            <w:szCs w:val="20"/>
          </w:rPr>
          <w:fldChar w:fldCharType="begin"/>
        </w:r>
        <w:r>
          <w:rPr>
            <w:sz w:val="20"/>
            <w:szCs w:val="20"/>
          </w:rPr>
          <w:instrText>PAGE</w:instrText>
        </w:r>
        <w:r>
          <w:rPr>
            <w:sz w:val="20"/>
            <w:szCs w:val="20"/>
          </w:rPr>
          <w:fldChar w:fldCharType="separate"/>
        </w:r>
        <w:r w:rsidR="00144AD6">
          <w:rPr>
            <w:noProof/>
            <w:sz w:val="20"/>
            <w:szCs w:val="20"/>
          </w:rPr>
          <w:t>7</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144AD6">
          <w:rPr>
            <w:noProof/>
            <w:sz w:val="20"/>
            <w:szCs w:val="20"/>
          </w:rPr>
          <w:t>7</w:t>
        </w:r>
        <w:r>
          <w:rPr>
            <w:sz w:val="20"/>
            <w:szCs w:val="20"/>
          </w:rPr>
          <w:fldChar w:fldCharType="end"/>
        </w:r>
        <w:r>
          <w:rPr>
            <w:sz w:val="20"/>
            <w:szCs w:val="20"/>
          </w:rPr>
          <w:tab/>
          <w:t xml:space="preserve">                                                                                                             </w:t>
        </w:r>
      </w:p>
      <w:p w14:paraId="42D6E6E6" w14:textId="4567E4C2" w:rsidR="00C52C2C" w:rsidRPr="00985B4D" w:rsidRDefault="00B574FD" w:rsidP="00B574FD">
        <w:pPr>
          <w:pStyle w:val="Footer"/>
          <w:rPr>
            <w:sz w:val="20"/>
            <w:szCs w:val="20"/>
          </w:rPr>
        </w:pPr>
        <w:r>
          <w:rPr>
            <w:sz w:val="20"/>
            <w:szCs w:val="20"/>
          </w:rPr>
          <w:t>© Crown Copyright 2018</w:t>
        </w:r>
        <w:r>
          <w:rPr>
            <w:sz w:val="20"/>
            <w:szCs w:val="20"/>
          </w:rPr>
          <w:tab/>
        </w:r>
      </w:p>
      <w:p w14:paraId="5214230D" w14:textId="05BF3958" w:rsidR="00C52C2C" w:rsidRDefault="00C52C2C"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144AD6">
          <w:rPr>
            <w:noProof/>
            <w:sz w:val="20"/>
            <w:szCs w:val="20"/>
          </w:rPr>
          <w:t>7</w:t>
        </w:r>
        <w:r w:rsidRPr="00985B4D">
          <w:rPr>
            <w:noProof/>
            <w:sz w:val="20"/>
            <w:szCs w:val="20"/>
          </w:rPr>
          <w:fldChar w:fldCharType="end"/>
        </w:r>
      </w:p>
    </w:sdtContent>
  </w:sdt>
  <w:p w14:paraId="6CEF1DBF" w14:textId="77777777" w:rsidR="00C52C2C" w:rsidRPr="002933F8" w:rsidRDefault="00C52C2C" w:rsidP="0029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E9BA7" w14:textId="77777777" w:rsidR="005E7BA0" w:rsidRDefault="005E7BA0">
      <w:r>
        <w:separator/>
      </w:r>
    </w:p>
  </w:footnote>
  <w:footnote w:type="continuationSeparator" w:id="0">
    <w:p w14:paraId="3CCD5FC9" w14:textId="77777777" w:rsidR="005E7BA0" w:rsidRDefault="005E7BA0">
      <w:r>
        <w:continuationSeparator/>
      </w:r>
    </w:p>
  </w:footnote>
  <w:footnote w:type="continuationNotice" w:id="1">
    <w:p w14:paraId="184D0BFA" w14:textId="77777777" w:rsidR="005E7BA0" w:rsidRDefault="005E7BA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B3446" w14:textId="1C5596A0" w:rsidR="00C52C2C" w:rsidRPr="009D0EAE" w:rsidRDefault="00C52C2C" w:rsidP="00F946AC">
    <w:pPr>
      <w:pStyle w:val="Header"/>
      <w:jc w:val="center"/>
      <w:rPr>
        <w:rFonts w:cs="Arial"/>
        <w:sz w:val="20"/>
        <w:szCs w:val="20"/>
        <w:highlight w:val="yellow"/>
      </w:rPr>
    </w:pPr>
  </w:p>
  <w:p w14:paraId="6F1572B1" w14:textId="4D54AA85" w:rsidR="00C52C2C" w:rsidRPr="00074357" w:rsidRDefault="00C52C2C" w:rsidP="000743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3B68E5"/>
    <w:multiLevelType w:val="multilevel"/>
    <w:tmpl w:val="CC02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FF7771A"/>
    <w:multiLevelType w:val="hybridMultilevel"/>
    <w:tmpl w:val="0000436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7"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8"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9"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EC0E30"/>
    <w:multiLevelType w:val="multilevel"/>
    <w:tmpl w:val="F980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5" w15:restartNumberingAfterBreak="0">
    <w:nsid w:val="4B6C2C5C"/>
    <w:multiLevelType w:val="multilevel"/>
    <w:tmpl w:val="1332CCD4"/>
    <w:name w:val="Plato Schedule Numbering List"/>
    <w:numStyleLink w:val="111111"/>
  </w:abstractNum>
  <w:abstractNum w:abstractNumId="26" w15:restartNumberingAfterBreak="0">
    <w:nsid w:val="50965CCA"/>
    <w:multiLevelType w:val="multilevel"/>
    <w:tmpl w:val="1332CCD4"/>
    <w:name w:val="Appendicies Heading List"/>
    <w:numStyleLink w:val="111111"/>
  </w:abstractNum>
  <w:abstractNum w:abstractNumId="27" w15:restartNumberingAfterBreak="0">
    <w:nsid w:val="51200365"/>
    <w:multiLevelType w:val="multilevel"/>
    <w:tmpl w:val="61C8995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ascii="Arial" w:eastAsia="Arial Unicode MS" w:hAnsi="Arial" w:cs="Arial"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8"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0"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1"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3"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4"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5"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6"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7"/>
  </w:num>
  <w:num w:numId="2">
    <w:abstractNumId w:val="27"/>
  </w:num>
  <w:num w:numId="3">
    <w:abstractNumId w:val="16"/>
  </w:num>
  <w:num w:numId="4">
    <w:abstractNumId w:val="17"/>
  </w:num>
  <w:num w:numId="5">
    <w:abstractNumId w:val="6"/>
  </w:num>
  <w:num w:numId="6">
    <w:abstractNumId w:val="23"/>
  </w:num>
  <w:num w:numId="7">
    <w:abstractNumId w:val="19"/>
  </w:num>
  <w:num w:numId="8">
    <w:abstractNumId w:val="15"/>
  </w:num>
  <w:num w:numId="9">
    <w:abstractNumId w:val="4"/>
  </w:num>
  <w:num w:numId="10">
    <w:abstractNumId w:val="3"/>
  </w:num>
  <w:num w:numId="11">
    <w:abstractNumId w:val="2"/>
  </w:num>
  <w:num w:numId="12">
    <w:abstractNumId w:val="1"/>
  </w:num>
  <w:num w:numId="13">
    <w:abstractNumId w:val="0"/>
  </w:num>
  <w:num w:numId="14">
    <w:abstractNumId w:val="35"/>
  </w:num>
  <w:num w:numId="15">
    <w:abstractNumId w:val="10"/>
  </w:num>
  <w:num w:numId="16">
    <w:abstractNumId w:val="31"/>
  </w:num>
  <w:num w:numId="17">
    <w:abstractNumId w:val="9"/>
  </w:num>
  <w:num w:numId="18">
    <w:abstractNumId w:val="20"/>
  </w:num>
  <w:num w:numId="19">
    <w:abstractNumId w:val="18"/>
  </w:num>
  <w:num w:numId="20">
    <w:abstractNumId w:val="29"/>
  </w:num>
  <w:num w:numId="21">
    <w:abstractNumId w:val="14"/>
  </w:num>
  <w:num w:numId="22">
    <w:abstractNumId w:val="33"/>
  </w:num>
  <w:num w:numId="23">
    <w:abstractNumId w:val="24"/>
  </w:num>
  <w:num w:numId="24">
    <w:abstractNumId w:val="13"/>
  </w:num>
  <w:num w:numId="25">
    <w:abstractNumId w:val="32"/>
  </w:num>
  <w:num w:numId="26">
    <w:abstractNumId w:val="8"/>
  </w:num>
  <w:num w:numId="27">
    <w:abstractNumId w:val="28"/>
  </w:num>
  <w:num w:numId="28">
    <w:abstractNumId w:val="22"/>
  </w:num>
  <w:num w:numId="29">
    <w:abstractNumId w:val="34"/>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27"/>
  </w:num>
  <w:num w:numId="33">
    <w:abstractNumId w:val="12"/>
  </w:num>
  <w:num w:numId="34">
    <w:abstractNumId w:val="21"/>
  </w:num>
  <w:num w:numId="35">
    <w:abstractNumId w:val="5"/>
  </w:num>
  <w:num w:numId="36">
    <w:abstractNumId w:val="27"/>
  </w:num>
  <w:num w:numId="37">
    <w:abstractNumId w:val="27"/>
  </w:num>
  <w:num w:numId="38">
    <w:abstractNumId w:val="27"/>
  </w:num>
  <w:num w:numId="39">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1B74"/>
    <w:rsid w:val="00002A5E"/>
    <w:rsid w:val="000033CA"/>
    <w:rsid w:val="00004DDC"/>
    <w:rsid w:val="0000639C"/>
    <w:rsid w:val="000067FA"/>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5A45"/>
    <w:rsid w:val="00037CB6"/>
    <w:rsid w:val="00040A60"/>
    <w:rsid w:val="000459DD"/>
    <w:rsid w:val="00051303"/>
    <w:rsid w:val="00052A65"/>
    <w:rsid w:val="00053DF7"/>
    <w:rsid w:val="0005414E"/>
    <w:rsid w:val="00056F7F"/>
    <w:rsid w:val="00060D0E"/>
    <w:rsid w:val="000645CC"/>
    <w:rsid w:val="00066D70"/>
    <w:rsid w:val="0007040F"/>
    <w:rsid w:val="000717BE"/>
    <w:rsid w:val="0007280F"/>
    <w:rsid w:val="00072D38"/>
    <w:rsid w:val="00074357"/>
    <w:rsid w:val="00074D97"/>
    <w:rsid w:val="00074DC0"/>
    <w:rsid w:val="000763EA"/>
    <w:rsid w:val="00076448"/>
    <w:rsid w:val="000812AE"/>
    <w:rsid w:val="0008330B"/>
    <w:rsid w:val="00090D6B"/>
    <w:rsid w:val="000910A7"/>
    <w:rsid w:val="00092145"/>
    <w:rsid w:val="00092982"/>
    <w:rsid w:val="00092C56"/>
    <w:rsid w:val="00094E2D"/>
    <w:rsid w:val="00095BEC"/>
    <w:rsid w:val="00096F76"/>
    <w:rsid w:val="00097EBA"/>
    <w:rsid w:val="000A0BB0"/>
    <w:rsid w:val="000A0C5F"/>
    <w:rsid w:val="000A0D22"/>
    <w:rsid w:val="000A1031"/>
    <w:rsid w:val="000A462F"/>
    <w:rsid w:val="000A5E95"/>
    <w:rsid w:val="000A65E5"/>
    <w:rsid w:val="000A72F8"/>
    <w:rsid w:val="000B12A9"/>
    <w:rsid w:val="000B1C66"/>
    <w:rsid w:val="000B29B2"/>
    <w:rsid w:val="000B4297"/>
    <w:rsid w:val="000B4955"/>
    <w:rsid w:val="000B5696"/>
    <w:rsid w:val="000B5A10"/>
    <w:rsid w:val="000B5C9F"/>
    <w:rsid w:val="000B7E75"/>
    <w:rsid w:val="000C1D0A"/>
    <w:rsid w:val="000C2484"/>
    <w:rsid w:val="000C2E05"/>
    <w:rsid w:val="000C68BF"/>
    <w:rsid w:val="000C6BD6"/>
    <w:rsid w:val="000C7C2B"/>
    <w:rsid w:val="000D3719"/>
    <w:rsid w:val="000D383E"/>
    <w:rsid w:val="000D4605"/>
    <w:rsid w:val="000E031B"/>
    <w:rsid w:val="000E4C53"/>
    <w:rsid w:val="000E6052"/>
    <w:rsid w:val="000F232D"/>
    <w:rsid w:val="000F3348"/>
    <w:rsid w:val="000F3500"/>
    <w:rsid w:val="000F384C"/>
    <w:rsid w:val="000F3E1D"/>
    <w:rsid w:val="000F52E6"/>
    <w:rsid w:val="00100B77"/>
    <w:rsid w:val="00101C61"/>
    <w:rsid w:val="0010318E"/>
    <w:rsid w:val="00103DBF"/>
    <w:rsid w:val="001040CE"/>
    <w:rsid w:val="0010453E"/>
    <w:rsid w:val="0010577C"/>
    <w:rsid w:val="00105FBC"/>
    <w:rsid w:val="00106F24"/>
    <w:rsid w:val="00110F67"/>
    <w:rsid w:val="00113459"/>
    <w:rsid w:val="00113CF2"/>
    <w:rsid w:val="001173D2"/>
    <w:rsid w:val="001223EC"/>
    <w:rsid w:val="00122891"/>
    <w:rsid w:val="00123FAD"/>
    <w:rsid w:val="001245F5"/>
    <w:rsid w:val="001251D2"/>
    <w:rsid w:val="001256D9"/>
    <w:rsid w:val="0012683D"/>
    <w:rsid w:val="001313AB"/>
    <w:rsid w:val="00131AF8"/>
    <w:rsid w:val="001321F1"/>
    <w:rsid w:val="00133ADF"/>
    <w:rsid w:val="00133FC1"/>
    <w:rsid w:val="001345B2"/>
    <w:rsid w:val="00134C60"/>
    <w:rsid w:val="00135690"/>
    <w:rsid w:val="00135C56"/>
    <w:rsid w:val="001360AB"/>
    <w:rsid w:val="001368D7"/>
    <w:rsid w:val="00136BDD"/>
    <w:rsid w:val="00136D23"/>
    <w:rsid w:val="0013718C"/>
    <w:rsid w:val="0013771E"/>
    <w:rsid w:val="001379B2"/>
    <w:rsid w:val="00141017"/>
    <w:rsid w:val="00144867"/>
    <w:rsid w:val="00144AD6"/>
    <w:rsid w:val="00144F3B"/>
    <w:rsid w:val="00145725"/>
    <w:rsid w:val="00147DA6"/>
    <w:rsid w:val="001548AC"/>
    <w:rsid w:val="00156231"/>
    <w:rsid w:val="0015696A"/>
    <w:rsid w:val="00156E2F"/>
    <w:rsid w:val="00157D99"/>
    <w:rsid w:val="001616E2"/>
    <w:rsid w:val="00161A2F"/>
    <w:rsid w:val="0016322B"/>
    <w:rsid w:val="0016383C"/>
    <w:rsid w:val="00164F66"/>
    <w:rsid w:val="00166299"/>
    <w:rsid w:val="0017017C"/>
    <w:rsid w:val="0017225B"/>
    <w:rsid w:val="00173352"/>
    <w:rsid w:val="0017368C"/>
    <w:rsid w:val="00176CBE"/>
    <w:rsid w:val="00176DF8"/>
    <w:rsid w:val="0018020B"/>
    <w:rsid w:val="001802DD"/>
    <w:rsid w:val="00181D58"/>
    <w:rsid w:val="00181E75"/>
    <w:rsid w:val="001838F8"/>
    <w:rsid w:val="00183DAF"/>
    <w:rsid w:val="00183EB0"/>
    <w:rsid w:val="001842F4"/>
    <w:rsid w:val="00184673"/>
    <w:rsid w:val="001863E6"/>
    <w:rsid w:val="001866C8"/>
    <w:rsid w:val="0018756A"/>
    <w:rsid w:val="00190525"/>
    <w:rsid w:val="00193FB5"/>
    <w:rsid w:val="0019405C"/>
    <w:rsid w:val="001962E6"/>
    <w:rsid w:val="001A1780"/>
    <w:rsid w:val="001A3C4D"/>
    <w:rsid w:val="001A45DF"/>
    <w:rsid w:val="001A7AB1"/>
    <w:rsid w:val="001B0587"/>
    <w:rsid w:val="001B2EA8"/>
    <w:rsid w:val="001B3C1C"/>
    <w:rsid w:val="001B485F"/>
    <w:rsid w:val="001B4B79"/>
    <w:rsid w:val="001B52D8"/>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212"/>
    <w:rsid w:val="001E13B3"/>
    <w:rsid w:val="001E378F"/>
    <w:rsid w:val="001E3BC9"/>
    <w:rsid w:val="001E3D45"/>
    <w:rsid w:val="001E49D6"/>
    <w:rsid w:val="001F0B69"/>
    <w:rsid w:val="001F13E1"/>
    <w:rsid w:val="001F2926"/>
    <w:rsid w:val="001F2F1C"/>
    <w:rsid w:val="001F300D"/>
    <w:rsid w:val="001F3B05"/>
    <w:rsid w:val="001F4B65"/>
    <w:rsid w:val="002014DC"/>
    <w:rsid w:val="00202978"/>
    <w:rsid w:val="00202DAB"/>
    <w:rsid w:val="00204498"/>
    <w:rsid w:val="00205CD6"/>
    <w:rsid w:val="00206015"/>
    <w:rsid w:val="002136EC"/>
    <w:rsid w:val="00215015"/>
    <w:rsid w:val="0022047E"/>
    <w:rsid w:val="00220ACA"/>
    <w:rsid w:val="002222F1"/>
    <w:rsid w:val="002229A8"/>
    <w:rsid w:val="002234DE"/>
    <w:rsid w:val="002235BF"/>
    <w:rsid w:val="00224FFC"/>
    <w:rsid w:val="0022513D"/>
    <w:rsid w:val="00225865"/>
    <w:rsid w:val="0022592F"/>
    <w:rsid w:val="002262A5"/>
    <w:rsid w:val="002268D4"/>
    <w:rsid w:val="0022721A"/>
    <w:rsid w:val="00233206"/>
    <w:rsid w:val="00234955"/>
    <w:rsid w:val="00235462"/>
    <w:rsid w:val="00241853"/>
    <w:rsid w:val="00243547"/>
    <w:rsid w:val="00244431"/>
    <w:rsid w:val="00245B30"/>
    <w:rsid w:val="00246795"/>
    <w:rsid w:val="00250446"/>
    <w:rsid w:val="00251900"/>
    <w:rsid w:val="00252FFC"/>
    <w:rsid w:val="00255F6A"/>
    <w:rsid w:val="00257039"/>
    <w:rsid w:val="00257F38"/>
    <w:rsid w:val="002600C6"/>
    <w:rsid w:val="002608F4"/>
    <w:rsid w:val="00260EF5"/>
    <w:rsid w:val="0026119D"/>
    <w:rsid w:val="002630FA"/>
    <w:rsid w:val="002634FE"/>
    <w:rsid w:val="002649FC"/>
    <w:rsid w:val="0027062E"/>
    <w:rsid w:val="002723EE"/>
    <w:rsid w:val="00273E03"/>
    <w:rsid w:val="00274066"/>
    <w:rsid w:val="00274391"/>
    <w:rsid w:val="00274416"/>
    <w:rsid w:val="00277524"/>
    <w:rsid w:val="00280B5B"/>
    <w:rsid w:val="002826D7"/>
    <w:rsid w:val="002848C1"/>
    <w:rsid w:val="0028697F"/>
    <w:rsid w:val="00286F62"/>
    <w:rsid w:val="002876FE"/>
    <w:rsid w:val="00287C83"/>
    <w:rsid w:val="00291584"/>
    <w:rsid w:val="002933F8"/>
    <w:rsid w:val="00297D77"/>
    <w:rsid w:val="002A08BF"/>
    <w:rsid w:val="002A5258"/>
    <w:rsid w:val="002A7D10"/>
    <w:rsid w:val="002A7DA6"/>
    <w:rsid w:val="002B1E1B"/>
    <w:rsid w:val="002B407C"/>
    <w:rsid w:val="002B43BE"/>
    <w:rsid w:val="002B4FD0"/>
    <w:rsid w:val="002B55ED"/>
    <w:rsid w:val="002B5AEB"/>
    <w:rsid w:val="002B5C29"/>
    <w:rsid w:val="002B6278"/>
    <w:rsid w:val="002B6FD7"/>
    <w:rsid w:val="002B744B"/>
    <w:rsid w:val="002C0A45"/>
    <w:rsid w:val="002C1AF6"/>
    <w:rsid w:val="002C1DE8"/>
    <w:rsid w:val="002C2D54"/>
    <w:rsid w:val="002C3316"/>
    <w:rsid w:val="002C4729"/>
    <w:rsid w:val="002C519F"/>
    <w:rsid w:val="002C538F"/>
    <w:rsid w:val="002C671C"/>
    <w:rsid w:val="002D268A"/>
    <w:rsid w:val="002D2841"/>
    <w:rsid w:val="002D3A27"/>
    <w:rsid w:val="002D7AC9"/>
    <w:rsid w:val="002E05A6"/>
    <w:rsid w:val="002E5436"/>
    <w:rsid w:val="002E6400"/>
    <w:rsid w:val="002F13FD"/>
    <w:rsid w:val="002F1F7F"/>
    <w:rsid w:val="002F3129"/>
    <w:rsid w:val="002F42F4"/>
    <w:rsid w:val="002F7AA1"/>
    <w:rsid w:val="0030038A"/>
    <w:rsid w:val="0030185A"/>
    <w:rsid w:val="0030285B"/>
    <w:rsid w:val="0030358B"/>
    <w:rsid w:val="0030439A"/>
    <w:rsid w:val="003047E0"/>
    <w:rsid w:val="0030606A"/>
    <w:rsid w:val="00315091"/>
    <w:rsid w:val="00315C76"/>
    <w:rsid w:val="0032065B"/>
    <w:rsid w:val="00323541"/>
    <w:rsid w:val="00323EAA"/>
    <w:rsid w:val="00330C5C"/>
    <w:rsid w:val="00331523"/>
    <w:rsid w:val="003316AA"/>
    <w:rsid w:val="00333D28"/>
    <w:rsid w:val="003341DC"/>
    <w:rsid w:val="00336059"/>
    <w:rsid w:val="0034369B"/>
    <w:rsid w:val="003438D3"/>
    <w:rsid w:val="00343C78"/>
    <w:rsid w:val="00346A23"/>
    <w:rsid w:val="00347685"/>
    <w:rsid w:val="00347DB3"/>
    <w:rsid w:val="00352261"/>
    <w:rsid w:val="00353191"/>
    <w:rsid w:val="00353D6F"/>
    <w:rsid w:val="00353EC0"/>
    <w:rsid w:val="003550DB"/>
    <w:rsid w:val="00357E6F"/>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33FD"/>
    <w:rsid w:val="00386338"/>
    <w:rsid w:val="00386706"/>
    <w:rsid w:val="003873D7"/>
    <w:rsid w:val="003874EB"/>
    <w:rsid w:val="003908EB"/>
    <w:rsid w:val="00390BC3"/>
    <w:rsid w:val="0039193D"/>
    <w:rsid w:val="00396B62"/>
    <w:rsid w:val="003A0CDA"/>
    <w:rsid w:val="003A199A"/>
    <w:rsid w:val="003A21C8"/>
    <w:rsid w:val="003A2C48"/>
    <w:rsid w:val="003A4DD7"/>
    <w:rsid w:val="003B0599"/>
    <w:rsid w:val="003B4727"/>
    <w:rsid w:val="003B4B25"/>
    <w:rsid w:val="003B74BC"/>
    <w:rsid w:val="003C1CB5"/>
    <w:rsid w:val="003C35BD"/>
    <w:rsid w:val="003C4135"/>
    <w:rsid w:val="003C54C9"/>
    <w:rsid w:val="003C7811"/>
    <w:rsid w:val="003D0625"/>
    <w:rsid w:val="003D0A36"/>
    <w:rsid w:val="003D1E1C"/>
    <w:rsid w:val="003D2039"/>
    <w:rsid w:val="003D2902"/>
    <w:rsid w:val="003D2F60"/>
    <w:rsid w:val="003D4366"/>
    <w:rsid w:val="003D4F07"/>
    <w:rsid w:val="003D52B7"/>
    <w:rsid w:val="003D6D0B"/>
    <w:rsid w:val="003E3E8C"/>
    <w:rsid w:val="003E4FA3"/>
    <w:rsid w:val="003E7509"/>
    <w:rsid w:val="003F06FF"/>
    <w:rsid w:val="003F1C5D"/>
    <w:rsid w:val="003F626A"/>
    <w:rsid w:val="00400F7C"/>
    <w:rsid w:val="00401C86"/>
    <w:rsid w:val="00402F0D"/>
    <w:rsid w:val="00404F9C"/>
    <w:rsid w:val="0040508D"/>
    <w:rsid w:val="00405A77"/>
    <w:rsid w:val="004126C0"/>
    <w:rsid w:val="004128DA"/>
    <w:rsid w:val="00413A43"/>
    <w:rsid w:val="00413F91"/>
    <w:rsid w:val="004147A7"/>
    <w:rsid w:val="00415016"/>
    <w:rsid w:val="0041576D"/>
    <w:rsid w:val="00416045"/>
    <w:rsid w:val="00421ECA"/>
    <w:rsid w:val="00422823"/>
    <w:rsid w:val="0042602C"/>
    <w:rsid w:val="00426AB4"/>
    <w:rsid w:val="00427A64"/>
    <w:rsid w:val="00430054"/>
    <w:rsid w:val="004300D8"/>
    <w:rsid w:val="0043067F"/>
    <w:rsid w:val="004324B4"/>
    <w:rsid w:val="00433761"/>
    <w:rsid w:val="004401D5"/>
    <w:rsid w:val="00442EDE"/>
    <w:rsid w:val="00447F11"/>
    <w:rsid w:val="004516D6"/>
    <w:rsid w:val="0045279B"/>
    <w:rsid w:val="00453EE6"/>
    <w:rsid w:val="0045425C"/>
    <w:rsid w:val="00455C47"/>
    <w:rsid w:val="00456D72"/>
    <w:rsid w:val="00461688"/>
    <w:rsid w:val="00462365"/>
    <w:rsid w:val="00462E6A"/>
    <w:rsid w:val="00470A2A"/>
    <w:rsid w:val="004722DA"/>
    <w:rsid w:val="00476F39"/>
    <w:rsid w:val="004771C4"/>
    <w:rsid w:val="00477C7D"/>
    <w:rsid w:val="00480506"/>
    <w:rsid w:val="00480E50"/>
    <w:rsid w:val="004900A1"/>
    <w:rsid w:val="004909B0"/>
    <w:rsid w:val="0049625F"/>
    <w:rsid w:val="00497D0E"/>
    <w:rsid w:val="004A225E"/>
    <w:rsid w:val="004A2D0B"/>
    <w:rsid w:val="004A2E7B"/>
    <w:rsid w:val="004A31F5"/>
    <w:rsid w:val="004A3BE6"/>
    <w:rsid w:val="004A4371"/>
    <w:rsid w:val="004A48ED"/>
    <w:rsid w:val="004B2AAA"/>
    <w:rsid w:val="004B3E72"/>
    <w:rsid w:val="004B4E34"/>
    <w:rsid w:val="004B6951"/>
    <w:rsid w:val="004B6D96"/>
    <w:rsid w:val="004B7B71"/>
    <w:rsid w:val="004C0636"/>
    <w:rsid w:val="004C1460"/>
    <w:rsid w:val="004C50CD"/>
    <w:rsid w:val="004C5929"/>
    <w:rsid w:val="004C5A51"/>
    <w:rsid w:val="004C5C6B"/>
    <w:rsid w:val="004C62BB"/>
    <w:rsid w:val="004D0392"/>
    <w:rsid w:val="004D0A59"/>
    <w:rsid w:val="004D1EED"/>
    <w:rsid w:val="004D22DF"/>
    <w:rsid w:val="004D267E"/>
    <w:rsid w:val="004D2D01"/>
    <w:rsid w:val="004D34B9"/>
    <w:rsid w:val="004D4D43"/>
    <w:rsid w:val="004D4E92"/>
    <w:rsid w:val="004D5500"/>
    <w:rsid w:val="004E089B"/>
    <w:rsid w:val="004E1F9F"/>
    <w:rsid w:val="004E445C"/>
    <w:rsid w:val="004E5FB4"/>
    <w:rsid w:val="004E6FB0"/>
    <w:rsid w:val="004E70A8"/>
    <w:rsid w:val="004E78BC"/>
    <w:rsid w:val="004F2229"/>
    <w:rsid w:val="004F2D68"/>
    <w:rsid w:val="004F4E7F"/>
    <w:rsid w:val="004F6B43"/>
    <w:rsid w:val="004F6EE0"/>
    <w:rsid w:val="0050062B"/>
    <w:rsid w:val="005009A0"/>
    <w:rsid w:val="0050116C"/>
    <w:rsid w:val="00502279"/>
    <w:rsid w:val="00502DB6"/>
    <w:rsid w:val="0050537E"/>
    <w:rsid w:val="00505473"/>
    <w:rsid w:val="005054EC"/>
    <w:rsid w:val="005060F0"/>
    <w:rsid w:val="005147FE"/>
    <w:rsid w:val="00515D51"/>
    <w:rsid w:val="00517904"/>
    <w:rsid w:val="0052086C"/>
    <w:rsid w:val="00522AAC"/>
    <w:rsid w:val="0052365A"/>
    <w:rsid w:val="0052487A"/>
    <w:rsid w:val="00527040"/>
    <w:rsid w:val="00531417"/>
    <w:rsid w:val="0053220D"/>
    <w:rsid w:val="005334EA"/>
    <w:rsid w:val="00533F76"/>
    <w:rsid w:val="005364E3"/>
    <w:rsid w:val="00540CC2"/>
    <w:rsid w:val="0055006C"/>
    <w:rsid w:val="00551203"/>
    <w:rsid w:val="00551397"/>
    <w:rsid w:val="005571B2"/>
    <w:rsid w:val="00561AE0"/>
    <w:rsid w:val="00561BB6"/>
    <w:rsid w:val="00563F76"/>
    <w:rsid w:val="00564CCA"/>
    <w:rsid w:val="0056660C"/>
    <w:rsid w:val="005750D7"/>
    <w:rsid w:val="005750F5"/>
    <w:rsid w:val="005759DD"/>
    <w:rsid w:val="00576C34"/>
    <w:rsid w:val="00581887"/>
    <w:rsid w:val="005821EF"/>
    <w:rsid w:val="0058297A"/>
    <w:rsid w:val="0058409F"/>
    <w:rsid w:val="00586640"/>
    <w:rsid w:val="00586CC2"/>
    <w:rsid w:val="00590FFC"/>
    <w:rsid w:val="005924FF"/>
    <w:rsid w:val="00593CFF"/>
    <w:rsid w:val="00597B02"/>
    <w:rsid w:val="005A137B"/>
    <w:rsid w:val="005A1F60"/>
    <w:rsid w:val="005A49EA"/>
    <w:rsid w:val="005B228D"/>
    <w:rsid w:val="005B28B1"/>
    <w:rsid w:val="005B2BA5"/>
    <w:rsid w:val="005B466A"/>
    <w:rsid w:val="005B4A89"/>
    <w:rsid w:val="005C0826"/>
    <w:rsid w:val="005C2951"/>
    <w:rsid w:val="005C2A84"/>
    <w:rsid w:val="005C3B95"/>
    <w:rsid w:val="005C4830"/>
    <w:rsid w:val="005C6291"/>
    <w:rsid w:val="005C6503"/>
    <w:rsid w:val="005D1196"/>
    <w:rsid w:val="005D2362"/>
    <w:rsid w:val="005E00DA"/>
    <w:rsid w:val="005E0FD5"/>
    <w:rsid w:val="005E2029"/>
    <w:rsid w:val="005E29A1"/>
    <w:rsid w:val="005E4205"/>
    <w:rsid w:val="005E4793"/>
    <w:rsid w:val="005E4B73"/>
    <w:rsid w:val="005E4F6C"/>
    <w:rsid w:val="005E5DD9"/>
    <w:rsid w:val="005E77ED"/>
    <w:rsid w:val="005E7BA0"/>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31D2"/>
    <w:rsid w:val="00627B4B"/>
    <w:rsid w:val="00627D1B"/>
    <w:rsid w:val="0063134B"/>
    <w:rsid w:val="00631AE2"/>
    <w:rsid w:val="00632838"/>
    <w:rsid w:val="00635B31"/>
    <w:rsid w:val="00636209"/>
    <w:rsid w:val="00636E2D"/>
    <w:rsid w:val="006373DB"/>
    <w:rsid w:val="00641ACD"/>
    <w:rsid w:val="0064354C"/>
    <w:rsid w:val="00644149"/>
    <w:rsid w:val="006455A0"/>
    <w:rsid w:val="0064629E"/>
    <w:rsid w:val="00646588"/>
    <w:rsid w:val="00646B4C"/>
    <w:rsid w:val="006502CE"/>
    <w:rsid w:val="00650B3E"/>
    <w:rsid w:val="006534DE"/>
    <w:rsid w:val="00653D40"/>
    <w:rsid w:val="00654173"/>
    <w:rsid w:val="006549BE"/>
    <w:rsid w:val="00657DE2"/>
    <w:rsid w:val="006600A8"/>
    <w:rsid w:val="00660E0B"/>
    <w:rsid w:val="006641E1"/>
    <w:rsid w:val="006645BF"/>
    <w:rsid w:val="00671798"/>
    <w:rsid w:val="00671C2E"/>
    <w:rsid w:val="006754B9"/>
    <w:rsid w:val="006772C0"/>
    <w:rsid w:val="00680C72"/>
    <w:rsid w:val="00682677"/>
    <w:rsid w:val="00683380"/>
    <w:rsid w:val="006849F7"/>
    <w:rsid w:val="00684CF6"/>
    <w:rsid w:val="00684FF6"/>
    <w:rsid w:val="0068585D"/>
    <w:rsid w:val="00685E8D"/>
    <w:rsid w:val="0068678A"/>
    <w:rsid w:val="0069053C"/>
    <w:rsid w:val="0069239F"/>
    <w:rsid w:val="00693308"/>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BF0"/>
    <w:rsid w:val="006C3FE6"/>
    <w:rsid w:val="006C466F"/>
    <w:rsid w:val="006C7377"/>
    <w:rsid w:val="006D0B91"/>
    <w:rsid w:val="006D2324"/>
    <w:rsid w:val="006D3910"/>
    <w:rsid w:val="006D50D6"/>
    <w:rsid w:val="006D5BAD"/>
    <w:rsid w:val="006D6196"/>
    <w:rsid w:val="006D64A7"/>
    <w:rsid w:val="006D7362"/>
    <w:rsid w:val="006E13AE"/>
    <w:rsid w:val="006E28A2"/>
    <w:rsid w:val="006E5B51"/>
    <w:rsid w:val="006E5FFB"/>
    <w:rsid w:val="006F098A"/>
    <w:rsid w:val="006F0C06"/>
    <w:rsid w:val="006F299C"/>
    <w:rsid w:val="006F46DC"/>
    <w:rsid w:val="006F490F"/>
    <w:rsid w:val="006F5CE9"/>
    <w:rsid w:val="006F6878"/>
    <w:rsid w:val="006F6F85"/>
    <w:rsid w:val="007003CC"/>
    <w:rsid w:val="00702C1F"/>
    <w:rsid w:val="00703BFD"/>
    <w:rsid w:val="00704A4D"/>
    <w:rsid w:val="00706FCC"/>
    <w:rsid w:val="00707A96"/>
    <w:rsid w:val="007110A9"/>
    <w:rsid w:val="007116AE"/>
    <w:rsid w:val="007145F1"/>
    <w:rsid w:val="0072081F"/>
    <w:rsid w:val="007217F8"/>
    <w:rsid w:val="00724885"/>
    <w:rsid w:val="00733ACF"/>
    <w:rsid w:val="0073540C"/>
    <w:rsid w:val="007354F1"/>
    <w:rsid w:val="00735596"/>
    <w:rsid w:val="00735D7F"/>
    <w:rsid w:val="00740B2E"/>
    <w:rsid w:val="007411D4"/>
    <w:rsid w:val="007435B9"/>
    <w:rsid w:val="00743726"/>
    <w:rsid w:val="00745FE8"/>
    <w:rsid w:val="0075008F"/>
    <w:rsid w:val="00753744"/>
    <w:rsid w:val="00753ABE"/>
    <w:rsid w:val="0075444C"/>
    <w:rsid w:val="0075546D"/>
    <w:rsid w:val="00755A73"/>
    <w:rsid w:val="00756064"/>
    <w:rsid w:val="007569B8"/>
    <w:rsid w:val="007603EE"/>
    <w:rsid w:val="00760E17"/>
    <w:rsid w:val="0076417D"/>
    <w:rsid w:val="007667BD"/>
    <w:rsid w:val="0077082E"/>
    <w:rsid w:val="00770F75"/>
    <w:rsid w:val="0077138F"/>
    <w:rsid w:val="00771C7A"/>
    <w:rsid w:val="00772062"/>
    <w:rsid w:val="007723BF"/>
    <w:rsid w:val="007734F9"/>
    <w:rsid w:val="00773C5A"/>
    <w:rsid w:val="007742BD"/>
    <w:rsid w:val="00776EBD"/>
    <w:rsid w:val="0078132F"/>
    <w:rsid w:val="00781B53"/>
    <w:rsid w:val="00781F72"/>
    <w:rsid w:val="007838E0"/>
    <w:rsid w:val="00784548"/>
    <w:rsid w:val="007902CE"/>
    <w:rsid w:val="00791568"/>
    <w:rsid w:val="00791F7F"/>
    <w:rsid w:val="00792660"/>
    <w:rsid w:val="00792A76"/>
    <w:rsid w:val="00792F41"/>
    <w:rsid w:val="00793CFE"/>
    <w:rsid w:val="007957E7"/>
    <w:rsid w:val="00797375"/>
    <w:rsid w:val="007A1EDB"/>
    <w:rsid w:val="007A4212"/>
    <w:rsid w:val="007A5C92"/>
    <w:rsid w:val="007A6776"/>
    <w:rsid w:val="007A7E53"/>
    <w:rsid w:val="007B22E8"/>
    <w:rsid w:val="007B3FCD"/>
    <w:rsid w:val="007B5019"/>
    <w:rsid w:val="007B52CD"/>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7EEC"/>
    <w:rsid w:val="007E1C0F"/>
    <w:rsid w:val="007E3BEA"/>
    <w:rsid w:val="007E4D19"/>
    <w:rsid w:val="007E581E"/>
    <w:rsid w:val="007E5ED3"/>
    <w:rsid w:val="007E69D2"/>
    <w:rsid w:val="007F062B"/>
    <w:rsid w:val="007F255C"/>
    <w:rsid w:val="007F48F8"/>
    <w:rsid w:val="007F521C"/>
    <w:rsid w:val="007F78F3"/>
    <w:rsid w:val="007F7976"/>
    <w:rsid w:val="00800097"/>
    <w:rsid w:val="0080204D"/>
    <w:rsid w:val="00802735"/>
    <w:rsid w:val="00803909"/>
    <w:rsid w:val="00804229"/>
    <w:rsid w:val="008042A5"/>
    <w:rsid w:val="0080626B"/>
    <w:rsid w:val="00806CB2"/>
    <w:rsid w:val="00806DC0"/>
    <w:rsid w:val="008073BC"/>
    <w:rsid w:val="0081061A"/>
    <w:rsid w:val="00811C30"/>
    <w:rsid w:val="0081457C"/>
    <w:rsid w:val="008174FC"/>
    <w:rsid w:val="00821734"/>
    <w:rsid w:val="00822196"/>
    <w:rsid w:val="008227FE"/>
    <w:rsid w:val="0082305E"/>
    <w:rsid w:val="0082468F"/>
    <w:rsid w:val="00825DD7"/>
    <w:rsid w:val="0082702F"/>
    <w:rsid w:val="00827E8F"/>
    <w:rsid w:val="00830EA9"/>
    <w:rsid w:val="008311F8"/>
    <w:rsid w:val="0083566B"/>
    <w:rsid w:val="008367F3"/>
    <w:rsid w:val="00842735"/>
    <w:rsid w:val="00843256"/>
    <w:rsid w:val="008433A5"/>
    <w:rsid w:val="00843CA8"/>
    <w:rsid w:val="00843FCC"/>
    <w:rsid w:val="00845DE9"/>
    <w:rsid w:val="00846256"/>
    <w:rsid w:val="008465F9"/>
    <w:rsid w:val="0084687E"/>
    <w:rsid w:val="008519A1"/>
    <w:rsid w:val="0085331D"/>
    <w:rsid w:val="00854513"/>
    <w:rsid w:val="008556F2"/>
    <w:rsid w:val="00856936"/>
    <w:rsid w:val="00861D08"/>
    <w:rsid w:val="00862C72"/>
    <w:rsid w:val="00862E1D"/>
    <w:rsid w:val="008633FF"/>
    <w:rsid w:val="00867F30"/>
    <w:rsid w:val="00871033"/>
    <w:rsid w:val="00873E83"/>
    <w:rsid w:val="00874062"/>
    <w:rsid w:val="0087463E"/>
    <w:rsid w:val="00874B74"/>
    <w:rsid w:val="00874ED6"/>
    <w:rsid w:val="00877AA1"/>
    <w:rsid w:val="00880C0D"/>
    <w:rsid w:val="00881157"/>
    <w:rsid w:val="0088161D"/>
    <w:rsid w:val="00882465"/>
    <w:rsid w:val="00890886"/>
    <w:rsid w:val="00890C86"/>
    <w:rsid w:val="008916A4"/>
    <w:rsid w:val="00897DB5"/>
    <w:rsid w:val="008A004A"/>
    <w:rsid w:val="008A17B5"/>
    <w:rsid w:val="008A20B1"/>
    <w:rsid w:val="008A3F1A"/>
    <w:rsid w:val="008A3FCF"/>
    <w:rsid w:val="008A41ED"/>
    <w:rsid w:val="008A5EAC"/>
    <w:rsid w:val="008A74AE"/>
    <w:rsid w:val="008A7C5C"/>
    <w:rsid w:val="008B2760"/>
    <w:rsid w:val="008B3DC8"/>
    <w:rsid w:val="008B4EC5"/>
    <w:rsid w:val="008B5210"/>
    <w:rsid w:val="008B7859"/>
    <w:rsid w:val="008C05F1"/>
    <w:rsid w:val="008C218B"/>
    <w:rsid w:val="008C59EE"/>
    <w:rsid w:val="008C6917"/>
    <w:rsid w:val="008C6DD8"/>
    <w:rsid w:val="008C764B"/>
    <w:rsid w:val="008D01FD"/>
    <w:rsid w:val="008D0383"/>
    <w:rsid w:val="008D17C0"/>
    <w:rsid w:val="008D1AFC"/>
    <w:rsid w:val="008D1F53"/>
    <w:rsid w:val="008D28A6"/>
    <w:rsid w:val="008D66D4"/>
    <w:rsid w:val="008D752C"/>
    <w:rsid w:val="008D7794"/>
    <w:rsid w:val="008E0B8A"/>
    <w:rsid w:val="008E5B1C"/>
    <w:rsid w:val="008E5D54"/>
    <w:rsid w:val="008E6D8C"/>
    <w:rsid w:val="008E7734"/>
    <w:rsid w:val="008E77CC"/>
    <w:rsid w:val="008E7D6B"/>
    <w:rsid w:val="008F0B3A"/>
    <w:rsid w:val="008F0B5B"/>
    <w:rsid w:val="008F0F5B"/>
    <w:rsid w:val="008F3470"/>
    <w:rsid w:val="008F48B8"/>
    <w:rsid w:val="008F4F1E"/>
    <w:rsid w:val="008F5670"/>
    <w:rsid w:val="008F7730"/>
    <w:rsid w:val="0090047B"/>
    <w:rsid w:val="00900BFA"/>
    <w:rsid w:val="00900E71"/>
    <w:rsid w:val="009021F5"/>
    <w:rsid w:val="0090447A"/>
    <w:rsid w:val="00905BFB"/>
    <w:rsid w:val="009064EA"/>
    <w:rsid w:val="009066E0"/>
    <w:rsid w:val="009106C8"/>
    <w:rsid w:val="00910C56"/>
    <w:rsid w:val="00911C93"/>
    <w:rsid w:val="00912B1E"/>
    <w:rsid w:val="00912C42"/>
    <w:rsid w:val="009141BA"/>
    <w:rsid w:val="0091531E"/>
    <w:rsid w:val="00915583"/>
    <w:rsid w:val="009175F3"/>
    <w:rsid w:val="00921F90"/>
    <w:rsid w:val="00922A4C"/>
    <w:rsid w:val="00923A8C"/>
    <w:rsid w:val="00923ACC"/>
    <w:rsid w:val="00926958"/>
    <w:rsid w:val="00926AFD"/>
    <w:rsid w:val="009317B0"/>
    <w:rsid w:val="00932346"/>
    <w:rsid w:val="0093247C"/>
    <w:rsid w:val="00932D6C"/>
    <w:rsid w:val="00934359"/>
    <w:rsid w:val="00935FF7"/>
    <w:rsid w:val="009372EF"/>
    <w:rsid w:val="00943815"/>
    <w:rsid w:val="009448C5"/>
    <w:rsid w:val="0094512F"/>
    <w:rsid w:val="009509D8"/>
    <w:rsid w:val="00951437"/>
    <w:rsid w:val="00951FEC"/>
    <w:rsid w:val="00953FE8"/>
    <w:rsid w:val="009572E2"/>
    <w:rsid w:val="00964906"/>
    <w:rsid w:val="00965F55"/>
    <w:rsid w:val="00970943"/>
    <w:rsid w:val="00970C86"/>
    <w:rsid w:val="00971A11"/>
    <w:rsid w:val="009738CD"/>
    <w:rsid w:val="0097525F"/>
    <w:rsid w:val="0097705B"/>
    <w:rsid w:val="0098237E"/>
    <w:rsid w:val="00983AEF"/>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B059A"/>
    <w:rsid w:val="009B0A14"/>
    <w:rsid w:val="009B0A8A"/>
    <w:rsid w:val="009B0E63"/>
    <w:rsid w:val="009C1684"/>
    <w:rsid w:val="009C2B62"/>
    <w:rsid w:val="009C3578"/>
    <w:rsid w:val="009C3DAF"/>
    <w:rsid w:val="009C3E01"/>
    <w:rsid w:val="009C426E"/>
    <w:rsid w:val="009D08E6"/>
    <w:rsid w:val="009D12CD"/>
    <w:rsid w:val="009D4394"/>
    <w:rsid w:val="009D737E"/>
    <w:rsid w:val="009D7801"/>
    <w:rsid w:val="009E1BA0"/>
    <w:rsid w:val="009E2289"/>
    <w:rsid w:val="009E22EF"/>
    <w:rsid w:val="009E2B2D"/>
    <w:rsid w:val="009E3739"/>
    <w:rsid w:val="009E38B3"/>
    <w:rsid w:val="009E46E8"/>
    <w:rsid w:val="009E7CA6"/>
    <w:rsid w:val="009F0B88"/>
    <w:rsid w:val="009F0C3F"/>
    <w:rsid w:val="009F0C62"/>
    <w:rsid w:val="009F0DAB"/>
    <w:rsid w:val="009F44CA"/>
    <w:rsid w:val="00A04242"/>
    <w:rsid w:val="00A055F2"/>
    <w:rsid w:val="00A061A4"/>
    <w:rsid w:val="00A06EEA"/>
    <w:rsid w:val="00A07797"/>
    <w:rsid w:val="00A07BA2"/>
    <w:rsid w:val="00A11943"/>
    <w:rsid w:val="00A120C0"/>
    <w:rsid w:val="00A126CF"/>
    <w:rsid w:val="00A13177"/>
    <w:rsid w:val="00A150ED"/>
    <w:rsid w:val="00A163C2"/>
    <w:rsid w:val="00A203DA"/>
    <w:rsid w:val="00A2522F"/>
    <w:rsid w:val="00A26DB5"/>
    <w:rsid w:val="00A27147"/>
    <w:rsid w:val="00A27A35"/>
    <w:rsid w:val="00A3180D"/>
    <w:rsid w:val="00A326AA"/>
    <w:rsid w:val="00A32EAE"/>
    <w:rsid w:val="00A33F0B"/>
    <w:rsid w:val="00A3630D"/>
    <w:rsid w:val="00A363DA"/>
    <w:rsid w:val="00A37384"/>
    <w:rsid w:val="00A4055F"/>
    <w:rsid w:val="00A425FC"/>
    <w:rsid w:val="00A46AE8"/>
    <w:rsid w:val="00A520BB"/>
    <w:rsid w:val="00A53C90"/>
    <w:rsid w:val="00A544DF"/>
    <w:rsid w:val="00A54C8F"/>
    <w:rsid w:val="00A5594A"/>
    <w:rsid w:val="00A55D22"/>
    <w:rsid w:val="00A57890"/>
    <w:rsid w:val="00A57B4E"/>
    <w:rsid w:val="00A61283"/>
    <w:rsid w:val="00A6219D"/>
    <w:rsid w:val="00A63F3F"/>
    <w:rsid w:val="00A646DE"/>
    <w:rsid w:val="00A72352"/>
    <w:rsid w:val="00A72AE0"/>
    <w:rsid w:val="00A73E58"/>
    <w:rsid w:val="00A74FE3"/>
    <w:rsid w:val="00A81243"/>
    <w:rsid w:val="00A845EC"/>
    <w:rsid w:val="00A852B4"/>
    <w:rsid w:val="00A90772"/>
    <w:rsid w:val="00A913D3"/>
    <w:rsid w:val="00A91BED"/>
    <w:rsid w:val="00A93E74"/>
    <w:rsid w:val="00A949A8"/>
    <w:rsid w:val="00A959B8"/>
    <w:rsid w:val="00A9628B"/>
    <w:rsid w:val="00A96390"/>
    <w:rsid w:val="00A97BB0"/>
    <w:rsid w:val="00AA03D7"/>
    <w:rsid w:val="00AA1382"/>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E6F33"/>
    <w:rsid w:val="00AF0BC0"/>
    <w:rsid w:val="00AF21E6"/>
    <w:rsid w:val="00AF2BB0"/>
    <w:rsid w:val="00AF5288"/>
    <w:rsid w:val="00AF5D31"/>
    <w:rsid w:val="00AF655B"/>
    <w:rsid w:val="00AF75E2"/>
    <w:rsid w:val="00AF7B04"/>
    <w:rsid w:val="00B008C0"/>
    <w:rsid w:val="00B0302C"/>
    <w:rsid w:val="00B06365"/>
    <w:rsid w:val="00B07BA9"/>
    <w:rsid w:val="00B10C67"/>
    <w:rsid w:val="00B1155E"/>
    <w:rsid w:val="00B1289A"/>
    <w:rsid w:val="00B12987"/>
    <w:rsid w:val="00B13340"/>
    <w:rsid w:val="00B13763"/>
    <w:rsid w:val="00B238B0"/>
    <w:rsid w:val="00B240CE"/>
    <w:rsid w:val="00B25132"/>
    <w:rsid w:val="00B2520D"/>
    <w:rsid w:val="00B25BB6"/>
    <w:rsid w:val="00B262F8"/>
    <w:rsid w:val="00B27A67"/>
    <w:rsid w:val="00B316A1"/>
    <w:rsid w:val="00B319BF"/>
    <w:rsid w:val="00B35BFC"/>
    <w:rsid w:val="00B366A1"/>
    <w:rsid w:val="00B37052"/>
    <w:rsid w:val="00B40CCC"/>
    <w:rsid w:val="00B42707"/>
    <w:rsid w:val="00B432A0"/>
    <w:rsid w:val="00B46D5E"/>
    <w:rsid w:val="00B4720A"/>
    <w:rsid w:val="00B50716"/>
    <w:rsid w:val="00B50FC5"/>
    <w:rsid w:val="00B55F78"/>
    <w:rsid w:val="00B561E8"/>
    <w:rsid w:val="00B574FD"/>
    <w:rsid w:val="00B57549"/>
    <w:rsid w:val="00B60A7D"/>
    <w:rsid w:val="00B64C19"/>
    <w:rsid w:val="00B67970"/>
    <w:rsid w:val="00B67996"/>
    <w:rsid w:val="00B720D3"/>
    <w:rsid w:val="00B7286F"/>
    <w:rsid w:val="00B72C7B"/>
    <w:rsid w:val="00B7431E"/>
    <w:rsid w:val="00B74E47"/>
    <w:rsid w:val="00B768E2"/>
    <w:rsid w:val="00B769AD"/>
    <w:rsid w:val="00B81025"/>
    <w:rsid w:val="00B81D11"/>
    <w:rsid w:val="00B82F46"/>
    <w:rsid w:val="00B905EC"/>
    <w:rsid w:val="00B90C10"/>
    <w:rsid w:val="00B919C4"/>
    <w:rsid w:val="00B9252C"/>
    <w:rsid w:val="00B92A35"/>
    <w:rsid w:val="00B9498B"/>
    <w:rsid w:val="00B951B1"/>
    <w:rsid w:val="00B96277"/>
    <w:rsid w:val="00B979BD"/>
    <w:rsid w:val="00B97A23"/>
    <w:rsid w:val="00BA4A84"/>
    <w:rsid w:val="00BA4C9A"/>
    <w:rsid w:val="00BA53B5"/>
    <w:rsid w:val="00BA68DB"/>
    <w:rsid w:val="00BA7ABE"/>
    <w:rsid w:val="00BB0A71"/>
    <w:rsid w:val="00BB201E"/>
    <w:rsid w:val="00BB3E2D"/>
    <w:rsid w:val="00BB3E77"/>
    <w:rsid w:val="00BB5C1E"/>
    <w:rsid w:val="00BB6DF6"/>
    <w:rsid w:val="00BB7AA8"/>
    <w:rsid w:val="00BC0359"/>
    <w:rsid w:val="00BC1EBF"/>
    <w:rsid w:val="00BC2E68"/>
    <w:rsid w:val="00BC44B6"/>
    <w:rsid w:val="00BC79C0"/>
    <w:rsid w:val="00BD1D37"/>
    <w:rsid w:val="00BD212B"/>
    <w:rsid w:val="00BD33A1"/>
    <w:rsid w:val="00BD42DB"/>
    <w:rsid w:val="00BD6245"/>
    <w:rsid w:val="00BE1049"/>
    <w:rsid w:val="00BE17A9"/>
    <w:rsid w:val="00BE231E"/>
    <w:rsid w:val="00BE3468"/>
    <w:rsid w:val="00BE407A"/>
    <w:rsid w:val="00BE595A"/>
    <w:rsid w:val="00BE5FEF"/>
    <w:rsid w:val="00BF1413"/>
    <w:rsid w:val="00BF19C4"/>
    <w:rsid w:val="00BF3BAD"/>
    <w:rsid w:val="00BF3CBD"/>
    <w:rsid w:val="00BF411A"/>
    <w:rsid w:val="00BF423A"/>
    <w:rsid w:val="00BF4C2E"/>
    <w:rsid w:val="00C00B5F"/>
    <w:rsid w:val="00C00D58"/>
    <w:rsid w:val="00C020DA"/>
    <w:rsid w:val="00C027FC"/>
    <w:rsid w:val="00C02A15"/>
    <w:rsid w:val="00C02C4F"/>
    <w:rsid w:val="00C0327F"/>
    <w:rsid w:val="00C0387E"/>
    <w:rsid w:val="00C1747F"/>
    <w:rsid w:val="00C20E79"/>
    <w:rsid w:val="00C226E8"/>
    <w:rsid w:val="00C233B8"/>
    <w:rsid w:val="00C25BEE"/>
    <w:rsid w:val="00C26F1C"/>
    <w:rsid w:val="00C3280C"/>
    <w:rsid w:val="00C32F1B"/>
    <w:rsid w:val="00C356C1"/>
    <w:rsid w:val="00C35E26"/>
    <w:rsid w:val="00C36C28"/>
    <w:rsid w:val="00C3701E"/>
    <w:rsid w:val="00C4233A"/>
    <w:rsid w:val="00C446A8"/>
    <w:rsid w:val="00C44DC2"/>
    <w:rsid w:val="00C50014"/>
    <w:rsid w:val="00C50E68"/>
    <w:rsid w:val="00C52C2C"/>
    <w:rsid w:val="00C5443A"/>
    <w:rsid w:val="00C569A3"/>
    <w:rsid w:val="00C60FF1"/>
    <w:rsid w:val="00C613B7"/>
    <w:rsid w:val="00C61512"/>
    <w:rsid w:val="00C61ED0"/>
    <w:rsid w:val="00C644A6"/>
    <w:rsid w:val="00C64CE8"/>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752E"/>
    <w:rsid w:val="00C901B4"/>
    <w:rsid w:val="00C92F49"/>
    <w:rsid w:val="00C944BE"/>
    <w:rsid w:val="00C959C7"/>
    <w:rsid w:val="00CA2595"/>
    <w:rsid w:val="00CA3052"/>
    <w:rsid w:val="00CA3130"/>
    <w:rsid w:val="00CA3806"/>
    <w:rsid w:val="00CA69F1"/>
    <w:rsid w:val="00CB0B3E"/>
    <w:rsid w:val="00CB14F9"/>
    <w:rsid w:val="00CB1680"/>
    <w:rsid w:val="00CB3318"/>
    <w:rsid w:val="00CB6C6D"/>
    <w:rsid w:val="00CC05D0"/>
    <w:rsid w:val="00CC2078"/>
    <w:rsid w:val="00CC5CB2"/>
    <w:rsid w:val="00CD10B1"/>
    <w:rsid w:val="00CD13CF"/>
    <w:rsid w:val="00CD38F0"/>
    <w:rsid w:val="00CD3EE5"/>
    <w:rsid w:val="00CD4D5D"/>
    <w:rsid w:val="00CD5018"/>
    <w:rsid w:val="00CD7168"/>
    <w:rsid w:val="00CE0116"/>
    <w:rsid w:val="00CE0AE1"/>
    <w:rsid w:val="00CE0E02"/>
    <w:rsid w:val="00CE267D"/>
    <w:rsid w:val="00CE285C"/>
    <w:rsid w:val="00CE2942"/>
    <w:rsid w:val="00CE43E0"/>
    <w:rsid w:val="00CE44DA"/>
    <w:rsid w:val="00CE5D7B"/>
    <w:rsid w:val="00CF0669"/>
    <w:rsid w:val="00CF09E4"/>
    <w:rsid w:val="00CF0F7A"/>
    <w:rsid w:val="00CF199D"/>
    <w:rsid w:val="00CF53F5"/>
    <w:rsid w:val="00CF5885"/>
    <w:rsid w:val="00CF7A5C"/>
    <w:rsid w:val="00CF7B6A"/>
    <w:rsid w:val="00CF7DAD"/>
    <w:rsid w:val="00D01126"/>
    <w:rsid w:val="00D012D3"/>
    <w:rsid w:val="00D02587"/>
    <w:rsid w:val="00D03382"/>
    <w:rsid w:val="00D038AC"/>
    <w:rsid w:val="00D056A2"/>
    <w:rsid w:val="00D10BD3"/>
    <w:rsid w:val="00D11BFE"/>
    <w:rsid w:val="00D12A9F"/>
    <w:rsid w:val="00D16593"/>
    <w:rsid w:val="00D17764"/>
    <w:rsid w:val="00D178E0"/>
    <w:rsid w:val="00D20C5C"/>
    <w:rsid w:val="00D21E06"/>
    <w:rsid w:val="00D23214"/>
    <w:rsid w:val="00D25E4D"/>
    <w:rsid w:val="00D26A0C"/>
    <w:rsid w:val="00D2700C"/>
    <w:rsid w:val="00D32B32"/>
    <w:rsid w:val="00D336B8"/>
    <w:rsid w:val="00D353B7"/>
    <w:rsid w:val="00D37365"/>
    <w:rsid w:val="00D3778B"/>
    <w:rsid w:val="00D37F0C"/>
    <w:rsid w:val="00D4133C"/>
    <w:rsid w:val="00D42A06"/>
    <w:rsid w:val="00D440C9"/>
    <w:rsid w:val="00D44A45"/>
    <w:rsid w:val="00D47B67"/>
    <w:rsid w:val="00D5114F"/>
    <w:rsid w:val="00D53F84"/>
    <w:rsid w:val="00D551DF"/>
    <w:rsid w:val="00D56944"/>
    <w:rsid w:val="00D56954"/>
    <w:rsid w:val="00D62E47"/>
    <w:rsid w:val="00D70A58"/>
    <w:rsid w:val="00D7211C"/>
    <w:rsid w:val="00D73229"/>
    <w:rsid w:val="00D74BF3"/>
    <w:rsid w:val="00D74C4C"/>
    <w:rsid w:val="00D75C1C"/>
    <w:rsid w:val="00D80252"/>
    <w:rsid w:val="00D8251C"/>
    <w:rsid w:val="00D82A24"/>
    <w:rsid w:val="00D82DB4"/>
    <w:rsid w:val="00D83B95"/>
    <w:rsid w:val="00D846CA"/>
    <w:rsid w:val="00D84A3C"/>
    <w:rsid w:val="00D92179"/>
    <w:rsid w:val="00D94567"/>
    <w:rsid w:val="00D9647E"/>
    <w:rsid w:val="00DA5C32"/>
    <w:rsid w:val="00DA6D7B"/>
    <w:rsid w:val="00DA770E"/>
    <w:rsid w:val="00DB0BF5"/>
    <w:rsid w:val="00DB0CEC"/>
    <w:rsid w:val="00DB0D66"/>
    <w:rsid w:val="00DB1185"/>
    <w:rsid w:val="00DB3C6E"/>
    <w:rsid w:val="00DB3D51"/>
    <w:rsid w:val="00DB4281"/>
    <w:rsid w:val="00DB66FF"/>
    <w:rsid w:val="00DB7133"/>
    <w:rsid w:val="00DC0208"/>
    <w:rsid w:val="00DC465C"/>
    <w:rsid w:val="00DC4F6F"/>
    <w:rsid w:val="00DC6E1E"/>
    <w:rsid w:val="00DD4374"/>
    <w:rsid w:val="00DD6502"/>
    <w:rsid w:val="00DD6E07"/>
    <w:rsid w:val="00DD6F13"/>
    <w:rsid w:val="00DD714C"/>
    <w:rsid w:val="00DE0CDD"/>
    <w:rsid w:val="00DE1254"/>
    <w:rsid w:val="00DE29D7"/>
    <w:rsid w:val="00DE3681"/>
    <w:rsid w:val="00DE4B4B"/>
    <w:rsid w:val="00DE4B85"/>
    <w:rsid w:val="00DF55DF"/>
    <w:rsid w:val="00DF5A32"/>
    <w:rsid w:val="00DF61D8"/>
    <w:rsid w:val="00E0083E"/>
    <w:rsid w:val="00E024D2"/>
    <w:rsid w:val="00E030C9"/>
    <w:rsid w:val="00E05439"/>
    <w:rsid w:val="00E05F1D"/>
    <w:rsid w:val="00E10534"/>
    <w:rsid w:val="00E10E97"/>
    <w:rsid w:val="00E13CFC"/>
    <w:rsid w:val="00E14310"/>
    <w:rsid w:val="00E20D35"/>
    <w:rsid w:val="00E22084"/>
    <w:rsid w:val="00E22767"/>
    <w:rsid w:val="00E245A6"/>
    <w:rsid w:val="00E24EE7"/>
    <w:rsid w:val="00E25C2D"/>
    <w:rsid w:val="00E2791D"/>
    <w:rsid w:val="00E32A1D"/>
    <w:rsid w:val="00E33788"/>
    <w:rsid w:val="00E3410E"/>
    <w:rsid w:val="00E3523E"/>
    <w:rsid w:val="00E3799B"/>
    <w:rsid w:val="00E4045B"/>
    <w:rsid w:val="00E41D60"/>
    <w:rsid w:val="00E420B0"/>
    <w:rsid w:val="00E42A3E"/>
    <w:rsid w:val="00E450B0"/>
    <w:rsid w:val="00E50B0C"/>
    <w:rsid w:val="00E53E5F"/>
    <w:rsid w:val="00E57A45"/>
    <w:rsid w:val="00E613F6"/>
    <w:rsid w:val="00E63261"/>
    <w:rsid w:val="00E63383"/>
    <w:rsid w:val="00E63412"/>
    <w:rsid w:val="00E6347A"/>
    <w:rsid w:val="00E63E21"/>
    <w:rsid w:val="00E66849"/>
    <w:rsid w:val="00E7010B"/>
    <w:rsid w:val="00E70BA3"/>
    <w:rsid w:val="00E7139A"/>
    <w:rsid w:val="00E7148B"/>
    <w:rsid w:val="00E71513"/>
    <w:rsid w:val="00E8003D"/>
    <w:rsid w:val="00E83567"/>
    <w:rsid w:val="00E84FBC"/>
    <w:rsid w:val="00E8578F"/>
    <w:rsid w:val="00E876BF"/>
    <w:rsid w:val="00E90397"/>
    <w:rsid w:val="00E90BDB"/>
    <w:rsid w:val="00E9160D"/>
    <w:rsid w:val="00E91B23"/>
    <w:rsid w:val="00E92407"/>
    <w:rsid w:val="00E9262A"/>
    <w:rsid w:val="00E927E9"/>
    <w:rsid w:val="00EA0A6E"/>
    <w:rsid w:val="00EA3CBF"/>
    <w:rsid w:val="00EA6A93"/>
    <w:rsid w:val="00EB09A8"/>
    <w:rsid w:val="00EB0B47"/>
    <w:rsid w:val="00EB0E79"/>
    <w:rsid w:val="00EB1275"/>
    <w:rsid w:val="00EB3DA4"/>
    <w:rsid w:val="00EB512C"/>
    <w:rsid w:val="00EB5CE0"/>
    <w:rsid w:val="00EB6DB1"/>
    <w:rsid w:val="00EC1B98"/>
    <w:rsid w:val="00EC212C"/>
    <w:rsid w:val="00EC3A14"/>
    <w:rsid w:val="00EC6507"/>
    <w:rsid w:val="00ED08E0"/>
    <w:rsid w:val="00ED0A35"/>
    <w:rsid w:val="00ED0E52"/>
    <w:rsid w:val="00ED208B"/>
    <w:rsid w:val="00ED2129"/>
    <w:rsid w:val="00ED3242"/>
    <w:rsid w:val="00ED3ECF"/>
    <w:rsid w:val="00ED627A"/>
    <w:rsid w:val="00ED6D4F"/>
    <w:rsid w:val="00EE16DE"/>
    <w:rsid w:val="00EE2602"/>
    <w:rsid w:val="00EE2DA4"/>
    <w:rsid w:val="00EE3490"/>
    <w:rsid w:val="00EE3CAE"/>
    <w:rsid w:val="00EE4132"/>
    <w:rsid w:val="00EE6DC8"/>
    <w:rsid w:val="00EE7827"/>
    <w:rsid w:val="00EF0368"/>
    <w:rsid w:val="00EF1231"/>
    <w:rsid w:val="00EF14C7"/>
    <w:rsid w:val="00EF5B11"/>
    <w:rsid w:val="00F00060"/>
    <w:rsid w:val="00F000D3"/>
    <w:rsid w:val="00F015C6"/>
    <w:rsid w:val="00F0311A"/>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42C1"/>
    <w:rsid w:val="00F26236"/>
    <w:rsid w:val="00F26367"/>
    <w:rsid w:val="00F267CA"/>
    <w:rsid w:val="00F2778E"/>
    <w:rsid w:val="00F30696"/>
    <w:rsid w:val="00F34D03"/>
    <w:rsid w:val="00F3576A"/>
    <w:rsid w:val="00F35B2B"/>
    <w:rsid w:val="00F37B26"/>
    <w:rsid w:val="00F40B47"/>
    <w:rsid w:val="00F439AD"/>
    <w:rsid w:val="00F44D62"/>
    <w:rsid w:val="00F45A2A"/>
    <w:rsid w:val="00F4664B"/>
    <w:rsid w:val="00F468FE"/>
    <w:rsid w:val="00F476A1"/>
    <w:rsid w:val="00F533A3"/>
    <w:rsid w:val="00F576F1"/>
    <w:rsid w:val="00F62DC9"/>
    <w:rsid w:val="00F6463B"/>
    <w:rsid w:val="00F656D5"/>
    <w:rsid w:val="00F65C1B"/>
    <w:rsid w:val="00F718BA"/>
    <w:rsid w:val="00F71D56"/>
    <w:rsid w:val="00F722CD"/>
    <w:rsid w:val="00F7526B"/>
    <w:rsid w:val="00F80355"/>
    <w:rsid w:val="00F8366A"/>
    <w:rsid w:val="00F8387B"/>
    <w:rsid w:val="00F85C06"/>
    <w:rsid w:val="00F87597"/>
    <w:rsid w:val="00F937C4"/>
    <w:rsid w:val="00F946AC"/>
    <w:rsid w:val="00F950A3"/>
    <w:rsid w:val="00FA0C0A"/>
    <w:rsid w:val="00FA0E10"/>
    <w:rsid w:val="00FA11A4"/>
    <w:rsid w:val="00FA27DB"/>
    <w:rsid w:val="00FA27DF"/>
    <w:rsid w:val="00FA43B4"/>
    <w:rsid w:val="00FA5C55"/>
    <w:rsid w:val="00FA79DC"/>
    <w:rsid w:val="00FB1A3D"/>
    <w:rsid w:val="00FB1E81"/>
    <w:rsid w:val="00FB2431"/>
    <w:rsid w:val="00FC0100"/>
    <w:rsid w:val="00FC0D7C"/>
    <w:rsid w:val="00FC1A5A"/>
    <w:rsid w:val="00FC38BB"/>
    <w:rsid w:val="00FC3A1F"/>
    <w:rsid w:val="00FC7CF2"/>
    <w:rsid w:val="00FD0FBD"/>
    <w:rsid w:val="00FD330F"/>
    <w:rsid w:val="00FD4289"/>
    <w:rsid w:val="00FD4669"/>
    <w:rsid w:val="00FD5489"/>
    <w:rsid w:val="00FD67FF"/>
    <w:rsid w:val="00FD6F08"/>
    <w:rsid w:val="00FE008E"/>
    <w:rsid w:val="00FE038C"/>
    <w:rsid w:val="00FE0D7E"/>
    <w:rsid w:val="00FE18AC"/>
    <w:rsid w:val="00FE2F95"/>
    <w:rsid w:val="00FE53BD"/>
    <w:rsid w:val="00FE591B"/>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3F89B7"/>
  <w15:docId w15:val="{4B6ED247-3694-4158-B15B-064BCD72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5"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5"/>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67269">
      <w:bodyDiv w:val="1"/>
      <w:marLeft w:val="0"/>
      <w:marRight w:val="0"/>
      <w:marTop w:val="0"/>
      <w:marBottom w:val="0"/>
      <w:divBdr>
        <w:top w:val="none" w:sz="0" w:space="0" w:color="auto"/>
        <w:left w:val="none" w:sz="0" w:space="0" w:color="auto"/>
        <w:bottom w:val="none" w:sz="0" w:space="0" w:color="auto"/>
        <w:right w:val="none" w:sz="0" w:space="0" w:color="auto"/>
      </w:divBdr>
    </w:div>
    <w:div w:id="645429665">
      <w:bodyDiv w:val="1"/>
      <w:marLeft w:val="0"/>
      <w:marRight w:val="0"/>
      <w:marTop w:val="0"/>
      <w:marBottom w:val="0"/>
      <w:divBdr>
        <w:top w:val="none" w:sz="0" w:space="0" w:color="auto"/>
        <w:left w:val="none" w:sz="0" w:space="0" w:color="auto"/>
        <w:bottom w:val="none" w:sz="0" w:space="0" w:color="auto"/>
        <w:right w:val="none" w:sz="0" w:space="0" w:color="auto"/>
      </w:divBdr>
    </w:div>
    <w:div w:id="922371405">
      <w:bodyDiv w:val="1"/>
      <w:marLeft w:val="0"/>
      <w:marRight w:val="0"/>
      <w:marTop w:val="0"/>
      <w:marBottom w:val="0"/>
      <w:divBdr>
        <w:top w:val="none" w:sz="0" w:space="0" w:color="auto"/>
        <w:left w:val="none" w:sz="0" w:space="0" w:color="auto"/>
        <w:bottom w:val="none" w:sz="0" w:space="0" w:color="auto"/>
        <w:right w:val="none" w:sz="0" w:space="0" w:color="auto"/>
      </w:divBdr>
    </w:div>
    <w:div w:id="979067968">
      <w:bodyDiv w:val="1"/>
      <w:marLeft w:val="0"/>
      <w:marRight w:val="0"/>
      <w:marTop w:val="0"/>
      <w:marBottom w:val="0"/>
      <w:divBdr>
        <w:top w:val="none" w:sz="0" w:space="0" w:color="auto"/>
        <w:left w:val="none" w:sz="0" w:space="0" w:color="auto"/>
        <w:bottom w:val="none" w:sz="0" w:space="0" w:color="auto"/>
        <w:right w:val="none" w:sz="0" w:space="0" w:color="auto"/>
      </w:divBdr>
    </w:div>
    <w:div w:id="1015571381">
      <w:bodyDiv w:val="1"/>
      <w:marLeft w:val="0"/>
      <w:marRight w:val="0"/>
      <w:marTop w:val="0"/>
      <w:marBottom w:val="0"/>
      <w:divBdr>
        <w:top w:val="none" w:sz="0" w:space="0" w:color="auto"/>
        <w:left w:val="none" w:sz="0" w:space="0" w:color="auto"/>
        <w:bottom w:val="none" w:sz="0" w:space="0" w:color="auto"/>
        <w:right w:val="none" w:sz="0" w:space="0" w:color="auto"/>
      </w:divBdr>
    </w:div>
    <w:div w:id="1114207770">
      <w:bodyDiv w:val="1"/>
      <w:marLeft w:val="0"/>
      <w:marRight w:val="0"/>
      <w:marTop w:val="0"/>
      <w:marBottom w:val="0"/>
      <w:divBdr>
        <w:top w:val="none" w:sz="0" w:space="0" w:color="auto"/>
        <w:left w:val="none" w:sz="0" w:space="0" w:color="auto"/>
        <w:bottom w:val="none" w:sz="0" w:space="0" w:color="auto"/>
        <w:right w:val="none" w:sz="0" w:space="0" w:color="auto"/>
      </w:divBdr>
    </w:div>
    <w:div w:id="1164708185">
      <w:bodyDiv w:val="1"/>
      <w:marLeft w:val="0"/>
      <w:marRight w:val="0"/>
      <w:marTop w:val="0"/>
      <w:marBottom w:val="0"/>
      <w:divBdr>
        <w:top w:val="none" w:sz="0" w:space="0" w:color="auto"/>
        <w:left w:val="none" w:sz="0" w:space="0" w:color="auto"/>
        <w:bottom w:val="none" w:sz="0" w:space="0" w:color="auto"/>
        <w:right w:val="none" w:sz="0" w:space="0" w:color="auto"/>
      </w:divBdr>
    </w:div>
    <w:div w:id="1171409051">
      <w:bodyDiv w:val="1"/>
      <w:marLeft w:val="0"/>
      <w:marRight w:val="0"/>
      <w:marTop w:val="0"/>
      <w:marBottom w:val="0"/>
      <w:divBdr>
        <w:top w:val="none" w:sz="0" w:space="0" w:color="auto"/>
        <w:left w:val="none" w:sz="0" w:space="0" w:color="auto"/>
        <w:bottom w:val="none" w:sz="0" w:space="0" w:color="auto"/>
        <w:right w:val="none" w:sz="0" w:space="0" w:color="auto"/>
      </w:divBdr>
    </w:div>
    <w:div w:id="1222324105">
      <w:bodyDiv w:val="1"/>
      <w:marLeft w:val="0"/>
      <w:marRight w:val="0"/>
      <w:marTop w:val="0"/>
      <w:marBottom w:val="0"/>
      <w:divBdr>
        <w:top w:val="none" w:sz="0" w:space="0" w:color="auto"/>
        <w:left w:val="none" w:sz="0" w:space="0" w:color="auto"/>
        <w:bottom w:val="none" w:sz="0" w:space="0" w:color="auto"/>
        <w:right w:val="none" w:sz="0" w:space="0" w:color="auto"/>
      </w:divBdr>
    </w:div>
    <w:div w:id="1337226764">
      <w:bodyDiv w:val="1"/>
      <w:marLeft w:val="0"/>
      <w:marRight w:val="0"/>
      <w:marTop w:val="0"/>
      <w:marBottom w:val="0"/>
      <w:divBdr>
        <w:top w:val="none" w:sz="0" w:space="0" w:color="auto"/>
        <w:left w:val="none" w:sz="0" w:space="0" w:color="auto"/>
        <w:bottom w:val="none" w:sz="0" w:space="0" w:color="auto"/>
        <w:right w:val="none" w:sz="0" w:space="0" w:color="auto"/>
      </w:divBdr>
    </w:div>
    <w:div w:id="1587036362">
      <w:bodyDiv w:val="1"/>
      <w:marLeft w:val="0"/>
      <w:marRight w:val="0"/>
      <w:marTop w:val="0"/>
      <w:marBottom w:val="0"/>
      <w:divBdr>
        <w:top w:val="none" w:sz="0" w:space="0" w:color="auto"/>
        <w:left w:val="none" w:sz="0" w:space="0" w:color="auto"/>
        <w:bottom w:val="none" w:sz="0" w:space="0" w:color="auto"/>
        <w:right w:val="none" w:sz="0" w:space="0" w:color="auto"/>
      </w:divBdr>
    </w:div>
    <w:div w:id="1672875310">
      <w:bodyDiv w:val="1"/>
      <w:marLeft w:val="0"/>
      <w:marRight w:val="0"/>
      <w:marTop w:val="0"/>
      <w:marBottom w:val="0"/>
      <w:divBdr>
        <w:top w:val="none" w:sz="0" w:space="0" w:color="auto"/>
        <w:left w:val="none" w:sz="0" w:space="0" w:color="auto"/>
        <w:bottom w:val="none" w:sz="0" w:space="0" w:color="auto"/>
        <w:right w:val="none" w:sz="0" w:space="0" w:color="auto"/>
      </w:divBdr>
    </w:div>
    <w:div w:id="1692950638">
      <w:bodyDiv w:val="1"/>
      <w:marLeft w:val="0"/>
      <w:marRight w:val="0"/>
      <w:marTop w:val="0"/>
      <w:marBottom w:val="0"/>
      <w:divBdr>
        <w:top w:val="none" w:sz="0" w:space="0" w:color="auto"/>
        <w:left w:val="none" w:sz="0" w:space="0" w:color="auto"/>
        <w:bottom w:val="none" w:sz="0" w:space="0" w:color="auto"/>
        <w:right w:val="none" w:sz="0" w:space="0" w:color="auto"/>
      </w:divBdr>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1806654444">
      <w:bodyDiv w:val="1"/>
      <w:marLeft w:val="0"/>
      <w:marRight w:val="0"/>
      <w:marTop w:val="0"/>
      <w:marBottom w:val="0"/>
      <w:divBdr>
        <w:top w:val="none" w:sz="0" w:space="0" w:color="auto"/>
        <w:left w:val="none" w:sz="0" w:space="0" w:color="auto"/>
        <w:bottom w:val="none" w:sz="0" w:space="0" w:color="auto"/>
        <w:right w:val="none" w:sz="0" w:space="0" w:color="auto"/>
      </w:divBdr>
    </w:div>
    <w:div w:id="2047635785">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 w:id="2108766596">
      <w:bodyDiv w:val="1"/>
      <w:marLeft w:val="0"/>
      <w:marRight w:val="0"/>
      <w:marTop w:val="0"/>
      <w:marBottom w:val="0"/>
      <w:divBdr>
        <w:top w:val="none" w:sz="0" w:space="0" w:color="auto"/>
        <w:left w:val="none" w:sz="0" w:space="0" w:color="auto"/>
        <w:bottom w:val="none" w:sz="0" w:space="0" w:color="auto"/>
        <w:right w:val="none" w:sz="0" w:space="0" w:color="auto"/>
      </w:divBdr>
    </w:div>
    <w:div w:id="212194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77F0F-C413-40F4-829D-F51BC543E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1466</Words>
  <Characters>8358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9805</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Bergin</dc:creator>
  <cp:keywords/>
  <dc:description/>
  <cp:lastModifiedBy>Hannah Edwards</cp:lastModifiedBy>
  <cp:revision>2</cp:revision>
  <dcterms:created xsi:type="dcterms:W3CDTF">2020-12-21T09:46:00Z</dcterms:created>
  <dcterms:modified xsi:type="dcterms:W3CDTF">2020-12-21T09:46:00Z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