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85C" w:rsidRPr="00102B13" w:rsidRDefault="003E0019"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6031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1BDE" w:rsidRPr="00DC2982" w:rsidRDefault="00131BDE"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131BDE" w:rsidRPr="00DC2982" w:rsidRDefault="00131BDE"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131BDE" w:rsidRPr="00DC2982" w:rsidRDefault="00131BDE" w:rsidP="00D8583C">
                            <w:pPr>
                              <w:ind w:left="1276"/>
                              <w:rPr>
                                <w:b/>
                                <w:bCs/>
                                <w:color w:val="AF173B"/>
                                <w:sz w:val="72"/>
                                <w:szCs w:val="84"/>
                              </w:rPr>
                            </w:pPr>
                          </w:p>
                          <w:p w:rsidR="00131BDE" w:rsidRPr="00DC2982" w:rsidRDefault="00131BDE" w:rsidP="00D8583C">
                            <w:pPr>
                              <w:ind w:left="1276"/>
                              <w:rPr>
                                <w:b/>
                                <w:bCs/>
                                <w:color w:val="AF173B"/>
                                <w:sz w:val="72"/>
                                <w:szCs w:val="84"/>
                              </w:rPr>
                            </w:pPr>
                          </w:p>
                          <w:p w:rsidR="00131BDE" w:rsidRPr="000244D2" w:rsidRDefault="00131BDE"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131BDE" w:rsidRPr="000244D2" w:rsidRDefault="00131BDE"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131BDE" w:rsidRPr="00E3529D" w:rsidRDefault="00131BDE" w:rsidP="00D8583C">
                            <w:pPr>
                              <w:ind w:left="1276"/>
                              <w:rPr>
                                <w:b/>
                                <w:bCs/>
                                <w:color w:val="AF173B"/>
                                <w:sz w:val="40"/>
                                <w:szCs w:val="84"/>
                              </w:rPr>
                            </w:pPr>
                          </w:p>
                          <w:p w:rsidR="00131BDE" w:rsidRDefault="00131BDE" w:rsidP="00D8583C">
                            <w:pPr>
                              <w:ind w:left="1276"/>
                              <w:rPr>
                                <w:b/>
                                <w:bCs/>
                                <w:color w:val="000000"/>
                                <w:sz w:val="40"/>
                                <w:szCs w:val="84"/>
                              </w:rPr>
                            </w:pPr>
                            <w:r>
                              <w:rPr>
                                <w:b/>
                                <w:bCs/>
                                <w:color w:val="000000"/>
                                <w:sz w:val="40"/>
                                <w:szCs w:val="84"/>
                              </w:rPr>
                              <w:t>January 2019</w:t>
                            </w:r>
                          </w:p>
                          <w:p w:rsidR="00131BDE" w:rsidRDefault="00131BDE" w:rsidP="00D8583C">
                            <w:pPr>
                              <w:ind w:left="1276"/>
                              <w:rPr>
                                <w:b/>
                                <w:bCs/>
                                <w:color w:val="000000"/>
                                <w:sz w:val="40"/>
                                <w:szCs w:val="84"/>
                              </w:rPr>
                            </w:pPr>
                          </w:p>
                          <w:p w:rsidR="00131BDE" w:rsidRPr="006B4D60" w:rsidRDefault="00131BDE"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131BDE" w:rsidRPr="00DC2982" w:rsidRDefault="00131BDE" w:rsidP="003C685C">
                            <w:pPr>
                              <w:ind w:left="2160" w:firstLine="720"/>
                              <w:rPr>
                                <w:b/>
                                <w:color w:val="939598"/>
                                <w:sz w:val="22"/>
                                <w:lang w:val="en-US"/>
                              </w:rPr>
                            </w:pPr>
                          </w:p>
                          <w:p w:rsidR="00131BDE" w:rsidRPr="00DC2982" w:rsidRDefault="00131BDE" w:rsidP="003C685C">
                            <w:pPr>
                              <w:ind w:left="2160" w:firstLine="720"/>
                              <w:rPr>
                                <w:b/>
                                <w:color w:val="939598"/>
                                <w:sz w:val="22"/>
                              </w:rPr>
                            </w:pPr>
                          </w:p>
                          <w:p w:rsidR="00131BDE" w:rsidRPr="00DC2982" w:rsidRDefault="00131BDE">
                            <w:pPr>
                              <w:rPr>
                                <w:rFonts w:ascii="Cambria" w:eastAsia="Times New Roman" w:hAnsi="Cambria"/>
                                <w:color w:val="ACFFFE"/>
                                <w:sz w:val="96"/>
                                <w:szCs w:val="96"/>
                              </w:rPr>
                            </w:pPr>
                          </w:p>
                          <w:p w:rsidR="00131BDE" w:rsidRPr="00DC2982" w:rsidRDefault="00131BDE">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3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" o:allowincell="f" stroked="f">
                <v:textbox>
                  <w:txbxContent>
                    <w:p w:rsidR="00131BDE" w:rsidRPr="00DC2982" w:rsidRDefault="00131BDE"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131BDE" w:rsidRPr="00DC2982" w:rsidRDefault="00131BDE"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131BDE" w:rsidRPr="00DC2982" w:rsidRDefault="00131BDE" w:rsidP="00D8583C">
                      <w:pPr>
                        <w:ind w:left="1276"/>
                        <w:rPr>
                          <w:b/>
                          <w:bCs/>
                          <w:color w:val="AF173B"/>
                          <w:sz w:val="72"/>
                          <w:szCs w:val="84"/>
                        </w:rPr>
                      </w:pPr>
                    </w:p>
                    <w:p w:rsidR="00131BDE" w:rsidRPr="00DC2982" w:rsidRDefault="00131BDE" w:rsidP="00D8583C">
                      <w:pPr>
                        <w:ind w:left="1276"/>
                        <w:rPr>
                          <w:b/>
                          <w:bCs/>
                          <w:color w:val="AF173B"/>
                          <w:sz w:val="72"/>
                          <w:szCs w:val="84"/>
                        </w:rPr>
                      </w:pPr>
                    </w:p>
                    <w:p w:rsidR="00131BDE" w:rsidRPr="000244D2" w:rsidRDefault="00131BDE"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131BDE" w:rsidRPr="000244D2" w:rsidRDefault="00131BDE"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131BDE" w:rsidRPr="00E3529D" w:rsidRDefault="00131BDE" w:rsidP="00D8583C">
                      <w:pPr>
                        <w:ind w:left="1276"/>
                        <w:rPr>
                          <w:b/>
                          <w:bCs/>
                          <w:color w:val="AF173B"/>
                          <w:sz w:val="40"/>
                          <w:szCs w:val="84"/>
                        </w:rPr>
                      </w:pPr>
                    </w:p>
                    <w:p w:rsidR="00131BDE" w:rsidRDefault="00131BDE" w:rsidP="00D8583C">
                      <w:pPr>
                        <w:ind w:left="1276"/>
                        <w:rPr>
                          <w:b/>
                          <w:bCs/>
                          <w:color w:val="000000"/>
                          <w:sz w:val="40"/>
                          <w:szCs w:val="84"/>
                        </w:rPr>
                      </w:pPr>
                      <w:r>
                        <w:rPr>
                          <w:b/>
                          <w:bCs/>
                          <w:color w:val="000000"/>
                          <w:sz w:val="40"/>
                          <w:szCs w:val="84"/>
                        </w:rPr>
                        <w:t>January 2019</w:t>
                      </w:r>
                    </w:p>
                    <w:p w:rsidR="00131BDE" w:rsidRDefault="00131BDE" w:rsidP="00D8583C">
                      <w:pPr>
                        <w:ind w:left="1276"/>
                        <w:rPr>
                          <w:b/>
                          <w:bCs/>
                          <w:color w:val="000000"/>
                          <w:sz w:val="40"/>
                          <w:szCs w:val="84"/>
                        </w:rPr>
                      </w:pPr>
                    </w:p>
                    <w:p w:rsidR="00131BDE" w:rsidRPr="006B4D60" w:rsidRDefault="00131BDE"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131BDE" w:rsidRPr="00DC2982" w:rsidRDefault="00131BDE" w:rsidP="003C685C">
                      <w:pPr>
                        <w:ind w:left="2160" w:firstLine="720"/>
                        <w:rPr>
                          <w:b/>
                          <w:color w:val="939598"/>
                          <w:sz w:val="22"/>
                          <w:lang w:val="en-US"/>
                        </w:rPr>
                      </w:pPr>
                    </w:p>
                    <w:p w:rsidR="00131BDE" w:rsidRPr="00DC2982" w:rsidRDefault="00131BDE" w:rsidP="003C685C">
                      <w:pPr>
                        <w:ind w:left="2160" w:firstLine="720"/>
                        <w:rPr>
                          <w:b/>
                          <w:color w:val="939598"/>
                          <w:sz w:val="22"/>
                        </w:rPr>
                      </w:pPr>
                    </w:p>
                    <w:p w:rsidR="00131BDE" w:rsidRPr="00DC2982" w:rsidRDefault="00131BDE">
                      <w:pPr>
                        <w:rPr>
                          <w:rFonts w:ascii="Cambria" w:eastAsia="Times New Roman" w:hAnsi="Cambria"/>
                          <w:color w:val="ACFFFE"/>
                          <w:sz w:val="96"/>
                          <w:szCs w:val="96"/>
                        </w:rPr>
                      </w:pPr>
                    </w:p>
                    <w:p w:rsidR="00131BDE" w:rsidRPr="00DC2982" w:rsidRDefault="00131BDE">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2474CC" w:rsidRDefault="00D97018" w:rsidP="00D97018">
      <w:pPr>
        <w:keepNext/>
        <w:keepLines/>
        <w:rPr>
          <w:rFonts w:cs="Arial"/>
          <w:b/>
          <w:bCs/>
          <w:sz w:val="18"/>
          <w:szCs w:val="18"/>
          <w:u w:val="single"/>
        </w:rPr>
      </w:pPr>
      <w:r w:rsidRPr="002474CC">
        <w:rPr>
          <w:rFonts w:cs="Arial"/>
          <w:b/>
          <w:bCs/>
          <w:sz w:val="18"/>
          <w:szCs w:val="18"/>
          <w:u w:val="single"/>
        </w:rPr>
        <w:t xml:space="preserve">Invitation </w:t>
      </w:r>
      <w:proofErr w:type="gramStart"/>
      <w:r w:rsidRPr="002474CC">
        <w:rPr>
          <w:rFonts w:cs="Arial"/>
          <w:b/>
          <w:bCs/>
          <w:sz w:val="18"/>
          <w:szCs w:val="18"/>
          <w:u w:val="single"/>
        </w:rPr>
        <w:t>To</w:t>
      </w:r>
      <w:proofErr w:type="gramEnd"/>
      <w:r w:rsidRPr="002474CC">
        <w:rPr>
          <w:rFonts w:cs="Arial"/>
          <w:b/>
          <w:bCs/>
          <w:sz w:val="18"/>
          <w:szCs w:val="18"/>
          <w:u w:val="single"/>
        </w:rPr>
        <w:t xml:space="preserve"> Tenders (ITT) Documents must be returned by </w:t>
      </w:r>
      <w:r w:rsidR="00875806" w:rsidRPr="002474CC">
        <w:rPr>
          <w:rFonts w:cs="Arial"/>
          <w:b/>
          <w:bCs/>
          <w:sz w:val="18"/>
          <w:szCs w:val="18"/>
          <w:u w:val="single"/>
        </w:rPr>
        <w:t>1</w:t>
      </w:r>
      <w:r w:rsidR="0044488F" w:rsidRPr="002474CC">
        <w:rPr>
          <w:rFonts w:cs="Arial"/>
          <w:b/>
          <w:bCs/>
          <w:sz w:val="18"/>
          <w:szCs w:val="18"/>
          <w:u w:val="single"/>
        </w:rPr>
        <w:t>2</w:t>
      </w:r>
      <w:r w:rsidR="00FC3C3A" w:rsidRPr="002474CC">
        <w:rPr>
          <w:rFonts w:cs="Arial"/>
          <w:b/>
          <w:bCs/>
          <w:sz w:val="18"/>
          <w:szCs w:val="18"/>
          <w:u w:val="single"/>
        </w:rPr>
        <w:t xml:space="preserve">pm </w:t>
      </w:r>
      <w:r w:rsidR="00131BDE" w:rsidRPr="002474CC">
        <w:rPr>
          <w:rFonts w:cs="Arial"/>
          <w:b/>
          <w:bCs/>
          <w:sz w:val="18"/>
          <w:szCs w:val="18"/>
          <w:u w:val="single"/>
        </w:rPr>
        <w:t>4</w:t>
      </w:r>
      <w:r w:rsidR="003E0019" w:rsidRPr="002474CC">
        <w:rPr>
          <w:rFonts w:cs="Arial"/>
          <w:b/>
          <w:bCs/>
          <w:sz w:val="18"/>
          <w:szCs w:val="18"/>
          <w:u w:val="single"/>
          <w:vertAlign w:val="superscript"/>
        </w:rPr>
        <w:t>th</w:t>
      </w:r>
      <w:r w:rsidR="003E0019" w:rsidRPr="002474CC">
        <w:rPr>
          <w:rFonts w:cs="Arial"/>
          <w:b/>
          <w:bCs/>
          <w:sz w:val="18"/>
          <w:szCs w:val="18"/>
          <w:u w:val="single"/>
        </w:rPr>
        <w:t xml:space="preserve"> </w:t>
      </w:r>
      <w:r w:rsidR="00131BDE" w:rsidRPr="002474CC">
        <w:rPr>
          <w:rFonts w:cs="Arial"/>
          <w:b/>
          <w:bCs/>
          <w:sz w:val="18"/>
          <w:szCs w:val="18"/>
          <w:u w:val="single"/>
        </w:rPr>
        <w:t xml:space="preserve">February </w:t>
      </w:r>
      <w:r w:rsidR="00234748" w:rsidRPr="002474CC">
        <w:rPr>
          <w:rFonts w:cs="Arial"/>
          <w:b/>
          <w:bCs/>
          <w:sz w:val="18"/>
          <w:szCs w:val="18"/>
          <w:u w:val="single"/>
        </w:rPr>
        <w:t>201</w:t>
      </w:r>
      <w:r w:rsidR="00131BDE" w:rsidRPr="002474CC">
        <w:rPr>
          <w:rFonts w:cs="Arial"/>
          <w:b/>
          <w:bCs/>
          <w:sz w:val="18"/>
          <w:szCs w:val="18"/>
          <w:u w:val="single"/>
        </w:rPr>
        <w:t>9</w:t>
      </w:r>
    </w:p>
    <w:p w:rsidR="00D97018" w:rsidRPr="002474CC" w:rsidRDefault="00D97018" w:rsidP="00D97018">
      <w:pPr>
        <w:pStyle w:val="BodyText"/>
        <w:keepNext/>
        <w:keepLines/>
        <w:rPr>
          <w:rFonts w:ascii="Trebuchet MS" w:hAnsi="Trebuchet MS" w:cs="Arial"/>
          <w:color w:val="000000" w:themeColor="background1"/>
          <w:szCs w:val="18"/>
          <w:lang w:val="en-US"/>
        </w:rPr>
      </w:pPr>
      <w:r w:rsidRPr="002474CC">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2474CC">
        <w:rPr>
          <w:rFonts w:ascii="Trebuchet MS" w:hAnsi="Trebuchet MS" w:cs="Arial"/>
          <w:color w:val="000000" w:themeColor="background1"/>
          <w:szCs w:val="18"/>
          <w:lang w:val="en-US"/>
        </w:rPr>
        <w:t>I/We agree that this ITT document is submitted on the basis that the offer shall remain open without variation for a period of 90 days from the closing date for receipt of tenders and that if accepted by the Authority within that period shall be on the offer as set out above.</w:t>
      </w:r>
      <w:r w:rsidRPr="00D97018">
        <w:rPr>
          <w:rFonts w:ascii="Trebuchet MS" w:hAnsi="Trebuchet MS" w:cs="Arial"/>
          <w:color w:val="000000" w:themeColor="background1"/>
          <w:szCs w:val="18"/>
          <w:lang w:val="en-US"/>
        </w:rPr>
        <w:t xml:space="preser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proofErr w:type="gramStart"/>
      <w:r w:rsidRPr="00D97018">
        <w:rPr>
          <w:rFonts w:cs="Arial"/>
          <w:sz w:val="18"/>
          <w:szCs w:val="18"/>
        </w:rPr>
        <w:t>Signature:…</w:t>
      </w:r>
      <w:proofErr w:type="gramEnd"/>
      <w:r w:rsidRPr="00D97018">
        <w:rPr>
          <w:rFonts w:cs="Arial"/>
          <w:sz w:val="18"/>
          <w:szCs w:val="18"/>
        </w:rPr>
        <w:t>………………………………………………………………………</w:t>
      </w:r>
      <w:r w:rsidR="00B95096" w:rsidRPr="00D97018">
        <w:rPr>
          <w:rFonts w:cs="Arial"/>
          <w:sz w:val="18"/>
          <w:szCs w:val="18"/>
        </w:rPr>
        <w:t>…</w:t>
      </w:r>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 xml:space="preserve">On behalf </w:t>
      </w:r>
      <w:proofErr w:type="gramStart"/>
      <w:r w:rsidRPr="00D97018">
        <w:rPr>
          <w:rFonts w:cs="Arial"/>
          <w:sz w:val="18"/>
          <w:szCs w:val="18"/>
        </w:rPr>
        <w:t>of:…</w:t>
      </w:r>
      <w:proofErr w:type="gramEnd"/>
      <w:r w:rsidRPr="00D97018">
        <w:rPr>
          <w:rFonts w:cs="Arial"/>
          <w:sz w:val="18"/>
          <w:szCs w:val="18"/>
        </w:rPr>
        <w:t>………………………………………………………</w:t>
      </w:r>
      <w:r w:rsidR="00B95096" w:rsidRPr="00D97018">
        <w:rPr>
          <w:rFonts w:cs="Arial"/>
          <w:sz w:val="18"/>
          <w:szCs w:val="18"/>
        </w:rPr>
        <w:t>……………</w:t>
      </w:r>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proofErr w:type="gramStart"/>
      <w:r w:rsidRPr="00D97018">
        <w:rPr>
          <w:rFonts w:cs="Arial"/>
          <w:sz w:val="18"/>
          <w:szCs w:val="18"/>
        </w:rPr>
        <w:t>Date</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Tel </w:t>
      </w:r>
      <w:proofErr w:type="gramStart"/>
      <w:r w:rsidRPr="00D97018">
        <w:rPr>
          <w:rFonts w:cs="Arial"/>
          <w:sz w:val="18"/>
          <w:szCs w:val="18"/>
        </w:rPr>
        <w:t>No</w:t>
      </w:r>
      <w:r w:rsidR="00B95096">
        <w:rPr>
          <w:rFonts w:cs="Arial"/>
          <w:sz w:val="18"/>
          <w:szCs w:val="18"/>
        </w:rPr>
        <w:t>:…</w:t>
      </w:r>
      <w:proofErr w:type="gramEnd"/>
      <w:r w:rsidR="00B95096">
        <w:rPr>
          <w:rFonts w:cs="Arial"/>
          <w:sz w:val="18"/>
          <w:szCs w:val="18"/>
        </w:rPr>
        <w:t>…………………………………………………………………………</w:t>
      </w:r>
      <w:r w:rsidR="00B95096" w:rsidRPr="00D97018">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w:t>
      </w:r>
      <w:proofErr w:type="gramStart"/>
      <w:r w:rsidRPr="00D97018">
        <w:rPr>
          <w:rFonts w:cs="Arial"/>
          <w:sz w:val="18"/>
          <w:szCs w:val="18"/>
        </w:rPr>
        <w:t>Tenderer:…</w:t>
      </w:r>
      <w:proofErr w:type="gramEnd"/>
      <w:r w:rsidR="00B95096">
        <w:rPr>
          <w:rFonts w:cs="Arial"/>
          <w:sz w:val="18"/>
          <w:szCs w:val="18"/>
        </w:rPr>
        <w: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Registered </w:t>
      </w:r>
      <w:proofErr w:type="gramStart"/>
      <w:r w:rsidRPr="00D97018">
        <w:rPr>
          <w:rFonts w:cs="Arial"/>
          <w:sz w:val="18"/>
          <w:szCs w:val="18"/>
        </w:rPr>
        <w:t>Address:…</w:t>
      </w:r>
      <w:proofErr w:type="gramEnd"/>
      <w:r w:rsidRPr="00D97018">
        <w:rPr>
          <w:rFonts w:cs="Arial"/>
          <w:sz w:val="18"/>
          <w:szCs w:val="18"/>
        </w:rPr>
        <w:t>……………………………………………………………</w:t>
      </w:r>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4320E2">
        <w:rPr>
          <w:rFonts w:cs="Arial"/>
          <w:sz w:val="18"/>
          <w:szCs w:val="18"/>
        </w:rPr>
        <w:t>Wrexham County Borough</w:t>
      </w:r>
      <w:r w:rsidR="008B118E" w:rsidRPr="001F6763">
        <w:rPr>
          <w:rFonts w:cs="Arial"/>
          <w:sz w:val="18"/>
          <w:szCs w:val="18"/>
        </w:rPr>
        <w:t xml:space="preserve">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1D5C4A">
        <w:rPr>
          <w:rFonts w:cs="Arial"/>
          <w:sz w:val="18"/>
          <w:szCs w:val="18"/>
        </w:rPr>
        <w:t xml:space="preserve">18/01/2019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E73965">
        <w:rPr>
          <w:rFonts w:cs="Arial"/>
          <w:sz w:val="18"/>
          <w:szCs w:val="18"/>
        </w:rPr>
        <w:t>£</w:t>
      </w:r>
      <w:r w:rsidR="005737DE" w:rsidRPr="005737DE">
        <w:rPr>
          <w:sz w:val="18"/>
        </w:rPr>
        <w:t>478,134</w:t>
      </w:r>
      <w:r w:rsidR="00600101" w:rsidRPr="005737DE">
        <w:rPr>
          <w:rFonts w:cs="Arial"/>
          <w:sz w:val="16"/>
          <w:szCs w:val="18"/>
        </w:rPr>
        <w:t xml:space="preserve"> </w:t>
      </w:r>
      <w:r w:rsidR="00600101">
        <w:rPr>
          <w:rFonts w:cs="Arial"/>
          <w:sz w:val="18"/>
          <w:szCs w:val="18"/>
        </w:rPr>
        <w:t xml:space="preserve">+ VAT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10"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0" w:name="_Chard_Household_Waste"/>
      <w:bookmarkEnd w:id="0"/>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 xml:space="preserve">assets </w:t>
      </w:r>
      <w:proofErr w:type="gramStart"/>
      <w:r w:rsidR="008B118E">
        <w:rPr>
          <w:rFonts w:cs="Arial"/>
          <w:sz w:val="18"/>
          <w:szCs w:val="18"/>
        </w:rPr>
        <w:t xml:space="preserve">costing </w:t>
      </w:r>
      <w:r w:rsidR="005F6C78" w:rsidRPr="005F6C78">
        <w:t xml:space="preserve"> </w:t>
      </w:r>
      <w:r w:rsidR="005F6C78" w:rsidRPr="005F6C78">
        <w:rPr>
          <w:rFonts w:cs="Arial"/>
          <w:sz w:val="18"/>
          <w:szCs w:val="18"/>
        </w:rPr>
        <w:t>£</w:t>
      </w:r>
      <w:proofErr w:type="gramEnd"/>
      <w:r w:rsidR="004A3FC7" w:rsidRPr="005737DE">
        <w:rPr>
          <w:sz w:val="18"/>
        </w:rPr>
        <w:t>478,134</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15520">
        <w:rPr>
          <w:rFonts w:cs="Arial"/>
          <w:sz w:val="18"/>
          <w:szCs w:val="18"/>
        </w:rPr>
        <w:t xml:space="preserve">is looking for bids of </w:t>
      </w:r>
      <w:r w:rsidR="00234748">
        <w:rPr>
          <w:rFonts w:cs="Arial"/>
          <w:sz w:val="18"/>
          <w:szCs w:val="18"/>
        </w:rPr>
        <w:t xml:space="preserve">a </w:t>
      </w:r>
      <w:r w:rsidR="00015520">
        <w:rPr>
          <w:rFonts w:cs="Arial"/>
          <w:sz w:val="18"/>
          <w:szCs w:val="18"/>
        </w:rPr>
        <w:t xml:space="preserve">5 </w:t>
      </w:r>
      <w:r w:rsidR="00234748">
        <w:rPr>
          <w:rFonts w:cs="Arial"/>
          <w:sz w:val="18"/>
          <w:szCs w:val="18"/>
        </w:rPr>
        <w:t>year primary lease period</w:t>
      </w:r>
      <w:r w:rsidR="00F91525">
        <w:rPr>
          <w:rFonts w:cs="Arial"/>
          <w:sz w:val="18"/>
          <w:szCs w:val="18"/>
        </w:rPr>
        <w:t>.</w:t>
      </w:r>
      <w:r w:rsidRPr="00F91525">
        <w:rPr>
          <w:rFonts w:cs="Arial"/>
          <w:sz w:val="18"/>
          <w:szCs w:val="18"/>
        </w:rPr>
        <w:t xml:space="preserve"> </w:t>
      </w:r>
      <w:r w:rsidRPr="002474CC">
        <w:rPr>
          <w:rFonts w:cs="Arial"/>
          <w:sz w:val="18"/>
          <w:szCs w:val="18"/>
        </w:rPr>
        <w:t xml:space="preserve">The Council will consider either lease classification for accounting purposes with </w:t>
      </w:r>
      <w:r w:rsidR="009A7E29" w:rsidRPr="002474CC">
        <w:rPr>
          <w:rFonts w:cs="Arial"/>
          <w:sz w:val="18"/>
          <w:szCs w:val="18"/>
        </w:rPr>
        <w:t>a draw</w:t>
      </w:r>
      <w:r w:rsidR="001531E1" w:rsidRPr="002474CC">
        <w:rPr>
          <w:rFonts w:cs="Arial"/>
          <w:sz w:val="18"/>
          <w:szCs w:val="18"/>
        </w:rPr>
        <w:t xml:space="preserve">down </w:t>
      </w:r>
      <w:r w:rsidR="00234748" w:rsidRPr="002474CC">
        <w:rPr>
          <w:rFonts w:cs="Arial"/>
          <w:sz w:val="18"/>
          <w:szCs w:val="18"/>
        </w:rPr>
        <w:t xml:space="preserve">before the end of </w:t>
      </w:r>
      <w:r w:rsidR="001D5C4A">
        <w:rPr>
          <w:rFonts w:cs="Arial"/>
          <w:sz w:val="18"/>
          <w:szCs w:val="18"/>
        </w:rPr>
        <w:t>February</w:t>
      </w:r>
      <w:r w:rsidR="005F6C78" w:rsidRPr="002474CC">
        <w:rPr>
          <w:rFonts w:cs="Arial"/>
          <w:sz w:val="18"/>
          <w:szCs w:val="18"/>
        </w:rPr>
        <w:t xml:space="preserve"> </w:t>
      </w:r>
      <w:r w:rsidR="00234748" w:rsidRPr="002474CC">
        <w:rPr>
          <w:rFonts w:cs="Arial"/>
          <w:sz w:val="18"/>
          <w:szCs w:val="18"/>
        </w:rPr>
        <w:t>201</w:t>
      </w:r>
      <w:r w:rsidR="002474CC" w:rsidRPr="002474CC">
        <w:rPr>
          <w:rFonts w:cs="Arial"/>
          <w:sz w:val="18"/>
          <w:szCs w:val="18"/>
        </w:rPr>
        <w:t>9</w:t>
      </w:r>
      <w:r w:rsidR="00234748" w:rsidRPr="002474CC">
        <w:rPr>
          <w:rFonts w:cs="Arial"/>
          <w:sz w:val="18"/>
          <w:szCs w:val="18"/>
        </w:rPr>
        <w:t>.</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equivalents to any of the terms, standards etc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2474CC"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w:t>
      </w:r>
      <w:r w:rsidRPr="002474CC">
        <w:rPr>
          <w:rFonts w:cs="Arial"/>
          <w:sz w:val="18"/>
          <w:szCs w:val="18"/>
        </w:rPr>
        <w:t xml:space="preserve">sections may result </w:t>
      </w:r>
      <w:r w:rsidR="001531E1" w:rsidRPr="002474CC">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2474CC">
        <w:rPr>
          <w:rFonts w:cs="Arial"/>
          <w:sz w:val="18"/>
          <w:szCs w:val="18"/>
        </w:rPr>
        <w:t>2.2.2</w:t>
      </w:r>
      <w:r w:rsidRPr="002474CC">
        <w:rPr>
          <w:rFonts w:cs="Arial"/>
          <w:sz w:val="18"/>
          <w:szCs w:val="18"/>
        </w:rPr>
        <w:tab/>
        <w:t xml:space="preserve">All tenders </w:t>
      </w:r>
      <w:r w:rsidRPr="002474CC">
        <w:rPr>
          <w:rFonts w:cs="Arial"/>
          <w:b/>
          <w:sz w:val="18"/>
          <w:szCs w:val="18"/>
        </w:rPr>
        <w:t>must</w:t>
      </w:r>
      <w:r w:rsidRPr="002474CC">
        <w:rPr>
          <w:rFonts w:cs="Arial"/>
          <w:sz w:val="18"/>
          <w:szCs w:val="18"/>
        </w:rPr>
        <w:t xml:space="preserve"> be clearly </w:t>
      </w:r>
      <w:r w:rsidR="000145C4" w:rsidRPr="002474CC">
        <w:rPr>
          <w:rFonts w:cs="Arial"/>
          <w:sz w:val="18"/>
          <w:szCs w:val="18"/>
        </w:rPr>
        <w:t xml:space="preserve">sent with the </w:t>
      </w:r>
      <w:r w:rsidR="00E27B57" w:rsidRPr="002474CC">
        <w:rPr>
          <w:rFonts w:cs="Arial"/>
          <w:sz w:val="18"/>
          <w:szCs w:val="18"/>
        </w:rPr>
        <w:t xml:space="preserve">email </w:t>
      </w:r>
      <w:r w:rsidR="000145C4" w:rsidRPr="002474CC">
        <w:rPr>
          <w:rFonts w:cs="Arial"/>
          <w:sz w:val="18"/>
          <w:szCs w:val="18"/>
        </w:rPr>
        <w:t>subject</w:t>
      </w:r>
      <w:r w:rsidRPr="002474CC">
        <w:rPr>
          <w:rFonts w:cs="Arial"/>
          <w:sz w:val="18"/>
          <w:szCs w:val="18"/>
        </w:rPr>
        <w:t xml:space="preserve"> </w:t>
      </w:r>
      <w:r w:rsidRPr="002474CC">
        <w:rPr>
          <w:rFonts w:cs="Arial"/>
          <w:b/>
          <w:bCs/>
          <w:sz w:val="18"/>
          <w:szCs w:val="18"/>
        </w:rPr>
        <w:t xml:space="preserve">“Tender – </w:t>
      </w:r>
      <w:r w:rsidR="00E27B57" w:rsidRPr="002474CC">
        <w:rPr>
          <w:rFonts w:cs="Arial"/>
          <w:b/>
          <w:bCs/>
          <w:sz w:val="18"/>
          <w:szCs w:val="18"/>
        </w:rPr>
        <w:t>Wrexham Council</w:t>
      </w:r>
      <w:r w:rsidR="000244D2" w:rsidRPr="002474CC">
        <w:rPr>
          <w:rFonts w:cs="Arial"/>
          <w:b/>
          <w:bCs/>
          <w:sz w:val="18"/>
          <w:szCs w:val="18"/>
        </w:rPr>
        <w:t xml:space="preserve"> - </w:t>
      </w:r>
      <w:r w:rsidR="001531E1" w:rsidRPr="002474CC">
        <w:rPr>
          <w:rFonts w:cs="Arial"/>
          <w:b/>
          <w:bCs/>
          <w:sz w:val="18"/>
          <w:szCs w:val="18"/>
        </w:rPr>
        <w:t xml:space="preserve">Leasing of </w:t>
      </w:r>
      <w:r w:rsidR="005E3FC5" w:rsidRPr="002474CC">
        <w:rPr>
          <w:rFonts w:cs="Arial"/>
          <w:b/>
          <w:bCs/>
          <w:sz w:val="18"/>
          <w:szCs w:val="18"/>
        </w:rPr>
        <w:t>Vehicles</w:t>
      </w:r>
      <w:r w:rsidRPr="002474CC">
        <w:rPr>
          <w:rFonts w:cs="Arial"/>
          <w:b/>
          <w:bCs/>
          <w:sz w:val="18"/>
          <w:szCs w:val="18"/>
        </w:rPr>
        <w:t xml:space="preserve">, </w:t>
      </w:r>
      <w:r w:rsidR="001531E1" w:rsidRPr="002474CC">
        <w:rPr>
          <w:rFonts w:cs="Arial"/>
          <w:b/>
          <w:bCs/>
          <w:sz w:val="18"/>
          <w:szCs w:val="18"/>
        </w:rPr>
        <w:t>1</w:t>
      </w:r>
      <w:r w:rsidR="00E27B57" w:rsidRPr="002474CC">
        <w:rPr>
          <w:rFonts w:cs="Arial"/>
          <w:b/>
          <w:bCs/>
          <w:sz w:val="18"/>
          <w:szCs w:val="18"/>
        </w:rPr>
        <w:t>2</w:t>
      </w:r>
      <w:r w:rsidR="001531E1" w:rsidRPr="002474CC">
        <w:rPr>
          <w:rFonts w:cs="Arial"/>
          <w:b/>
          <w:bCs/>
          <w:sz w:val="18"/>
          <w:szCs w:val="18"/>
        </w:rPr>
        <w:t>pm</w:t>
      </w:r>
      <w:r w:rsidRPr="002474CC">
        <w:rPr>
          <w:rFonts w:cs="Arial"/>
          <w:b/>
          <w:bCs/>
          <w:sz w:val="18"/>
          <w:szCs w:val="18"/>
        </w:rPr>
        <w:t xml:space="preserve">, </w:t>
      </w:r>
      <w:r w:rsidR="003E0019" w:rsidRPr="002474CC">
        <w:rPr>
          <w:rFonts w:cs="Arial"/>
          <w:b/>
          <w:bCs/>
          <w:sz w:val="18"/>
          <w:szCs w:val="18"/>
        </w:rPr>
        <w:t>0</w:t>
      </w:r>
      <w:r w:rsidR="002474CC" w:rsidRPr="002474CC">
        <w:rPr>
          <w:rFonts w:cs="Arial"/>
          <w:b/>
          <w:bCs/>
          <w:sz w:val="18"/>
          <w:szCs w:val="18"/>
        </w:rPr>
        <w:t>4</w:t>
      </w:r>
      <w:r w:rsidR="003E0019" w:rsidRPr="002474CC">
        <w:rPr>
          <w:rFonts w:cs="Arial"/>
          <w:b/>
          <w:bCs/>
          <w:sz w:val="18"/>
          <w:szCs w:val="18"/>
        </w:rPr>
        <w:t>/</w:t>
      </w:r>
      <w:r w:rsidR="002474CC" w:rsidRPr="002474CC">
        <w:rPr>
          <w:rFonts w:cs="Arial"/>
          <w:b/>
          <w:bCs/>
          <w:sz w:val="18"/>
          <w:szCs w:val="18"/>
        </w:rPr>
        <w:t>0</w:t>
      </w:r>
      <w:r w:rsidR="003E0019" w:rsidRPr="002474CC">
        <w:rPr>
          <w:rFonts w:cs="Arial"/>
          <w:b/>
          <w:bCs/>
          <w:sz w:val="18"/>
          <w:szCs w:val="18"/>
        </w:rPr>
        <w:t>2</w:t>
      </w:r>
      <w:r w:rsidR="001531E1" w:rsidRPr="002474CC">
        <w:rPr>
          <w:rFonts w:cs="Arial"/>
          <w:b/>
          <w:bCs/>
          <w:sz w:val="18"/>
          <w:szCs w:val="18"/>
        </w:rPr>
        <w:t>/</w:t>
      </w:r>
      <w:r w:rsidRPr="002474CC">
        <w:rPr>
          <w:rFonts w:cs="Arial"/>
          <w:b/>
          <w:bCs/>
          <w:sz w:val="18"/>
          <w:szCs w:val="18"/>
        </w:rPr>
        <w:t>201</w:t>
      </w:r>
      <w:r w:rsidR="002474CC" w:rsidRPr="002474CC">
        <w:rPr>
          <w:rFonts w:cs="Arial"/>
          <w:b/>
          <w:bCs/>
          <w:sz w:val="18"/>
          <w:szCs w:val="18"/>
        </w:rPr>
        <w:t>9</w:t>
      </w:r>
      <w:r w:rsidRPr="002474CC">
        <w:rPr>
          <w:rFonts w:cs="Arial"/>
          <w:b/>
          <w:bCs/>
          <w:sz w:val="18"/>
          <w:szCs w:val="18"/>
        </w:rPr>
        <w:t>”</w:t>
      </w:r>
      <w:r w:rsidRPr="002474CC">
        <w:rPr>
          <w:rFonts w:cs="Arial"/>
          <w:sz w:val="18"/>
          <w:szCs w:val="18"/>
        </w:rPr>
        <w:t xml:space="preserve"> and sent to:</w:t>
      </w:r>
    </w:p>
    <w:p w:rsidR="0011371F" w:rsidRDefault="00EF584C" w:rsidP="000145C4">
      <w:pPr>
        <w:keepNext/>
        <w:keepLines/>
        <w:spacing w:after="0"/>
        <w:ind w:left="1077" w:hanging="1080"/>
        <w:rPr>
          <w:rFonts w:cs="Arial"/>
          <w:sz w:val="18"/>
          <w:szCs w:val="18"/>
        </w:rPr>
      </w:pPr>
      <w:r>
        <w:rPr>
          <w:rFonts w:cs="Arial"/>
          <w:sz w:val="18"/>
          <w:szCs w:val="18"/>
        </w:rPr>
        <w:lastRenderedPageBreak/>
        <w:tab/>
      </w:r>
      <w:r w:rsidR="0011371F">
        <w:rPr>
          <w:rFonts w:cs="Arial"/>
          <w:sz w:val="18"/>
          <w:szCs w:val="18"/>
        </w:rPr>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1" w:history="1">
        <w:r w:rsidRPr="00C12344">
          <w:rPr>
            <w:rStyle w:val="Hyperlink"/>
            <w:rFonts w:cs="Arial"/>
            <w:sz w:val="18"/>
            <w:szCs w:val="18"/>
          </w:rPr>
          <w:t>skelly@arlingclose.com</w:t>
        </w:r>
      </w:hyperlink>
      <w:r>
        <w:rPr>
          <w:rFonts w:cs="Arial"/>
          <w:sz w:val="18"/>
          <w:szCs w:val="18"/>
        </w:rPr>
        <w:t xml:space="preserve"> </w:t>
      </w:r>
    </w:p>
    <w:p w:rsidR="003E0019" w:rsidRDefault="003E0019" w:rsidP="0011371F">
      <w:pPr>
        <w:keepNext/>
        <w:keepLines/>
        <w:spacing w:after="0"/>
        <w:ind w:left="1077" w:hanging="1080"/>
        <w:rPr>
          <w:rFonts w:cs="Arial"/>
          <w:sz w:val="18"/>
          <w:szCs w:val="18"/>
        </w:rPr>
      </w:pPr>
      <w:r>
        <w:rPr>
          <w:rFonts w:cs="Arial"/>
          <w:sz w:val="18"/>
          <w:szCs w:val="18"/>
        </w:rPr>
        <w:tab/>
        <w:t>AND</w:t>
      </w:r>
    </w:p>
    <w:p w:rsidR="003E0019" w:rsidRDefault="003E0019" w:rsidP="0011371F">
      <w:pPr>
        <w:keepNext/>
        <w:keepLines/>
        <w:spacing w:after="0"/>
        <w:ind w:left="1077" w:hanging="1080"/>
        <w:rPr>
          <w:rFonts w:cs="Arial"/>
          <w:sz w:val="18"/>
          <w:szCs w:val="18"/>
        </w:rPr>
      </w:pPr>
      <w:r>
        <w:rPr>
          <w:rFonts w:cs="Arial"/>
          <w:sz w:val="18"/>
          <w:szCs w:val="18"/>
        </w:rPr>
        <w:tab/>
      </w:r>
      <w:hyperlink r:id="rId12" w:history="1">
        <w:r w:rsidRPr="00E902AF">
          <w:rPr>
            <w:rStyle w:val="Hyperlink"/>
            <w:rFonts w:cs="Arial"/>
            <w:sz w:val="18"/>
            <w:szCs w:val="18"/>
          </w:rPr>
          <w:t>nhodges@arlingclose.com</w:t>
        </w:r>
      </w:hyperlink>
      <w:r>
        <w:rPr>
          <w:rFonts w:cs="Arial"/>
          <w:sz w:val="18"/>
          <w:szCs w:val="18"/>
        </w:rPr>
        <w:t xml:space="preserve"> </w:t>
      </w:r>
    </w:p>
    <w:p w:rsidR="007E36AA" w:rsidRDefault="007E36AA" w:rsidP="0011371F">
      <w:pPr>
        <w:keepNext/>
        <w:keepLines/>
        <w:spacing w:after="0"/>
        <w:ind w:left="1077" w:hanging="1080"/>
        <w:rPr>
          <w:rFonts w:cs="Arial"/>
          <w:sz w:val="18"/>
          <w:szCs w:val="18"/>
        </w:rPr>
      </w:pPr>
      <w:r>
        <w:rPr>
          <w:rFonts w:cs="Arial"/>
          <w:sz w:val="18"/>
          <w:szCs w:val="18"/>
        </w:rPr>
        <w:tab/>
        <w:t>Rikesh Patel</w:t>
      </w:r>
    </w:p>
    <w:p w:rsidR="007E36AA" w:rsidRPr="007E36AA" w:rsidRDefault="007E36AA" w:rsidP="0011371F">
      <w:pPr>
        <w:keepNext/>
        <w:keepLines/>
        <w:spacing w:after="0"/>
        <w:ind w:left="1077" w:hanging="1080"/>
        <w:rPr>
          <w:rStyle w:val="Hyperlink"/>
        </w:rPr>
      </w:pPr>
      <w:r>
        <w:rPr>
          <w:rFonts w:cs="Arial"/>
          <w:sz w:val="18"/>
          <w:szCs w:val="18"/>
        </w:rPr>
        <w:tab/>
      </w:r>
      <w:hyperlink r:id="rId13" w:history="1">
        <w:r w:rsidRPr="007E36AA">
          <w:rPr>
            <w:rStyle w:val="Hyperlink"/>
            <w:rFonts w:cs="Arial"/>
            <w:sz w:val="18"/>
            <w:szCs w:val="18"/>
          </w:rPr>
          <w:t>rpatel@arlingclose.com</w:t>
        </w:r>
      </w:hyperlink>
    </w:p>
    <w:p w:rsidR="0011371F" w:rsidRPr="00B95096" w:rsidRDefault="0011371F" w:rsidP="0011371F">
      <w:pPr>
        <w:keepNext/>
        <w:keepLines/>
        <w:spacing w:after="0"/>
        <w:ind w:left="1077" w:hanging="1080"/>
        <w:rPr>
          <w:rFonts w:cs="Arial"/>
          <w:sz w:val="18"/>
          <w:szCs w:val="18"/>
        </w:rPr>
      </w:pPr>
    </w:p>
    <w:p w:rsidR="00E27B57" w:rsidRPr="002474CC" w:rsidRDefault="00E27B57" w:rsidP="00D97018">
      <w:pPr>
        <w:keepNext/>
        <w:keepLines/>
        <w:ind w:left="1080"/>
        <w:rPr>
          <w:rFonts w:cs="Arial"/>
          <w:sz w:val="18"/>
          <w:szCs w:val="18"/>
        </w:rPr>
      </w:pPr>
      <w:r>
        <w:rPr>
          <w:rFonts w:cs="Arial"/>
          <w:sz w:val="18"/>
          <w:szCs w:val="18"/>
        </w:rPr>
        <w:t xml:space="preserve">TENDERS MUST BE EMAILED TO </w:t>
      </w:r>
      <w:r w:rsidR="003E0019">
        <w:rPr>
          <w:rFonts w:cs="Arial"/>
          <w:sz w:val="18"/>
          <w:szCs w:val="18"/>
        </w:rPr>
        <w:t>ALL</w:t>
      </w:r>
      <w:r>
        <w:rPr>
          <w:rFonts w:cs="Arial"/>
          <w:sz w:val="18"/>
          <w:szCs w:val="18"/>
        </w:rPr>
        <w:t xml:space="preserve"> </w:t>
      </w:r>
      <w:r w:rsidRPr="002474CC">
        <w:rPr>
          <w:rFonts w:cs="Arial"/>
          <w:sz w:val="18"/>
          <w:szCs w:val="18"/>
        </w:rPr>
        <w:t>OF THE ABOVE ADDRESSES.</w:t>
      </w:r>
    </w:p>
    <w:p w:rsidR="00D97018" w:rsidRPr="002474CC" w:rsidRDefault="00D97018" w:rsidP="00D97018">
      <w:pPr>
        <w:keepNext/>
        <w:keepLines/>
        <w:ind w:left="1080"/>
        <w:rPr>
          <w:rFonts w:cs="Arial"/>
          <w:sz w:val="18"/>
          <w:szCs w:val="18"/>
        </w:rPr>
      </w:pPr>
      <w:r w:rsidRPr="002474CC">
        <w:rPr>
          <w:rFonts w:cs="Arial"/>
          <w:sz w:val="18"/>
          <w:szCs w:val="18"/>
        </w:rPr>
        <w:t xml:space="preserve">Tenders should arrive </w:t>
      </w:r>
      <w:r w:rsidR="000145C4" w:rsidRPr="002474CC">
        <w:rPr>
          <w:rFonts w:cs="Arial"/>
          <w:sz w:val="18"/>
          <w:szCs w:val="18"/>
        </w:rPr>
        <w:t>to the email address</w:t>
      </w:r>
      <w:r w:rsidR="0011371F" w:rsidRPr="002474CC">
        <w:rPr>
          <w:rFonts w:cs="Arial"/>
          <w:sz w:val="18"/>
          <w:szCs w:val="18"/>
        </w:rPr>
        <w:t>es</w:t>
      </w:r>
      <w:r w:rsidR="000145C4" w:rsidRPr="002474CC">
        <w:rPr>
          <w:rFonts w:cs="Arial"/>
          <w:sz w:val="18"/>
          <w:szCs w:val="18"/>
        </w:rPr>
        <w:t xml:space="preserve"> above</w:t>
      </w:r>
      <w:r w:rsidRPr="002474CC">
        <w:rPr>
          <w:rFonts w:cs="Arial"/>
          <w:sz w:val="18"/>
          <w:szCs w:val="18"/>
        </w:rPr>
        <w:t xml:space="preserve"> no later than </w:t>
      </w:r>
      <w:r w:rsidR="001531E1" w:rsidRPr="002474CC">
        <w:rPr>
          <w:rFonts w:cs="Arial"/>
          <w:b/>
          <w:bCs/>
          <w:sz w:val="18"/>
          <w:szCs w:val="18"/>
        </w:rPr>
        <w:t>1</w:t>
      </w:r>
      <w:r w:rsidR="00E27B57" w:rsidRPr="002474CC">
        <w:rPr>
          <w:rFonts w:cs="Arial"/>
          <w:b/>
          <w:bCs/>
          <w:sz w:val="18"/>
          <w:szCs w:val="18"/>
        </w:rPr>
        <w:t>2</w:t>
      </w:r>
      <w:r w:rsidR="001531E1" w:rsidRPr="002474CC">
        <w:rPr>
          <w:rFonts w:cs="Arial"/>
          <w:b/>
          <w:bCs/>
          <w:sz w:val="18"/>
          <w:szCs w:val="18"/>
        </w:rPr>
        <w:t>pm</w:t>
      </w:r>
      <w:r w:rsidRPr="002474CC">
        <w:rPr>
          <w:rFonts w:cs="Arial"/>
          <w:b/>
          <w:bCs/>
          <w:sz w:val="18"/>
          <w:szCs w:val="18"/>
        </w:rPr>
        <w:t xml:space="preserve">, </w:t>
      </w:r>
      <w:r w:rsidR="002474CC" w:rsidRPr="002474CC">
        <w:rPr>
          <w:rFonts w:cs="Arial"/>
          <w:b/>
          <w:bCs/>
          <w:sz w:val="18"/>
          <w:szCs w:val="18"/>
        </w:rPr>
        <w:t>4</w:t>
      </w:r>
      <w:r w:rsidR="002474CC" w:rsidRPr="002474CC">
        <w:rPr>
          <w:rFonts w:cs="Arial"/>
          <w:b/>
          <w:bCs/>
          <w:sz w:val="18"/>
          <w:szCs w:val="18"/>
          <w:vertAlign w:val="superscript"/>
        </w:rPr>
        <w:t>th</w:t>
      </w:r>
      <w:r w:rsidR="002474CC" w:rsidRPr="002474CC">
        <w:rPr>
          <w:rFonts w:cs="Arial"/>
          <w:b/>
          <w:bCs/>
          <w:sz w:val="18"/>
          <w:szCs w:val="18"/>
        </w:rPr>
        <w:t xml:space="preserve"> </w:t>
      </w:r>
      <w:r w:rsidR="001D5C4A">
        <w:rPr>
          <w:rFonts w:cs="Arial"/>
          <w:b/>
          <w:bCs/>
          <w:sz w:val="18"/>
          <w:szCs w:val="18"/>
        </w:rPr>
        <w:t>February</w:t>
      </w:r>
      <w:r w:rsidR="00234748" w:rsidRPr="002474CC">
        <w:rPr>
          <w:rFonts w:cs="Arial"/>
          <w:b/>
          <w:bCs/>
          <w:sz w:val="18"/>
          <w:szCs w:val="18"/>
        </w:rPr>
        <w:t xml:space="preserve"> 201</w:t>
      </w:r>
      <w:r w:rsidR="002474CC" w:rsidRPr="002474CC">
        <w:rPr>
          <w:rFonts w:cs="Arial"/>
          <w:b/>
          <w:bCs/>
          <w:sz w:val="18"/>
          <w:szCs w:val="18"/>
        </w:rPr>
        <w:t>9</w:t>
      </w:r>
      <w:r w:rsidRPr="002474CC">
        <w:rPr>
          <w:rFonts w:cs="Arial"/>
          <w:sz w:val="18"/>
          <w:szCs w:val="18"/>
        </w:rPr>
        <w:t>. It is the tenderer’s responsibility to ensure the tender arrives bef</w:t>
      </w:r>
      <w:r w:rsidR="001B6EB4" w:rsidRPr="002474CC">
        <w:rPr>
          <w:rFonts w:cs="Arial"/>
          <w:sz w:val="18"/>
          <w:szCs w:val="18"/>
        </w:rPr>
        <w:t xml:space="preserve">ore the closing date and time. </w:t>
      </w:r>
      <w:r w:rsidRPr="002474CC">
        <w:rPr>
          <w:rFonts w:cs="Arial"/>
          <w:sz w:val="18"/>
          <w:szCs w:val="18"/>
        </w:rPr>
        <w:t>Any late bids may, at the discretion of the Authority, be rejected.</w:t>
      </w:r>
    </w:p>
    <w:p w:rsidR="00D97018" w:rsidRPr="00B95096" w:rsidRDefault="00D97018" w:rsidP="00D97018">
      <w:pPr>
        <w:keepNext/>
        <w:keepLines/>
        <w:ind w:left="1080" w:hanging="1080"/>
        <w:rPr>
          <w:rFonts w:cs="Arial"/>
          <w:sz w:val="18"/>
          <w:szCs w:val="18"/>
        </w:rPr>
      </w:pPr>
      <w:r w:rsidRPr="002474CC">
        <w:rPr>
          <w:rFonts w:cs="Arial"/>
          <w:sz w:val="18"/>
          <w:szCs w:val="18"/>
        </w:rPr>
        <w:t>2.2.3</w:t>
      </w:r>
      <w:r w:rsidRPr="002474CC">
        <w:rPr>
          <w:rFonts w:cs="Arial"/>
          <w:sz w:val="18"/>
          <w:szCs w:val="18"/>
        </w:rPr>
        <w:tab/>
        <w:t xml:space="preserve">The Authority will </w:t>
      </w:r>
      <w:r w:rsidR="00A11220" w:rsidRPr="002474CC">
        <w:rPr>
          <w:rFonts w:cs="Arial"/>
          <w:sz w:val="18"/>
          <w:szCs w:val="18"/>
        </w:rPr>
        <w:t xml:space="preserve">not </w:t>
      </w:r>
      <w:r w:rsidRPr="002474CC">
        <w:rPr>
          <w:rFonts w:cs="Arial"/>
          <w:sz w:val="18"/>
          <w:szCs w:val="18"/>
        </w:rPr>
        <w:t>accept tenders</w:t>
      </w:r>
      <w:r w:rsidR="000145C4" w:rsidRPr="002474CC">
        <w:rPr>
          <w:rFonts w:cs="Arial"/>
          <w:sz w:val="18"/>
          <w:szCs w:val="18"/>
        </w:rPr>
        <w:t xml:space="preserve"> by post</w:t>
      </w:r>
      <w:r w:rsidR="00A11220" w:rsidRPr="002474CC">
        <w:rPr>
          <w:rFonts w:cs="Arial"/>
          <w:sz w:val="18"/>
          <w:szCs w:val="18"/>
        </w:rPr>
        <w:t>.</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2474CC" w:rsidRDefault="00D97018" w:rsidP="00D97018">
            <w:pPr>
              <w:widowControl w:val="0"/>
              <w:ind w:left="1418"/>
              <w:rPr>
                <w:b/>
                <w:bCs/>
                <w:snapToGrid w:val="0"/>
                <w:sz w:val="18"/>
                <w:szCs w:val="18"/>
              </w:rPr>
            </w:pPr>
            <w:r w:rsidRPr="002474CC">
              <w:rPr>
                <w:b/>
                <w:bCs/>
                <w:snapToGrid w:val="0"/>
                <w:sz w:val="18"/>
                <w:szCs w:val="18"/>
              </w:rPr>
              <w:t>Stage</w:t>
            </w:r>
          </w:p>
        </w:tc>
        <w:tc>
          <w:tcPr>
            <w:tcW w:w="3473" w:type="dxa"/>
          </w:tcPr>
          <w:p w:rsidR="00D97018" w:rsidRPr="002474CC" w:rsidRDefault="00D97018" w:rsidP="00D97018">
            <w:pPr>
              <w:widowControl w:val="0"/>
              <w:ind w:left="1418"/>
              <w:rPr>
                <w:b/>
                <w:bCs/>
                <w:snapToGrid w:val="0"/>
                <w:sz w:val="18"/>
                <w:szCs w:val="18"/>
              </w:rPr>
            </w:pPr>
            <w:r w:rsidRPr="002474CC">
              <w:rPr>
                <w:b/>
                <w:bCs/>
                <w:snapToGrid w:val="0"/>
                <w:sz w:val="18"/>
                <w:szCs w:val="18"/>
              </w:rPr>
              <w:t>Date</w:t>
            </w:r>
          </w:p>
        </w:tc>
      </w:tr>
      <w:tr w:rsidR="00D97018" w:rsidRPr="00B95096" w:rsidTr="00EF584C">
        <w:trPr>
          <w:cantSplit/>
          <w:jc w:val="center"/>
        </w:trPr>
        <w:tc>
          <w:tcPr>
            <w:tcW w:w="3544" w:type="dxa"/>
          </w:tcPr>
          <w:p w:rsidR="00D97018" w:rsidRPr="002474CC"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2474CC">
              <w:rPr>
                <w:rFonts w:ascii="Trebuchet MS" w:hAnsi="Trebuchet MS"/>
                <w:snapToGrid w:val="0"/>
                <w:sz w:val="18"/>
                <w:szCs w:val="18"/>
              </w:rPr>
              <w:t>Deadline for submission of tenderers' clarification questions</w:t>
            </w:r>
          </w:p>
        </w:tc>
        <w:tc>
          <w:tcPr>
            <w:tcW w:w="3473" w:type="dxa"/>
          </w:tcPr>
          <w:p w:rsidR="00D97018" w:rsidRPr="002474CC" w:rsidRDefault="002474CC" w:rsidP="00A11220">
            <w:pPr>
              <w:pStyle w:val="BodyText1"/>
              <w:widowControl w:val="0"/>
              <w:spacing w:before="120" w:after="120" w:line="240" w:lineRule="auto"/>
              <w:jc w:val="left"/>
              <w:rPr>
                <w:rFonts w:ascii="Trebuchet MS" w:hAnsi="Trebuchet MS"/>
                <w:snapToGrid w:val="0"/>
                <w:sz w:val="18"/>
                <w:szCs w:val="18"/>
              </w:rPr>
            </w:pPr>
            <w:r w:rsidRPr="002474CC">
              <w:rPr>
                <w:rFonts w:ascii="Trebuchet MS" w:hAnsi="Trebuchet MS"/>
                <w:snapToGrid w:val="0"/>
                <w:sz w:val="18"/>
                <w:szCs w:val="18"/>
              </w:rPr>
              <w:t>3</w:t>
            </w:r>
            <w:r>
              <w:rPr>
                <w:rFonts w:ascii="Trebuchet MS" w:hAnsi="Trebuchet MS"/>
                <w:snapToGrid w:val="0"/>
                <w:sz w:val="18"/>
                <w:szCs w:val="18"/>
                <w:vertAlign w:val="superscript"/>
              </w:rPr>
              <w:t>rd</w:t>
            </w:r>
            <w:r w:rsidR="003E0019" w:rsidRPr="002474CC">
              <w:rPr>
                <w:rFonts w:ascii="Trebuchet MS" w:hAnsi="Trebuchet MS"/>
                <w:snapToGrid w:val="0"/>
                <w:sz w:val="18"/>
                <w:szCs w:val="18"/>
              </w:rPr>
              <w:t xml:space="preserve"> </w:t>
            </w:r>
            <w:r w:rsidR="001D5C4A">
              <w:rPr>
                <w:rFonts w:ascii="Trebuchet MS" w:hAnsi="Trebuchet MS"/>
                <w:snapToGrid w:val="0"/>
                <w:sz w:val="18"/>
                <w:szCs w:val="18"/>
              </w:rPr>
              <w:t>February</w:t>
            </w:r>
            <w:r w:rsidR="00655B52" w:rsidRPr="002474CC">
              <w:rPr>
                <w:rFonts w:ascii="Trebuchet MS" w:hAnsi="Trebuchet MS"/>
                <w:snapToGrid w:val="0"/>
                <w:sz w:val="18"/>
                <w:szCs w:val="18"/>
              </w:rPr>
              <w:t xml:space="preserve"> 201</w:t>
            </w:r>
            <w:r w:rsidRPr="002474CC">
              <w:rPr>
                <w:rFonts w:ascii="Trebuchet MS" w:hAnsi="Trebuchet MS"/>
                <w:snapToGrid w:val="0"/>
                <w:sz w:val="18"/>
                <w:szCs w:val="18"/>
              </w:rPr>
              <w:t>9</w:t>
            </w:r>
          </w:p>
        </w:tc>
      </w:tr>
      <w:tr w:rsidR="00D97018" w:rsidRPr="00B95096" w:rsidTr="002474CC">
        <w:trPr>
          <w:cantSplit/>
          <w:trHeight w:val="362"/>
          <w:jc w:val="center"/>
        </w:trPr>
        <w:tc>
          <w:tcPr>
            <w:tcW w:w="3544" w:type="dxa"/>
            <w:shd w:val="clear" w:color="auto" w:fill="auto"/>
          </w:tcPr>
          <w:p w:rsidR="00D97018" w:rsidRPr="002474CC" w:rsidRDefault="00D97018" w:rsidP="00D97018">
            <w:pPr>
              <w:widowControl w:val="0"/>
              <w:rPr>
                <w:rFonts w:cs="Arial"/>
                <w:sz w:val="18"/>
                <w:szCs w:val="18"/>
              </w:rPr>
            </w:pPr>
            <w:r w:rsidRPr="002474CC">
              <w:rPr>
                <w:rFonts w:cs="Arial"/>
                <w:sz w:val="18"/>
                <w:szCs w:val="18"/>
              </w:rPr>
              <w:t>Deadline for submission of ITT</w:t>
            </w:r>
          </w:p>
        </w:tc>
        <w:tc>
          <w:tcPr>
            <w:tcW w:w="3473" w:type="dxa"/>
            <w:shd w:val="clear" w:color="auto" w:fill="auto"/>
          </w:tcPr>
          <w:p w:rsidR="00D97018" w:rsidRPr="002474CC" w:rsidRDefault="002474CC" w:rsidP="00655B52">
            <w:pPr>
              <w:pStyle w:val="BodyText1"/>
              <w:widowControl w:val="0"/>
              <w:spacing w:before="120" w:after="120" w:line="240" w:lineRule="auto"/>
              <w:jc w:val="left"/>
              <w:rPr>
                <w:rFonts w:ascii="Trebuchet MS" w:eastAsia="Calibri" w:hAnsi="Trebuchet MS" w:cs="Arial"/>
                <w:sz w:val="18"/>
                <w:szCs w:val="18"/>
              </w:rPr>
            </w:pPr>
            <w:r w:rsidRPr="002474CC">
              <w:rPr>
                <w:rFonts w:ascii="Trebuchet MS" w:eastAsia="Calibri" w:hAnsi="Trebuchet MS" w:cs="Arial"/>
                <w:sz w:val="18"/>
                <w:szCs w:val="18"/>
              </w:rPr>
              <w:t>4</w:t>
            </w:r>
            <w:r w:rsidR="003E0019" w:rsidRPr="002474CC">
              <w:rPr>
                <w:rFonts w:ascii="Trebuchet MS" w:eastAsia="Calibri" w:hAnsi="Trebuchet MS" w:cs="Arial"/>
                <w:sz w:val="18"/>
                <w:szCs w:val="18"/>
                <w:vertAlign w:val="superscript"/>
              </w:rPr>
              <w:t>th</w:t>
            </w:r>
            <w:r>
              <w:rPr>
                <w:rFonts w:ascii="Trebuchet MS" w:eastAsia="Calibri" w:hAnsi="Trebuchet MS" w:cs="Arial"/>
                <w:sz w:val="18"/>
                <w:szCs w:val="18"/>
              </w:rPr>
              <w:t xml:space="preserve"> </w:t>
            </w:r>
            <w:r w:rsidR="001D5C4A">
              <w:rPr>
                <w:rFonts w:ascii="Trebuchet MS" w:eastAsia="Calibri" w:hAnsi="Trebuchet MS" w:cs="Arial"/>
                <w:sz w:val="18"/>
                <w:szCs w:val="18"/>
              </w:rPr>
              <w:t>February</w:t>
            </w:r>
            <w:r w:rsidR="00655B52" w:rsidRPr="002474CC">
              <w:rPr>
                <w:rFonts w:ascii="Trebuchet MS" w:eastAsia="Calibri" w:hAnsi="Trebuchet MS" w:cs="Arial"/>
                <w:sz w:val="18"/>
                <w:szCs w:val="18"/>
              </w:rPr>
              <w:t xml:space="preserve"> 201</w:t>
            </w:r>
            <w:r w:rsidRPr="002474CC">
              <w:rPr>
                <w:rFonts w:ascii="Trebuchet MS" w:eastAsia="Calibri" w:hAnsi="Trebuchet MS" w:cs="Arial"/>
                <w:sz w:val="18"/>
                <w:szCs w:val="18"/>
              </w:rPr>
              <w:t>9</w:t>
            </w:r>
          </w:p>
        </w:tc>
      </w:tr>
      <w:tr w:rsidR="00D97018" w:rsidRPr="00B95096" w:rsidTr="002474CC">
        <w:trPr>
          <w:cantSplit/>
          <w:trHeight w:val="118"/>
          <w:jc w:val="center"/>
        </w:trPr>
        <w:tc>
          <w:tcPr>
            <w:tcW w:w="3544" w:type="dxa"/>
            <w:shd w:val="clear" w:color="auto" w:fill="auto"/>
          </w:tcPr>
          <w:p w:rsidR="00D97018" w:rsidRPr="002474CC" w:rsidRDefault="00D97018" w:rsidP="00EF584C">
            <w:pPr>
              <w:pStyle w:val="Footer"/>
              <w:widowControl w:val="0"/>
              <w:tabs>
                <w:tab w:val="left" w:pos="1980"/>
              </w:tabs>
              <w:rPr>
                <w:rFonts w:cs="Arial"/>
                <w:sz w:val="18"/>
                <w:szCs w:val="18"/>
              </w:rPr>
            </w:pPr>
            <w:r w:rsidRPr="002474CC">
              <w:rPr>
                <w:rFonts w:cs="Arial"/>
                <w:sz w:val="18"/>
                <w:szCs w:val="18"/>
              </w:rPr>
              <w:t xml:space="preserve">Decision to award Contract </w:t>
            </w:r>
          </w:p>
        </w:tc>
        <w:tc>
          <w:tcPr>
            <w:tcW w:w="3473" w:type="dxa"/>
            <w:shd w:val="clear" w:color="auto" w:fill="auto"/>
          </w:tcPr>
          <w:p w:rsidR="00D97018" w:rsidRPr="002474CC" w:rsidRDefault="00655B52" w:rsidP="003E0019">
            <w:pPr>
              <w:pStyle w:val="BodyText1"/>
              <w:widowControl w:val="0"/>
              <w:spacing w:before="120" w:after="120" w:line="240" w:lineRule="auto"/>
              <w:jc w:val="left"/>
              <w:rPr>
                <w:rFonts w:ascii="Trebuchet MS" w:eastAsia="Calibri" w:hAnsi="Trebuchet MS" w:cs="Arial"/>
                <w:sz w:val="18"/>
                <w:szCs w:val="18"/>
              </w:rPr>
            </w:pPr>
            <w:r w:rsidRPr="002474CC">
              <w:rPr>
                <w:rFonts w:ascii="Trebuchet MS" w:eastAsia="Calibri" w:hAnsi="Trebuchet MS" w:cs="Arial"/>
                <w:sz w:val="18"/>
                <w:szCs w:val="18"/>
              </w:rPr>
              <w:t xml:space="preserve">Before end of </w:t>
            </w:r>
            <w:r w:rsidR="001D5C4A">
              <w:rPr>
                <w:rFonts w:ascii="Trebuchet MS" w:eastAsia="Calibri" w:hAnsi="Trebuchet MS" w:cs="Arial"/>
                <w:sz w:val="18"/>
                <w:szCs w:val="18"/>
              </w:rPr>
              <w:t>February</w:t>
            </w:r>
            <w:r w:rsidR="003E0019" w:rsidRPr="002474CC">
              <w:rPr>
                <w:rFonts w:ascii="Trebuchet MS" w:eastAsia="Calibri" w:hAnsi="Trebuchet MS" w:cs="Arial"/>
                <w:sz w:val="18"/>
                <w:szCs w:val="18"/>
              </w:rPr>
              <w:t xml:space="preserve"> </w:t>
            </w:r>
            <w:r w:rsidRPr="002474CC">
              <w:rPr>
                <w:rFonts w:ascii="Trebuchet MS" w:eastAsia="Calibri" w:hAnsi="Trebuchet MS" w:cs="Arial"/>
                <w:sz w:val="18"/>
                <w:szCs w:val="18"/>
              </w:rPr>
              <w:t>201</w:t>
            </w:r>
            <w:r w:rsidR="002474CC" w:rsidRPr="002474CC">
              <w:rPr>
                <w:rFonts w:ascii="Trebuchet MS" w:eastAsia="Calibri" w:hAnsi="Trebuchet MS" w:cs="Arial"/>
                <w:sz w:val="18"/>
                <w:szCs w:val="18"/>
              </w:rPr>
              <w:t>9</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 xml:space="preserve">If Candidates require clarification of any issues raised by this Invitation to Tender or have requests for further information, they should submit requests to the authorised contact for this tender, </w:t>
      </w:r>
      <w:r w:rsidR="007E36AA">
        <w:rPr>
          <w:rFonts w:cs="Arial"/>
          <w:sz w:val="18"/>
          <w:szCs w:val="18"/>
        </w:rPr>
        <w:t>Nicole Hodges</w:t>
      </w:r>
      <w:r w:rsidRPr="00B95096">
        <w:rPr>
          <w:rFonts w:cs="Arial"/>
          <w:sz w:val="18"/>
          <w:szCs w:val="18"/>
        </w:rPr>
        <w:t>, whose contact details are as follows:</w:t>
      </w:r>
    </w:p>
    <w:p w:rsidR="00D97018" w:rsidRDefault="00825D6A" w:rsidP="00D97018">
      <w:pPr>
        <w:widowControl w:val="0"/>
        <w:ind w:left="2694" w:hanging="1080"/>
        <w:rPr>
          <w:rFonts w:cs="Arial"/>
          <w:sz w:val="18"/>
          <w:szCs w:val="18"/>
        </w:rPr>
      </w:pPr>
      <w:r>
        <w:rPr>
          <w:rFonts w:cs="Arial"/>
          <w:sz w:val="18"/>
          <w:szCs w:val="18"/>
        </w:rPr>
        <w:t>Nicole Hodges</w:t>
      </w:r>
      <w:r w:rsidR="007E36AA">
        <w:rPr>
          <w:rFonts w:cs="Arial"/>
          <w:sz w:val="18"/>
          <w:szCs w:val="18"/>
        </w:rPr>
        <w:t>/ Rikesh Patel</w:t>
      </w:r>
    </w:p>
    <w:p w:rsidR="00A11220" w:rsidRPr="00B95096" w:rsidRDefault="00A11220" w:rsidP="00A11220">
      <w:pPr>
        <w:widowControl w:val="0"/>
        <w:ind w:left="2694" w:hanging="1080"/>
        <w:rPr>
          <w:rFonts w:cs="Arial"/>
          <w:sz w:val="18"/>
          <w:szCs w:val="18"/>
        </w:rPr>
      </w:pPr>
      <w:r w:rsidRPr="00B95096">
        <w:rPr>
          <w:rFonts w:cs="Arial"/>
          <w:sz w:val="18"/>
          <w:szCs w:val="18"/>
        </w:rPr>
        <w:t>e-mail:</w:t>
      </w:r>
      <w:r w:rsidRPr="00B95096">
        <w:rPr>
          <w:rFonts w:cs="Arial"/>
          <w:sz w:val="18"/>
          <w:szCs w:val="18"/>
        </w:rPr>
        <w:tab/>
      </w:r>
      <w:hyperlink r:id="rId14" w:history="1">
        <w:r w:rsidR="003E0019" w:rsidRPr="00E902AF">
          <w:rPr>
            <w:rStyle w:val="Hyperlink"/>
            <w:rFonts w:cs="Arial"/>
            <w:sz w:val="18"/>
            <w:szCs w:val="18"/>
          </w:rPr>
          <w:t>nhodges@arlingclose.com</w:t>
        </w:r>
      </w:hyperlink>
      <w:r w:rsidR="007E36AA">
        <w:rPr>
          <w:rStyle w:val="Hyperlink"/>
          <w:rFonts w:cs="Arial"/>
          <w:sz w:val="18"/>
          <w:szCs w:val="18"/>
        </w:rPr>
        <w:t xml:space="preserve">; </w:t>
      </w:r>
      <w:r w:rsidR="003E0019">
        <w:rPr>
          <w:rFonts w:cs="Arial"/>
          <w:sz w:val="18"/>
          <w:szCs w:val="18"/>
        </w:rPr>
        <w:t xml:space="preserve"> </w:t>
      </w:r>
      <w:hyperlink r:id="rId15" w:history="1">
        <w:r w:rsidR="007E36AA" w:rsidRPr="007E36AA">
          <w:rPr>
            <w:rStyle w:val="Hyperlink"/>
            <w:rFonts w:cs="Arial"/>
            <w:sz w:val="18"/>
            <w:szCs w:val="18"/>
          </w:rPr>
          <w:t>rpatel@arlingclose.com</w:t>
        </w:r>
      </w:hyperlink>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3E0019"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3E0019"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p>
    <w:p w:rsidR="00D97018" w:rsidRPr="002474CC" w:rsidRDefault="00D97018" w:rsidP="00D97018">
      <w:pPr>
        <w:widowControl w:val="0"/>
        <w:ind w:left="1080" w:hanging="1080"/>
        <w:rPr>
          <w:rFonts w:cs="Arial"/>
          <w:sz w:val="18"/>
          <w:szCs w:val="18"/>
        </w:rPr>
      </w:pPr>
      <w:r w:rsidRPr="00B95096">
        <w:rPr>
          <w:rFonts w:cs="Arial"/>
          <w:sz w:val="18"/>
          <w:szCs w:val="18"/>
        </w:rPr>
        <w:lastRenderedPageBreak/>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Any un</w:t>
      </w:r>
      <w:r w:rsidRPr="002474CC">
        <w:rPr>
          <w:rFonts w:cs="Arial"/>
          <w:sz w:val="18"/>
          <w:szCs w:val="18"/>
        </w:rPr>
        <w:t>-solicited attempts to contact the Authority by phone or in person may result in your tender not being considered.</w:t>
      </w:r>
    </w:p>
    <w:p w:rsidR="00D97018" w:rsidRPr="002474CC" w:rsidRDefault="00D97018" w:rsidP="00D97018">
      <w:pPr>
        <w:widowControl w:val="0"/>
        <w:ind w:left="1080" w:hanging="1080"/>
        <w:rPr>
          <w:rFonts w:cs="Arial"/>
          <w:sz w:val="18"/>
          <w:szCs w:val="18"/>
        </w:rPr>
      </w:pPr>
      <w:r w:rsidRPr="002474CC">
        <w:rPr>
          <w:rFonts w:cs="Arial"/>
          <w:sz w:val="18"/>
          <w:szCs w:val="18"/>
        </w:rPr>
        <w:t>2.4.3</w:t>
      </w:r>
      <w:r w:rsidRPr="002474CC">
        <w:rPr>
          <w:rFonts w:cs="Arial"/>
          <w:sz w:val="18"/>
          <w:szCs w:val="18"/>
        </w:rPr>
        <w:tab/>
        <w:t xml:space="preserve">All requests for clarification must be received </w:t>
      </w:r>
      <w:r w:rsidR="00514E36" w:rsidRPr="002474CC">
        <w:rPr>
          <w:rFonts w:cs="Arial"/>
          <w:sz w:val="18"/>
          <w:szCs w:val="18"/>
        </w:rPr>
        <w:t>by 5</w:t>
      </w:r>
      <w:r w:rsidR="005F6C78" w:rsidRPr="002474CC">
        <w:rPr>
          <w:rFonts w:cs="Arial"/>
          <w:sz w:val="18"/>
          <w:szCs w:val="18"/>
        </w:rPr>
        <w:t>.00pm on 3</w:t>
      </w:r>
      <w:r w:rsidR="002474CC" w:rsidRPr="002474CC">
        <w:rPr>
          <w:rFonts w:cs="Arial"/>
          <w:sz w:val="18"/>
          <w:szCs w:val="18"/>
          <w:vertAlign w:val="superscript"/>
        </w:rPr>
        <w:t>rd</w:t>
      </w:r>
      <w:r w:rsidR="002474CC" w:rsidRPr="002474CC">
        <w:rPr>
          <w:rFonts w:cs="Arial"/>
          <w:sz w:val="18"/>
          <w:szCs w:val="18"/>
        </w:rPr>
        <w:t xml:space="preserve"> </w:t>
      </w:r>
      <w:r w:rsidR="001D5C4A">
        <w:rPr>
          <w:rFonts w:cs="Arial"/>
          <w:sz w:val="18"/>
          <w:szCs w:val="18"/>
        </w:rPr>
        <w:t>February</w:t>
      </w:r>
      <w:r w:rsidR="005F6C78" w:rsidRPr="002474CC">
        <w:rPr>
          <w:rFonts w:cs="Arial"/>
          <w:sz w:val="18"/>
          <w:szCs w:val="18"/>
        </w:rPr>
        <w:t xml:space="preserve"> </w:t>
      </w:r>
      <w:r w:rsidR="00655B52" w:rsidRPr="002474CC">
        <w:rPr>
          <w:rFonts w:cs="Arial"/>
          <w:sz w:val="18"/>
          <w:szCs w:val="18"/>
        </w:rPr>
        <w:t>201</w:t>
      </w:r>
      <w:r w:rsidR="002474CC" w:rsidRPr="002474CC">
        <w:rPr>
          <w:rFonts w:cs="Arial"/>
          <w:sz w:val="18"/>
          <w:szCs w:val="18"/>
        </w:rPr>
        <w:t>9</w:t>
      </w:r>
      <w:r w:rsidR="0063564E" w:rsidRPr="002474CC">
        <w:rPr>
          <w:rFonts w:cs="Arial"/>
          <w:sz w:val="18"/>
          <w:szCs w:val="18"/>
        </w:rPr>
        <w:t>.</w:t>
      </w:r>
      <w:r w:rsidRPr="002474CC">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2474CC">
        <w:rPr>
          <w:rFonts w:cs="Arial"/>
          <w:sz w:val="18"/>
          <w:szCs w:val="18"/>
        </w:rPr>
        <w:t>2.4.4</w:t>
      </w:r>
      <w:r w:rsidRPr="002474CC">
        <w:rPr>
          <w:rFonts w:cs="Arial"/>
          <w:sz w:val="18"/>
          <w:szCs w:val="18"/>
        </w:rPr>
        <w:tab/>
        <w:t>The Authority reserves the right to circulate a copy of any question and its</w:t>
      </w:r>
      <w:r w:rsidRPr="00B95096">
        <w:rPr>
          <w:rFonts w:cs="Arial"/>
          <w:sz w:val="18"/>
          <w:szCs w:val="18"/>
        </w:rPr>
        <w:t xml:space="preserve">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1" w:name="_Toc515801626"/>
      <w:r w:rsidRPr="00B95096">
        <w:rPr>
          <w:rFonts w:cs="Arial"/>
          <w:b/>
          <w:bCs/>
          <w:sz w:val="18"/>
          <w:szCs w:val="18"/>
        </w:rPr>
        <w:t>Terms and conditions</w:t>
      </w:r>
      <w:bookmarkEnd w:id="1"/>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2" w:name="_Toc515801627"/>
      <w:bookmarkStart w:id="3" w:name="_Toc515806896"/>
      <w:bookmarkStart w:id="4" w:name="_Toc515807686"/>
      <w:r w:rsidRPr="00B95096">
        <w:rPr>
          <w:rFonts w:cs="Arial"/>
          <w:b/>
          <w:bCs/>
          <w:sz w:val="18"/>
          <w:szCs w:val="18"/>
        </w:rPr>
        <w:t>3.2</w:t>
      </w:r>
      <w:r w:rsidRPr="00B95096">
        <w:rPr>
          <w:rFonts w:cs="Arial"/>
          <w:b/>
          <w:bCs/>
          <w:sz w:val="18"/>
          <w:szCs w:val="18"/>
        </w:rPr>
        <w:tab/>
        <w:t>Preparation of tender</w:t>
      </w:r>
      <w:bookmarkEnd w:id="2"/>
      <w:bookmarkEnd w:id="3"/>
      <w:bookmarkEnd w:id="4"/>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w:t>
      </w:r>
      <w:proofErr w:type="gramStart"/>
      <w:r w:rsidRPr="00B95096">
        <w:rPr>
          <w:rFonts w:cs="Arial"/>
          <w:sz w:val="18"/>
          <w:szCs w:val="18"/>
        </w:rPr>
        <w:t>Non Canvassing</w:t>
      </w:r>
      <w:proofErr w:type="gramEnd"/>
      <w:r w:rsidRPr="00B95096">
        <w:rPr>
          <w:rFonts w:cs="Arial"/>
          <w:sz w:val="18"/>
          <w:szCs w:val="18"/>
        </w:rPr>
        <w:t xml:space="preserve"> Certificate enclosed with this Invitation To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t>fixes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t>enters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t xml:space="preserve">shall (without prejudice to any other civil remedies available to the Authority and without prejudice to any criminal liability which such conduct by </w:t>
      </w:r>
      <w:proofErr w:type="gramStart"/>
      <w:r w:rsidRPr="00B95096">
        <w:rPr>
          <w:rFonts w:cs="Arial"/>
          <w:sz w:val="18"/>
          <w:szCs w:val="18"/>
        </w:rPr>
        <w:t>a  may</w:t>
      </w:r>
      <w:proofErr w:type="gramEnd"/>
      <w:r w:rsidRPr="00B95096">
        <w:rPr>
          <w:rFonts w:cs="Arial"/>
          <w:sz w:val="18"/>
          <w:szCs w:val="18"/>
        </w:rPr>
        <w:t xml:space="preserve">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(a)</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3E0019" w:rsidRPr="003E0019">
        <w:rPr>
          <w:rFonts w:cs="Arial"/>
          <w:sz w:val="18"/>
          <w:szCs w:val="18"/>
        </w:rPr>
        <w:t>£</w:t>
      </w:r>
      <w:r w:rsidR="007E36AA" w:rsidRPr="005737DE">
        <w:rPr>
          <w:sz w:val="18"/>
        </w:rPr>
        <w:t>478,134</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2474CC"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 xml:space="preserve">Drawdown </w:t>
      </w:r>
      <w:r w:rsidRPr="002474CC">
        <w:rPr>
          <w:rFonts w:cs="Arial"/>
          <w:b/>
          <w:bCs/>
          <w:sz w:val="18"/>
          <w:szCs w:val="18"/>
        </w:rPr>
        <w:t>Date</w:t>
      </w:r>
    </w:p>
    <w:p w:rsidR="00D97018" w:rsidRPr="00B95096" w:rsidRDefault="00121E6F" w:rsidP="008F68B1">
      <w:pPr>
        <w:keepNext/>
        <w:keepLines/>
        <w:ind w:left="1080" w:hanging="1080"/>
        <w:rPr>
          <w:rFonts w:cs="Arial"/>
          <w:sz w:val="18"/>
          <w:szCs w:val="18"/>
        </w:rPr>
      </w:pPr>
      <w:r w:rsidRPr="002474CC">
        <w:rPr>
          <w:rFonts w:cs="Arial"/>
          <w:sz w:val="18"/>
          <w:szCs w:val="18"/>
        </w:rPr>
        <w:t>5.5.1</w:t>
      </w:r>
      <w:r w:rsidRPr="002474CC">
        <w:rPr>
          <w:rFonts w:cs="Arial"/>
          <w:sz w:val="18"/>
          <w:szCs w:val="18"/>
        </w:rPr>
        <w:tab/>
      </w:r>
      <w:r w:rsidR="00655B52" w:rsidRPr="002474CC">
        <w:rPr>
          <w:rFonts w:cs="Arial"/>
          <w:sz w:val="18"/>
          <w:szCs w:val="18"/>
        </w:rPr>
        <w:t xml:space="preserve">Before the end of </w:t>
      </w:r>
      <w:r w:rsidR="001D5C4A">
        <w:rPr>
          <w:rFonts w:cs="Arial"/>
          <w:sz w:val="18"/>
          <w:szCs w:val="18"/>
        </w:rPr>
        <w:t>February</w:t>
      </w:r>
      <w:r w:rsidR="002474CC" w:rsidRPr="002474CC">
        <w:rPr>
          <w:rFonts w:cs="Arial"/>
          <w:sz w:val="18"/>
          <w:szCs w:val="18"/>
        </w:rPr>
        <w:t xml:space="preserve"> 2019</w:t>
      </w:r>
      <w:r w:rsidR="00655B52" w:rsidRPr="002474CC">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BF698A" w:rsidRDefault="00121E6F" w:rsidP="00FB6F92">
      <w:pPr>
        <w:keepNext/>
        <w:keepLines/>
        <w:ind w:left="1080" w:hanging="1080"/>
        <w:rPr>
          <w:rFonts w:cs="Arial"/>
          <w:sz w:val="18"/>
          <w:szCs w:val="18"/>
        </w:rPr>
      </w:pPr>
      <w:r>
        <w:rPr>
          <w:rFonts w:cs="Arial"/>
          <w:sz w:val="18"/>
          <w:szCs w:val="18"/>
        </w:rPr>
        <w:lastRenderedPageBreak/>
        <w:t>5.6.1</w:t>
      </w:r>
      <w:r>
        <w:rPr>
          <w:rFonts w:cs="Arial"/>
          <w:sz w:val="18"/>
          <w:szCs w:val="18"/>
        </w:rPr>
        <w:tab/>
      </w:r>
      <w:r w:rsidR="00266652">
        <w:rPr>
          <w:rFonts w:cs="Arial"/>
          <w:sz w:val="18"/>
          <w:szCs w:val="18"/>
        </w:rPr>
        <w:t xml:space="preserve">Bids for </w:t>
      </w:r>
      <w:bookmarkStart w:id="5" w:name="_GoBack"/>
      <w:bookmarkEnd w:id="5"/>
      <w:r w:rsidR="00655B52">
        <w:rPr>
          <w:rFonts w:cs="Arial"/>
          <w:sz w:val="18"/>
          <w:szCs w:val="18"/>
        </w:rPr>
        <w:t>5</w:t>
      </w:r>
      <w:r w:rsidR="00266652">
        <w:rPr>
          <w:rFonts w:cs="Arial"/>
          <w:sz w:val="18"/>
          <w:szCs w:val="18"/>
        </w:rPr>
        <w:t xml:space="preserve"> and 7</w:t>
      </w:r>
      <w:r w:rsidR="00655B52">
        <w:rPr>
          <w:rFonts w:cs="Arial"/>
          <w:sz w:val="18"/>
          <w:szCs w:val="18"/>
        </w:rPr>
        <w:t xml:space="preserve"> years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655B52" w:rsidRDefault="00655B52"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655B52" w:rsidP="00B03231">
            <w:pPr>
              <w:keepNext/>
              <w:keepLines/>
              <w:rPr>
                <w:rFonts w:cs="Arial"/>
                <w:sz w:val="18"/>
                <w:szCs w:val="18"/>
              </w:rPr>
            </w:pPr>
            <w:r>
              <w:rPr>
                <w:rFonts w:cs="Arial"/>
                <w:sz w:val="18"/>
                <w:szCs w:val="18"/>
              </w:rPr>
              <w:t>N/A.</w:t>
            </w: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In a state of bankruptcy, insolvency, compulsory winding up, administration, receivership, composition with creditors or subject to Relevant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money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Do you have a company Health &amp; Safety Policy which includes statement, organisation for carrying out the policy - i.e. division of duties, delegation of responsibilities, structure chart etc and the arrangements for carrying out the policy.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Accordingly, is it your practice not to treat one person less favourably than another because of colour, race, nationality, ethnic origin, sex, age,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youth owned (a young person is defined as a person aged between 18-30)?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 CANVASSING</w:t>
      </w:r>
      <w:proofErr w:type="gramEnd"/>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proofErr w:type="gramStart"/>
      <w:r w:rsidRPr="00B95096">
        <w:rPr>
          <w:rFonts w:cs="Arial"/>
          <w:sz w:val="18"/>
          <w:szCs w:val="18"/>
        </w:rPr>
        <w:t>Signed:..........................................................................................................</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r>
      <w:proofErr w:type="gramStart"/>
      <w:r w:rsidRPr="00B95096">
        <w:rPr>
          <w:rFonts w:cs="Arial"/>
          <w:sz w:val="18"/>
          <w:szCs w:val="18"/>
        </w:rPr>
        <w:t>Signed:..........................................................................................................</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t xml:space="preserve">communicate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t>enter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r>
      <w:proofErr w:type="gramStart"/>
      <w:r w:rsidRPr="00776455">
        <w:rPr>
          <w:rFonts w:cs="Arial"/>
          <w:sz w:val="18"/>
          <w:szCs w:val="18"/>
        </w:rPr>
        <w:t>Signed:..........................................................................</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Position:.....................................................................................................</w:t>
      </w:r>
      <w:proofErr w:type="gramEnd"/>
      <w:r w:rsidRPr="00B95096">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 xml:space="preserve">On behalf </w:t>
      </w:r>
      <w:proofErr w:type="gramStart"/>
      <w:r w:rsidRPr="00B95096">
        <w:rPr>
          <w:rFonts w:cs="Arial"/>
          <w:sz w:val="18"/>
          <w:szCs w:val="18"/>
        </w:rPr>
        <w:t>of:.................................................................................................</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proofErr w:type="gramStart"/>
      <w:r w:rsidRPr="00B95096">
        <w:rPr>
          <w:rFonts w:cs="Arial"/>
          <w:sz w:val="18"/>
          <w:szCs w:val="18"/>
        </w:rPr>
        <w:t>Date:.............................................................................................................</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6"/>
      <w:footerReference w:type="default" r:id="rId17"/>
      <w:footerReference w:type="first" r:id="rId18"/>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1BDE" w:rsidRDefault="00131BDE" w:rsidP="004F2143">
      <w:pPr>
        <w:spacing w:after="0" w:line="240" w:lineRule="auto"/>
      </w:pPr>
      <w:r>
        <w:separator/>
      </w:r>
    </w:p>
  </w:endnote>
  <w:endnote w:type="continuationSeparator" w:id="0">
    <w:p w:rsidR="00131BDE" w:rsidRDefault="00131BDE"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DE" w:rsidRDefault="00131BDE"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77C9448"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t xml:space="preserve"> </w:t>
    </w:r>
    <w:r>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41DD914"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131BDE" w:rsidRPr="00686732" w:rsidRDefault="00131BDE">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131BDE" w:rsidRPr="00BD5DF1" w:rsidRDefault="00131BDE"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131BDE" w:rsidRPr="00BD5DF1" w:rsidRDefault="00131BDE"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131BDE" w:rsidRPr="00BD5DF1" w:rsidRDefault="00131BDE"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131BDE" w:rsidRPr="00BD5DF1" w:rsidRDefault="00131BDE" w:rsidP="003C685C">
                    <w:pPr>
                      <w:spacing w:after="0" w:line="360" w:lineRule="auto"/>
                      <w:rPr>
                        <w:sz w:val="16"/>
                      </w:rPr>
                    </w:pPr>
                    <w:r>
                      <w:rPr>
                        <w:sz w:val="16"/>
                      </w:rPr>
                      <w:t>Confidential - not for disclosure to third parties</w:t>
                    </w:r>
                  </w:p>
                </w:txbxContent>
              </v:textbox>
            </v:shape>
          </w:pict>
        </mc:Fallback>
      </mc:AlternateContent>
    </w:r>
    <w:r w:rsidRPr="00686732">
      <w:rPr>
        <w:sz w:val="72"/>
      </w:rPr>
      <w:fldChar w:fldCharType="begin"/>
    </w:r>
    <w:r w:rsidRPr="00686732">
      <w:rPr>
        <w:sz w:val="72"/>
      </w:rPr>
      <w:instrText xml:space="preserve"> PAGE   \* MERGEFORMAT </w:instrText>
    </w:r>
    <w:r w:rsidRPr="00686732">
      <w:rPr>
        <w:sz w:val="72"/>
      </w:rPr>
      <w:fldChar w:fldCharType="separate"/>
    </w:r>
    <w:r>
      <w:rPr>
        <w:noProof/>
        <w:sz w:val="72"/>
      </w:rPr>
      <w:t>20</w:t>
    </w:r>
    <w:r w:rsidRPr="00686732">
      <w:rPr>
        <w:sz w:val="72"/>
      </w:rPr>
      <w:fldChar w:fldCharType="end"/>
    </w:r>
  </w:p>
  <w:p w:rsidR="00131BDE" w:rsidRDefault="00131B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DE" w:rsidRDefault="00131BDE" w:rsidP="00E54CD6">
    <w:pPr>
      <w:pStyle w:val="Footer"/>
      <w:tabs>
        <w:tab w:val="clear" w:pos="9026"/>
        <w:tab w:val="right" w:pos="9356"/>
      </w:tabs>
      <w:ind w:right="-23"/>
    </w:pPr>
    <w:r>
      <w:rPr>
        <w:noProof/>
        <w:lang w:eastAsia="en-GB"/>
      </w:rPr>
      <w:t xml:space="preserve"> </w:t>
    </w:r>
    <w:r>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84BC531"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C75BB6C"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131BDE" w:rsidRDefault="00131BDE">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131BDE" w:rsidRPr="00DC2982" w:rsidRDefault="00131BDE" w:rsidP="00D8583C">
                          <w:pPr>
                            <w:spacing w:after="0" w:line="360" w:lineRule="auto"/>
                            <w:rPr>
                              <w:sz w:val="16"/>
                            </w:rPr>
                          </w:pPr>
                          <w:r w:rsidRPr="00DC2982">
                            <w:rPr>
                              <w:sz w:val="16"/>
                            </w:rPr>
                            <w:t xml:space="preserve">60 Moorgate London EC2R 6EL </w:t>
                          </w:r>
                        </w:p>
                        <w:p w:rsidR="00131BDE" w:rsidRPr="004F2143" w:rsidRDefault="00131BDE" w:rsidP="00D8583C">
                          <w:pPr>
                            <w:spacing w:after="0" w:line="360" w:lineRule="auto"/>
                            <w:rPr>
                              <w:sz w:val="16"/>
                            </w:rPr>
                          </w:pPr>
                          <w:r w:rsidRPr="004F2143">
                            <w:rPr>
                              <w:sz w:val="16"/>
                            </w:rPr>
                            <w:t xml:space="preserve">Tel +44(0)8448 808 200 </w:t>
                          </w:r>
                        </w:p>
                        <w:p w:rsidR="00131BDE" w:rsidRPr="004F2143" w:rsidRDefault="00131BDE" w:rsidP="00D8583C">
                          <w:pPr>
                            <w:spacing w:after="0" w:line="360" w:lineRule="auto"/>
                            <w:rPr>
                              <w:sz w:val="16"/>
                            </w:rPr>
                          </w:pPr>
                          <w:r w:rsidRPr="004F2143">
                            <w:rPr>
                              <w:sz w:val="16"/>
                            </w:rPr>
                            <w:t xml:space="preserve">Fax +44(0)8448 808 205 </w:t>
                          </w:r>
                        </w:p>
                        <w:p w:rsidR="00131BDE" w:rsidRPr="004F2143" w:rsidRDefault="00131BDE" w:rsidP="00D8583C">
                          <w:pPr>
                            <w:spacing w:after="0" w:line="360" w:lineRule="auto"/>
                            <w:rPr>
                              <w:sz w:val="16"/>
                            </w:rPr>
                          </w:pPr>
                          <w:r w:rsidRPr="004F2143">
                            <w:rPr>
                              <w:sz w:val="16"/>
                            </w:rPr>
                            <w:t>www.arlingclose.com</w:t>
                          </w:r>
                        </w:p>
                        <w:p w:rsidR="00131BDE" w:rsidRDefault="00131BDE"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131BDE" w:rsidRPr="00DC2982" w:rsidRDefault="00131BDE" w:rsidP="00D8583C">
                    <w:pPr>
                      <w:spacing w:after="0" w:line="360" w:lineRule="auto"/>
                      <w:rPr>
                        <w:sz w:val="16"/>
                      </w:rPr>
                    </w:pPr>
                    <w:r w:rsidRPr="00DC2982">
                      <w:rPr>
                        <w:sz w:val="16"/>
                      </w:rPr>
                      <w:t xml:space="preserve">60 Moorgate London EC2R 6EL </w:t>
                    </w:r>
                  </w:p>
                  <w:p w:rsidR="00131BDE" w:rsidRPr="004F2143" w:rsidRDefault="00131BDE" w:rsidP="00D8583C">
                    <w:pPr>
                      <w:spacing w:after="0" w:line="360" w:lineRule="auto"/>
                      <w:rPr>
                        <w:sz w:val="16"/>
                      </w:rPr>
                    </w:pPr>
                    <w:r w:rsidRPr="004F2143">
                      <w:rPr>
                        <w:sz w:val="16"/>
                      </w:rPr>
                      <w:t xml:space="preserve">Tel +44(0)8448 808 200 </w:t>
                    </w:r>
                  </w:p>
                  <w:p w:rsidR="00131BDE" w:rsidRPr="004F2143" w:rsidRDefault="00131BDE" w:rsidP="00D8583C">
                    <w:pPr>
                      <w:spacing w:after="0" w:line="360" w:lineRule="auto"/>
                      <w:rPr>
                        <w:sz w:val="16"/>
                      </w:rPr>
                    </w:pPr>
                    <w:r w:rsidRPr="004F2143">
                      <w:rPr>
                        <w:sz w:val="16"/>
                      </w:rPr>
                      <w:t xml:space="preserve">Fax +44(0)8448 808 205 </w:t>
                    </w:r>
                  </w:p>
                  <w:p w:rsidR="00131BDE" w:rsidRPr="004F2143" w:rsidRDefault="00131BDE" w:rsidP="00D8583C">
                    <w:pPr>
                      <w:spacing w:after="0" w:line="360" w:lineRule="auto"/>
                      <w:rPr>
                        <w:sz w:val="16"/>
                      </w:rPr>
                    </w:pPr>
                    <w:r w:rsidRPr="004F2143">
                      <w:rPr>
                        <w:sz w:val="16"/>
                      </w:rPr>
                      <w:t>www.arlingclose.com</w:t>
                    </w:r>
                  </w:p>
                  <w:p w:rsidR="00131BDE" w:rsidRDefault="00131BDE"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131BDE" w:rsidRPr="00BD5DF1" w:rsidRDefault="00131BDE" w:rsidP="00686732">
                          <w:pPr>
                            <w:spacing w:after="0" w:line="360" w:lineRule="auto"/>
                            <w:rPr>
                              <w:sz w:val="16"/>
                            </w:rPr>
                          </w:pPr>
                          <w:r w:rsidRPr="00BD5DF1">
                            <w:rPr>
                              <w:sz w:val="16"/>
                            </w:rPr>
                            <w:t>Registered Office Barclays Bank Chambers Stratford-upon-Avon CV37 6AH</w:t>
                          </w:r>
                        </w:p>
                        <w:p w:rsidR="00131BDE" w:rsidRPr="00BD5DF1" w:rsidRDefault="00131BDE" w:rsidP="00686732">
                          <w:pPr>
                            <w:spacing w:after="0" w:line="360" w:lineRule="auto"/>
                            <w:rPr>
                              <w:sz w:val="16"/>
                            </w:rPr>
                          </w:pPr>
                          <w:r w:rsidRPr="00BD5DF1">
                            <w:rPr>
                              <w:sz w:val="16"/>
                            </w:rPr>
                            <w:t>Registered in England No 2853836</w:t>
                          </w:r>
                        </w:p>
                        <w:p w:rsidR="00131BDE" w:rsidRPr="00BD5DF1" w:rsidRDefault="00131BDE"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131BDE" w:rsidRPr="00BD5DF1" w:rsidRDefault="00131BDE"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131BDE" w:rsidRPr="00BD5DF1" w:rsidRDefault="00131BDE" w:rsidP="00686732">
                    <w:pPr>
                      <w:spacing w:after="0" w:line="360" w:lineRule="auto"/>
                      <w:rPr>
                        <w:sz w:val="16"/>
                      </w:rPr>
                    </w:pPr>
                    <w:r w:rsidRPr="00BD5DF1">
                      <w:rPr>
                        <w:sz w:val="16"/>
                      </w:rPr>
                      <w:t>Registered Office Barclays Bank Chambers Stratford-upon-Avon CV37 6AH</w:t>
                    </w:r>
                  </w:p>
                  <w:p w:rsidR="00131BDE" w:rsidRPr="00BD5DF1" w:rsidRDefault="00131BDE" w:rsidP="00686732">
                    <w:pPr>
                      <w:spacing w:after="0" w:line="360" w:lineRule="auto"/>
                      <w:rPr>
                        <w:sz w:val="16"/>
                      </w:rPr>
                    </w:pPr>
                    <w:r w:rsidRPr="00BD5DF1">
                      <w:rPr>
                        <w:sz w:val="16"/>
                      </w:rPr>
                      <w:t>Registered in England No 2853836</w:t>
                    </w:r>
                  </w:p>
                  <w:p w:rsidR="00131BDE" w:rsidRPr="00BD5DF1" w:rsidRDefault="00131BDE"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131BDE" w:rsidRPr="00BD5DF1" w:rsidRDefault="00131BDE" w:rsidP="00686732">
                    <w:pPr>
                      <w:spacing w:after="0" w:line="360" w:lineRule="auto"/>
                      <w:rPr>
                        <w:sz w:val="16"/>
                      </w:rPr>
                    </w:pPr>
                    <w:r w:rsidRPr="00BD5DF1">
                      <w:rPr>
                        <w:sz w:val="16"/>
                      </w:rPr>
                      <w:t>Arlingclose Limited provides independent advice</w:t>
                    </w:r>
                  </w:p>
                </w:txbxContent>
              </v:textbox>
            </v:shape>
          </w:pict>
        </mc:Fallback>
      </mc:AlternateContent>
    </w:r>
  </w:p>
  <w:p w:rsidR="00131BDE" w:rsidRDefault="00131BDE">
    <w:pPr>
      <w:pStyle w:val="Footer"/>
    </w:pPr>
    <w:r>
      <w:t xml:space="preserve">  </w:t>
    </w:r>
  </w:p>
  <w:p w:rsidR="00131BDE" w:rsidRDefault="00131BDE">
    <w:pPr>
      <w:pStyle w:val="Footer"/>
    </w:pPr>
  </w:p>
  <w:p w:rsidR="00131BDE" w:rsidRDefault="00131BDE">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131BDE" w:rsidRPr="00DC2982" w:rsidRDefault="00131BDE" w:rsidP="00D8583C">
                          <w:pPr>
                            <w:spacing w:after="0" w:line="360" w:lineRule="auto"/>
                            <w:rPr>
                              <w:sz w:val="16"/>
                            </w:rPr>
                          </w:pPr>
                          <w:r w:rsidRPr="00DC2982">
                            <w:rPr>
                              <w:sz w:val="16"/>
                            </w:rPr>
                            <w:t xml:space="preserve">60 Moorgate London EC2R 6EL </w:t>
                          </w:r>
                        </w:p>
                        <w:p w:rsidR="00131BDE" w:rsidRPr="004F2143" w:rsidRDefault="00131BDE" w:rsidP="00D8583C">
                          <w:pPr>
                            <w:spacing w:after="0" w:line="360" w:lineRule="auto"/>
                            <w:rPr>
                              <w:sz w:val="16"/>
                            </w:rPr>
                          </w:pPr>
                          <w:r w:rsidRPr="004F2143">
                            <w:rPr>
                              <w:sz w:val="16"/>
                            </w:rPr>
                            <w:t xml:space="preserve">Tel +44(0)8448 808 200 </w:t>
                          </w:r>
                        </w:p>
                        <w:p w:rsidR="00131BDE" w:rsidRPr="004F2143" w:rsidRDefault="00131BDE" w:rsidP="00D8583C">
                          <w:pPr>
                            <w:spacing w:after="0" w:line="360" w:lineRule="auto"/>
                            <w:rPr>
                              <w:sz w:val="16"/>
                            </w:rPr>
                          </w:pPr>
                          <w:r w:rsidRPr="004F2143">
                            <w:rPr>
                              <w:sz w:val="16"/>
                            </w:rPr>
                            <w:t xml:space="preserve">Fax +44(0)8448 808 205 </w:t>
                          </w:r>
                        </w:p>
                        <w:p w:rsidR="00131BDE" w:rsidRPr="004F2143" w:rsidRDefault="00131BDE" w:rsidP="00D8583C">
                          <w:pPr>
                            <w:spacing w:after="0" w:line="360" w:lineRule="auto"/>
                            <w:rPr>
                              <w:sz w:val="16"/>
                            </w:rPr>
                          </w:pPr>
                          <w:r w:rsidRPr="004F2143">
                            <w:rPr>
                              <w:sz w:val="16"/>
                            </w:rPr>
                            <w:t>www.arlingclose.com</w:t>
                          </w:r>
                        </w:p>
                        <w:p w:rsidR="00131BDE" w:rsidRDefault="00131BDE"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131BDE" w:rsidRPr="00DC2982" w:rsidRDefault="00131BDE" w:rsidP="00D8583C">
                    <w:pPr>
                      <w:spacing w:after="0" w:line="360" w:lineRule="auto"/>
                      <w:rPr>
                        <w:sz w:val="16"/>
                      </w:rPr>
                    </w:pPr>
                    <w:r w:rsidRPr="00DC2982">
                      <w:rPr>
                        <w:sz w:val="16"/>
                      </w:rPr>
                      <w:t xml:space="preserve">60 Moorgate London EC2R 6EL </w:t>
                    </w:r>
                  </w:p>
                  <w:p w:rsidR="00131BDE" w:rsidRPr="004F2143" w:rsidRDefault="00131BDE" w:rsidP="00D8583C">
                    <w:pPr>
                      <w:spacing w:after="0" w:line="360" w:lineRule="auto"/>
                      <w:rPr>
                        <w:sz w:val="16"/>
                      </w:rPr>
                    </w:pPr>
                    <w:r w:rsidRPr="004F2143">
                      <w:rPr>
                        <w:sz w:val="16"/>
                      </w:rPr>
                      <w:t xml:space="preserve">Tel +44(0)8448 808 200 </w:t>
                    </w:r>
                  </w:p>
                  <w:p w:rsidR="00131BDE" w:rsidRPr="004F2143" w:rsidRDefault="00131BDE" w:rsidP="00D8583C">
                    <w:pPr>
                      <w:spacing w:after="0" w:line="360" w:lineRule="auto"/>
                      <w:rPr>
                        <w:sz w:val="16"/>
                      </w:rPr>
                    </w:pPr>
                    <w:r w:rsidRPr="004F2143">
                      <w:rPr>
                        <w:sz w:val="16"/>
                      </w:rPr>
                      <w:t xml:space="preserve">Fax +44(0)8448 808 205 </w:t>
                    </w:r>
                  </w:p>
                  <w:p w:rsidR="00131BDE" w:rsidRPr="004F2143" w:rsidRDefault="00131BDE" w:rsidP="00D8583C">
                    <w:pPr>
                      <w:spacing w:after="0" w:line="360" w:lineRule="auto"/>
                      <w:rPr>
                        <w:sz w:val="16"/>
                      </w:rPr>
                    </w:pPr>
                    <w:r w:rsidRPr="004F2143">
                      <w:rPr>
                        <w:sz w:val="16"/>
                      </w:rPr>
                      <w:t>www.arlingclose.com</w:t>
                    </w:r>
                  </w:p>
                  <w:p w:rsidR="00131BDE" w:rsidRDefault="00131BDE" w:rsidP="00D8583C">
                    <w:pPr>
                      <w:spacing w:after="0"/>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1BDE" w:rsidRDefault="00131BDE" w:rsidP="004F2143">
      <w:pPr>
        <w:spacing w:after="0" w:line="240" w:lineRule="auto"/>
      </w:pPr>
      <w:r>
        <w:separator/>
      </w:r>
    </w:p>
  </w:footnote>
  <w:footnote w:type="continuationSeparator" w:id="0">
    <w:p w:rsidR="00131BDE" w:rsidRDefault="00131BDE" w:rsidP="004F2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BDE" w:rsidRDefault="00131BDE"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02"/>
    <w:rsid w:val="000145C4"/>
    <w:rsid w:val="00015520"/>
    <w:rsid w:val="000244D2"/>
    <w:rsid w:val="00042B02"/>
    <w:rsid w:val="00060AC9"/>
    <w:rsid w:val="00074B37"/>
    <w:rsid w:val="000779FB"/>
    <w:rsid w:val="000A18F9"/>
    <w:rsid w:val="000A3C5A"/>
    <w:rsid w:val="000B3223"/>
    <w:rsid w:val="000B3899"/>
    <w:rsid w:val="000B6EEE"/>
    <w:rsid w:val="000F01BD"/>
    <w:rsid w:val="00102B13"/>
    <w:rsid w:val="0011371F"/>
    <w:rsid w:val="00121E6F"/>
    <w:rsid w:val="00131BDE"/>
    <w:rsid w:val="00135373"/>
    <w:rsid w:val="00150267"/>
    <w:rsid w:val="001531E1"/>
    <w:rsid w:val="001600D2"/>
    <w:rsid w:val="001668BC"/>
    <w:rsid w:val="001A3D45"/>
    <w:rsid w:val="001B6EB4"/>
    <w:rsid w:val="001D5C4A"/>
    <w:rsid w:val="00234748"/>
    <w:rsid w:val="002474CC"/>
    <w:rsid w:val="002527E9"/>
    <w:rsid w:val="00266652"/>
    <w:rsid w:val="002718C8"/>
    <w:rsid w:val="00272258"/>
    <w:rsid w:val="00277462"/>
    <w:rsid w:val="00281ADF"/>
    <w:rsid w:val="002A68B8"/>
    <w:rsid w:val="002D5B67"/>
    <w:rsid w:val="002D76A6"/>
    <w:rsid w:val="002E57D1"/>
    <w:rsid w:val="002E68CE"/>
    <w:rsid w:val="002F7121"/>
    <w:rsid w:val="00304AE8"/>
    <w:rsid w:val="00305CF0"/>
    <w:rsid w:val="00306D73"/>
    <w:rsid w:val="0032468A"/>
    <w:rsid w:val="00327AD4"/>
    <w:rsid w:val="00337ADD"/>
    <w:rsid w:val="00346FDF"/>
    <w:rsid w:val="00370D12"/>
    <w:rsid w:val="00373E6E"/>
    <w:rsid w:val="003A3260"/>
    <w:rsid w:val="003C685C"/>
    <w:rsid w:val="003E0019"/>
    <w:rsid w:val="00407212"/>
    <w:rsid w:val="00423B92"/>
    <w:rsid w:val="004320E2"/>
    <w:rsid w:val="0043391B"/>
    <w:rsid w:val="00435E14"/>
    <w:rsid w:val="00441ED2"/>
    <w:rsid w:val="0044488F"/>
    <w:rsid w:val="004518B4"/>
    <w:rsid w:val="00474DE7"/>
    <w:rsid w:val="004A3FC7"/>
    <w:rsid w:val="004B3F9B"/>
    <w:rsid w:val="004C434C"/>
    <w:rsid w:val="004E790C"/>
    <w:rsid w:val="004F2143"/>
    <w:rsid w:val="004F6D75"/>
    <w:rsid w:val="00505AEA"/>
    <w:rsid w:val="00514E36"/>
    <w:rsid w:val="00530DC9"/>
    <w:rsid w:val="00545EC7"/>
    <w:rsid w:val="00550058"/>
    <w:rsid w:val="005574EA"/>
    <w:rsid w:val="00563B3F"/>
    <w:rsid w:val="005737DE"/>
    <w:rsid w:val="0058354D"/>
    <w:rsid w:val="005A4C66"/>
    <w:rsid w:val="005B37D7"/>
    <w:rsid w:val="005B6AB2"/>
    <w:rsid w:val="005D10D0"/>
    <w:rsid w:val="005D4869"/>
    <w:rsid w:val="005E3FC5"/>
    <w:rsid w:val="005F6C78"/>
    <w:rsid w:val="00600101"/>
    <w:rsid w:val="006049E6"/>
    <w:rsid w:val="0063564E"/>
    <w:rsid w:val="00642A16"/>
    <w:rsid w:val="00643C59"/>
    <w:rsid w:val="00650ABC"/>
    <w:rsid w:val="00655B52"/>
    <w:rsid w:val="00681F2F"/>
    <w:rsid w:val="00686732"/>
    <w:rsid w:val="0069561C"/>
    <w:rsid w:val="006B4D60"/>
    <w:rsid w:val="006B611C"/>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7E36AA"/>
    <w:rsid w:val="00815FEF"/>
    <w:rsid w:val="00825D6A"/>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E29"/>
    <w:rsid w:val="009C3C6A"/>
    <w:rsid w:val="009C3DCB"/>
    <w:rsid w:val="009D5EC4"/>
    <w:rsid w:val="00A029F6"/>
    <w:rsid w:val="00A1122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7519D"/>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73965"/>
    <w:rsid w:val="00E8758D"/>
    <w:rsid w:val="00E95C00"/>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2DF99ECC"/>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777437">
      <w:bodyDiv w:val="1"/>
      <w:marLeft w:val="0"/>
      <w:marRight w:val="0"/>
      <w:marTop w:val="0"/>
      <w:marBottom w:val="0"/>
      <w:divBdr>
        <w:top w:val="none" w:sz="0" w:space="0" w:color="auto"/>
        <w:left w:val="none" w:sz="0" w:space="0" w:color="auto"/>
        <w:bottom w:val="none" w:sz="0" w:space="0" w:color="auto"/>
        <w:right w:val="none" w:sz="0" w:space="0" w:color="auto"/>
      </w:divBdr>
    </w:div>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patel@arlingclose.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hodges@arlingclos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elly@arlingclose.com" TargetMode="External"/><Relationship Id="rId5" Type="http://schemas.openxmlformats.org/officeDocument/2006/relationships/webSettings" Target="webSettings.xml"/><Relationship Id="rId15" Type="http://schemas.openxmlformats.org/officeDocument/2006/relationships/hyperlink" Target="mailto:rpatel@arlingclose.com" TargetMode="External"/><Relationship Id="rId10" Type="http://schemas.openxmlformats.org/officeDocument/2006/relationships/hyperlink" Target="http://www.mytender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nhodges@arlingcl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7B34F-976C-46B2-BE47-3F2D6E6F9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33</Pages>
  <Words>6327</Words>
  <Characters>36064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Rikesh Patel</cp:lastModifiedBy>
  <cp:revision>7</cp:revision>
  <cp:lastPrinted>2019-01-17T10:31:00Z</cp:lastPrinted>
  <dcterms:created xsi:type="dcterms:W3CDTF">2019-01-17T09:47:00Z</dcterms:created>
  <dcterms:modified xsi:type="dcterms:W3CDTF">2019-01-18T09:39:00Z</dcterms:modified>
</cp:coreProperties>
</file>