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42" w:rsidRDefault="00395942" w:rsidP="00395942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Cumbria Business Growth Hub &amp; Cumbria Business Start-Up Support</w:t>
      </w:r>
    </w:p>
    <w:p w:rsidR="00395942" w:rsidRDefault="00395942" w:rsidP="00395942">
      <w:pPr>
        <w:pStyle w:val="Header"/>
        <w:jc w:val="center"/>
      </w:pPr>
      <w:r>
        <w:rPr>
          <w:rFonts w:ascii="Arial" w:hAnsi="Arial" w:cs="Arial"/>
          <w:b/>
        </w:rPr>
        <w:t>Business Advisers</w:t>
      </w:r>
    </w:p>
    <w:p w:rsidR="00266766" w:rsidRPr="008C2B61" w:rsidRDefault="00266766" w:rsidP="00395942">
      <w:pPr>
        <w:ind w:left="-720" w:firstLine="72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Award Criteria</w:t>
      </w:r>
    </w:p>
    <w:p w:rsidR="00266766" w:rsidRDefault="00266766" w:rsidP="00476A35">
      <w:pPr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>All tenders will be marked according to the criteria below:</w:t>
      </w:r>
    </w:p>
    <w:tbl>
      <w:tblPr>
        <w:tblW w:w="6088" w:type="dxa"/>
        <w:jc w:val="center"/>
        <w:tblLook w:val="0000" w:firstRow="0" w:lastRow="0" w:firstColumn="0" w:lastColumn="0" w:noHBand="0" w:noVBand="0"/>
      </w:tblPr>
      <w:tblGrid>
        <w:gridCol w:w="4780"/>
        <w:gridCol w:w="1308"/>
      </w:tblGrid>
      <w:tr w:rsidR="00266766" w:rsidRPr="00BE4329" w:rsidTr="00263BC9">
        <w:trPr>
          <w:trHeight w:val="1275"/>
          <w:jc w:val="center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766" w:rsidRPr="000C3B22" w:rsidRDefault="00266766" w:rsidP="00263BC9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  <w:r w:rsidRPr="000C3B22">
              <w:rPr>
                <w:rFonts w:ascii="Arial" w:hAnsi="Arial" w:cs="Arial"/>
                <w:b/>
                <w:u w:val="single"/>
              </w:rPr>
              <w:t xml:space="preserve">Criteria - quality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766" w:rsidRPr="00BE4329" w:rsidRDefault="00266766" w:rsidP="00263BC9">
            <w:pPr>
              <w:spacing w:line="240" w:lineRule="auto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Weighting</w:t>
            </w:r>
          </w:p>
        </w:tc>
      </w:tr>
      <w:tr w:rsidR="00266766" w:rsidRPr="00BE4329" w:rsidTr="00263BC9">
        <w:trPr>
          <w:trHeight w:val="25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766" w:rsidRPr="00BE4329" w:rsidRDefault="00266766" w:rsidP="00AB690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Demonstrable </w:t>
            </w:r>
            <w:r w:rsidR="00AB690F">
              <w:rPr>
                <w:rFonts w:ascii="Arial" w:hAnsi="Arial" w:cs="Arial"/>
              </w:rPr>
              <w:t xml:space="preserve">relevant expertise, qualifications and experience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766" w:rsidRPr="00BE4329" w:rsidRDefault="00AB690F" w:rsidP="00263BC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66766" w:rsidRPr="00BE4329" w:rsidTr="00263BC9">
        <w:trPr>
          <w:trHeight w:val="25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766" w:rsidRPr="00BE4329" w:rsidRDefault="00AB690F" w:rsidP="00AB690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Proactive approach to client management</w:t>
            </w:r>
            <w:r w:rsidR="00266766">
              <w:rPr>
                <w:rFonts w:ascii="Arial" w:hAnsi="Arial" w:cs="Arial"/>
              </w:rPr>
              <w:t xml:space="preserve"> </w:t>
            </w:r>
            <w:r w:rsidR="00FD6951">
              <w:rPr>
                <w:rFonts w:ascii="Arial" w:hAnsi="Arial" w:cs="Arial"/>
              </w:rPr>
              <w:t>and ensuring clients progress in a timely manner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766" w:rsidRPr="00BE4329" w:rsidRDefault="00AB690F" w:rsidP="00263BC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66766" w:rsidRPr="00BE4329" w:rsidTr="00263BC9">
        <w:trPr>
          <w:trHeight w:val="25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766" w:rsidRPr="00BE4329" w:rsidRDefault="00AB690F" w:rsidP="00AB690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paperwork and organisation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766" w:rsidRPr="00BE4329" w:rsidRDefault="00AB690F" w:rsidP="00263BC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66766" w:rsidRPr="00BE4329" w:rsidTr="00263BC9">
        <w:trPr>
          <w:trHeight w:val="25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766" w:rsidRPr="00BE4329" w:rsidRDefault="00AB690F" w:rsidP="00A63C0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Awareness, understanding and knowledge of the </w:t>
            </w:r>
            <w:r w:rsidR="00A63C01">
              <w:rPr>
                <w:rFonts w:ascii="Arial" w:hAnsi="Arial" w:cs="Arial"/>
              </w:rPr>
              <w:t xml:space="preserve">relevant </w:t>
            </w:r>
            <w:r>
              <w:rPr>
                <w:rFonts w:ascii="Arial" w:hAnsi="Arial" w:cs="Arial"/>
              </w:rPr>
              <w:t xml:space="preserve">issues facing businesses in Cumbria </w:t>
            </w:r>
            <w:bookmarkStart w:id="0" w:name="_GoBack"/>
            <w:bookmarkEnd w:id="0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766" w:rsidRPr="00BE4329" w:rsidRDefault="00266766" w:rsidP="00263BC9">
            <w:pPr>
              <w:spacing w:line="240" w:lineRule="auto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10</w:t>
            </w:r>
          </w:p>
        </w:tc>
      </w:tr>
      <w:tr w:rsidR="00266766" w:rsidRPr="00BE4329" w:rsidTr="00263BC9">
        <w:trPr>
          <w:trHeight w:val="25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766" w:rsidRPr="00BE4329" w:rsidRDefault="00AB690F" w:rsidP="00AB690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Availability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766" w:rsidRPr="00BE4329" w:rsidRDefault="00AB690F" w:rsidP="00263BC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66766" w:rsidRPr="00BE4329">
              <w:rPr>
                <w:rFonts w:ascii="Arial" w:hAnsi="Arial" w:cs="Arial"/>
              </w:rPr>
              <w:t>0</w:t>
            </w:r>
          </w:p>
        </w:tc>
      </w:tr>
    </w:tbl>
    <w:p w:rsidR="00266766" w:rsidRDefault="00266766" w:rsidP="00266766">
      <w:pPr>
        <w:rPr>
          <w:rFonts w:ascii="Arial" w:hAnsi="Arial" w:cs="Arial"/>
        </w:rPr>
      </w:pPr>
    </w:p>
    <w:p w:rsidR="00266766" w:rsidRPr="00BE4329" w:rsidRDefault="00266766" w:rsidP="00266766">
      <w:pPr>
        <w:pStyle w:val="Heading1"/>
        <w:jc w:val="both"/>
        <w:rPr>
          <w:rFonts w:ascii="Arial" w:eastAsia="Calibri" w:hAnsi="Arial" w:cs="Arial"/>
          <w:bCs w:val="0"/>
          <w:color w:val="auto"/>
          <w:sz w:val="22"/>
          <w:szCs w:val="22"/>
        </w:rPr>
      </w:pPr>
      <w:r w:rsidRPr="00BE4329">
        <w:rPr>
          <w:rFonts w:ascii="Arial" w:eastAsia="Calibri" w:hAnsi="Arial" w:cs="Arial"/>
          <w:b w:val="0"/>
          <w:bCs w:val="0"/>
          <w:color w:val="auto"/>
          <w:sz w:val="22"/>
          <w:szCs w:val="22"/>
        </w:rPr>
        <w:br w:type="page"/>
      </w:r>
    </w:p>
    <w:p w:rsidR="00266766" w:rsidRPr="008D5413" w:rsidRDefault="00266766" w:rsidP="00266766">
      <w:pPr>
        <w:rPr>
          <w:rFonts w:ascii="Arial" w:hAnsi="Arial" w:cs="Arial"/>
          <w:b/>
          <w:i/>
          <w:sz w:val="20"/>
          <w:szCs w:val="20"/>
        </w:rPr>
      </w:pPr>
      <w:r w:rsidRPr="00BE4329">
        <w:rPr>
          <w:rFonts w:ascii="Arial" w:hAnsi="Arial" w:cs="Arial"/>
        </w:rPr>
        <w:lastRenderedPageBreak/>
        <w:t> </w:t>
      </w:r>
      <w:r w:rsidRPr="00BE4329">
        <w:rPr>
          <w:rFonts w:ascii="Arial" w:hAnsi="Arial" w:cs="Arial"/>
          <w:b/>
        </w:rPr>
        <w:t xml:space="preserve">Tender Assessment </w:t>
      </w:r>
      <w:r>
        <w:rPr>
          <w:rFonts w:ascii="Arial" w:hAnsi="Arial" w:cs="Arial"/>
          <w:b/>
        </w:rPr>
        <w:t xml:space="preserve">Method </w:t>
      </w:r>
      <w:r>
        <w:rPr>
          <w:rFonts w:ascii="Arial" w:hAnsi="Arial" w:cs="Arial"/>
          <w:b/>
        </w:rPr>
        <w:tab/>
        <w:t>*</w:t>
      </w:r>
      <w:r w:rsidRPr="008D5413">
        <w:rPr>
          <w:rFonts w:ascii="Arial" w:hAnsi="Arial" w:cs="Arial"/>
          <w:b/>
          <w:i/>
          <w:sz w:val="20"/>
          <w:szCs w:val="20"/>
        </w:rPr>
        <w:t xml:space="preserve">**score will be </w:t>
      </w:r>
      <w:r>
        <w:rPr>
          <w:rFonts w:ascii="Arial" w:hAnsi="Arial" w:cs="Arial"/>
          <w:b/>
          <w:i/>
          <w:sz w:val="20"/>
          <w:szCs w:val="20"/>
        </w:rPr>
        <w:t>multiplied</w:t>
      </w:r>
      <w:r w:rsidRPr="008D5413">
        <w:rPr>
          <w:rFonts w:ascii="Arial" w:hAnsi="Arial" w:cs="Arial"/>
          <w:b/>
          <w:i/>
          <w:sz w:val="20"/>
          <w:szCs w:val="20"/>
        </w:rPr>
        <w:t xml:space="preserve"> by weighting</w:t>
      </w:r>
    </w:p>
    <w:tbl>
      <w:tblPr>
        <w:tblpPr w:leftFromText="180" w:rightFromText="180" w:vertAnchor="text" w:horzAnchor="margin" w:tblpY="142"/>
        <w:tblW w:w="89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071"/>
        <w:gridCol w:w="6305"/>
      </w:tblGrid>
      <w:tr w:rsidR="00266766" w:rsidRPr="00BE4329" w:rsidTr="00263BC9"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br w:type="page"/>
              <w:t>Assessment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Score</w:t>
            </w:r>
          </w:p>
        </w:tc>
        <w:tc>
          <w:tcPr>
            <w:tcW w:w="6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Interpretation</w:t>
            </w:r>
          </w:p>
        </w:tc>
      </w:tr>
      <w:tr w:rsidR="00266766" w:rsidRPr="00BE4329" w:rsidTr="00263BC9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 xml:space="preserve">Compliance with Significant Added Value </w:t>
            </w:r>
          </w:p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5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395942">
            <w:pPr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Exceeds the requirement.  Exceptional d</w:t>
            </w:r>
            <w:r w:rsidR="00EC67EC">
              <w:rPr>
                <w:rFonts w:ascii="Arial" w:hAnsi="Arial" w:cs="Arial"/>
              </w:rPr>
              <w:t>emonstration by the applicant</w:t>
            </w:r>
            <w:r w:rsidRPr="00BE4329">
              <w:rPr>
                <w:rFonts w:ascii="Arial" w:hAnsi="Arial" w:cs="Arial"/>
              </w:rPr>
              <w:t xml:space="preserve"> of the relevant ability, understanding, skills, </w:t>
            </w:r>
            <w:proofErr w:type="gramStart"/>
            <w:r w:rsidRPr="00BE4329">
              <w:rPr>
                <w:rFonts w:ascii="Arial" w:hAnsi="Arial" w:cs="Arial"/>
              </w:rPr>
              <w:t>resource</w:t>
            </w:r>
            <w:proofErr w:type="gramEnd"/>
            <w:r w:rsidRPr="00BE4329">
              <w:rPr>
                <w:rFonts w:ascii="Arial" w:hAnsi="Arial" w:cs="Arial"/>
              </w:rPr>
              <w:t xml:space="preserve"> and quality measures required to provide the services. Response identifies factors that will offer potential added value, with evidence to support the response.</w:t>
            </w:r>
          </w:p>
        </w:tc>
      </w:tr>
      <w:tr w:rsidR="00266766" w:rsidRPr="00BE4329" w:rsidTr="00263BC9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Compliance with partial added value</w:t>
            </w:r>
          </w:p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4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 xml:space="preserve">Satisfies the requirement with minor additional benefits. Above average demonstration by the </w:t>
            </w:r>
            <w:r w:rsidR="00EC67EC">
              <w:rPr>
                <w:rFonts w:ascii="Arial" w:hAnsi="Arial" w:cs="Arial"/>
              </w:rPr>
              <w:t>applicant</w:t>
            </w:r>
            <w:r w:rsidRPr="00BE4329">
              <w:rPr>
                <w:rFonts w:ascii="Arial" w:hAnsi="Arial" w:cs="Arial"/>
              </w:rPr>
              <w:t xml:space="preserve"> of the relevant ability, understanding, skills, resource and quality measures required to provide the services. Response identifies factors that will offer potential added value, with evidence to support the response.</w:t>
            </w:r>
          </w:p>
        </w:tc>
      </w:tr>
      <w:tr w:rsidR="00266766" w:rsidRPr="00BE4329" w:rsidTr="00263BC9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Compliance</w:t>
            </w:r>
          </w:p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Satisfies the requirement. D</w:t>
            </w:r>
            <w:r w:rsidR="007006F5">
              <w:rPr>
                <w:rFonts w:ascii="Arial" w:hAnsi="Arial" w:cs="Arial"/>
              </w:rPr>
              <w:t>emonstration by the applicant</w:t>
            </w:r>
            <w:r w:rsidRPr="00BE4329">
              <w:rPr>
                <w:rFonts w:ascii="Arial" w:hAnsi="Arial" w:cs="Arial"/>
              </w:rPr>
              <w:t xml:space="preserve"> of the relevant ability, understanding, skills, and resource and quality measures required to provide the services, with evidence to support the response.</w:t>
            </w:r>
          </w:p>
        </w:tc>
      </w:tr>
      <w:tr w:rsidR="00266766" w:rsidRPr="00BE4329" w:rsidTr="00263BC9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Partial Compliance but conflict in detail</w:t>
            </w:r>
          </w:p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6A0CE7" w:rsidRDefault="00266766" w:rsidP="00395942">
            <w:pPr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 xml:space="preserve">Satisfies the requirement with major reservations. Considerable reservations of the </w:t>
            </w:r>
            <w:r w:rsidR="007006F5">
              <w:rPr>
                <w:rFonts w:ascii="Arial" w:hAnsi="Arial" w:cs="Arial"/>
              </w:rPr>
              <w:t>applicant</w:t>
            </w:r>
            <w:r w:rsidRPr="00BE4329">
              <w:rPr>
                <w:rFonts w:ascii="Arial" w:hAnsi="Arial" w:cs="Arial"/>
              </w:rPr>
              <w:t>’s relevant ability, understanding, skills, and resource and quality measures required to provide the services, with little or no evidence to support the response.</w:t>
            </w:r>
          </w:p>
        </w:tc>
      </w:tr>
      <w:tr w:rsidR="00266766" w:rsidRPr="006A0CE7" w:rsidTr="00263BC9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Non-compliance</w:t>
            </w:r>
          </w:p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jc w:val="center"/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>0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66" w:rsidRPr="00BE4329" w:rsidRDefault="00266766" w:rsidP="00263BC9">
            <w:pPr>
              <w:rPr>
                <w:rFonts w:ascii="Arial" w:hAnsi="Arial" w:cs="Arial"/>
              </w:rPr>
            </w:pPr>
            <w:r w:rsidRPr="00BE4329">
              <w:rPr>
                <w:rFonts w:ascii="Arial" w:hAnsi="Arial" w:cs="Arial"/>
              </w:rPr>
              <w:t xml:space="preserve">Does not meet the requirement. Does not comply and/or insufficient information provided </w:t>
            </w:r>
            <w:r w:rsidR="00EC67EC">
              <w:rPr>
                <w:rFonts w:ascii="Arial" w:hAnsi="Arial" w:cs="Arial"/>
              </w:rPr>
              <w:t>to demonstrate that the applicant</w:t>
            </w:r>
            <w:r w:rsidRPr="00BE4329">
              <w:rPr>
                <w:rFonts w:ascii="Arial" w:hAnsi="Arial" w:cs="Arial"/>
              </w:rPr>
              <w:t xml:space="preserve"> has the ability, understanding, skills, resource and quality measures required to provide the services, with little or no evidence to support the response.</w:t>
            </w:r>
          </w:p>
        </w:tc>
      </w:tr>
    </w:tbl>
    <w:p w:rsidR="00266766" w:rsidRDefault="00266766" w:rsidP="00266766">
      <w:pPr>
        <w:rPr>
          <w:rFonts w:ascii="Arial" w:hAnsi="Arial" w:cs="Arial"/>
        </w:rPr>
      </w:pPr>
    </w:p>
    <w:p w:rsidR="00266766" w:rsidRDefault="00266766"/>
    <w:sectPr w:rsidR="00266766" w:rsidSect="00E77ED8">
      <w:headerReference w:type="default" r:id="rId7"/>
      <w:footerReference w:type="default" r:id="rId8"/>
      <w:pgSz w:w="12240" w:h="15840" w:code="1"/>
      <w:pgMar w:top="79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03A" w:rsidRDefault="0060303A" w:rsidP="00266766">
      <w:pPr>
        <w:spacing w:after="0" w:line="240" w:lineRule="auto"/>
      </w:pPr>
      <w:r>
        <w:separator/>
      </w:r>
    </w:p>
  </w:endnote>
  <w:endnote w:type="continuationSeparator" w:id="0">
    <w:p w:rsidR="0060303A" w:rsidRDefault="0060303A" w:rsidP="0026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942" w:rsidRPr="001E5DF2" w:rsidRDefault="00395942" w:rsidP="00395942">
    <w:pPr>
      <w:pStyle w:val="Footer"/>
    </w:pPr>
    <w:r>
      <w:rPr>
        <w:noProof/>
        <w:lang w:eastAsia="en-GB"/>
      </w:rPr>
      <w:drawing>
        <wp:inline distT="0" distB="0" distL="0" distR="0" wp14:anchorId="79871894" wp14:editId="4EC6D4E2">
          <wp:extent cx="731520" cy="951865"/>
          <wp:effectExtent l="0" t="0" r="0" b="635"/>
          <wp:docPr id="2" name="Picture 2" descr="Chamber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hamber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506607" w:rsidRPr="006C27C0">
      <w:rPr>
        <w:noProof/>
        <w:lang w:eastAsia="en-GB"/>
      </w:rPr>
      <w:drawing>
        <wp:inline distT="0" distB="0" distL="0" distR="0" wp14:anchorId="28F1AD7B" wp14:editId="5A990BDE">
          <wp:extent cx="1066800" cy="1057275"/>
          <wp:effectExtent l="0" t="0" r="0" b="9525"/>
          <wp:docPr id="1" name="Picture 1" descr="C:\Users\suzanne.CCC\AppData\Local\Microsoft\Windows\INetCache\Content.Word\LogoESF_Col_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zanne.CCC\AppData\Local\Microsoft\Windows\INetCache\Content.Word\LogoESF_Col_Portrai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5942" w:rsidRDefault="00395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03A" w:rsidRDefault="0060303A" w:rsidP="00266766">
      <w:pPr>
        <w:spacing w:after="0" w:line="240" w:lineRule="auto"/>
      </w:pPr>
      <w:r>
        <w:separator/>
      </w:r>
    </w:p>
  </w:footnote>
  <w:footnote w:type="continuationSeparator" w:id="0">
    <w:p w:rsidR="0060303A" w:rsidRDefault="0060303A" w:rsidP="00266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942" w:rsidRDefault="00395942" w:rsidP="00395942">
    <w:pPr>
      <w:pStyle w:val="Header"/>
      <w:jc w:val="center"/>
    </w:pPr>
    <w:r>
      <w:rPr>
        <w:rFonts w:ascii="Arial Black" w:hAnsi="Arial Black"/>
        <w:noProof/>
        <w:lang w:eastAsia="en-GB"/>
      </w:rPr>
      <w:drawing>
        <wp:inline distT="0" distB="0" distL="0" distR="0" wp14:anchorId="596AC387" wp14:editId="6FDBF060">
          <wp:extent cx="2270760" cy="1042728"/>
          <wp:effectExtent l="0" t="0" r="0" b="5080"/>
          <wp:docPr id="315" name="Picture 315" descr="P:\Chamber Projects Files\Growth Hub\File 20. GH Brand (no hard copy)\GH Logo\JPEG\Growth-Hub-2-Landscape(CMYK)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Chamber Projects Files\Growth Hub\File 20. GH Brand (no hard copy)\GH Logo\JPEG\Growth-Hub-2-Landscape(CMYK)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855" cy="1059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2117"/>
    <w:multiLevelType w:val="hybridMultilevel"/>
    <w:tmpl w:val="EFEAACD6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6822D3"/>
    <w:multiLevelType w:val="hybridMultilevel"/>
    <w:tmpl w:val="E668C2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24838"/>
    <w:multiLevelType w:val="hybridMultilevel"/>
    <w:tmpl w:val="BAAC08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D3F30"/>
    <w:multiLevelType w:val="hybridMultilevel"/>
    <w:tmpl w:val="C53C02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66"/>
    <w:rsid w:val="00181241"/>
    <w:rsid w:val="00266766"/>
    <w:rsid w:val="00267870"/>
    <w:rsid w:val="00395942"/>
    <w:rsid w:val="003E65F2"/>
    <w:rsid w:val="00425982"/>
    <w:rsid w:val="00465090"/>
    <w:rsid w:val="00476A35"/>
    <w:rsid w:val="00506607"/>
    <w:rsid w:val="00581D2A"/>
    <w:rsid w:val="0060303A"/>
    <w:rsid w:val="006571E7"/>
    <w:rsid w:val="007006F5"/>
    <w:rsid w:val="0070532F"/>
    <w:rsid w:val="007C431B"/>
    <w:rsid w:val="0088007A"/>
    <w:rsid w:val="00A63C01"/>
    <w:rsid w:val="00A6477A"/>
    <w:rsid w:val="00AB690F"/>
    <w:rsid w:val="00AC749B"/>
    <w:rsid w:val="00B6546E"/>
    <w:rsid w:val="00B9418E"/>
    <w:rsid w:val="00BD7634"/>
    <w:rsid w:val="00EC67EC"/>
    <w:rsid w:val="00EE7A92"/>
    <w:rsid w:val="00F50BC8"/>
    <w:rsid w:val="00F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E3BE5B-ECD8-4C4F-8B80-7D73BC59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76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667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7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ody">
    <w:name w:val="Body"/>
    <w:link w:val="BodyChar"/>
    <w:rsid w:val="0026676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rsid w:val="002667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766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rsid w:val="00266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6766"/>
    <w:rPr>
      <w:rFonts w:ascii="Calibri" w:eastAsia="Calibri" w:hAnsi="Calibri" w:cs="Times New Roman"/>
      <w:sz w:val="20"/>
      <w:szCs w:val="20"/>
    </w:rPr>
  </w:style>
  <w:style w:type="character" w:customStyle="1" w:styleId="BodyChar">
    <w:name w:val="Body Char"/>
    <w:basedOn w:val="DefaultParagraphFont"/>
    <w:link w:val="Body"/>
    <w:rsid w:val="00266766"/>
    <w:rPr>
      <w:rFonts w:ascii="Times New Roman" w:eastAsia="ヒラギノ角ゴ Pro W3" w:hAnsi="Times New Roman" w:cs="Times New Roman"/>
      <w:color w:val="000000"/>
      <w:sz w:val="24"/>
      <w:szCs w:val="20"/>
      <w:u w:color="00000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6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76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Agilisys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kolekc</dc:creator>
  <cp:lastModifiedBy>Suzanne Caldwell</cp:lastModifiedBy>
  <cp:revision>3</cp:revision>
  <cp:lastPrinted>2015-06-03T13:34:00Z</cp:lastPrinted>
  <dcterms:created xsi:type="dcterms:W3CDTF">2017-02-07T14:26:00Z</dcterms:created>
  <dcterms:modified xsi:type="dcterms:W3CDTF">2017-02-07T14:26:00Z</dcterms:modified>
</cp:coreProperties>
</file>