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E08B0" w14:textId="77777777" w:rsidR="00D3263C" w:rsidRPr="00A8526E" w:rsidRDefault="00D3263C" w:rsidP="0093247A">
      <w:pPr>
        <w:pStyle w:val="StyleJustifiedLeft127cm"/>
        <w:spacing w:before="0" w:after="120"/>
        <w:ind w:left="0"/>
        <w:jc w:val="center"/>
        <w:rPr>
          <w:rFonts w:cs="Arial"/>
          <w:b/>
          <w:sz w:val="28"/>
          <w:szCs w:val="28"/>
        </w:rPr>
      </w:pPr>
    </w:p>
    <w:p w14:paraId="6BBFF498" w14:textId="77777777" w:rsidR="00D3263C" w:rsidRPr="00A8526E" w:rsidRDefault="00D3263C" w:rsidP="0093247A">
      <w:pPr>
        <w:pStyle w:val="StyleJustifiedLeft127cm"/>
        <w:spacing w:before="0" w:after="120"/>
        <w:ind w:left="0"/>
        <w:jc w:val="center"/>
        <w:rPr>
          <w:rFonts w:cs="Arial"/>
          <w:b/>
          <w:sz w:val="28"/>
          <w:szCs w:val="28"/>
        </w:rPr>
      </w:pPr>
    </w:p>
    <w:p w14:paraId="3E174EF3" w14:textId="77777777" w:rsidR="0093247A" w:rsidRPr="00A8526E" w:rsidRDefault="0093247A" w:rsidP="0093247A">
      <w:pPr>
        <w:pStyle w:val="StyleJustifiedLeft127cm"/>
        <w:spacing w:before="0" w:after="120"/>
        <w:ind w:left="0"/>
        <w:jc w:val="center"/>
        <w:rPr>
          <w:rFonts w:cs="Arial"/>
          <w:b/>
          <w:sz w:val="28"/>
          <w:szCs w:val="28"/>
        </w:rPr>
      </w:pPr>
      <w:r w:rsidRPr="00A8526E">
        <w:rPr>
          <w:rFonts w:cs="Arial"/>
          <w:b/>
          <w:sz w:val="28"/>
          <w:szCs w:val="28"/>
        </w:rPr>
        <w:t xml:space="preserve">NHS </w:t>
      </w:r>
      <w:proofErr w:type="spellStart"/>
      <w:r w:rsidRPr="00A8526E">
        <w:rPr>
          <w:rFonts w:cs="Arial"/>
          <w:b/>
          <w:sz w:val="28"/>
          <w:szCs w:val="28"/>
        </w:rPr>
        <w:t>South,</w:t>
      </w:r>
      <w:proofErr w:type="spellEnd"/>
      <w:r w:rsidRPr="00A8526E">
        <w:rPr>
          <w:rFonts w:cs="Arial"/>
          <w:b/>
          <w:sz w:val="28"/>
          <w:szCs w:val="28"/>
        </w:rPr>
        <w:t xml:space="preserve"> Central &amp; West Commissioning Support Unit</w:t>
      </w:r>
    </w:p>
    <w:p w14:paraId="5AFDD0D2" w14:textId="77777777" w:rsidR="003227F3" w:rsidRDefault="003227F3" w:rsidP="0093247A">
      <w:pPr>
        <w:pStyle w:val="StyleJustifiedLeft127cm"/>
        <w:spacing w:before="0" w:after="120"/>
        <w:ind w:left="0"/>
        <w:jc w:val="center"/>
        <w:rPr>
          <w:rFonts w:cs="Arial"/>
          <w:b/>
          <w:sz w:val="28"/>
          <w:szCs w:val="28"/>
        </w:rPr>
      </w:pPr>
      <w:r w:rsidRPr="003227F3">
        <w:rPr>
          <w:rFonts w:cs="Arial"/>
          <w:b/>
          <w:sz w:val="28"/>
          <w:szCs w:val="28"/>
        </w:rPr>
        <w:t xml:space="preserve">NHS England South West - School Aged Immunisation Services for Bath and North East Somerset, </w:t>
      </w:r>
      <w:proofErr w:type="gramStart"/>
      <w:r w:rsidRPr="003227F3">
        <w:rPr>
          <w:rFonts w:cs="Arial"/>
          <w:b/>
          <w:sz w:val="28"/>
          <w:szCs w:val="28"/>
        </w:rPr>
        <w:t>Swindon</w:t>
      </w:r>
      <w:proofErr w:type="gramEnd"/>
      <w:r w:rsidRPr="003227F3">
        <w:rPr>
          <w:rFonts w:cs="Arial"/>
          <w:b/>
          <w:sz w:val="28"/>
          <w:szCs w:val="28"/>
        </w:rPr>
        <w:t xml:space="preserve"> and Wiltshire (BSW), Somerset, Cornwall, and Gloucestershire.</w:t>
      </w:r>
    </w:p>
    <w:p w14:paraId="71985216" w14:textId="677389E8" w:rsidR="0093247A" w:rsidRPr="00A8526E" w:rsidRDefault="00C33734" w:rsidP="0093247A">
      <w:pPr>
        <w:pStyle w:val="StyleJustifiedLeft127cm"/>
        <w:spacing w:before="0" w:after="120"/>
        <w:ind w:left="0"/>
        <w:jc w:val="center"/>
        <w:rPr>
          <w:rFonts w:cs="Arial"/>
          <w:b/>
          <w:sz w:val="28"/>
          <w:szCs w:val="28"/>
        </w:rPr>
      </w:pPr>
      <w:r w:rsidRPr="00A8526E">
        <w:rPr>
          <w:rFonts w:cs="Arial"/>
          <w:b/>
          <w:sz w:val="28"/>
          <w:szCs w:val="28"/>
        </w:rPr>
        <w:t>Contracts Finder –</w:t>
      </w:r>
      <w:r w:rsidR="000D4105">
        <w:rPr>
          <w:rFonts w:cs="Arial"/>
          <w:b/>
          <w:sz w:val="28"/>
          <w:szCs w:val="28"/>
        </w:rPr>
        <w:t xml:space="preserve"> </w:t>
      </w:r>
      <w:r w:rsidR="003227F3">
        <w:rPr>
          <w:rFonts w:cs="Arial"/>
          <w:b/>
          <w:sz w:val="28"/>
          <w:szCs w:val="28"/>
        </w:rPr>
        <w:t>Lot Information</w:t>
      </w:r>
      <w:r w:rsidRPr="00A8526E">
        <w:rPr>
          <w:rFonts w:cs="Arial"/>
          <w:b/>
          <w:sz w:val="28"/>
          <w:szCs w:val="28"/>
        </w:rPr>
        <w:t xml:space="preserve"> </w:t>
      </w:r>
    </w:p>
    <w:p w14:paraId="1FAE26BB" w14:textId="77777777" w:rsidR="005E4A49" w:rsidRPr="003F32A0" w:rsidRDefault="005E4A49" w:rsidP="00955E0A">
      <w:pPr>
        <w:rPr>
          <w:rFonts w:cs="Arial"/>
          <w:b/>
        </w:rPr>
      </w:pPr>
    </w:p>
    <w:p w14:paraId="77109887" w14:textId="6D289BB4" w:rsidR="004C2677" w:rsidRPr="003227F3" w:rsidRDefault="003227F3" w:rsidP="004C2677">
      <w:pPr>
        <w:rPr>
          <w:rFonts w:cs="Arial"/>
          <w:b/>
          <w:bCs/>
        </w:rPr>
      </w:pPr>
      <w:r w:rsidRPr="003227F3">
        <w:rPr>
          <w:rFonts w:cs="Arial"/>
          <w:b/>
          <w:bCs/>
        </w:rPr>
        <w:t xml:space="preserve">Lot 1 - </w:t>
      </w:r>
      <w:r w:rsidRPr="003227F3">
        <w:rPr>
          <w:b/>
          <w:bCs/>
        </w:rPr>
        <w:t xml:space="preserve">Bath and North East Somerset, </w:t>
      </w:r>
      <w:proofErr w:type="gramStart"/>
      <w:r w:rsidRPr="003227F3">
        <w:rPr>
          <w:b/>
          <w:bCs/>
        </w:rPr>
        <w:t>Swindon</w:t>
      </w:r>
      <w:proofErr w:type="gramEnd"/>
      <w:r w:rsidRPr="003227F3">
        <w:rPr>
          <w:b/>
          <w:bCs/>
        </w:rPr>
        <w:t xml:space="preserve"> and Wiltshire (BSW)</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4C2677" w:rsidRPr="00A8526E" w14:paraId="15CA7440" w14:textId="77777777" w:rsidTr="008F24DD">
        <w:trPr>
          <w:trHeight w:val="375"/>
        </w:trPr>
        <w:tc>
          <w:tcPr>
            <w:tcW w:w="9072" w:type="dxa"/>
            <w:shd w:val="clear" w:color="auto" w:fill="auto"/>
          </w:tcPr>
          <w:p w14:paraId="6481BBD8" w14:textId="77777777" w:rsidR="003227F3" w:rsidRDefault="003227F3" w:rsidP="003227F3">
            <w:bookmarkStart w:id="0" w:name="_Hlk102987713"/>
            <w:r>
              <w:t xml:space="preserve">Lot 1- Bath and North East Somerset, Swindon and Wiltshire (BSW) </w:t>
            </w:r>
            <w:proofErr w:type="gramStart"/>
            <w:r>
              <w:t>has</w:t>
            </w:r>
            <w:proofErr w:type="gramEnd"/>
            <w:r>
              <w:t xml:space="preserve"> an expected annual block contract value of £944,235.00</w:t>
            </w:r>
          </w:p>
          <w:p w14:paraId="6010329F" w14:textId="77777777" w:rsidR="003227F3" w:rsidRDefault="003227F3" w:rsidP="003227F3"/>
          <w:p w14:paraId="6872DFD7" w14:textId="77777777" w:rsidR="003227F3" w:rsidRDefault="003227F3" w:rsidP="003227F3">
            <w:r>
              <w:t xml:space="preserve">The financial model for the contract will be based on a block plus variable element. The variable payment will be made for additional activity delivered over and above the agreed activity plan set for block and at an enhanced tariff for routine immunisations (currently HPV, </w:t>
            </w:r>
            <w:proofErr w:type="spellStart"/>
            <w:r>
              <w:t>MenACWY</w:t>
            </w:r>
            <w:proofErr w:type="spellEnd"/>
            <w:r>
              <w:t xml:space="preserve"> and Td/IPV) and at a marginal tariff for seasonal influenza. All programme activity will be monitored as part of the contract review meeting process and to enable variable payment. </w:t>
            </w:r>
          </w:p>
          <w:p w14:paraId="1A023265" w14:textId="77777777" w:rsidR="003227F3" w:rsidRDefault="003227F3" w:rsidP="003227F3"/>
          <w:p w14:paraId="615406C2" w14:textId="77777777" w:rsidR="003227F3" w:rsidRDefault="003227F3" w:rsidP="003227F3">
            <w:r>
              <w:t>At higher uptake levels this contract has a potential estimated contract value for BSW of £1,089,810.00</w:t>
            </w:r>
          </w:p>
          <w:p w14:paraId="6F9437E9" w14:textId="77777777" w:rsidR="003227F3" w:rsidRDefault="003227F3" w:rsidP="003227F3"/>
          <w:p w14:paraId="2431D404" w14:textId="77777777" w:rsidR="003227F3" w:rsidRDefault="003227F3" w:rsidP="003227F3">
            <w:r>
              <w:t xml:space="preserve">The school-aged population is defined as: </w:t>
            </w:r>
          </w:p>
          <w:p w14:paraId="269F665C" w14:textId="77777777" w:rsidR="003227F3" w:rsidRDefault="003227F3" w:rsidP="003227F3">
            <w:r>
              <w:t>-</w:t>
            </w:r>
            <w:r>
              <w:tab/>
              <w:t xml:space="preserve">Children on the </w:t>
            </w:r>
            <w:proofErr w:type="spellStart"/>
            <w:r>
              <w:t>roll</w:t>
            </w:r>
            <w:proofErr w:type="spellEnd"/>
            <w:r>
              <w:t xml:space="preserve"> of any school physically located within the local education authorities of Bath and North East Somerset, </w:t>
            </w:r>
            <w:proofErr w:type="gramStart"/>
            <w:r>
              <w:t>Swindon</w:t>
            </w:r>
            <w:proofErr w:type="gramEnd"/>
            <w:r>
              <w:t xml:space="preserve"> and Wiltshire</w:t>
            </w:r>
          </w:p>
          <w:p w14:paraId="4C26A725" w14:textId="77777777" w:rsidR="003227F3" w:rsidRDefault="003227F3" w:rsidP="003227F3">
            <w:r>
              <w:t>-</w:t>
            </w:r>
            <w:r>
              <w:tab/>
              <w:t>All children resident in the area, who are not regularly attending any school</w:t>
            </w:r>
          </w:p>
          <w:p w14:paraId="01E71A7A" w14:textId="77777777" w:rsidR="003227F3" w:rsidRDefault="003227F3" w:rsidP="003227F3">
            <w:r>
              <w:t>-</w:t>
            </w:r>
            <w:r>
              <w:tab/>
              <w:t>Any children registered with a GP in the area, who are not regularly attending any school</w:t>
            </w:r>
          </w:p>
          <w:p w14:paraId="19EF5A3E" w14:textId="77777777" w:rsidR="003227F3" w:rsidRDefault="003227F3" w:rsidP="003227F3">
            <w:r>
              <w:t xml:space="preserve">The population does not include children normally attending schools in a neighbouring local education authority outside of the area. </w:t>
            </w:r>
          </w:p>
          <w:p w14:paraId="0E65BE8A" w14:textId="77777777" w:rsidR="003227F3" w:rsidRDefault="003227F3" w:rsidP="003227F3"/>
          <w:p w14:paraId="704B7F95" w14:textId="77777777" w:rsidR="003227F3" w:rsidRDefault="003227F3" w:rsidP="003227F3">
            <w:r>
              <w:t xml:space="preserve">BSW School Aged population  </w:t>
            </w:r>
          </w:p>
          <w:p w14:paraId="1B6A73F6" w14:textId="77777777" w:rsidR="003227F3" w:rsidRDefault="003227F3" w:rsidP="003227F3"/>
          <w:p w14:paraId="5DEF6F85" w14:textId="77777777" w:rsidR="003227F3" w:rsidRDefault="003227F3" w:rsidP="003227F3">
            <w:r>
              <w:t xml:space="preserve">In scope are those children eligible for the programmes identified within the national service specification, within the school-aged population in BSW (as above). </w:t>
            </w:r>
          </w:p>
          <w:p w14:paraId="45962246" w14:textId="77777777" w:rsidR="003227F3" w:rsidRDefault="003227F3" w:rsidP="003227F3"/>
          <w:p w14:paraId="2BADB2EB" w14:textId="77777777" w:rsidR="003227F3" w:rsidRDefault="003227F3" w:rsidP="003227F3">
            <w:r>
              <w:t>The adolescent programme is predominantly delivered within the secondary schools.</w:t>
            </w:r>
          </w:p>
          <w:p w14:paraId="41B5B2E5" w14:textId="77777777" w:rsidR="003227F3" w:rsidRDefault="003227F3" w:rsidP="003227F3"/>
          <w:p w14:paraId="729CC6A4" w14:textId="77777777" w:rsidR="003227F3" w:rsidRDefault="003227F3" w:rsidP="003227F3">
            <w:r>
              <w:t>The Seasonal Flu programme is predominantly delivered to primary school children, reception to year 6 (the cohort is expected to expand to secondary school children in future years as per JCVI guidelines).</w:t>
            </w:r>
          </w:p>
          <w:p w14:paraId="037D7E6A" w14:textId="77777777" w:rsidR="003227F3" w:rsidRDefault="003227F3" w:rsidP="003227F3"/>
          <w:p w14:paraId="00674D4D" w14:textId="77777777" w:rsidR="003227F3" w:rsidRDefault="003227F3" w:rsidP="003227F3">
            <w:r>
              <w:t>The table below shows the numbers of schools and approximate children in schools by area:</w:t>
            </w:r>
          </w:p>
          <w:p w14:paraId="160D3D92" w14:textId="77777777" w:rsidR="003227F3" w:rsidRDefault="003227F3" w:rsidP="003227F3"/>
          <w:p w14:paraId="14FFBF2B" w14:textId="77777777" w:rsidR="003227F3" w:rsidRDefault="003227F3" w:rsidP="003227F3">
            <w:r>
              <w:lastRenderedPageBreak/>
              <w:t>System</w:t>
            </w:r>
            <w:r>
              <w:tab/>
              <w:t>Children (Reception to Year 11)</w:t>
            </w:r>
          </w:p>
          <w:p w14:paraId="32558E26" w14:textId="77777777" w:rsidR="003227F3" w:rsidRDefault="003227F3" w:rsidP="003227F3">
            <w:r>
              <w:tab/>
              <w:t xml:space="preserve">Primary </w:t>
            </w:r>
            <w:proofErr w:type="gramStart"/>
            <w:r>
              <w:t>schools</w:t>
            </w:r>
            <w:proofErr w:type="gramEnd"/>
            <w:r>
              <w:tab/>
              <w:t>Secondary schools</w:t>
            </w:r>
          </w:p>
          <w:p w14:paraId="173B1650" w14:textId="77777777" w:rsidR="003227F3" w:rsidRDefault="003227F3" w:rsidP="003227F3">
            <w:r>
              <w:t>BSW</w:t>
            </w:r>
            <w:r>
              <w:tab/>
              <w:t>131,206</w:t>
            </w:r>
            <w:r>
              <w:tab/>
              <w:t>381</w:t>
            </w:r>
            <w:r>
              <w:tab/>
              <w:t>73</w:t>
            </w:r>
          </w:p>
          <w:p w14:paraId="50D3C431" w14:textId="77777777" w:rsidR="003227F3" w:rsidRDefault="003227F3" w:rsidP="003227F3"/>
          <w:p w14:paraId="671A706D" w14:textId="77777777" w:rsidR="003227F3" w:rsidRDefault="003227F3" w:rsidP="003227F3">
            <w:r>
              <w:t>Please note that these are approximate numbers at the date of publishing and may include all-through schools double counted.</w:t>
            </w:r>
          </w:p>
          <w:p w14:paraId="7C5803A0" w14:textId="77777777" w:rsidR="003227F3" w:rsidRDefault="003227F3" w:rsidP="003227F3"/>
          <w:p w14:paraId="578FFEE5" w14:textId="77777777" w:rsidR="003227F3" w:rsidRDefault="003227F3" w:rsidP="003227F3">
            <w:r>
              <w:t>Further background information regarding the geography and population is provided within the ITT pack on Atamis.</w:t>
            </w:r>
          </w:p>
          <w:p w14:paraId="4A327514" w14:textId="77777777" w:rsidR="003227F3" w:rsidRDefault="003227F3" w:rsidP="003227F3"/>
          <w:p w14:paraId="5BEC5D77" w14:textId="0CC24A99" w:rsidR="006D2A64" w:rsidRPr="003F32A0" w:rsidRDefault="003227F3" w:rsidP="003227F3">
            <w:r>
              <w:t>TUPE is expected to apply for this lot.</w:t>
            </w:r>
          </w:p>
        </w:tc>
      </w:tr>
      <w:bookmarkEnd w:id="0"/>
    </w:tbl>
    <w:p w14:paraId="12DA82CF" w14:textId="77777777" w:rsidR="00C02865" w:rsidRPr="00A8526E" w:rsidRDefault="00C02865" w:rsidP="00955E0A">
      <w:pPr>
        <w:spacing w:after="200" w:line="276" w:lineRule="auto"/>
        <w:rPr>
          <w:rFonts w:cs="Arial"/>
        </w:rPr>
      </w:pPr>
    </w:p>
    <w:p w14:paraId="07C03909" w14:textId="77777777" w:rsidR="003227F3" w:rsidRDefault="003227F3">
      <w:pPr>
        <w:spacing w:after="200" w:line="276" w:lineRule="auto"/>
        <w:rPr>
          <w:rFonts w:cs="Arial"/>
          <w:b/>
          <w:bCs/>
        </w:rPr>
      </w:pPr>
      <w:r>
        <w:rPr>
          <w:rFonts w:cs="Arial"/>
          <w:b/>
          <w:bCs/>
        </w:rPr>
        <w:br w:type="page"/>
      </w:r>
    </w:p>
    <w:p w14:paraId="28DB8233" w14:textId="4348274F" w:rsidR="003227F3" w:rsidRPr="003227F3" w:rsidRDefault="003227F3" w:rsidP="003227F3">
      <w:pPr>
        <w:rPr>
          <w:rFonts w:cs="Arial"/>
          <w:b/>
          <w:bCs/>
        </w:rPr>
      </w:pPr>
      <w:r w:rsidRPr="003227F3">
        <w:rPr>
          <w:rFonts w:cs="Arial"/>
          <w:b/>
          <w:bCs/>
        </w:rPr>
        <w:lastRenderedPageBreak/>
        <w:t xml:space="preserve">Lot </w:t>
      </w:r>
      <w:r>
        <w:rPr>
          <w:rFonts w:cs="Arial"/>
          <w:b/>
          <w:bCs/>
        </w:rPr>
        <w:t>2 - Somerset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227F3" w:rsidRPr="00A8526E" w14:paraId="3220AECF" w14:textId="77777777" w:rsidTr="00304977">
        <w:trPr>
          <w:trHeight w:val="375"/>
        </w:trPr>
        <w:tc>
          <w:tcPr>
            <w:tcW w:w="9072" w:type="dxa"/>
            <w:shd w:val="clear" w:color="auto" w:fill="auto"/>
          </w:tcPr>
          <w:p w14:paraId="4A9BB921" w14:textId="77777777" w:rsidR="003227F3" w:rsidRDefault="003227F3" w:rsidP="003227F3">
            <w:pPr>
              <w:rPr>
                <w:rFonts w:cs="Arial"/>
                <w:sz w:val="22"/>
                <w:szCs w:val="22"/>
              </w:rPr>
            </w:pPr>
            <w:r w:rsidRPr="00CF6A06">
              <w:rPr>
                <w:rFonts w:cs="Arial"/>
                <w:sz w:val="22"/>
                <w:szCs w:val="22"/>
              </w:rPr>
              <w:t xml:space="preserve">Lot 2- Somerset has an expected annual block contract </w:t>
            </w:r>
            <w:r w:rsidRPr="00AF0ACD">
              <w:rPr>
                <w:rFonts w:cs="Arial"/>
                <w:sz w:val="22"/>
                <w:szCs w:val="22"/>
              </w:rPr>
              <w:t xml:space="preserve">value of </w:t>
            </w:r>
            <w:proofErr w:type="gramStart"/>
            <w:r w:rsidRPr="00AF0ACD">
              <w:rPr>
                <w:rFonts w:cs="Arial"/>
                <w:sz w:val="22"/>
                <w:szCs w:val="22"/>
              </w:rPr>
              <w:t>£533,952.00</w:t>
            </w:r>
            <w:proofErr w:type="gramEnd"/>
          </w:p>
          <w:p w14:paraId="531A167B" w14:textId="77777777" w:rsidR="003227F3" w:rsidRDefault="003227F3" w:rsidP="003227F3">
            <w:pPr>
              <w:rPr>
                <w:rFonts w:cs="Arial"/>
                <w:sz w:val="22"/>
                <w:szCs w:val="22"/>
              </w:rPr>
            </w:pPr>
          </w:p>
          <w:p w14:paraId="2ADD5150" w14:textId="77777777" w:rsidR="003227F3" w:rsidRDefault="003227F3" w:rsidP="003227F3">
            <w:pPr>
              <w:rPr>
                <w:color w:val="000000" w:themeColor="text1"/>
                <w:sz w:val="22"/>
                <w:szCs w:val="22"/>
              </w:rPr>
            </w:pPr>
            <w:r w:rsidRPr="007E3EB4">
              <w:rPr>
                <w:color w:val="000000" w:themeColor="text1"/>
                <w:sz w:val="22"/>
                <w:szCs w:val="22"/>
                <w:lang w:eastAsia="en-GB"/>
              </w:rPr>
              <w:t xml:space="preserve">The financial model </w:t>
            </w:r>
            <w:r>
              <w:rPr>
                <w:color w:val="000000" w:themeColor="text1"/>
                <w:sz w:val="22"/>
                <w:szCs w:val="22"/>
                <w:lang w:eastAsia="en-GB"/>
              </w:rPr>
              <w:t xml:space="preserve">for </w:t>
            </w:r>
            <w:r w:rsidRPr="007E3EB4">
              <w:rPr>
                <w:color w:val="000000" w:themeColor="text1"/>
                <w:sz w:val="22"/>
                <w:szCs w:val="22"/>
                <w:lang w:eastAsia="en-GB"/>
              </w:rPr>
              <w:t>the contract will be based on a block plus variable element. The v</w:t>
            </w:r>
            <w:r w:rsidRPr="007E3EB4">
              <w:rPr>
                <w:color w:val="000000" w:themeColor="text1"/>
                <w:sz w:val="22"/>
                <w:szCs w:val="22"/>
              </w:rPr>
              <w:t xml:space="preserve">ariable payment will be </w:t>
            </w:r>
            <w:r>
              <w:rPr>
                <w:color w:val="000000" w:themeColor="text1"/>
                <w:sz w:val="22"/>
                <w:szCs w:val="22"/>
              </w:rPr>
              <w:t>made f</w:t>
            </w:r>
            <w:r w:rsidRPr="007E3EB4">
              <w:rPr>
                <w:color w:val="000000" w:themeColor="text1"/>
                <w:sz w:val="22"/>
                <w:szCs w:val="22"/>
              </w:rPr>
              <w:t xml:space="preserve">or additional activity delivered over and above the agreed activity plan set for block and at an enhanced tariff for routine immunisations (currently HPV, </w:t>
            </w:r>
            <w:proofErr w:type="spellStart"/>
            <w:r w:rsidRPr="007E3EB4">
              <w:rPr>
                <w:color w:val="000000" w:themeColor="text1"/>
                <w:sz w:val="22"/>
                <w:szCs w:val="22"/>
              </w:rPr>
              <w:t>MenACWY</w:t>
            </w:r>
            <w:proofErr w:type="spellEnd"/>
            <w:r w:rsidRPr="007E3EB4">
              <w:rPr>
                <w:color w:val="000000" w:themeColor="text1"/>
                <w:sz w:val="22"/>
                <w:szCs w:val="22"/>
              </w:rPr>
              <w:t xml:space="preserve"> and Td/IPV) and at a marginal tariff for seasonal influenza. </w:t>
            </w:r>
            <w:r>
              <w:rPr>
                <w:color w:val="000000" w:themeColor="text1"/>
                <w:sz w:val="22"/>
                <w:szCs w:val="22"/>
              </w:rPr>
              <w:t xml:space="preserve">All programme activity will be monitored as part of the contract review meeting process and to enable variable payment. </w:t>
            </w:r>
          </w:p>
          <w:p w14:paraId="078541BB" w14:textId="77777777" w:rsidR="003227F3" w:rsidRDefault="003227F3" w:rsidP="003227F3">
            <w:pPr>
              <w:rPr>
                <w:rFonts w:cs="Arial"/>
                <w:sz w:val="22"/>
                <w:szCs w:val="22"/>
              </w:rPr>
            </w:pPr>
          </w:p>
          <w:p w14:paraId="1E376A58" w14:textId="77777777" w:rsidR="003227F3" w:rsidRPr="003B431C" w:rsidRDefault="003227F3" w:rsidP="003227F3">
            <w:pPr>
              <w:rPr>
                <w:color w:val="000000" w:themeColor="text1"/>
                <w:sz w:val="22"/>
                <w:szCs w:val="22"/>
                <w:lang w:eastAsia="en-GB"/>
              </w:rPr>
            </w:pPr>
            <w:r w:rsidRPr="003B431C">
              <w:rPr>
                <w:rFonts w:cs="Arial"/>
                <w:color w:val="000000" w:themeColor="text1"/>
                <w:sz w:val="22"/>
                <w:szCs w:val="22"/>
              </w:rPr>
              <w:t xml:space="preserve">At </w:t>
            </w:r>
            <w:r w:rsidRPr="00AF0ACD">
              <w:rPr>
                <w:rFonts w:cs="Arial"/>
                <w:color w:val="000000" w:themeColor="text1"/>
                <w:sz w:val="22"/>
                <w:szCs w:val="22"/>
              </w:rPr>
              <w:t xml:space="preserve">higher uptake levels this contract has a potential estimated contract value for Somerset of </w:t>
            </w:r>
            <w:r w:rsidRPr="00AF0ACD">
              <w:rPr>
                <w:color w:val="000000"/>
                <w:sz w:val="22"/>
                <w:szCs w:val="22"/>
                <w:lang w:eastAsia="en-GB"/>
              </w:rPr>
              <w:t>£615,852.00</w:t>
            </w:r>
          </w:p>
          <w:p w14:paraId="4EF7696A" w14:textId="77777777" w:rsidR="003227F3" w:rsidRPr="00CF6A06" w:rsidRDefault="003227F3" w:rsidP="003227F3">
            <w:pPr>
              <w:rPr>
                <w:rFonts w:cs="Arial"/>
                <w:sz w:val="22"/>
                <w:szCs w:val="22"/>
              </w:rPr>
            </w:pPr>
          </w:p>
          <w:p w14:paraId="0493F13C" w14:textId="77777777" w:rsidR="003227F3" w:rsidRDefault="003227F3" w:rsidP="003227F3">
            <w:pPr>
              <w:rPr>
                <w:rFonts w:cs="Arial"/>
                <w:sz w:val="22"/>
                <w:szCs w:val="22"/>
              </w:rPr>
            </w:pPr>
            <w:r w:rsidRPr="14083703">
              <w:rPr>
                <w:rFonts w:cs="Arial"/>
                <w:sz w:val="22"/>
                <w:szCs w:val="22"/>
              </w:rPr>
              <w:t xml:space="preserve">The </w:t>
            </w:r>
            <w:r w:rsidRPr="14083703">
              <w:rPr>
                <w:rFonts w:cs="Arial"/>
                <w:color w:val="000000" w:themeColor="text1"/>
                <w:sz w:val="22"/>
                <w:szCs w:val="22"/>
                <w:lang w:eastAsia="en-GB"/>
              </w:rPr>
              <w:t>school-aged population</w:t>
            </w:r>
            <w:r w:rsidRPr="14083703">
              <w:rPr>
                <w:rFonts w:cs="Arial"/>
                <w:sz w:val="22"/>
                <w:szCs w:val="22"/>
              </w:rPr>
              <w:t xml:space="preserve"> is defined as: </w:t>
            </w:r>
          </w:p>
          <w:p w14:paraId="3A9A4996" w14:textId="77777777" w:rsidR="003227F3" w:rsidRDefault="003227F3" w:rsidP="003227F3">
            <w:pPr>
              <w:pStyle w:val="ListParagraph"/>
              <w:numPr>
                <w:ilvl w:val="0"/>
                <w:numId w:val="17"/>
              </w:numPr>
              <w:rPr>
                <w:sz w:val="22"/>
                <w:szCs w:val="22"/>
              </w:rPr>
            </w:pPr>
            <w:r w:rsidRPr="14083703">
              <w:rPr>
                <w:sz w:val="22"/>
                <w:szCs w:val="22"/>
              </w:rPr>
              <w:t xml:space="preserve">Children on the </w:t>
            </w:r>
            <w:proofErr w:type="spellStart"/>
            <w:r w:rsidRPr="14083703">
              <w:rPr>
                <w:sz w:val="22"/>
                <w:szCs w:val="22"/>
              </w:rPr>
              <w:t>roll</w:t>
            </w:r>
            <w:proofErr w:type="spellEnd"/>
            <w:r w:rsidRPr="14083703">
              <w:rPr>
                <w:sz w:val="22"/>
                <w:szCs w:val="22"/>
              </w:rPr>
              <w:t xml:space="preserve"> of any school physically located within the Somerset local education </w:t>
            </w:r>
            <w:proofErr w:type="gramStart"/>
            <w:r w:rsidRPr="14083703">
              <w:rPr>
                <w:sz w:val="22"/>
                <w:szCs w:val="22"/>
              </w:rPr>
              <w:t>authority</w:t>
            </w:r>
            <w:proofErr w:type="gramEnd"/>
          </w:p>
          <w:p w14:paraId="4C05E193" w14:textId="77777777" w:rsidR="003227F3" w:rsidRDefault="003227F3" w:rsidP="003227F3">
            <w:pPr>
              <w:pStyle w:val="ListParagraph"/>
              <w:numPr>
                <w:ilvl w:val="0"/>
                <w:numId w:val="17"/>
              </w:numPr>
              <w:rPr>
                <w:sz w:val="22"/>
                <w:szCs w:val="22"/>
              </w:rPr>
            </w:pPr>
            <w:r w:rsidRPr="14083703">
              <w:rPr>
                <w:sz w:val="22"/>
                <w:szCs w:val="22"/>
              </w:rPr>
              <w:t xml:space="preserve">All children resident in the area, who are not regularly attending any </w:t>
            </w:r>
            <w:proofErr w:type="gramStart"/>
            <w:r w:rsidRPr="14083703">
              <w:rPr>
                <w:sz w:val="22"/>
                <w:szCs w:val="22"/>
              </w:rPr>
              <w:t>school</w:t>
            </w:r>
            <w:proofErr w:type="gramEnd"/>
          </w:p>
          <w:p w14:paraId="18AB9554" w14:textId="77777777" w:rsidR="003227F3" w:rsidRDefault="003227F3" w:rsidP="003227F3">
            <w:pPr>
              <w:pStyle w:val="ListParagraph"/>
              <w:numPr>
                <w:ilvl w:val="0"/>
                <w:numId w:val="17"/>
              </w:numPr>
              <w:rPr>
                <w:sz w:val="22"/>
                <w:szCs w:val="22"/>
              </w:rPr>
            </w:pPr>
            <w:r w:rsidRPr="14083703">
              <w:rPr>
                <w:sz w:val="22"/>
                <w:szCs w:val="22"/>
              </w:rPr>
              <w:t xml:space="preserve">Any children registered with a GP in the area, who are not regularly attending any </w:t>
            </w:r>
            <w:proofErr w:type="gramStart"/>
            <w:r w:rsidRPr="14083703">
              <w:rPr>
                <w:sz w:val="22"/>
                <w:szCs w:val="22"/>
              </w:rPr>
              <w:t>school</w:t>
            </w:r>
            <w:proofErr w:type="gramEnd"/>
          </w:p>
          <w:p w14:paraId="098C7197" w14:textId="77777777" w:rsidR="003227F3" w:rsidRDefault="003227F3" w:rsidP="003227F3">
            <w:pPr>
              <w:rPr>
                <w:sz w:val="22"/>
                <w:szCs w:val="22"/>
              </w:rPr>
            </w:pPr>
            <w:r w:rsidRPr="14083703">
              <w:rPr>
                <w:sz w:val="22"/>
                <w:szCs w:val="22"/>
              </w:rPr>
              <w:t>The population does not include children normally attending schools in a neighbouring local education authority outside of the area.</w:t>
            </w:r>
          </w:p>
          <w:p w14:paraId="6BEE5890" w14:textId="77777777" w:rsidR="003227F3" w:rsidRDefault="003227F3" w:rsidP="003227F3">
            <w:pPr>
              <w:rPr>
                <w:rFonts w:cs="Arial"/>
                <w:sz w:val="22"/>
                <w:szCs w:val="22"/>
              </w:rPr>
            </w:pPr>
          </w:p>
          <w:p w14:paraId="31C87AAF" w14:textId="77777777" w:rsidR="003227F3" w:rsidRPr="0008796F" w:rsidRDefault="003227F3" w:rsidP="003227F3">
            <w:pPr>
              <w:rPr>
                <w:rFonts w:cs="Arial"/>
                <w:b/>
                <w:bCs/>
                <w:sz w:val="22"/>
                <w:szCs w:val="22"/>
              </w:rPr>
            </w:pPr>
            <w:r>
              <w:rPr>
                <w:rFonts w:cs="Arial"/>
                <w:b/>
                <w:bCs/>
                <w:sz w:val="22"/>
                <w:szCs w:val="22"/>
              </w:rPr>
              <w:t xml:space="preserve">Somerset </w:t>
            </w:r>
            <w:r w:rsidRPr="0008796F">
              <w:rPr>
                <w:rFonts w:cs="Arial"/>
                <w:b/>
                <w:bCs/>
                <w:sz w:val="22"/>
                <w:szCs w:val="22"/>
              </w:rPr>
              <w:t xml:space="preserve">School Aged population  </w:t>
            </w:r>
          </w:p>
          <w:p w14:paraId="7317547A" w14:textId="77777777" w:rsidR="003227F3" w:rsidRDefault="003227F3" w:rsidP="003227F3">
            <w:pPr>
              <w:rPr>
                <w:rFonts w:cs="Arial"/>
                <w:sz w:val="22"/>
                <w:szCs w:val="22"/>
              </w:rPr>
            </w:pPr>
          </w:p>
          <w:p w14:paraId="6110C268" w14:textId="77777777" w:rsidR="003227F3" w:rsidRPr="00252F2A" w:rsidRDefault="003227F3" w:rsidP="003227F3">
            <w:pPr>
              <w:rPr>
                <w:rFonts w:cs="Arial"/>
                <w:color w:val="000000"/>
                <w:sz w:val="22"/>
                <w:szCs w:val="22"/>
                <w:lang w:eastAsia="en-GB"/>
              </w:rPr>
            </w:pPr>
            <w:r w:rsidRPr="00252F2A">
              <w:rPr>
                <w:rFonts w:cs="Arial"/>
                <w:color w:val="000000"/>
                <w:sz w:val="22"/>
                <w:szCs w:val="22"/>
                <w:lang w:eastAsia="en-GB"/>
              </w:rPr>
              <w:t xml:space="preserve">In scope are those children eligible for the programmes identified within the national service specification, within the school-aged population in </w:t>
            </w:r>
            <w:r>
              <w:rPr>
                <w:rFonts w:cs="Arial"/>
                <w:sz w:val="22"/>
                <w:szCs w:val="22"/>
              </w:rPr>
              <w:t xml:space="preserve">Somerset. </w:t>
            </w:r>
            <w:r w:rsidRPr="00252F2A">
              <w:rPr>
                <w:rFonts w:cs="Arial"/>
                <w:sz w:val="22"/>
                <w:szCs w:val="22"/>
              </w:rPr>
              <w:t xml:space="preserve"> </w:t>
            </w:r>
          </w:p>
          <w:p w14:paraId="5AFEF3CF" w14:textId="77777777" w:rsidR="003227F3" w:rsidRPr="00252F2A" w:rsidRDefault="003227F3" w:rsidP="003227F3">
            <w:pPr>
              <w:rPr>
                <w:rFonts w:cs="Arial"/>
                <w:b/>
                <w:sz w:val="22"/>
                <w:szCs w:val="22"/>
              </w:rPr>
            </w:pPr>
          </w:p>
          <w:p w14:paraId="01DC38D9" w14:textId="77777777" w:rsidR="003227F3" w:rsidRPr="00252F2A" w:rsidRDefault="003227F3" w:rsidP="003227F3">
            <w:pPr>
              <w:rPr>
                <w:rFonts w:cs="Arial"/>
                <w:sz w:val="22"/>
                <w:szCs w:val="22"/>
              </w:rPr>
            </w:pPr>
            <w:r w:rsidRPr="00252F2A">
              <w:rPr>
                <w:rFonts w:cs="Arial"/>
                <w:sz w:val="22"/>
                <w:szCs w:val="22"/>
              </w:rPr>
              <w:t>The adolescent programme is predominantly delivered within the secondary schools.</w:t>
            </w:r>
          </w:p>
          <w:p w14:paraId="787D9ED7" w14:textId="77777777" w:rsidR="003227F3" w:rsidRPr="00252F2A" w:rsidRDefault="003227F3" w:rsidP="003227F3">
            <w:pPr>
              <w:rPr>
                <w:rFonts w:cs="Arial"/>
                <w:sz w:val="22"/>
                <w:szCs w:val="22"/>
              </w:rPr>
            </w:pPr>
          </w:p>
          <w:p w14:paraId="06439F4A" w14:textId="77777777" w:rsidR="003227F3" w:rsidRPr="00252F2A" w:rsidRDefault="003227F3" w:rsidP="003227F3">
            <w:pPr>
              <w:rPr>
                <w:rFonts w:cs="Arial"/>
                <w:sz w:val="22"/>
                <w:szCs w:val="22"/>
              </w:rPr>
            </w:pPr>
            <w:r w:rsidRPr="00252F2A">
              <w:rPr>
                <w:rFonts w:cs="Arial"/>
                <w:sz w:val="22"/>
                <w:szCs w:val="22"/>
              </w:rPr>
              <w:t xml:space="preserve">The Seasonal </w:t>
            </w:r>
            <w:r>
              <w:rPr>
                <w:rFonts w:cs="Arial"/>
                <w:sz w:val="22"/>
                <w:szCs w:val="22"/>
              </w:rPr>
              <w:t>F</w:t>
            </w:r>
            <w:r w:rsidRPr="00252F2A">
              <w:rPr>
                <w:rFonts w:cs="Arial"/>
                <w:sz w:val="22"/>
                <w:szCs w:val="22"/>
              </w:rPr>
              <w:t>lu programme is predominantly delivered to primary school children, reception to year 6</w:t>
            </w:r>
            <w:r>
              <w:rPr>
                <w:rFonts w:cs="Arial"/>
                <w:sz w:val="22"/>
                <w:szCs w:val="22"/>
              </w:rPr>
              <w:t xml:space="preserve"> </w:t>
            </w:r>
            <w:r w:rsidRPr="006C3D53">
              <w:rPr>
                <w:rFonts w:cs="Arial"/>
                <w:sz w:val="22"/>
                <w:szCs w:val="22"/>
              </w:rPr>
              <w:t>(the cohort is expected to expand in future years)</w:t>
            </w:r>
            <w:r>
              <w:rPr>
                <w:rFonts w:cs="Arial"/>
                <w:sz w:val="22"/>
                <w:szCs w:val="22"/>
              </w:rPr>
              <w:t>.</w:t>
            </w:r>
          </w:p>
          <w:p w14:paraId="6B4283C4" w14:textId="77777777" w:rsidR="003227F3" w:rsidRPr="00252F2A" w:rsidRDefault="003227F3" w:rsidP="003227F3">
            <w:pPr>
              <w:rPr>
                <w:rFonts w:cs="Arial"/>
                <w:sz w:val="22"/>
                <w:szCs w:val="22"/>
              </w:rPr>
            </w:pPr>
          </w:p>
          <w:p w14:paraId="71C5E4A5" w14:textId="77777777" w:rsidR="003227F3" w:rsidRPr="00252F2A" w:rsidRDefault="003227F3" w:rsidP="003227F3">
            <w:pPr>
              <w:rPr>
                <w:rFonts w:cs="Arial"/>
                <w:sz w:val="22"/>
                <w:szCs w:val="22"/>
              </w:rPr>
            </w:pPr>
            <w:r w:rsidRPr="00252F2A">
              <w:rPr>
                <w:rFonts w:cs="Arial"/>
                <w:sz w:val="22"/>
                <w:szCs w:val="22"/>
              </w:rPr>
              <w:t>The table below shows the numbers of schools and approximate children in schools by area:</w:t>
            </w:r>
          </w:p>
          <w:p w14:paraId="4FE18441" w14:textId="77777777" w:rsidR="003227F3" w:rsidRPr="00252F2A" w:rsidRDefault="003227F3" w:rsidP="003227F3">
            <w:pPr>
              <w:rPr>
                <w:rFonts w:cs="Arial"/>
                <w:sz w:val="22"/>
                <w:szCs w:val="22"/>
              </w:rPr>
            </w:pPr>
          </w:p>
          <w:tbl>
            <w:tblPr>
              <w:tblStyle w:val="GridTable5Dark-Accent1"/>
              <w:tblW w:w="0" w:type="auto"/>
              <w:tblLook w:val="04A0" w:firstRow="1" w:lastRow="0" w:firstColumn="1" w:lastColumn="0" w:noHBand="0" w:noVBand="1"/>
            </w:tblPr>
            <w:tblGrid>
              <w:gridCol w:w="2241"/>
              <w:gridCol w:w="2221"/>
              <w:gridCol w:w="2209"/>
              <w:gridCol w:w="1829"/>
            </w:tblGrid>
            <w:tr w:rsidR="003227F3" w:rsidRPr="00252F2A" w14:paraId="518A9244" w14:textId="77777777" w:rsidTr="00304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1" w:type="dxa"/>
                </w:tcPr>
                <w:p w14:paraId="199B8443" w14:textId="77777777" w:rsidR="003227F3" w:rsidRPr="00252F2A" w:rsidRDefault="003227F3" w:rsidP="003227F3">
                  <w:pPr>
                    <w:pStyle w:val="paragraph"/>
                    <w:spacing w:before="0" w:beforeAutospacing="0" w:after="0" w:afterAutospacing="0"/>
                    <w:textAlignment w:val="baseline"/>
                    <w:rPr>
                      <w:rStyle w:val="normaltextrun"/>
                      <w:rFonts w:ascii="Arial" w:eastAsiaTheme="majorEastAsia" w:hAnsi="Arial" w:cs="Arial"/>
                      <w:sz w:val="22"/>
                      <w:szCs w:val="22"/>
                    </w:rPr>
                  </w:pPr>
                  <w:r w:rsidRPr="00252F2A">
                    <w:rPr>
                      <w:rStyle w:val="normaltextrun"/>
                      <w:rFonts w:ascii="Arial" w:eastAsiaTheme="majorEastAsia" w:hAnsi="Arial" w:cs="Arial"/>
                      <w:sz w:val="22"/>
                      <w:szCs w:val="22"/>
                    </w:rPr>
                    <w:t>System</w:t>
                  </w:r>
                </w:p>
              </w:tc>
              <w:tc>
                <w:tcPr>
                  <w:tcW w:w="2221" w:type="dxa"/>
                </w:tcPr>
                <w:p w14:paraId="7E2DBF39" w14:textId="77777777" w:rsidR="003227F3" w:rsidRPr="00252F2A" w:rsidRDefault="003227F3" w:rsidP="003227F3">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eastAsiaTheme="majorEastAsia" w:hAnsi="Arial" w:cs="Arial"/>
                      <w:b w:val="0"/>
                      <w:bCs w:val="0"/>
                      <w:sz w:val="22"/>
                      <w:szCs w:val="22"/>
                    </w:rPr>
                  </w:pPr>
                  <w:r w:rsidRPr="00252F2A">
                    <w:rPr>
                      <w:rStyle w:val="normaltextrun"/>
                      <w:rFonts w:ascii="Arial" w:eastAsiaTheme="majorEastAsia" w:hAnsi="Arial" w:cs="Arial"/>
                      <w:sz w:val="22"/>
                      <w:szCs w:val="22"/>
                    </w:rPr>
                    <w:t>Children (Reception to Year 11)</w:t>
                  </w:r>
                </w:p>
                <w:p w14:paraId="3C0DF973" w14:textId="77777777" w:rsidR="003227F3" w:rsidRPr="00252F2A" w:rsidRDefault="003227F3" w:rsidP="003227F3">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eastAsiaTheme="majorEastAsia" w:hAnsi="Arial" w:cs="Arial"/>
                      <w:sz w:val="22"/>
                      <w:szCs w:val="22"/>
                    </w:rPr>
                  </w:pPr>
                </w:p>
              </w:tc>
              <w:tc>
                <w:tcPr>
                  <w:tcW w:w="2209" w:type="dxa"/>
                </w:tcPr>
                <w:p w14:paraId="7F278179" w14:textId="77777777" w:rsidR="003227F3" w:rsidRPr="00252F2A" w:rsidRDefault="003227F3" w:rsidP="003227F3">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eastAsiaTheme="majorEastAsia" w:hAnsi="Arial" w:cs="Arial"/>
                      <w:sz w:val="22"/>
                      <w:szCs w:val="22"/>
                    </w:rPr>
                  </w:pPr>
                  <w:r w:rsidRPr="00252F2A">
                    <w:rPr>
                      <w:rStyle w:val="normaltextrun"/>
                      <w:rFonts w:ascii="Arial" w:eastAsiaTheme="majorEastAsia" w:hAnsi="Arial" w:cs="Arial"/>
                      <w:sz w:val="22"/>
                      <w:szCs w:val="22"/>
                    </w:rPr>
                    <w:t>Primary schools</w:t>
                  </w:r>
                </w:p>
              </w:tc>
              <w:tc>
                <w:tcPr>
                  <w:tcW w:w="1829" w:type="dxa"/>
                </w:tcPr>
                <w:p w14:paraId="299EF0DA" w14:textId="77777777" w:rsidR="003227F3" w:rsidRPr="00252F2A" w:rsidRDefault="003227F3" w:rsidP="003227F3">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eastAsiaTheme="majorEastAsia" w:hAnsi="Arial" w:cs="Arial"/>
                      <w:sz w:val="22"/>
                      <w:szCs w:val="22"/>
                    </w:rPr>
                  </w:pPr>
                  <w:r w:rsidRPr="00252F2A">
                    <w:rPr>
                      <w:rStyle w:val="normaltextrun"/>
                      <w:rFonts w:ascii="Arial" w:eastAsiaTheme="majorEastAsia" w:hAnsi="Arial" w:cs="Arial"/>
                      <w:sz w:val="22"/>
                      <w:szCs w:val="22"/>
                    </w:rPr>
                    <w:t>Secondary schools</w:t>
                  </w:r>
                </w:p>
              </w:tc>
            </w:tr>
            <w:tr w:rsidR="003227F3" w:rsidRPr="00252F2A" w14:paraId="537CE5D2" w14:textId="77777777" w:rsidTr="003049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1" w:type="dxa"/>
                </w:tcPr>
                <w:p w14:paraId="4C1A27F3" w14:textId="77777777" w:rsidR="003227F3" w:rsidRPr="00252F2A" w:rsidRDefault="003227F3" w:rsidP="003227F3">
                  <w:pPr>
                    <w:pStyle w:val="paragraph"/>
                    <w:spacing w:before="0" w:beforeAutospacing="0" w:after="0" w:afterAutospacing="0"/>
                    <w:textAlignment w:val="baseline"/>
                    <w:rPr>
                      <w:rStyle w:val="normaltextrun"/>
                      <w:rFonts w:ascii="Arial" w:eastAsiaTheme="majorEastAsia" w:hAnsi="Arial" w:cs="Arial"/>
                      <w:sz w:val="22"/>
                      <w:szCs w:val="22"/>
                    </w:rPr>
                  </w:pPr>
                  <w:r>
                    <w:rPr>
                      <w:rStyle w:val="normaltextrun"/>
                      <w:rFonts w:ascii="Arial" w:eastAsiaTheme="majorEastAsia" w:hAnsi="Arial" w:cs="Arial"/>
                    </w:rPr>
                    <w:t>Somerset</w:t>
                  </w:r>
                </w:p>
              </w:tc>
              <w:tc>
                <w:tcPr>
                  <w:tcW w:w="2221" w:type="dxa"/>
                </w:tcPr>
                <w:p w14:paraId="227B68AD" w14:textId="77777777" w:rsidR="003227F3" w:rsidRPr="00252F2A" w:rsidRDefault="003227F3" w:rsidP="003227F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eastAsiaTheme="majorEastAsia" w:hAnsi="Arial" w:cs="Arial"/>
                      <w:sz w:val="22"/>
                      <w:szCs w:val="22"/>
                    </w:rPr>
                  </w:pPr>
                  <w:r>
                    <w:rPr>
                      <w:rStyle w:val="normaltextrun"/>
                      <w:rFonts w:ascii="Arial" w:eastAsiaTheme="majorEastAsia" w:hAnsi="Arial" w:cs="Arial"/>
                    </w:rPr>
                    <w:t>74,381</w:t>
                  </w:r>
                </w:p>
              </w:tc>
              <w:tc>
                <w:tcPr>
                  <w:tcW w:w="2209" w:type="dxa"/>
                </w:tcPr>
                <w:p w14:paraId="736B6EB1" w14:textId="77777777" w:rsidR="003227F3" w:rsidRPr="00252F2A" w:rsidRDefault="003227F3" w:rsidP="003227F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eastAsiaTheme="majorEastAsia" w:hAnsi="Arial" w:cs="Arial"/>
                      <w:sz w:val="22"/>
                      <w:szCs w:val="22"/>
                    </w:rPr>
                  </w:pPr>
                  <w:r>
                    <w:rPr>
                      <w:rStyle w:val="normaltextrun"/>
                      <w:rFonts w:ascii="Arial" w:eastAsiaTheme="majorEastAsia" w:hAnsi="Arial" w:cs="Arial"/>
                    </w:rPr>
                    <w:t>257</w:t>
                  </w:r>
                </w:p>
              </w:tc>
              <w:tc>
                <w:tcPr>
                  <w:tcW w:w="1829" w:type="dxa"/>
                </w:tcPr>
                <w:p w14:paraId="7B825ED4" w14:textId="77777777" w:rsidR="003227F3" w:rsidRPr="00252F2A" w:rsidRDefault="003227F3" w:rsidP="003227F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eastAsiaTheme="majorEastAsia" w:hAnsi="Arial" w:cs="Arial"/>
                      <w:sz w:val="22"/>
                      <w:szCs w:val="22"/>
                    </w:rPr>
                  </w:pPr>
                  <w:r>
                    <w:rPr>
                      <w:rStyle w:val="normaltextrun"/>
                      <w:rFonts w:ascii="Arial" w:eastAsiaTheme="majorEastAsia" w:hAnsi="Arial" w:cs="Arial"/>
                    </w:rPr>
                    <w:t>40</w:t>
                  </w:r>
                </w:p>
              </w:tc>
            </w:tr>
          </w:tbl>
          <w:p w14:paraId="79899E66" w14:textId="77777777" w:rsidR="003227F3" w:rsidRPr="00252F2A" w:rsidRDefault="003227F3" w:rsidP="003227F3">
            <w:pPr>
              <w:rPr>
                <w:rFonts w:cs="Arial"/>
                <w:sz w:val="22"/>
                <w:szCs w:val="22"/>
              </w:rPr>
            </w:pPr>
          </w:p>
          <w:p w14:paraId="2F8EAB96" w14:textId="77777777" w:rsidR="003227F3" w:rsidRDefault="003227F3" w:rsidP="003227F3">
            <w:pPr>
              <w:rPr>
                <w:rFonts w:cs="Arial"/>
                <w:sz w:val="22"/>
                <w:szCs w:val="22"/>
              </w:rPr>
            </w:pPr>
            <w:r w:rsidRPr="00252F2A">
              <w:rPr>
                <w:rFonts w:cs="Arial"/>
                <w:sz w:val="22"/>
                <w:szCs w:val="22"/>
              </w:rPr>
              <w:t xml:space="preserve">Please note </w:t>
            </w:r>
            <w:r>
              <w:rPr>
                <w:rFonts w:cs="Arial"/>
                <w:sz w:val="22"/>
                <w:szCs w:val="22"/>
              </w:rPr>
              <w:t xml:space="preserve">that </w:t>
            </w:r>
            <w:r w:rsidRPr="00252F2A">
              <w:rPr>
                <w:rFonts w:cs="Arial"/>
                <w:sz w:val="22"/>
                <w:szCs w:val="22"/>
              </w:rPr>
              <w:t>th</w:t>
            </w:r>
            <w:r>
              <w:rPr>
                <w:rFonts w:cs="Arial"/>
                <w:sz w:val="22"/>
                <w:szCs w:val="22"/>
              </w:rPr>
              <w:t>ese</w:t>
            </w:r>
            <w:r w:rsidRPr="00252F2A">
              <w:rPr>
                <w:rFonts w:cs="Arial"/>
                <w:sz w:val="22"/>
                <w:szCs w:val="22"/>
              </w:rPr>
              <w:t xml:space="preserve"> </w:t>
            </w:r>
            <w:r>
              <w:rPr>
                <w:rFonts w:cs="Arial"/>
                <w:sz w:val="22"/>
                <w:szCs w:val="22"/>
              </w:rPr>
              <w:t>are</w:t>
            </w:r>
            <w:r w:rsidRPr="00252F2A">
              <w:rPr>
                <w:rFonts w:cs="Arial"/>
                <w:sz w:val="22"/>
                <w:szCs w:val="22"/>
              </w:rPr>
              <w:t xml:space="preserve"> approximate numbers a</w:t>
            </w:r>
            <w:r>
              <w:rPr>
                <w:rFonts w:cs="Arial"/>
                <w:sz w:val="22"/>
                <w:szCs w:val="22"/>
              </w:rPr>
              <w:t xml:space="preserve">t the </w:t>
            </w:r>
            <w:r w:rsidRPr="00252F2A">
              <w:rPr>
                <w:rFonts w:cs="Arial"/>
                <w:sz w:val="22"/>
                <w:szCs w:val="22"/>
              </w:rPr>
              <w:t>date of publish</w:t>
            </w:r>
            <w:r>
              <w:rPr>
                <w:rFonts w:cs="Arial"/>
                <w:sz w:val="22"/>
                <w:szCs w:val="22"/>
              </w:rPr>
              <w:t xml:space="preserve">ing and </w:t>
            </w:r>
            <w:r w:rsidRPr="00005E55">
              <w:rPr>
                <w:rFonts w:cs="Arial"/>
                <w:sz w:val="22"/>
                <w:szCs w:val="22"/>
              </w:rPr>
              <w:t>may include all-through schools double counted</w:t>
            </w:r>
            <w:r>
              <w:rPr>
                <w:rFonts w:cs="Arial"/>
                <w:sz w:val="22"/>
                <w:szCs w:val="22"/>
              </w:rPr>
              <w:t>.</w:t>
            </w:r>
          </w:p>
          <w:p w14:paraId="0F596F23" w14:textId="77777777" w:rsidR="003227F3" w:rsidRDefault="003227F3" w:rsidP="003227F3">
            <w:pPr>
              <w:rPr>
                <w:rFonts w:cs="Arial"/>
                <w:sz w:val="22"/>
                <w:szCs w:val="22"/>
              </w:rPr>
            </w:pPr>
          </w:p>
          <w:p w14:paraId="75095CCA" w14:textId="77777777" w:rsidR="003227F3" w:rsidRPr="00252F2A" w:rsidRDefault="003227F3" w:rsidP="003227F3">
            <w:pPr>
              <w:rPr>
                <w:rFonts w:cs="Arial"/>
                <w:sz w:val="22"/>
                <w:szCs w:val="22"/>
              </w:rPr>
            </w:pPr>
            <w:r>
              <w:rPr>
                <w:rFonts w:cs="Arial"/>
                <w:sz w:val="22"/>
                <w:szCs w:val="22"/>
              </w:rPr>
              <w:t>Further background information regarding the geography and population is provided within the ITT pack on Atamis.</w:t>
            </w:r>
          </w:p>
          <w:p w14:paraId="0339B1BD" w14:textId="77777777" w:rsidR="003227F3" w:rsidRDefault="003227F3" w:rsidP="003227F3">
            <w:pPr>
              <w:rPr>
                <w:rFonts w:cs="Arial"/>
                <w:sz w:val="22"/>
                <w:szCs w:val="22"/>
              </w:rPr>
            </w:pPr>
          </w:p>
          <w:p w14:paraId="576458FB" w14:textId="77777777" w:rsidR="003227F3" w:rsidRDefault="003227F3" w:rsidP="003227F3">
            <w:pPr>
              <w:rPr>
                <w:rFonts w:cs="Arial"/>
                <w:sz w:val="22"/>
                <w:szCs w:val="22"/>
              </w:rPr>
            </w:pPr>
            <w:r>
              <w:rPr>
                <w:rFonts w:cs="Arial"/>
                <w:sz w:val="22"/>
                <w:szCs w:val="22"/>
              </w:rPr>
              <w:t xml:space="preserve">TUPE is expected to apply for this lot. </w:t>
            </w:r>
          </w:p>
          <w:p w14:paraId="01DA6350" w14:textId="20CF822B" w:rsidR="003227F3" w:rsidRPr="003F32A0" w:rsidRDefault="003227F3" w:rsidP="00304977"/>
        </w:tc>
      </w:tr>
    </w:tbl>
    <w:p w14:paraId="2ADEFE44" w14:textId="77777777" w:rsidR="003227F3" w:rsidRPr="00A8526E" w:rsidRDefault="003227F3" w:rsidP="003227F3">
      <w:pPr>
        <w:spacing w:after="200" w:line="276" w:lineRule="auto"/>
        <w:rPr>
          <w:rFonts w:cs="Arial"/>
        </w:rPr>
      </w:pPr>
    </w:p>
    <w:p w14:paraId="47CD309F" w14:textId="77777777" w:rsidR="003227F3" w:rsidRPr="00A8526E" w:rsidRDefault="003227F3" w:rsidP="003227F3">
      <w:pPr>
        <w:spacing w:after="200" w:line="276" w:lineRule="auto"/>
        <w:rPr>
          <w:rFonts w:cs="Arial"/>
        </w:rPr>
      </w:pPr>
    </w:p>
    <w:p w14:paraId="657A5303" w14:textId="77777777" w:rsidR="003227F3" w:rsidRDefault="003227F3">
      <w:pPr>
        <w:spacing w:after="200" w:line="276" w:lineRule="auto"/>
        <w:rPr>
          <w:rFonts w:cs="Arial"/>
          <w:b/>
          <w:bCs/>
        </w:rPr>
      </w:pPr>
      <w:r>
        <w:rPr>
          <w:rFonts w:cs="Arial"/>
          <w:b/>
          <w:bCs/>
        </w:rPr>
        <w:br w:type="page"/>
      </w:r>
    </w:p>
    <w:p w14:paraId="25CF2D43" w14:textId="6EDE694B" w:rsidR="003227F3" w:rsidRPr="003227F3" w:rsidRDefault="003227F3" w:rsidP="003227F3">
      <w:pPr>
        <w:rPr>
          <w:rFonts w:cs="Arial"/>
          <w:b/>
          <w:bCs/>
        </w:rPr>
      </w:pPr>
      <w:r w:rsidRPr="003227F3">
        <w:rPr>
          <w:rFonts w:cs="Arial"/>
          <w:b/>
          <w:bCs/>
        </w:rPr>
        <w:lastRenderedPageBreak/>
        <w:t xml:space="preserve">Lot </w:t>
      </w:r>
      <w:r>
        <w:rPr>
          <w:rFonts w:cs="Arial"/>
          <w:b/>
          <w:bCs/>
        </w:rPr>
        <w:t>3</w:t>
      </w:r>
      <w:r w:rsidRPr="003227F3">
        <w:rPr>
          <w:rFonts w:cs="Arial"/>
          <w:b/>
          <w:bCs/>
        </w:rPr>
        <w:t xml:space="preserve"> - </w:t>
      </w:r>
      <w:r>
        <w:rPr>
          <w:b/>
          <w:bCs/>
        </w:rPr>
        <w:t>Cornwall</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227F3" w:rsidRPr="00A8526E" w14:paraId="683AB18E" w14:textId="77777777" w:rsidTr="00304977">
        <w:trPr>
          <w:trHeight w:val="375"/>
        </w:trPr>
        <w:tc>
          <w:tcPr>
            <w:tcW w:w="9072" w:type="dxa"/>
            <w:shd w:val="clear" w:color="auto" w:fill="auto"/>
          </w:tcPr>
          <w:p w14:paraId="2AFDEC5C" w14:textId="77777777" w:rsidR="003227F3" w:rsidRPr="003308AF" w:rsidRDefault="003227F3" w:rsidP="003227F3">
            <w:pPr>
              <w:rPr>
                <w:color w:val="000000"/>
                <w:sz w:val="22"/>
                <w:szCs w:val="22"/>
                <w:lang w:eastAsia="en-GB"/>
              </w:rPr>
            </w:pPr>
            <w:r w:rsidRPr="00337591">
              <w:rPr>
                <w:rFonts w:cs="Arial"/>
                <w:sz w:val="22"/>
                <w:szCs w:val="22"/>
              </w:rPr>
              <w:t xml:space="preserve">Lot </w:t>
            </w:r>
            <w:r>
              <w:rPr>
                <w:rFonts w:cs="Arial"/>
                <w:sz w:val="22"/>
                <w:szCs w:val="22"/>
              </w:rPr>
              <w:t xml:space="preserve">3 </w:t>
            </w:r>
            <w:r w:rsidRPr="00337591">
              <w:rPr>
                <w:rFonts w:cs="Arial"/>
                <w:sz w:val="22"/>
                <w:szCs w:val="22"/>
              </w:rPr>
              <w:t xml:space="preserve">- </w:t>
            </w:r>
            <w:r w:rsidRPr="003308AF">
              <w:rPr>
                <w:rFonts w:cs="Arial"/>
                <w:sz w:val="22"/>
                <w:szCs w:val="22"/>
              </w:rPr>
              <w:t xml:space="preserve">Cornwall has an expected annual block contract value of </w:t>
            </w:r>
            <w:proofErr w:type="gramStart"/>
            <w:r w:rsidRPr="003308AF">
              <w:rPr>
                <w:rFonts w:cs="Arial"/>
                <w:sz w:val="22"/>
                <w:szCs w:val="22"/>
              </w:rPr>
              <w:t>£532,086.00</w:t>
            </w:r>
            <w:proofErr w:type="gramEnd"/>
          </w:p>
          <w:p w14:paraId="6A6149C1" w14:textId="77777777" w:rsidR="003227F3" w:rsidRPr="003308AF" w:rsidRDefault="003227F3" w:rsidP="003227F3">
            <w:pPr>
              <w:rPr>
                <w:color w:val="000000"/>
                <w:sz w:val="22"/>
                <w:szCs w:val="22"/>
                <w:lang w:eastAsia="en-GB"/>
              </w:rPr>
            </w:pPr>
          </w:p>
          <w:p w14:paraId="31576421" w14:textId="77777777" w:rsidR="003227F3" w:rsidRPr="003308AF" w:rsidRDefault="003227F3" w:rsidP="003227F3">
            <w:pPr>
              <w:rPr>
                <w:color w:val="000000" w:themeColor="text1"/>
                <w:sz w:val="22"/>
                <w:szCs w:val="22"/>
              </w:rPr>
            </w:pPr>
            <w:r w:rsidRPr="003308AF">
              <w:rPr>
                <w:color w:val="000000" w:themeColor="text1"/>
                <w:sz w:val="22"/>
                <w:szCs w:val="22"/>
                <w:lang w:eastAsia="en-GB"/>
              </w:rPr>
              <w:t>The financial model for the contract will be based on a block plus variable element. The v</w:t>
            </w:r>
            <w:r w:rsidRPr="003308AF">
              <w:rPr>
                <w:color w:val="000000" w:themeColor="text1"/>
                <w:sz w:val="22"/>
                <w:szCs w:val="22"/>
              </w:rPr>
              <w:t xml:space="preserve">ariable payment will be made for additional activity delivered over and above the agreed activity plan set for block and at an enhanced tariff for routine immunisations (currently HPV, </w:t>
            </w:r>
            <w:proofErr w:type="spellStart"/>
            <w:r w:rsidRPr="003308AF">
              <w:rPr>
                <w:color w:val="000000" w:themeColor="text1"/>
                <w:sz w:val="22"/>
                <w:szCs w:val="22"/>
              </w:rPr>
              <w:t>MenACWY</w:t>
            </w:r>
            <w:proofErr w:type="spellEnd"/>
            <w:r w:rsidRPr="003308AF">
              <w:rPr>
                <w:color w:val="000000" w:themeColor="text1"/>
                <w:sz w:val="22"/>
                <w:szCs w:val="22"/>
              </w:rPr>
              <w:t xml:space="preserve"> and Td/IPV) and at a marginal tariff for seasonal influenza. All programme activity will be monitored as part of the contract review meeting process and to enable variable payment. </w:t>
            </w:r>
          </w:p>
          <w:p w14:paraId="00A918DD" w14:textId="77777777" w:rsidR="003227F3" w:rsidRPr="003308AF" w:rsidRDefault="003227F3" w:rsidP="003227F3">
            <w:pPr>
              <w:rPr>
                <w:rFonts w:cs="Arial"/>
                <w:sz w:val="22"/>
                <w:szCs w:val="22"/>
              </w:rPr>
            </w:pPr>
          </w:p>
          <w:p w14:paraId="722B85B6" w14:textId="77777777" w:rsidR="003227F3" w:rsidRDefault="003227F3" w:rsidP="003227F3">
            <w:pPr>
              <w:rPr>
                <w:rFonts w:cs="Arial"/>
                <w:color w:val="000000" w:themeColor="text1"/>
                <w:sz w:val="22"/>
                <w:szCs w:val="22"/>
              </w:rPr>
            </w:pPr>
            <w:r w:rsidRPr="003308AF">
              <w:rPr>
                <w:rFonts w:cs="Arial"/>
                <w:color w:val="000000" w:themeColor="text1"/>
                <w:sz w:val="22"/>
                <w:szCs w:val="22"/>
              </w:rPr>
              <w:t>At higher uptake levels this contract has a potential estimated contract value for Cornwall of £611,061.00</w:t>
            </w:r>
          </w:p>
          <w:p w14:paraId="0AB59680" w14:textId="77777777" w:rsidR="003227F3" w:rsidRPr="005432E4" w:rsidRDefault="003227F3" w:rsidP="003227F3">
            <w:pPr>
              <w:rPr>
                <w:rFonts w:cs="Arial"/>
                <w:sz w:val="22"/>
                <w:szCs w:val="22"/>
              </w:rPr>
            </w:pPr>
          </w:p>
          <w:p w14:paraId="735B636B" w14:textId="77777777" w:rsidR="003227F3" w:rsidRDefault="003227F3" w:rsidP="003227F3">
            <w:pPr>
              <w:rPr>
                <w:rFonts w:cs="Arial"/>
                <w:sz w:val="22"/>
                <w:szCs w:val="22"/>
              </w:rPr>
            </w:pPr>
            <w:r w:rsidRPr="14083703">
              <w:rPr>
                <w:rFonts w:cs="Arial"/>
                <w:sz w:val="22"/>
                <w:szCs w:val="22"/>
              </w:rPr>
              <w:t xml:space="preserve">The </w:t>
            </w:r>
            <w:r w:rsidRPr="14083703">
              <w:rPr>
                <w:rFonts w:cs="Arial"/>
                <w:color w:val="000000" w:themeColor="text1"/>
                <w:sz w:val="22"/>
                <w:szCs w:val="22"/>
                <w:lang w:eastAsia="en-GB"/>
              </w:rPr>
              <w:t>school-aged population</w:t>
            </w:r>
            <w:r w:rsidRPr="14083703">
              <w:rPr>
                <w:rFonts w:cs="Arial"/>
                <w:sz w:val="22"/>
                <w:szCs w:val="22"/>
              </w:rPr>
              <w:t xml:space="preserve"> is defined as: </w:t>
            </w:r>
          </w:p>
          <w:p w14:paraId="1402058C" w14:textId="77777777" w:rsidR="003227F3" w:rsidRDefault="003227F3" w:rsidP="003227F3">
            <w:pPr>
              <w:pStyle w:val="ListParagraph"/>
              <w:numPr>
                <w:ilvl w:val="0"/>
                <w:numId w:val="17"/>
              </w:numPr>
              <w:rPr>
                <w:sz w:val="22"/>
                <w:szCs w:val="22"/>
              </w:rPr>
            </w:pPr>
            <w:r w:rsidRPr="14083703">
              <w:rPr>
                <w:sz w:val="22"/>
                <w:szCs w:val="22"/>
              </w:rPr>
              <w:t xml:space="preserve">Children on the </w:t>
            </w:r>
            <w:proofErr w:type="spellStart"/>
            <w:r w:rsidRPr="14083703">
              <w:rPr>
                <w:sz w:val="22"/>
                <w:szCs w:val="22"/>
              </w:rPr>
              <w:t>roll</w:t>
            </w:r>
            <w:proofErr w:type="spellEnd"/>
            <w:r w:rsidRPr="14083703">
              <w:rPr>
                <w:sz w:val="22"/>
                <w:szCs w:val="22"/>
              </w:rPr>
              <w:t xml:space="preserve"> of any school physically located within the Cornwall local education </w:t>
            </w:r>
            <w:proofErr w:type="gramStart"/>
            <w:r w:rsidRPr="14083703">
              <w:rPr>
                <w:sz w:val="22"/>
                <w:szCs w:val="22"/>
              </w:rPr>
              <w:t>authority</w:t>
            </w:r>
            <w:proofErr w:type="gramEnd"/>
          </w:p>
          <w:p w14:paraId="2C9B8123" w14:textId="77777777" w:rsidR="003227F3" w:rsidRDefault="003227F3" w:rsidP="003227F3">
            <w:pPr>
              <w:pStyle w:val="ListParagraph"/>
              <w:numPr>
                <w:ilvl w:val="0"/>
                <w:numId w:val="17"/>
              </w:numPr>
              <w:rPr>
                <w:sz w:val="22"/>
                <w:szCs w:val="22"/>
              </w:rPr>
            </w:pPr>
            <w:r w:rsidRPr="14083703">
              <w:rPr>
                <w:sz w:val="22"/>
                <w:szCs w:val="22"/>
              </w:rPr>
              <w:t xml:space="preserve">All children resident in the area, who are not regularly attending any </w:t>
            </w:r>
            <w:proofErr w:type="gramStart"/>
            <w:r w:rsidRPr="14083703">
              <w:rPr>
                <w:sz w:val="22"/>
                <w:szCs w:val="22"/>
              </w:rPr>
              <w:t>school</w:t>
            </w:r>
            <w:proofErr w:type="gramEnd"/>
          </w:p>
          <w:p w14:paraId="64B5D4CF" w14:textId="77777777" w:rsidR="003227F3" w:rsidRDefault="003227F3" w:rsidP="003227F3">
            <w:pPr>
              <w:pStyle w:val="ListParagraph"/>
              <w:numPr>
                <w:ilvl w:val="0"/>
                <w:numId w:val="17"/>
              </w:numPr>
              <w:rPr>
                <w:sz w:val="22"/>
                <w:szCs w:val="22"/>
              </w:rPr>
            </w:pPr>
            <w:r w:rsidRPr="14083703">
              <w:rPr>
                <w:sz w:val="22"/>
                <w:szCs w:val="22"/>
              </w:rPr>
              <w:t xml:space="preserve">Any children registered with a GP in the area, who are not regularly attending any </w:t>
            </w:r>
            <w:proofErr w:type="gramStart"/>
            <w:r w:rsidRPr="14083703">
              <w:rPr>
                <w:sz w:val="22"/>
                <w:szCs w:val="22"/>
              </w:rPr>
              <w:t>school</w:t>
            </w:r>
            <w:proofErr w:type="gramEnd"/>
          </w:p>
          <w:p w14:paraId="2EB1F2C6" w14:textId="77777777" w:rsidR="003227F3" w:rsidRDefault="003227F3" w:rsidP="003227F3">
            <w:pPr>
              <w:rPr>
                <w:sz w:val="22"/>
                <w:szCs w:val="22"/>
              </w:rPr>
            </w:pPr>
            <w:r w:rsidRPr="14083703">
              <w:rPr>
                <w:sz w:val="22"/>
                <w:szCs w:val="22"/>
              </w:rPr>
              <w:t>The population does not include children normally attending schools in a neighbouring local education authority outside of the area.</w:t>
            </w:r>
          </w:p>
          <w:p w14:paraId="7BBB6D25" w14:textId="77777777" w:rsidR="003227F3" w:rsidRDefault="003227F3" w:rsidP="003227F3">
            <w:pPr>
              <w:rPr>
                <w:sz w:val="22"/>
                <w:szCs w:val="22"/>
              </w:rPr>
            </w:pPr>
            <w:r w:rsidRPr="14083703">
              <w:rPr>
                <w:sz w:val="22"/>
                <w:szCs w:val="22"/>
              </w:rPr>
              <w:t xml:space="preserve">The population does not include children resident on the Isles of Scilly, where the GP practice ensures children are offered the full immunisation schedule. </w:t>
            </w:r>
          </w:p>
          <w:p w14:paraId="60570EC3" w14:textId="77777777" w:rsidR="003227F3" w:rsidRDefault="003227F3" w:rsidP="003227F3">
            <w:pPr>
              <w:rPr>
                <w:rFonts w:cs="Arial"/>
                <w:sz w:val="22"/>
                <w:szCs w:val="22"/>
              </w:rPr>
            </w:pPr>
          </w:p>
          <w:p w14:paraId="06DE4575" w14:textId="77777777" w:rsidR="003227F3" w:rsidRPr="0008796F" w:rsidRDefault="003227F3" w:rsidP="003227F3">
            <w:pPr>
              <w:rPr>
                <w:rFonts w:cs="Arial"/>
                <w:b/>
                <w:bCs/>
                <w:sz w:val="22"/>
                <w:szCs w:val="22"/>
              </w:rPr>
            </w:pPr>
            <w:r>
              <w:rPr>
                <w:rFonts w:cs="Arial"/>
                <w:b/>
                <w:bCs/>
                <w:sz w:val="22"/>
                <w:szCs w:val="22"/>
              </w:rPr>
              <w:t xml:space="preserve">Cornwall </w:t>
            </w:r>
            <w:r w:rsidRPr="0008796F">
              <w:rPr>
                <w:rFonts w:cs="Arial"/>
                <w:b/>
                <w:bCs/>
                <w:sz w:val="22"/>
                <w:szCs w:val="22"/>
              </w:rPr>
              <w:t xml:space="preserve">School Aged population  </w:t>
            </w:r>
          </w:p>
          <w:p w14:paraId="181B3B39" w14:textId="77777777" w:rsidR="003227F3" w:rsidRDefault="003227F3" w:rsidP="003227F3">
            <w:pPr>
              <w:rPr>
                <w:rFonts w:cs="Arial"/>
                <w:sz w:val="22"/>
                <w:szCs w:val="22"/>
              </w:rPr>
            </w:pPr>
          </w:p>
          <w:p w14:paraId="67BBC981" w14:textId="77777777" w:rsidR="003227F3" w:rsidRPr="00252F2A" w:rsidRDefault="003227F3" w:rsidP="003227F3">
            <w:pPr>
              <w:rPr>
                <w:rFonts w:cs="Arial"/>
                <w:color w:val="000000"/>
                <w:sz w:val="22"/>
                <w:szCs w:val="22"/>
                <w:lang w:eastAsia="en-GB"/>
              </w:rPr>
            </w:pPr>
            <w:r w:rsidRPr="00252F2A">
              <w:rPr>
                <w:rFonts w:cs="Arial"/>
                <w:color w:val="000000"/>
                <w:sz w:val="22"/>
                <w:szCs w:val="22"/>
                <w:lang w:eastAsia="en-GB"/>
              </w:rPr>
              <w:t xml:space="preserve">In scope are those children eligible for the programmes identified within the national service specification, within the school-aged population in </w:t>
            </w:r>
            <w:r>
              <w:rPr>
                <w:rFonts w:cs="Arial"/>
                <w:sz w:val="22"/>
                <w:szCs w:val="22"/>
              </w:rPr>
              <w:t xml:space="preserve">Cornwall. </w:t>
            </w:r>
          </w:p>
          <w:p w14:paraId="2A2E44DD" w14:textId="77777777" w:rsidR="003227F3" w:rsidRPr="00252F2A" w:rsidRDefault="003227F3" w:rsidP="003227F3">
            <w:pPr>
              <w:rPr>
                <w:rFonts w:cs="Arial"/>
                <w:b/>
                <w:sz w:val="22"/>
                <w:szCs w:val="22"/>
              </w:rPr>
            </w:pPr>
          </w:p>
          <w:p w14:paraId="4C149472" w14:textId="77777777" w:rsidR="003227F3" w:rsidRPr="00252F2A" w:rsidRDefault="003227F3" w:rsidP="003227F3">
            <w:pPr>
              <w:rPr>
                <w:rFonts w:cs="Arial"/>
                <w:sz w:val="22"/>
                <w:szCs w:val="22"/>
              </w:rPr>
            </w:pPr>
            <w:r w:rsidRPr="00252F2A">
              <w:rPr>
                <w:rFonts w:cs="Arial"/>
                <w:sz w:val="22"/>
                <w:szCs w:val="22"/>
              </w:rPr>
              <w:t>The adolescent programme is predominantly delivered within the secondary schools.</w:t>
            </w:r>
          </w:p>
          <w:p w14:paraId="4C8FC22A" w14:textId="77777777" w:rsidR="003227F3" w:rsidRPr="00252F2A" w:rsidRDefault="003227F3" w:rsidP="003227F3">
            <w:pPr>
              <w:rPr>
                <w:rFonts w:cs="Arial"/>
                <w:sz w:val="22"/>
                <w:szCs w:val="22"/>
              </w:rPr>
            </w:pPr>
          </w:p>
          <w:p w14:paraId="42189C8D" w14:textId="77777777" w:rsidR="003227F3" w:rsidRPr="00252F2A" w:rsidRDefault="003227F3" w:rsidP="003227F3">
            <w:pPr>
              <w:rPr>
                <w:rFonts w:cs="Arial"/>
                <w:sz w:val="22"/>
                <w:szCs w:val="22"/>
              </w:rPr>
            </w:pPr>
            <w:r w:rsidRPr="00252F2A">
              <w:rPr>
                <w:rFonts w:cs="Arial"/>
                <w:sz w:val="22"/>
                <w:szCs w:val="22"/>
              </w:rPr>
              <w:t>The Seasonal flu programme is predominantly delivered to primary school children, reception to year 6</w:t>
            </w:r>
            <w:r>
              <w:rPr>
                <w:rFonts w:cs="Arial"/>
                <w:sz w:val="22"/>
                <w:szCs w:val="22"/>
              </w:rPr>
              <w:t xml:space="preserve"> </w:t>
            </w:r>
            <w:r w:rsidRPr="006C3D53">
              <w:rPr>
                <w:rFonts w:cs="Arial"/>
                <w:sz w:val="22"/>
                <w:szCs w:val="22"/>
              </w:rPr>
              <w:t>(the cohort is expected to expand in future years)</w:t>
            </w:r>
            <w:r>
              <w:rPr>
                <w:rFonts w:cs="Arial"/>
                <w:sz w:val="22"/>
                <w:szCs w:val="22"/>
              </w:rPr>
              <w:t>.</w:t>
            </w:r>
          </w:p>
          <w:p w14:paraId="453A9827" w14:textId="77777777" w:rsidR="003227F3" w:rsidRPr="00252F2A" w:rsidRDefault="003227F3" w:rsidP="003227F3">
            <w:pPr>
              <w:rPr>
                <w:rFonts w:cs="Arial"/>
                <w:sz w:val="22"/>
                <w:szCs w:val="22"/>
              </w:rPr>
            </w:pPr>
          </w:p>
          <w:p w14:paraId="73EBDC38" w14:textId="77777777" w:rsidR="003227F3" w:rsidRPr="00252F2A" w:rsidRDefault="003227F3" w:rsidP="003227F3">
            <w:pPr>
              <w:rPr>
                <w:rFonts w:cs="Arial"/>
                <w:sz w:val="22"/>
                <w:szCs w:val="22"/>
              </w:rPr>
            </w:pPr>
            <w:r w:rsidRPr="00252F2A">
              <w:rPr>
                <w:rFonts w:cs="Arial"/>
                <w:sz w:val="22"/>
                <w:szCs w:val="22"/>
              </w:rPr>
              <w:t>The table below shows the numbers of schools and approximate children in schools by area:</w:t>
            </w:r>
          </w:p>
          <w:p w14:paraId="3A6C3832" w14:textId="77777777" w:rsidR="003227F3" w:rsidRPr="00252F2A" w:rsidRDefault="003227F3" w:rsidP="003227F3">
            <w:pPr>
              <w:rPr>
                <w:rFonts w:cs="Arial"/>
                <w:sz w:val="22"/>
                <w:szCs w:val="22"/>
              </w:rPr>
            </w:pPr>
          </w:p>
          <w:tbl>
            <w:tblPr>
              <w:tblStyle w:val="GridTable5Dark-Accent1"/>
              <w:tblW w:w="0" w:type="auto"/>
              <w:tblLook w:val="04A0" w:firstRow="1" w:lastRow="0" w:firstColumn="1" w:lastColumn="0" w:noHBand="0" w:noVBand="1"/>
            </w:tblPr>
            <w:tblGrid>
              <w:gridCol w:w="2241"/>
              <w:gridCol w:w="2221"/>
              <w:gridCol w:w="2209"/>
              <w:gridCol w:w="1829"/>
            </w:tblGrid>
            <w:tr w:rsidR="003227F3" w:rsidRPr="00252F2A" w14:paraId="1BC105BF" w14:textId="77777777" w:rsidTr="00304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1" w:type="dxa"/>
                </w:tcPr>
                <w:p w14:paraId="64B4A6B6" w14:textId="77777777" w:rsidR="003227F3" w:rsidRPr="00252F2A" w:rsidRDefault="003227F3" w:rsidP="003227F3">
                  <w:pPr>
                    <w:pStyle w:val="paragraph"/>
                    <w:spacing w:before="0" w:beforeAutospacing="0" w:after="0" w:afterAutospacing="0"/>
                    <w:textAlignment w:val="baseline"/>
                    <w:rPr>
                      <w:rStyle w:val="normaltextrun"/>
                      <w:rFonts w:ascii="Arial" w:eastAsiaTheme="majorEastAsia" w:hAnsi="Arial" w:cs="Arial"/>
                      <w:sz w:val="22"/>
                      <w:szCs w:val="22"/>
                    </w:rPr>
                  </w:pPr>
                  <w:r w:rsidRPr="00252F2A">
                    <w:rPr>
                      <w:rStyle w:val="normaltextrun"/>
                      <w:rFonts w:ascii="Arial" w:eastAsiaTheme="majorEastAsia" w:hAnsi="Arial" w:cs="Arial"/>
                      <w:sz w:val="22"/>
                      <w:szCs w:val="22"/>
                    </w:rPr>
                    <w:t>System</w:t>
                  </w:r>
                </w:p>
              </w:tc>
              <w:tc>
                <w:tcPr>
                  <w:tcW w:w="2221" w:type="dxa"/>
                </w:tcPr>
                <w:p w14:paraId="016C7813" w14:textId="77777777" w:rsidR="003227F3" w:rsidRPr="00252F2A" w:rsidRDefault="003227F3" w:rsidP="003227F3">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eastAsiaTheme="majorEastAsia" w:hAnsi="Arial" w:cs="Arial"/>
                      <w:b w:val="0"/>
                      <w:bCs w:val="0"/>
                      <w:sz w:val="22"/>
                      <w:szCs w:val="22"/>
                    </w:rPr>
                  </w:pPr>
                  <w:r w:rsidRPr="00252F2A">
                    <w:rPr>
                      <w:rStyle w:val="normaltextrun"/>
                      <w:rFonts w:ascii="Arial" w:eastAsiaTheme="majorEastAsia" w:hAnsi="Arial" w:cs="Arial"/>
                      <w:sz w:val="22"/>
                      <w:szCs w:val="22"/>
                    </w:rPr>
                    <w:t>Children (Reception to Year 11)</w:t>
                  </w:r>
                </w:p>
                <w:p w14:paraId="39473038" w14:textId="77777777" w:rsidR="003227F3" w:rsidRPr="00252F2A" w:rsidRDefault="003227F3" w:rsidP="003227F3">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eastAsiaTheme="majorEastAsia" w:hAnsi="Arial" w:cs="Arial"/>
                      <w:sz w:val="22"/>
                      <w:szCs w:val="22"/>
                    </w:rPr>
                  </w:pPr>
                </w:p>
              </w:tc>
              <w:tc>
                <w:tcPr>
                  <w:tcW w:w="2209" w:type="dxa"/>
                </w:tcPr>
                <w:p w14:paraId="7B119A79" w14:textId="77777777" w:rsidR="003227F3" w:rsidRPr="00252F2A" w:rsidRDefault="003227F3" w:rsidP="003227F3">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eastAsiaTheme="majorEastAsia" w:hAnsi="Arial" w:cs="Arial"/>
                      <w:sz w:val="22"/>
                      <w:szCs w:val="22"/>
                    </w:rPr>
                  </w:pPr>
                  <w:r w:rsidRPr="00252F2A">
                    <w:rPr>
                      <w:rStyle w:val="normaltextrun"/>
                      <w:rFonts w:ascii="Arial" w:eastAsiaTheme="majorEastAsia" w:hAnsi="Arial" w:cs="Arial"/>
                      <w:sz w:val="22"/>
                      <w:szCs w:val="22"/>
                    </w:rPr>
                    <w:t>Primary schools</w:t>
                  </w:r>
                </w:p>
              </w:tc>
              <w:tc>
                <w:tcPr>
                  <w:tcW w:w="1829" w:type="dxa"/>
                </w:tcPr>
                <w:p w14:paraId="6D602038" w14:textId="77777777" w:rsidR="003227F3" w:rsidRPr="00252F2A" w:rsidRDefault="003227F3" w:rsidP="003227F3">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eastAsiaTheme="majorEastAsia" w:hAnsi="Arial" w:cs="Arial"/>
                      <w:sz w:val="22"/>
                      <w:szCs w:val="22"/>
                    </w:rPr>
                  </w:pPr>
                  <w:r w:rsidRPr="00252F2A">
                    <w:rPr>
                      <w:rStyle w:val="normaltextrun"/>
                      <w:rFonts w:ascii="Arial" w:eastAsiaTheme="majorEastAsia" w:hAnsi="Arial" w:cs="Arial"/>
                      <w:sz w:val="22"/>
                      <w:szCs w:val="22"/>
                    </w:rPr>
                    <w:t>Secondary schools</w:t>
                  </w:r>
                </w:p>
              </w:tc>
            </w:tr>
            <w:tr w:rsidR="003227F3" w:rsidRPr="00252F2A" w14:paraId="7E91007C" w14:textId="77777777" w:rsidTr="003049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1" w:type="dxa"/>
                </w:tcPr>
                <w:p w14:paraId="57063E89" w14:textId="77777777" w:rsidR="003227F3" w:rsidRPr="00252F2A" w:rsidRDefault="003227F3" w:rsidP="003227F3">
                  <w:pPr>
                    <w:pStyle w:val="paragraph"/>
                    <w:spacing w:before="0" w:beforeAutospacing="0" w:after="0" w:afterAutospacing="0"/>
                    <w:textAlignment w:val="baseline"/>
                    <w:rPr>
                      <w:rStyle w:val="normaltextrun"/>
                      <w:rFonts w:ascii="Arial" w:eastAsiaTheme="majorEastAsia" w:hAnsi="Arial" w:cs="Arial"/>
                      <w:sz w:val="22"/>
                      <w:szCs w:val="22"/>
                    </w:rPr>
                  </w:pPr>
                  <w:r>
                    <w:rPr>
                      <w:rStyle w:val="normaltextrun"/>
                      <w:rFonts w:ascii="Arial" w:eastAsiaTheme="majorEastAsia" w:hAnsi="Arial" w:cs="Arial"/>
                    </w:rPr>
                    <w:t>Cornwall</w:t>
                  </w:r>
                </w:p>
              </w:tc>
              <w:tc>
                <w:tcPr>
                  <w:tcW w:w="2221" w:type="dxa"/>
                </w:tcPr>
                <w:p w14:paraId="2599F8EB" w14:textId="77777777" w:rsidR="003227F3" w:rsidRPr="00252F2A" w:rsidRDefault="003227F3" w:rsidP="003227F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eastAsiaTheme="majorEastAsia" w:hAnsi="Arial" w:cs="Arial"/>
                      <w:sz w:val="22"/>
                      <w:szCs w:val="22"/>
                    </w:rPr>
                  </w:pPr>
                  <w:r>
                    <w:rPr>
                      <w:rStyle w:val="normaltextrun"/>
                      <w:rFonts w:ascii="Arial" w:eastAsiaTheme="majorEastAsia" w:hAnsi="Arial" w:cs="Arial"/>
                    </w:rPr>
                    <w:t>72,199</w:t>
                  </w:r>
                </w:p>
              </w:tc>
              <w:tc>
                <w:tcPr>
                  <w:tcW w:w="2209" w:type="dxa"/>
                </w:tcPr>
                <w:p w14:paraId="1EEF1F79" w14:textId="77777777" w:rsidR="003227F3" w:rsidRPr="00252F2A" w:rsidRDefault="003227F3" w:rsidP="003227F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eastAsiaTheme="majorEastAsia" w:hAnsi="Arial" w:cs="Arial"/>
                      <w:sz w:val="22"/>
                      <w:szCs w:val="22"/>
                    </w:rPr>
                  </w:pPr>
                  <w:r>
                    <w:rPr>
                      <w:rStyle w:val="normaltextrun"/>
                      <w:rFonts w:ascii="Arial" w:eastAsiaTheme="majorEastAsia" w:hAnsi="Arial" w:cs="Arial"/>
                    </w:rPr>
                    <w:t>245</w:t>
                  </w:r>
                </w:p>
              </w:tc>
              <w:tc>
                <w:tcPr>
                  <w:tcW w:w="1829" w:type="dxa"/>
                </w:tcPr>
                <w:p w14:paraId="56971F1A" w14:textId="77777777" w:rsidR="003227F3" w:rsidRPr="00252F2A" w:rsidRDefault="003227F3" w:rsidP="003227F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eastAsiaTheme="majorEastAsia" w:hAnsi="Arial" w:cs="Arial"/>
                      <w:sz w:val="22"/>
                      <w:szCs w:val="22"/>
                    </w:rPr>
                  </w:pPr>
                  <w:r>
                    <w:rPr>
                      <w:rStyle w:val="normaltextrun"/>
                      <w:rFonts w:ascii="Arial" w:eastAsiaTheme="majorEastAsia" w:hAnsi="Arial" w:cs="Arial"/>
                      <w:sz w:val="22"/>
                      <w:szCs w:val="22"/>
                    </w:rPr>
                    <w:t>5</w:t>
                  </w:r>
                  <w:r>
                    <w:rPr>
                      <w:rStyle w:val="normaltextrun"/>
                      <w:rFonts w:ascii="Arial" w:eastAsiaTheme="majorEastAsia" w:hAnsi="Arial" w:cs="Arial"/>
                    </w:rPr>
                    <w:t>1</w:t>
                  </w:r>
                </w:p>
              </w:tc>
            </w:tr>
          </w:tbl>
          <w:p w14:paraId="1BCC7F4C" w14:textId="77777777" w:rsidR="003227F3" w:rsidRPr="00252F2A" w:rsidRDefault="003227F3" w:rsidP="003227F3">
            <w:pPr>
              <w:rPr>
                <w:rFonts w:cs="Arial"/>
                <w:sz w:val="22"/>
                <w:szCs w:val="22"/>
              </w:rPr>
            </w:pPr>
          </w:p>
          <w:p w14:paraId="0F3C4FF8" w14:textId="77777777" w:rsidR="003227F3" w:rsidRDefault="003227F3" w:rsidP="003227F3">
            <w:pPr>
              <w:rPr>
                <w:rFonts w:cs="Arial"/>
                <w:sz w:val="22"/>
                <w:szCs w:val="22"/>
              </w:rPr>
            </w:pPr>
            <w:r w:rsidRPr="00252F2A">
              <w:rPr>
                <w:rFonts w:cs="Arial"/>
                <w:sz w:val="22"/>
                <w:szCs w:val="22"/>
              </w:rPr>
              <w:t xml:space="preserve">Please note </w:t>
            </w:r>
            <w:r>
              <w:rPr>
                <w:rFonts w:cs="Arial"/>
                <w:sz w:val="22"/>
                <w:szCs w:val="22"/>
              </w:rPr>
              <w:t xml:space="preserve">that </w:t>
            </w:r>
            <w:r w:rsidRPr="00252F2A">
              <w:rPr>
                <w:rFonts w:cs="Arial"/>
                <w:sz w:val="22"/>
                <w:szCs w:val="22"/>
              </w:rPr>
              <w:t>th</w:t>
            </w:r>
            <w:r>
              <w:rPr>
                <w:rFonts w:cs="Arial"/>
                <w:sz w:val="22"/>
                <w:szCs w:val="22"/>
              </w:rPr>
              <w:t>ese</w:t>
            </w:r>
            <w:r w:rsidRPr="00252F2A">
              <w:rPr>
                <w:rFonts w:cs="Arial"/>
                <w:sz w:val="22"/>
                <w:szCs w:val="22"/>
              </w:rPr>
              <w:t xml:space="preserve"> </w:t>
            </w:r>
            <w:r>
              <w:rPr>
                <w:rFonts w:cs="Arial"/>
                <w:sz w:val="22"/>
                <w:szCs w:val="22"/>
              </w:rPr>
              <w:t>are</w:t>
            </w:r>
            <w:r w:rsidRPr="00252F2A">
              <w:rPr>
                <w:rFonts w:cs="Arial"/>
                <w:sz w:val="22"/>
                <w:szCs w:val="22"/>
              </w:rPr>
              <w:t xml:space="preserve"> approximate numbers a</w:t>
            </w:r>
            <w:r>
              <w:rPr>
                <w:rFonts w:cs="Arial"/>
                <w:sz w:val="22"/>
                <w:szCs w:val="22"/>
              </w:rPr>
              <w:t xml:space="preserve">t the </w:t>
            </w:r>
            <w:r w:rsidRPr="00252F2A">
              <w:rPr>
                <w:rFonts w:cs="Arial"/>
                <w:sz w:val="22"/>
                <w:szCs w:val="22"/>
              </w:rPr>
              <w:t>date of publish</w:t>
            </w:r>
            <w:r>
              <w:rPr>
                <w:rFonts w:cs="Arial"/>
                <w:sz w:val="22"/>
                <w:szCs w:val="22"/>
              </w:rPr>
              <w:t xml:space="preserve">ing and </w:t>
            </w:r>
            <w:r w:rsidRPr="00005E55">
              <w:rPr>
                <w:rFonts w:cs="Arial"/>
                <w:sz w:val="22"/>
                <w:szCs w:val="22"/>
              </w:rPr>
              <w:t>may include all-through schools double counted</w:t>
            </w:r>
            <w:r>
              <w:rPr>
                <w:rFonts w:cs="Arial"/>
                <w:sz w:val="22"/>
                <w:szCs w:val="22"/>
              </w:rPr>
              <w:t>.</w:t>
            </w:r>
          </w:p>
          <w:p w14:paraId="17D489E7" w14:textId="77777777" w:rsidR="003227F3" w:rsidRDefault="003227F3" w:rsidP="003227F3">
            <w:pPr>
              <w:rPr>
                <w:rFonts w:cs="Arial"/>
                <w:sz w:val="22"/>
                <w:szCs w:val="22"/>
              </w:rPr>
            </w:pPr>
          </w:p>
          <w:p w14:paraId="4FBB2E38" w14:textId="77777777" w:rsidR="003227F3" w:rsidRPr="00252F2A" w:rsidRDefault="003227F3" w:rsidP="003227F3">
            <w:pPr>
              <w:rPr>
                <w:rFonts w:cs="Arial"/>
                <w:sz w:val="22"/>
                <w:szCs w:val="22"/>
              </w:rPr>
            </w:pPr>
            <w:r>
              <w:rPr>
                <w:rFonts w:cs="Arial"/>
                <w:sz w:val="22"/>
                <w:szCs w:val="22"/>
              </w:rPr>
              <w:t>Further background information regarding the geography and population is provided within the ITT pack on Atamis.</w:t>
            </w:r>
          </w:p>
          <w:p w14:paraId="5AE9093C" w14:textId="77777777" w:rsidR="003227F3" w:rsidRDefault="003227F3" w:rsidP="003227F3">
            <w:pPr>
              <w:rPr>
                <w:rFonts w:cs="Arial"/>
                <w:sz w:val="22"/>
                <w:szCs w:val="22"/>
              </w:rPr>
            </w:pPr>
          </w:p>
          <w:p w14:paraId="39143C68" w14:textId="77777777" w:rsidR="003227F3" w:rsidRDefault="003227F3" w:rsidP="003227F3">
            <w:pPr>
              <w:rPr>
                <w:rFonts w:cs="Arial"/>
                <w:sz w:val="22"/>
                <w:szCs w:val="22"/>
              </w:rPr>
            </w:pPr>
            <w:r>
              <w:rPr>
                <w:rFonts w:cs="Arial"/>
                <w:sz w:val="22"/>
                <w:szCs w:val="22"/>
              </w:rPr>
              <w:t xml:space="preserve">TUPE is expected to apply for this lot. </w:t>
            </w:r>
          </w:p>
          <w:p w14:paraId="6683C573" w14:textId="64AD8BB9" w:rsidR="003227F3" w:rsidRPr="003F32A0" w:rsidRDefault="003227F3" w:rsidP="00304977"/>
        </w:tc>
      </w:tr>
    </w:tbl>
    <w:p w14:paraId="2EBA7A31" w14:textId="77777777" w:rsidR="003227F3" w:rsidRPr="00A8526E" w:rsidRDefault="003227F3" w:rsidP="003227F3">
      <w:pPr>
        <w:spacing w:after="200" w:line="276" w:lineRule="auto"/>
        <w:rPr>
          <w:rFonts w:cs="Arial"/>
        </w:rPr>
      </w:pPr>
    </w:p>
    <w:p w14:paraId="42EE68F7" w14:textId="77777777" w:rsidR="003227F3" w:rsidRPr="00A8526E" w:rsidRDefault="003227F3" w:rsidP="003227F3">
      <w:pPr>
        <w:spacing w:after="200" w:line="276" w:lineRule="auto"/>
        <w:rPr>
          <w:rFonts w:cs="Arial"/>
        </w:rPr>
      </w:pPr>
    </w:p>
    <w:p w14:paraId="6C1B3923" w14:textId="53A61147" w:rsidR="003227F3" w:rsidRPr="003227F3" w:rsidRDefault="003227F3" w:rsidP="003227F3">
      <w:pPr>
        <w:rPr>
          <w:rFonts w:cs="Arial"/>
          <w:b/>
          <w:bCs/>
        </w:rPr>
      </w:pPr>
      <w:r w:rsidRPr="003227F3">
        <w:rPr>
          <w:rFonts w:cs="Arial"/>
          <w:b/>
          <w:bCs/>
        </w:rPr>
        <w:lastRenderedPageBreak/>
        <w:t xml:space="preserve">Lot </w:t>
      </w:r>
      <w:r>
        <w:rPr>
          <w:rFonts w:cs="Arial"/>
          <w:b/>
          <w:bCs/>
        </w:rPr>
        <w:t>4</w:t>
      </w:r>
      <w:r w:rsidRPr="003227F3">
        <w:rPr>
          <w:rFonts w:cs="Arial"/>
          <w:b/>
          <w:bCs/>
        </w:rPr>
        <w:t xml:space="preserve"> - </w:t>
      </w:r>
      <w:r>
        <w:rPr>
          <w:b/>
          <w:bCs/>
        </w:rPr>
        <w:t>Gloucestershire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227F3" w:rsidRPr="00A8526E" w14:paraId="2D4B150C" w14:textId="77777777" w:rsidTr="00304977">
        <w:trPr>
          <w:trHeight w:val="375"/>
        </w:trPr>
        <w:tc>
          <w:tcPr>
            <w:tcW w:w="9072" w:type="dxa"/>
            <w:shd w:val="clear" w:color="auto" w:fill="auto"/>
          </w:tcPr>
          <w:p w14:paraId="1E0396B7" w14:textId="77777777" w:rsidR="003227F3" w:rsidRDefault="003227F3" w:rsidP="003227F3">
            <w:pPr>
              <w:rPr>
                <w:rFonts w:cs="Arial"/>
                <w:sz w:val="22"/>
                <w:szCs w:val="22"/>
              </w:rPr>
            </w:pPr>
            <w:r w:rsidRPr="0016422A">
              <w:rPr>
                <w:rFonts w:cs="Arial"/>
                <w:color w:val="0B0C0C"/>
                <w:sz w:val="22"/>
                <w:szCs w:val="22"/>
              </w:rPr>
              <w:t xml:space="preserve">Lot 4 Gloucestershire </w:t>
            </w:r>
            <w:r>
              <w:rPr>
                <w:rFonts w:cs="Arial"/>
                <w:sz w:val="22"/>
                <w:szCs w:val="22"/>
              </w:rPr>
              <w:t xml:space="preserve">has an expected annual block contract </w:t>
            </w:r>
            <w:r w:rsidRPr="00F55430">
              <w:rPr>
                <w:rFonts w:cs="Arial"/>
                <w:sz w:val="22"/>
                <w:szCs w:val="22"/>
              </w:rPr>
              <w:t xml:space="preserve">value </w:t>
            </w:r>
            <w:r w:rsidRPr="00175F66">
              <w:rPr>
                <w:rFonts w:cs="Arial"/>
                <w:sz w:val="22"/>
                <w:szCs w:val="22"/>
              </w:rPr>
              <w:t>of £652,005.00.</w:t>
            </w:r>
          </w:p>
          <w:p w14:paraId="0AB9A933" w14:textId="77777777" w:rsidR="003227F3" w:rsidRDefault="003227F3" w:rsidP="003227F3">
            <w:pPr>
              <w:rPr>
                <w:rFonts w:cs="Arial"/>
                <w:color w:val="000000" w:themeColor="text1"/>
                <w:sz w:val="22"/>
                <w:szCs w:val="22"/>
                <w:lang w:eastAsia="en-GB"/>
              </w:rPr>
            </w:pPr>
          </w:p>
          <w:p w14:paraId="0F9CBE48" w14:textId="77777777" w:rsidR="003227F3" w:rsidRDefault="003227F3" w:rsidP="003227F3">
            <w:pPr>
              <w:rPr>
                <w:color w:val="000000" w:themeColor="text1"/>
                <w:sz w:val="22"/>
                <w:szCs w:val="22"/>
              </w:rPr>
            </w:pPr>
            <w:r w:rsidRPr="007E3EB4">
              <w:rPr>
                <w:color w:val="000000" w:themeColor="text1"/>
                <w:sz w:val="22"/>
                <w:szCs w:val="22"/>
                <w:lang w:eastAsia="en-GB"/>
              </w:rPr>
              <w:t xml:space="preserve">The financial model </w:t>
            </w:r>
            <w:r>
              <w:rPr>
                <w:color w:val="000000" w:themeColor="text1"/>
                <w:sz w:val="22"/>
                <w:szCs w:val="22"/>
                <w:lang w:eastAsia="en-GB"/>
              </w:rPr>
              <w:t xml:space="preserve">for </w:t>
            </w:r>
            <w:r w:rsidRPr="007E3EB4">
              <w:rPr>
                <w:color w:val="000000" w:themeColor="text1"/>
                <w:sz w:val="22"/>
                <w:szCs w:val="22"/>
                <w:lang w:eastAsia="en-GB"/>
              </w:rPr>
              <w:t>the contract will be based on a block plus variable element. The v</w:t>
            </w:r>
            <w:r w:rsidRPr="007E3EB4">
              <w:rPr>
                <w:color w:val="000000" w:themeColor="text1"/>
                <w:sz w:val="22"/>
                <w:szCs w:val="22"/>
              </w:rPr>
              <w:t xml:space="preserve">ariable payment will be </w:t>
            </w:r>
            <w:r>
              <w:rPr>
                <w:color w:val="000000" w:themeColor="text1"/>
                <w:sz w:val="22"/>
                <w:szCs w:val="22"/>
              </w:rPr>
              <w:t>made f</w:t>
            </w:r>
            <w:r w:rsidRPr="007E3EB4">
              <w:rPr>
                <w:color w:val="000000" w:themeColor="text1"/>
                <w:sz w:val="22"/>
                <w:szCs w:val="22"/>
              </w:rPr>
              <w:t xml:space="preserve">or additional activity delivered over and above the agreed activity plan set for block and at an enhanced tariff for routine immunisations (currently HPV, </w:t>
            </w:r>
            <w:proofErr w:type="spellStart"/>
            <w:r w:rsidRPr="007E3EB4">
              <w:rPr>
                <w:color w:val="000000" w:themeColor="text1"/>
                <w:sz w:val="22"/>
                <w:szCs w:val="22"/>
              </w:rPr>
              <w:t>MenACWY</w:t>
            </w:r>
            <w:proofErr w:type="spellEnd"/>
            <w:r w:rsidRPr="007E3EB4">
              <w:rPr>
                <w:color w:val="000000" w:themeColor="text1"/>
                <w:sz w:val="22"/>
                <w:szCs w:val="22"/>
              </w:rPr>
              <w:t xml:space="preserve"> and Td/IPV) and at a marginal tariff for seasonal influenza. </w:t>
            </w:r>
            <w:r>
              <w:rPr>
                <w:color w:val="000000" w:themeColor="text1"/>
                <w:sz w:val="22"/>
                <w:szCs w:val="22"/>
              </w:rPr>
              <w:t xml:space="preserve">All programme activity will be monitored as part of the contract review meeting process and to enable variable payment. </w:t>
            </w:r>
          </w:p>
          <w:p w14:paraId="0B3C7ED7" w14:textId="77777777" w:rsidR="003227F3" w:rsidRDefault="003227F3" w:rsidP="003227F3">
            <w:pPr>
              <w:rPr>
                <w:rFonts w:cs="Arial"/>
                <w:sz w:val="22"/>
                <w:szCs w:val="22"/>
              </w:rPr>
            </w:pPr>
          </w:p>
          <w:p w14:paraId="2ADAB7CD" w14:textId="77777777" w:rsidR="003227F3" w:rsidRDefault="003227F3" w:rsidP="003227F3">
            <w:pPr>
              <w:rPr>
                <w:rFonts w:cs="Arial"/>
                <w:sz w:val="22"/>
                <w:szCs w:val="22"/>
              </w:rPr>
            </w:pPr>
            <w:r w:rsidRPr="005432E4">
              <w:rPr>
                <w:rFonts w:cs="Arial"/>
                <w:color w:val="000000" w:themeColor="text1"/>
                <w:sz w:val="22"/>
                <w:szCs w:val="22"/>
              </w:rPr>
              <w:t>At higher uptake l</w:t>
            </w:r>
            <w:r w:rsidRPr="005C1460">
              <w:rPr>
                <w:rFonts w:cs="Arial"/>
                <w:color w:val="000000" w:themeColor="text1"/>
                <w:sz w:val="22"/>
                <w:szCs w:val="22"/>
              </w:rPr>
              <w:t xml:space="preserve">evels this contract has a potential estimated contract value for </w:t>
            </w:r>
            <w:r w:rsidRPr="005C1460">
              <w:rPr>
                <w:rFonts w:cs="Arial"/>
                <w:color w:val="0B0C0C"/>
                <w:sz w:val="22"/>
                <w:szCs w:val="22"/>
              </w:rPr>
              <w:t>Gloucestershire</w:t>
            </w:r>
            <w:r w:rsidRPr="005C1460">
              <w:rPr>
                <w:rFonts w:cs="Arial"/>
                <w:color w:val="000000" w:themeColor="text1"/>
                <w:sz w:val="22"/>
                <w:szCs w:val="22"/>
              </w:rPr>
              <w:t xml:space="preserve"> of £752,580.00</w:t>
            </w:r>
          </w:p>
          <w:p w14:paraId="23CA0812" w14:textId="77777777" w:rsidR="003227F3" w:rsidRDefault="003227F3" w:rsidP="003227F3">
            <w:pPr>
              <w:rPr>
                <w:rFonts w:cs="Arial"/>
                <w:sz w:val="22"/>
                <w:szCs w:val="22"/>
              </w:rPr>
            </w:pPr>
          </w:p>
          <w:p w14:paraId="18A450CA" w14:textId="77777777" w:rsidR="003227F3" w:rsidRDefault="003227F3" w:rsidP="003227F3">
            <w:pPr>
              <w:rPr>
                <w:rFonts w:cs="Arial"/>
                <w:sz w:val="22"/>
                <w:szCs w:val="22"/>
              </w:rPr>
            </w:pPr>
            <w:r w:rsidRPr="14083703">
              <w:rPr>
                <w:rFonts w:cs="Arial"/>
                <w:sz w:val="22"/>
                <w:szCs w:val="22"/>
              </w:rPr>
              <w:t xml:space="preserve">The </w:t>
            </w:r>
            <w:r w:rsidRPr="14083703">
              <w:rPr>
                <w:rFonts w:cs="Arial"/>
                <w:color w:val="000000" w:themeColor="text1"/>
                <w:sz w:val="22"/>
                <w:szCs w:val="22"/>
                <w:lang w:eastAsia="en-GB"/>
              </w:rPr>
              <w:t>school-aged population</w:t>
            </w:r>
            <w:r w:rsidRPr="14083703">
              <w:rPr>
                <w:rFonts w:cs="Arial"/>
                <w:sz w:val="22"/>
                <w:szCs w:val="22"/>
              </w:rPr>
              <w:t xml:space="preserve"> is defined as: </w:t>
            </w:r>
          </w:p>
          <w:p w14:paraId="72BC1C56" w14:textId="77777777" w:rsidR="003227F3" w:rsidRDefault="003227F3" w:rsidP="003227F3">
            <w:pPr>
              <w:pStyle w:val="ListParagraph"/>
              <w:numPr>
                <w:ilvl w:val="0"/>
                <w:numId w:val="17"/>
              </w:numPr>
              <w:rPr>
                <w:sz w:val="22"/>
                <w:szCs w:val="22"/>
              </w:rPr>
            </w:pPr>
            <w:r w:rsidRPr="14083703">
              <w:rPr>
                <w:sz w:val="22"/>
                <w:szCs w:val="22"/>
              </w:rPr>
              <w:t xml:space="preserve">Children on the </w:t>
            </w:r>
            <w:proofErr w:type="spellStart"/>
            <w:r w:rsidRPr="14083703">
              <w:rPr>
                <w:sz w:val="22"/>
                <w:szCs w:val="22"/>
              </w:rPr>
              <w:t>roll</w:t>
            </w:r>
            <w:proofErr w:type="spellEnd"/>
            <w:r w:rsidRPr="14083703">
              <w:rPr>
                <w:sz w:val="22"/>
                <w:szCs w:val="22"/>
              </w:rPr>
              <w:t xml:space="preserve"> of any school physically located within the Gloucestershire local education </w:t>
            </w:r>
            <w:proofErr w:type="gramStart"/>
            <w:r w:rsidRPr="14083703">
              <w:rPr>
                <w:sz w:val="22"/>
                <w:szCs w:val="22"/>
              </w:rPr>
              <w:t>authority</w:t>
            </w:r>
            <w:proofErr w:type="gramEnd"/>
          </w:p>
          <w:p w14:paraId="35980FF8" w14:textId="77777777" w:rsidR="003227F3" w:rsidRDefault="003227F3" w:rsidP="003227F3">
            <w:pPr>
              <w:pStyle w:val="ListParagraph"/>
              <w:numPr>
                <w:ilvl w:val="0"/>
                <w:numId w:val="17"/>
              </w:numPr>
              <w:rPr>
                <w:sz w:val="22"/>
                <w:szCs w:val="22"/>
              </w:rPr>
            </w:pPr>
            <w:r w:rsidRPr="14083703">
              <w:rPr>
                <w:sz w:val="22"/>
                <w:szCs w:val="22"/>
              </w:rPr>
              <w:t xml:space="preserve">All children resident in the area, who are not regularly attending any </w:t>
            </w:r>
            <w:proofErr w:type="gramStart"/>
            <w:r w:rsidRPr="14083703">
              <w:rPr>
                <w:sz w:val="22"/>
                <w:szCs w:val="22"/>
              </w:rPr>
              <w:t>school</w:t>
            </w:r>
            <w:proofErr w:type="gramEnd"/>
          </w:p>
          <w:p w14:paraId="25A97955" w14:textId="77777777" w:rsidR="003227F3" w:rsidRDefault="003227F3" w:rsidP="003227F3">
            <w:pPr>
              <w:pStyle w:val="ListParagraph"/>
              <w:numPr>
                <w:ilvl w:val="0"/>
                <w:numId w:val="17"/>
              </w:numPr>
              <w:rPr>
                <w:sz w:val="22"/>
                <w:szCs w:val="22"/>
              </w:rPr>
            </w:pPr>
            <w:r w:rsidRPr="14083703">
              <w:rPr>
                <w:sz w:val="22"/>
                <w:szCs w:val="22"/>
              </w:rPr>
              <w:t xml:space="preserve">Any children registered with a GP in the area, who are not regularly attending any </w:t>
            </w:r>
            <w:proofErr w:type="gramStart"/>
            <w:r w:rsidRPr="14083703">
              <w:rPr>
                <w:sz w:val="22"/>
                <w:szCs w:val="22"/>
              </w:rPr>
              <w:t>school</w:t>
            </w:r>
            <w:proofErr w:type="gramEnd"/>
          </w:p>
          <w:p w14:paraId="71A07C5B" w14:textId="77777777" w:rsidR="003227F3" w:rsidRDefault="003227F3" w:rsidP="003227F3">
            <w:pPr>
              <w:rPr>
                <w:sz w:val="22"/>
                <w:szCs w:val="22"/>
              </w:rPr>
            </w:pPr>
            <w:r w:rsidRPr="14083703">
              <w:rPr>
                <w:sz w:val="22"/>
                <w:szCs w:val="22"/>
              </w:rPr>
              <w:t>The population does not include children normally attending schools in a neighbouring local education authority outside of the area.</w:t>
            </w:r>
          </w:p>
          <w:p w14:paraId="34CF9E07" w14:textId="77777777" w:rsidR="003227F3" w:rsidRDefault="003227F3" w:rsidP="003227F3">
            <w:pPr>
              <w:rPr>
                <w:rFonts w:cs="Arial"/>
                <w:sz w:val="22"/>
                <w:szCs w:val="22"/>
              </w:rPr>
            </w:pPr>
          </w:p>
          <w:p w14:paraId="1BEE4CD6" w14:textId="77777777" w:rsidR="003227F3" w:rsidRPr="00271F79" w:rsidRDefault="003227F3" w:rsidP="003227F3">
            <w:pPr>
              <w:rPr>
                <w:rFonts w:cs="Arial"/>
                <w:b/>
                <w:bCs/>
                <w:sz w:val="22"/>
                <w:szCs w:val="22"/>
              </w:rPr>
            </w:pPr>
            <w:r w:rsidRPr="00271F79">
              <w:rPr>
                <w:rFonts w:cs="Arial"/>
                <w:b/>
                <w:bCs/>
                <w:color w:val="0B0C0C"/>
                <w:sz w:val="22"/>
                <w:szCs w:val="22"/>
              </w:rPr>
              <w:t>Gloucestershire</w:t>
            </w:r>
            <w:r w:rsidRPr="00271F79">
              <w:rPr>
                <w:rFonts w:cs="Arial"/>
                <w:b/>
                <w:bCs/>
                <w:sz w:val="22"/>
                <w:szCs w:val="22"/>
              </w:rPr>
              <w:t xml:space="preserve"> School Aged population  </w:t>
            </w:r>
          </w:p>
          <w:p w14:paraId="20065C80" w14:textId="77777777" w:rsidR="003227F3" w:rsidRDefault="003227F3" w:rsidP="003227F3">
            <w:pPr>
              <w:rPr>
                <w:rFonts w:cs="Arial"/>
                <w:sz w:val="22"/>
                <w:szCs w:val="22"/>
              </w:rPr>
            </w:pPr>
          </w:p>
          <w:p w14:paraId="2F175B2A" w14:textId="77777777" w:rsidR="003227F3" w:rsidRPr="00252F2A" w:rsidRDefault="003227F3" w:rsidP="003227F3">
            <w:pPr>
              <w:rPr>
                <w:rFonts w:cs="Arial"/>
                <w:color w:val="000000"/>
                <w:sz w:val="22"/>
                <w:szCs w:val="22"/>
                <w:lang w:eastAsia="en-GB"/>
              </w:rPr>
            </w:pPr>
            <w:r w:rsidRPr="00252F2A">
              <w:rPr>
                <w:rFonts w:cs="Arial"/>
                <w:color w:val="000000"/>
                <w:sz w:val="22"/>
                <w:szCs w:val="22"/>
                <w:lang w:eastAsia="en-GB"/>
              </w:rPr>
              <w:t xml:space="preserve">In scope are those children eligible for the programmes identified within the national service specification, within the school-aged population in </w:t>
            </w:r>
            <w:r w:rsidRPr="0016422A">
              <w:rPr>
                <w:rFonts w:cs="Arial"/>
                <w:color w:val="0B0C0C"/>
                <w:sz w:val="22"/>
                <w:szCs w:val="22"/>
              </w:rPr>
              <w:t>Gloucestershire</w:t>
            </w:r>
            <w:r>
              <w:rPr>
                <w:rFonts w:cs="Arial"/>
                <w:color w:val="0B0C0C"/>
                <w:sz w:val="22"/>
                <w:szCs w:val="22"/>
              </w:rPr>
              <w:t>.</w:t>
            </w:r>
          </w:p>
          <w:p w14:paraId="2E112ABB" w14:textId="77777777" w:rsidR="003227F3" w:rsidRPr="00252F2A" w:rsidRDefault="003227F3" w:rsidP="003227F3">
            <w:pPr>
              <w:rPr>
                <w:rFonts w:cs="Arial"/>
                <w:b/>
                <w:sz w:val="22"/>
                <w:szCs w:val="22"/>
              </w:rPr>
            </w:pPr>
          </w:p>
          <w:p w14:paraId="63A124EB" w14:textId="77777777" w:rsidR="003227F3" w:rsidRPr="00252F2A" w:rsidRDefault="003227F3" w:rsidP="003227F3">
            <w:pPr>
              <w:rPr>
                <w:rFonts w:cs="Arial"/>
                <w:sz w:val="22"/>
                <w:szCs w:val="22"/>
              </w:rPr>
            </w:pPr>
            <w:r w:rsidRPr="00252F2A">
              <w:rPr>
                <w:rFonts w:cs="Arial"/>
                <w:sz w:val="22"/>
                <w:szCs w:val="22"/>
              </w:rPr>
              <w:t>The adolescent programme is predominantly delivered within the secondary schools.</w:t>
            </w:r>
          </w:p>
          <w:p w14:paraId="3812352C" w14:textId="77777777" w:rsidR="003227F3" w:rsidRPr="00252F2A" w:rsidRDefault="003227F3" w:rsidP="003227F3">
            <w:pPr>
              <w:rPr>
                <w:rFonts w:cs="Arial"/>
                <w:sz w:val="22"/>
                <w:szCs w:val="22"/>
              </w:rPr>
            </w:pPr>
          </w:p>
          <w:p w14:paraId="2D8E9EBE" w14:textId="77777777" w:rsidR="003227F3" w:rsidRPr="00252F2A" w:rsidRDefault="003227F3" w:rsidP="003227F3">
            <w:pPr>
              <w:rPr>
                <w:rFonts w:cs="Arial"/>
                <w:sz w:val="22"/>
                <w:szCs w:val="22"/>
              </w:rPr>
            </w:pPr>
            <w:r w:rsidRPr="00252F2A">
              <w:rPr>
                <w:rFonts w:cs="Arial"/>
                <w:sz w:val="22"/>
                <w:szCs w:val="22"/>
              </w:rPr>
              <w:t xml:space="preserve">The Seasonal </w:t>
            </w:r>
            <w:r>
              <w:rPr>
                <w:rFonts w:cs="Arial"/>
                <w:sz w:val="22"/>
                <w:szCs w:val="22"/>
              </w:rPr>
              <w:t>F</w:t>
            </w:r>
            <w:r w:rsidRPr="00252F2A">
              <w:rPr>
                <w:rFonts w:cs="Arial"/>
                <w:sz w:val="22"/>
                <w:szCs w:val="22"/>
              </w:rPr>
              <w:t>lu programme is predominantly delivered to primary school children, reception to year 6</w:t>
            </w:r>
            <w:r>
              <w:rPr>
                <w:rFonts w:cs="Arial"/>
                <w:sz w:val="22"/>
                <w:szCs w:val="22"/>
              </w:rPr>
              <w:t xml:space="preserve"> </w:t>
            </w:r>
            <w:r w:rsidRPr="006C3D53">
              <w:rPr>
                <w:rFonts w:cs="Arial"/>
                <w:sz w:val="22"/>
                <w:szCs w:val="22"/>
              </w:rPr>
              <w:t>(the cohort is expected to expand in future years)</w:t>
            </w:r>
            <w:r>
              <w:rPr>
                <w:rFonts w:cs="Arial"/>
                <w:sz w:val="22"/>
                <w:szCs w:val="22"/>
              </w:rPr>
              <w:t>.</w:t>
            </w:r>
          </w:p>
          <w:p w14:paraId="536CBCFC" w14:textId="77777777" w:rsidR="003227F3" w:rsidRPr="00252F2A" w:rsidRDefault="003227F3" w:rsidP="003227F3">
            <w:pPr>
              <w:rPr>
                <w:rFonts w:cs="Arial"/>
                <w:sz w:val="22"/>
                <w:szCs w:val="22"/>
              </w:rPr>
            </w:pPr>
          </w:p>
          <w:p w14:paraId="0D9AE0D9" w14:textId="77777777" w:rsidR="003227F3" w:rsidRPr="00252F2A" w:rsidRDefault="003227F3" w:rsidP="003227F3">
            <w:pPr>
              <w:rPr>
                <w:rFonts w:cs="Arial"/>
                <w:sz w:val="22"/>
                <w:szCs w:val="22"/>
              </w:rPr>
            </w:pPr>
            <w:r w:rsidRPr="00252F2A">
              <w:rPr>
                <w:rFonts w:cs="Arial"/>
                <w:sz w:val="22"/>
                <w:szCs w:val="22"/>
              </w:rPr>
              <w:t>The table below shows the numbers of schools and approximate children in schools by area:</w:t>
            </w:r>
          </w:p>
          <w:p w14:paraId="09B09B62" w14:textId="77777777" w:rsidR="003227F3" w:rsidRPr="00252F2A" w:rsidRDefault="003227F3" w:rsidP="003227F3">
            <w:pPr>
              <w:rPr>
                <w:rFonts w:cs="Arial"/>
                <w:sz w:val="22"/>
                <w:szCs w:val="22"/>
              </w:rPr>
            </w:pPr>
          </w:p>
          <w:tbl>
            <w:tblPr>
              <w:tblStyle w:val="GridTable5Dark-Accent1"/>
              <w:tblW w:w="0" w:type="auto"/>
              <w:tblLook w:val="04A0" w:firstRow="1" w:lastRow="0" w:firstColumn="1" w:lastColumn="0" w:noHBand="0" w:noVBand="1"/>
            </w:tblPr>
            <w:tblGrid>
              <w:gridCol w:w="2241"/>
              <w:gridCol w:w="2221"/>
              <w:gridCol w:w="2209"/>
              <w:gridCol w:w="1829"/>
            </w:tblGrid>
            <w:tr w:rsidR="003227F3" w:rsidRPr="00252F2A" w14:paraId="652FDE4B" w14:textId="77777777" w:rsidTr="00304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1" w:type="dxa"/>
                </w:tcPr>
                <w:p w14:paraId="5745BB11" w14:textId="77777777" w:rsidR="003227F3" w:rsidRPr="00252F2A" w:rsidRDefault="003227F3" w:rsidP="003227F3">
                  <w:pPr>
                    <w:pStyle w:val="paragraph"/>
                    <w:spacing w:before="0" w:beforeAutospacing="0" w:after="0" w:afterAutospacing="0"/>
                    <w:textAlignment w:val="baseline"/>
                    <w:rPr>
                      <w:rStyle w:val="normaltextrun"/>
                      <w:rFonts w:ascii="Arial" w:eastAsiaTheme="majorEastAsia" w:hAnsi="Arial" w:cs="Arial"/>
                      <w:sz w:val="22"/>
                      <w:szCs w:val="22"/>
                    </w:rPr>
                  </w:pPr>
                  <w:r w:rsidRPr="00252F2A">
                    <w:rPr>
                      <w:rStyle w:val="normaltextrun"/>
                      <w:rFonts w:ascii="Arial" w:eastAsiaTheme="majorEastAsia" w:hAnsi="Arial" w:cs="Arial"/>
                      <w:sz w:val="22"/>
                      <w:szCs w:val="22"/>
                    </w:rPr>
                    <w:t>System</w:t>
                  </w:r>
                </w:p>
              </w:tc>
              <w:tc>
                <w:tcPr>
                  <w:tcW w:w="2221" w:type="dxa"/>
                </w:tcPr>
                <w:p w14:paraId="29266B6C" w14:textId="77777777" w:rsidR="003227F3" w:rsidRPr="00252F2A" w:rsidRDefault="003227F3" w:rsidP="003227F3">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eastAsiaTheme="majorEastAsia" w:hAnsi="Arial" w:cs="Arial"/>
                      <w:b w:val="0"/>
                      <w:bCs w:val="0"/>
                      <w:sz w:val="22"/>
                      <w:szCs w:val="22"/>
                    </w:rPr>
                  </w:pPr>
                  <w:r w:rsidRPr="00252F2A">
                    <w:rPr>
                      <w:rStyle w:val="normaltextrun"/>
                      <w:rFonts w:ascii="Arial" w:eastAsiaTheme="majorEastAsia" w:hAnsi="Arial" w:cs="Arial"/>
                      <w:sz w:val="22"/>
                      <w:szCs w:val="22"/>
                    </w:rPr>
                    <w:t>Children (Reception to Year 11)</w:t>
                  </w:r>
                </w:p>
                <w:p w14:paraId="41F3C575" w14:textId="77777777" w:rsidR="003227F3" w:rsidRPr="00252F2A" w:rsidRDefault="003227F3" w:rsidP="003227F3">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eastAsiaTheme="majorEastAsia" w:hAnsi="Arial" w:cs="Arial"/>
                      <w:sz w:val="22"/>
                      <w:szCs w:val="22"/>
                    </w:rPr>
                  </w:pPr>
                </w:p>
              </w:tc>
              <w:tc>
                <w:tcPr>
                  <w:tcW w:w="2209" w:type="dxa"/>
                </w:tcPr>
                <w:p w14:paraId="3FEAEE53" w14:textId="77777777" w:rsidR="003227F3" w:rsidRPr="00252F2A" w:rsidRDefault="003227F3" w:rsidP="003227F3">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eastAsiaTheme="majorEastAsia" w:hAnsi="Arial" w:cs="Arial"/>
                      <w:sz w:val="22"/>
                      <w:szCs w:val="22"/>
                    </w:rPr>
                  </w:pPr>
                  <w:r w:rsidRPr="00252F2A">
                    <w:rPr>
                      <w:rStyle w:val="normaltextrun"/>
                      <w:rFonts w:ascii="Arial" w:eastAsiaTheme="majorEastAsia" w:hAnsi="Arial" w:cs="Arial"/>
                      <w:sz w:val="22"/>
                      <w:szCs w:val="22"/>
                    </w:rPr>
                    <w:t>Primary schools</w:t>
                  </w:r>
                </w:p>
              </w:tc>
              <w:tc>
                <w:tcPr>
                  <w:tcW w:w="1829" w:type="dxa"/>
                </w:tcPr>
                <w:p w14:paraId="32C5B14E" w14:textId="77777777" w:rsidR="003227F3" w:rsidRPr="00252F2A" w:rsidRDefault="003227F3" w:rsidP="003227F3">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eastAsiaTheme="majorEastAsia" w:hAnsi="Arial" w:cs="Arial"/>
                      <w:sz w:val="22"/>
                      <w:szCs w:val="22"/>
                    </w:rPr>
                  </w:pPr>
                  <w:r w:rsidRPr="00252F2A">
                    <w:rPr>
                      <w:rStyle w:val="normaltextrun"/>
                      <w:rFonts w:ascii="Arial" w:eastAsiaTheme="majorEastAsia" w:hAnsi="Arial" w:cs="Arial"/>
                      <w:sz w:val="22"/>
                      <w:szCs w:val="22"/>
                    </w:rPr>
                    <w:t>Secondary schools</w:t>
                  </w:r>
                </w:p>
              </w:tc>
            </w:tr>
            <w:tr w:rsidR="003227F3" w:rsidRPr="00252F2A" w14:paraId="3836E9A6" w14:textId="77777777" w:rsidTr="003049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1" w:type="dxa"/>
                </w:tcPr>
                <w:p w14:paraId="786FBEBB" w14:textId="77777777" w:rsidR="003227F3" w:rsidRPr="00252F2A" w:rsidRDefault="003227F3" w:rsidP="003227F3">
                  <w:pPr>
                    <w:pStyle w:val="paragraph"/>
                    <w:spacing w:before="0" w:beforeAutospacing="0" w:after="0" w:afterAutospacing="0"/>
                    <w:textAlignment w:val="baseline"/>
                    <w:rPr>
                      <w:rStyle w:val="normaltextrun"/>
                      <w:rFonts w:ascii="Arial" w:eastAsiaTheme="majorEastAsia" w:hAnsi="Arial" w:cs="Arial"/>
                      <w:sz w:val="22"/>
                      <w:szCs w:val="22"/>
                    </w:rPr>
                  </w:pPr>
                  <w:r>
                    <w:rPr>
                      <w:rStyle w:val="normaltextrun"/>
                      <w:rFonts w:ascii="Arial" w:eastAsiaTheme="majorEastAsia" w:hAnsi="Arial" w:cs="Arial"/>
                    </w:rPr>
                    <w:t>Gloucestershire</w:t>
                  </w:r>
                </w:p>
              </w:tc>
              <w:tc>
                <w:tcPr>
                  <w:tcW w:w="2221" w:type="dxa"/>
                </w:tcPr>
                <w:p w14:paraId="71F503D1" w14:textId="77777777" w:rsidR="003227F3" w:rsidRPr="00252F2A" w:rsidRDefault="003227F3" w:rsidP="003227F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eastAsiaTheme="majorEastAsia" w:hAnsi="Arial" w:cs="Arial"/>
                      <w:sz w:val="22"/>
                      <w:szCs w:val="22"/>
                    </w:rPr>
                  </w:pPr>
                  <w:r>
                    <w:rPr>
                      <w:rStyle w:val="normaltextrun"/>
                      <w:rFonts w:ascii="Arial" w:eastAsiaTheme="majorEastAsia" w:hAnsi="Arial" w:cs="Arial"/>
                    </w:rPr>
                    <w:t>89,835</w:t>
                  </w:r>
                </w:p>
              </w:tc>
              <w:tc>
                <w:tcPr>
                  <w:tcW w:w="2209" w:type="dxa"/>
                </w:tcPr>
                <w:p w14:paraId="5FA05ABE" w14:textId="77777777" w:rsidR="003227F3" w:rsidRPr="00252F2A" w:rsidRDefault="003227F3" w:rsidP="003227F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eastAsiaTheme="majorEastAsia" w:hAnsi="Arial" w:cs="Arial"/>
                      <w:sz w:val="22"/>
                      <w:szCs w:val="22"/>
                    </w:rPr>
                  </w:pPr>
                  <w:r>
                    <w:rPr>
                      <w:rStyle w:val="normaltextrun"/>
                      <w:rFonts w:ascii="Arial" w:eastAsiaTheme="majorEastAsia" w:hAnsi="Arial" w:cs="Arial"/>
                    </w:rPr>
                    <w:t>279</w:t>
                  </w:r>
                </w:p>
              </w:tc>
              <w:tc>
                <w:tcPr>
                  <w:tcW w:w="1829" w:type="dxa"/>
                </w:tcPr>
                <w:p w14:paraId="25C60191" w14:textId="77777777" w:rsidR="003227F3" w:rsidRPr="00252F2A" w:rsidRDefault="003227F3" w:rsidP="003227F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eastAsiaTheme="majorEastAsia" w:hAnsi="Arial" w:cs="Arial"/>
                      <w:sz w:val="22"/>
                      <w:szCs w:val="22"/>
                    </w:rPr>
                  </w:pPr>
                  <w:r>
                    <w:rPr>
                      <w:rStyle w:val="normaltextrun"/>
                      <w:rFonts w:ascii="Arial" w:eastAsiaTheme="majorEastAsia" w:hAnsi="Arial" w:cs="Arial"/>
                    </w:rPr>
                    <w:t>67</w:t>
                  </w:r>
                </w:p>
              </w:tc>
            </w:tr>
          </w:tbl>
          <w:p w14:paraId="2DAE5435" w14:textId="77777777" w:rsidR="003227F3" w:rsidRPr="00252F2A" w:rsidRDefault="003227F3" w:rsidP="003227F3">
            <w:pPr>
              <w:rPr>
                <w:rFonts w:cs="Arial"/>
                <w:sz w:val="22"/>
                <w:szCs w:val="22"/>
              </w:rPr>
            </w:pPr>
          </w:p>
          <w:p w14:paraId="13E132FF" w14:textId="77777777" w:rsidR="003227F3" w:rsidRDefault="003227F3" w:rsidP="003227F3">
            <w:pPr>
              <w:rPr>
                <w:rFonts w:cs="Arial"/>
                <w:sz w:val="22"/>
                <w:szCs w:val="22"/>
              </w:rPr>
            </w:pPr>
            <w:r w:rsidRPr="00252F2A">
              <w:rPr>
                <w:rFonts w:cs="Arial"/>
                <w:sz w:val="22"/>
                <w:szCs w:val="22"/>
              </w:rPr>
              <w:t xml:space="preserve">Please note </w:t>
            </w:r>
            <w:r>
              <w:rPr>
                <w:rFonts w:cs="Arial"/>
                <w:sz w:val="22"/>
                <w:szCs w:val="22"/>
              </w:rPr>
              <w:t xml:space="preserve">that </w:t>
            </w:r>
            <w:r w:rsidRPr="00252F2A">
              <w:rPr>
                <w:rFonts w:cs="Arial"/>
                <w:sz w:val="22"/>
                <w:szCs w:val="22"/>
              </w:rPr>
              <w:t>th</w:t>
            </w:r>
            <w:r>
              <w:rPr>
                <w:rFonts w:cs="Arial"/>
                <w:sz w:val="22"/>
                <w:szCs w:val="22"/>
              </w:rPr>
              <w:t>ese</w:t>
            </w:r>
            <w:r w:rsidRPr="00252F2A">
              <w:rPr>
                <w:rFonts w:cs="Arial"/>
                <w:sz w:val="22"/>
                <w:szCs w:val="22"/>
              </w:rPr>
              <w:t xml:space="preserve"> </w:t>
            </w:r>
            <w:r>
              <w:rPr>
                <w:rFonts w:cs="Arial"/>
                <w:sz w:val="22"/>
                <w:szCs w:val="22"/>
              </w:rPr>
              <w:t>are</w:t>
            </w:r>
            <w:r w:rsidRPr="00252F2A">
              <w:rPr>
                <w:rFonts w:cs="Arial"/>
                <w:sz w:val="22"/>
                <w:szCs w:val="22"/>
              </w:rPr>
              <w:t xml:space="preserve"> approximate numbers a</w:t>
            </w:r>
            <w:r>
              <w:rPr>
                <w:rFonts w:cs="Arial"/>
                <w:sz w:val="22"/>
                <w:szCs w:val="22"/>
              </w:rPr>
              <w:t xml:space="preserve">t the </w:t>
            </w:r>
            <w:r w:rsidRPr="00252F2A">
              <w:rPr>
                <w:rFonts w:cs="Arial"/>
                <w:sz w:val="22"/>
                <w:szCs w:val="22"/>
              </w:rPr>
              <w:t>date of publish</w:t>
            </w:r>
            <w:r>
              <w:rPr>
                <w:rFonts w:cs="Arial"/>
                <w:sz w:val="22"/>
                <w:szCs w:val="22"/>
              </w:rPr>
              <w:t xml:space="preserve">ing and </w:t>
            </w:r>
            <w:r w:rsidRPr="00005E55">
              <w:rPr>
                <w:rFonts w:cs="Arial"/>
                <w:sz w:val="22"/>
                <w:szCs w:val="22"/>
              </w:rPr>
              <w:t>may include all-through schools double counted</w:t>
            </w:r>
            <w:r>
              <w:rPr>
                <w:rFonts w:cs="Arial"/>
                <w:sz w:val="22"/>
                <w:szCs w:val="22"/>
              </w:rPr>
              <w:t>.</w:t>
            </w:r>
          </w:p>
          <w:p w14:paraId="416E2DE3" w14:textId="77777777" w:rsidR="003227F3" w:rsidRDefault="003227F3" w:rsidP="003227F3">
            <w:pPr>
              <w:rPr>
                <w:rFonts w:cs="Arial"/>
                <w:sz w:val="22"/>
                <w:szCs w:val="22"/>
              </w:rPr>
            </w:pPr>
          </w:p>
          <w:p w14:paraId="3AE341B8" w14:textId="77777777" w:rsidR="003227F3" w:rsidRPr="00252F2A" w:rsidRDefault="003227F3" w:rsidP="003227F3">
            <w:pPr>
              <w:rPr>
                <w:rFonts w:cs="Arial"/>
                <w:sz w:val="22"/>
                <w:szCs w:val="22"/>
              </w:rPr>
            </w:pPr>
            <w:r>
              <w:rPr>
                <w:rFonts w:cs="Arial"/>
                <w:sz w:val="22"/>
                <w:szCs w:val="22"/>
              </w:rPr>
              <w:t>Further background information regarding the geography and population is provided within the ITT pack on Atamis.</w:t>
            </w:r>
          </w:p>
          <w:p w14:paraId="3B5D0B08" w14:textId="77777777" w:rsidR="003227F3" w:rsidRDefault="003227F3" w:rsidP="003227F3">
            <w:pPr>
              <w:rPr>
                <w:rFonts w:cs="Arial"/>
                <w:sz w:val="22"/>
                <w:szCs w:val="22"/>
              </w:rPr>
            </w:pPr>
          </w:p>
          <w:p w14:paraId="4B699A23" w14:textId="3A53C06E" w:rsidR="003227F3" w:rsidRPr="003227F3" w:rsidRDefault="003227F3" w:rsidP="00304977">
            <w:pPr>
              <w:rPr>
                <w:rFonts w:cs="Arial"/>
                <w:sz w:val="22"/>
                <w:szCs w:val="22"/>
              </w:rPr>
            </w:pPr>
            <w:r>
              <w:rPr>
                <w:rFonts w:cs="Arial"/>
                <w:sz w:val="22"/>
                <w:szCs w:val="22"/>
              </w:rPr>
              <w:t xml:space="preserve">TUPE is expected to apply for this lot. </w:t>
            </w:r>
          </w:p>
        </w:tc>
      </w:tr>
    </w:tbl>
    <w:p w14:paraId="34732927" w14:textId="77777777" w:rsidR="003227F3" w:rsidRPr="00A8526E" w:rsidRDefault="003227F3" w:rsidP="003227F3">
      <w:pPr>
        <w:spacing w:after="200" w:line="276" w:lineRule="auto"/>
        <w:rPr>
          <w:rFonts w:cs="Arial"/>
        </w:rPr>
      </w:pPr>
    </w:p>
    <w:p w14:paraId="40FE950F" w14:textId="77777777" w:rsidR="003227F3" w:rsidRPr="00A8526E" w:rsidRDefault="003227F3" w:rsidP="003227F3">
      <w:pPr>
        <w:spacing w:after="200" w:line="276" w:lineRule="auto"/>
        <w:rPr>
          <w:rFonts w:cs="Arial"/>
        </w:rPr>
      </w:pPr>
    </w:p>
    <w:p w14:paraId="0BBABB91" w14:textId="77777777" w:rsidR="003227F3" w:rsidRPr="00A8526E" w:rsidRDefault="003227F3">
      <w:pPr>
        <w:spacing w:after="200" w:line="276" w:lineRule="auto"/>
        <w:rPr>
          <w:rFonts w:cs="Arial"/>
        </w:rPr>
      </w:pPr>
    </w:p>
    <w:sectPr w:rsidR="003227F3" w:rsidRPr="00A8526E" w:rsidSect="00D3263C">
      <w:footerReference w:type="default" r:id="rId11"/>
      <w:headerReference w:type="first" r:id="rId12"/>
      <w:pgSz w:w="11906" w:h="16838"/>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95AF3" w14:textId="77777777" w:rsidR="00EC1539" w:rsidRDefault="00EC1539" w:rsidP="0093247A">
      <w:r>
        <w:separator/>
      </w:r>
    </w:p>
  </w:endnote>
  <w:endnote w:type="continuationSeparator" w:id="0">
    <w:p w14:paraId="04396704" w14:textId="77777777" w:rsidR="00EC1539" w:rsidRDefault="00EC1539" w:rsidP="00932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334684"/>
      <w:docPartObj>
        <w:docPartGallery w:val="Page Numbers (Bottom of Page)"/>
        <w:docPartUnique/>
      </w:docPartObj>
    </w:sdtPr>
    <w:sdtEndPr/>
    <w:sdtContent>
      <w:sdt>
        <w:sdtPr>
          <w:id w:val="-1669238322"/>
          <w:docPartObj>
            <w:docPartGallery w:val="Page Numbers (Top of Page)"/>
            <w:docPartUnique/>
          </w:docPartObj>
        </w:sdtPr>
        <w:sdtEndPr/>
        <w:sdtContent>
          <w:p w14:paraId="4FC2187D" w14:textId="77777777" w:rsidR="00C33734" w:rsidRDefault="00C3373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A41869">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A41869">
              <w:rPr>
                <w:b/>
                <w:bCs/>
                <w:noProof/>
              </w:rPr>
              <w:t>7</w:t>
            </w:r>
            <w:r>
              <w:rPr>
                <w:b/>
                <w:bCs/>
                <w:szCs w:val="24"/>
              </w:rPr>
              <w:fldChar w:fldCharType="end"/>
            </w:r>
          </w:p>
        </w:sdtContent>
      </w:sdt>
    </w:sdtContent>
  </w:sdt>
  <w:p w14:paraId="64324681" w14:textId="77777777" w:rsidR="00C33734" w:rsidRDefault="00C33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5919D" w14:textId="77777777" w:rsidR="00EC1539" w:rsidRDefault="00EC1539" w:rsidP="0093247A">
      <w:r>
        <w:separator/>
      </w:r>
    </w:p>
  </w:footnote>
  <w:footnote w:type="continuationSeparator" w:id="0">
    <w:p w14:paraId="44242147" w14:textId="77777777" w:rsidR="00EC1539" w:rsidRDefault="00EC1539" w:rsidP="00932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39F7" w14:textId="77777777" w:rsidR="00C33734" w:rsidRDefault="00C33734">
    <w:pPr>
      <w:pStyle w:val="Header"/>
    </w:pPr>
    <w:r>
      <w:rPr>
        <w:noProof/>
        <w:lang w:eastAsia="en-GB"/>
      </w:rPr>
      <w:drawing>
        <wp:anchor distT="0" distB="0" distL="114300" distR="114300" simplePos="0" relativeHeight="251659264" behindDoc="1" locked="0" layoutInCell="1" allowOverlap="1" wp14:anchorId="1B054FF3" wp14:editId="35D8D2C7">
          <wp:simplePos x="0" y="0"/>
          <wp:positionH relativeFrom="column">
            <wp:posOffset>-898410</wp:posOffset>
          </wp:positionH>
          <wp:positionV relativeFrom="paragraph">
            <wp:posOffset>-446405</wp:posOffset>
          </wp:positionV>
          <wp:extent cx="7560606" cy="1323833"/>
          <wp:effectExtent l="0" t="0" r="2540" b="0"/>
          <wp:wrapNone/>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
                    <a:extLst>
                      <a:ext uri="{28A0092B-C50C-407E-A947-70E740481C1C}">
                        <a14:useLocalDpi xmlns:a14="http://schemas.microsoft.com/office/drawing/2010/main" val="0"/>
                      </a:ext>
                    </a:extLst>
                  </a:blip>
                  <a:srcRect b="87548"/>
                  <a:stretch/>
                </pic:blipFill>
                <pic:spPr bwMode="auto">
                  <a:xfrm>
                    <a:off x="0" y="0"/>
                    <a:ext cx="7560606" cy="13238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882C"/>
    <w:multiLevelType w:val="hybridMultilevel"/>
    <w:tmpl w:val="89028678"/>
    <w:lvl w:ilvl="0" w:tplc="0F92BA80">
      <w:start w:val="1"/>
      <w:numFmt w:val="bullet"/>
      <w:lvlText w:val="-"/>
      <w:lvlJc w:val="left"/>
      <w:pPr>
        <w:ind w:left="720" w:hanging="360"/>
      </w:pPr>
      <w:rPr>
        <w:rFonts w:ascii="Calibri" w:hAnsi="Calibri" w:hint="default"/>
      </w:rPr>
    </w:lvl>
    <w:lvl w:ilvl="1" w:tplc="39C6E8C8">
      <w:start w:val="1"/>
      <w:numFmt w:val="bullet"/>
      <w:lvlText w:val="o"/>
      <w:lvlJc w:val="left"/>
      <w:pPr>
        <w:ind w:left="1440" w:hanging="360"/>
      </w:pPr>
      <w:rPr>
        <w:rFonts w:ascii="Courier New" w:hAnsi="Courier New" w:hint="default"/>
      </w:rPr>
    </w:lvl>
    <w:lvl w:ilvl="2" w:tplc="F6909F26">
      <w:start w:val="1"/>
      <w:numFmt w:val="bullet"/>
      <w:lvlText w:val=""/>
      <w:lvlJc w:val="left"/>
      <w:pPr>
        <w:ind w:left="2160" w:hanging="360"/>
      </w:pPr>
      <w:rPr>
        <w:rFonts w:ascii="Wingdings" w:hAnsi="Wingdings" w:hint="default"/>
      </w:rPr>
    </w:lvl>
    <w:lvl w:ilvl="3" w:tplc="01F681F4">
      <w:start w:val="1"/>
      <w:numFmt w:val="bullet"/>
      <w:lvlText w:val=""/>
      <w:lvlJc w:val="left"/>
      <w:pPr>
        <w:ind w:left="2880" w:hanging="360"/>
      </w:pPr>
      <w:rPr>
        <w:rFonts w:ascii="Symbol" w:hAnsi="Symbol" w:hint="default"/>
      </w:rPr>
    </w:lvl>
    <w:lvl w:ilvl="4" w:tplc="00168C4C">
      <w:start w:val="1"/>
      <w:numFmt w:val="bullet"/>
      <w:lvlText w:val="o"/>
      <w:lvlJc w:val="left"/>
      <w:pPr>
        <w:ind w:left="3600" w:hanging="360"/>
      </w:pPr>
      <w:rPr>
        <w:rFonts w:ascii="Courier New" w:hAnsi="Courier New" w:hint="default"/>
      </w:rPr>
    </w:lvl>
    <w:lvl w:ilvl="5" w:tplc="A89AB72A">
      <w:start w:val="1"/>
      <w:numFmt w:val="bullet"/>
      <w:lvlText w:val=""/>
      <w:lvlJc w:val="left"/>
      <w:pPr>
        <w:ind w:left="4320" w:hanging="360"/>
      </w:pPr>
      <w:rPr>
        <w:rFonts w:ascii="Wingdings" w:hAnsi="Wingdings" w:hint="default"/>
      </w:rPr>
    </w:lvl>
    <w:lvl w:ilvl="6" w:tplc="4018379C">
      <w:start w:val="1"/>
      <w:numFmt w:val="bullet"/>
      <w:lvlText w:val=""/>
      <w:lvlJc w:val="left"/>
      <w:pPr>
        <w:ind w:left="5040" w:hanging="360"/>
      </w:pPr>
      <w:rPr>
        <w:rFonts w:ascii="Symbol" w:hAnsi="Symbol" w:hint="default"/>
      </w:rPr>
    </w:lvl>
    <w:lvl w:ilvl="7" w:tplc="D9F2B41A">
      <w:start w:val="1"/>
      <w:numFmt w:val="bullet"/>
      <w:lvlText w:val="o"/>
      <w:lvlJc w:val="left"/>
      <w:pPr>
        <w:ind w:left="5760" w:hanging="360"/>
      </w:pPr>
      <w:rPr>
        <w:rFonts w:ascii="Courier New" w:hAnsi="Courier New" w:hint="default"/>
      </w:rPr>
    </w:lvl>
    <w:lvl w:ilvl="8" w:tplc="C9E2A254">
      <w:start w:val="1"/>
      <w:numFmt w:val="bullet"/>
      <w:lvlText w:val=""/>
      <w:lvlJc w:val="left"/>
      <w:pPr>
        <w:ind w:left="6480" w:hanging="360"/>
      </w:pPr>
      <w:rPr>
        <w:rFonts w:ascii="Wingdings" w:hAnsi="Wingdings" w:hint="default"/>
      </w:rPr>
    </w:lvl>
  </w:abstractNum>
  <w:abstractNum w:abstractNumId="1" w15:restartNumberingAfterBreak="0">
    <w:nsid w:val="250B4A8A"/>
    <w:multiLevelType w:val="hybridMultilevel"/>
    <w:tmpl w:val="83BC3A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A8C79A9"/>
    <w:multiLevelType w:val="hybridMultilevel"/>
    <w:tmpl w:val="343E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4614C"/>
    <w:multiLevelType w:val="hybridMultilevel"/>
    <w:tmpl w:val="DDDA6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F73EF"/>
    <w:multiLevelType w:val="hybridMultilevel"/>
    <w:tmpl w:val="9E2A25D4"/>
    <w:lvl w:ilvl="0" w:tplc="9AA64284">
      <w:numFmt w:val="bullet"/>
      <w:lvlText w:val=""/>
      <w:lvlJc w:val="left"/>
      <w:pPr>
        <w:ind w:left="940" w:hanging="360"/>
      </w:pPr>
      <w:rPr>
        <w:rFonts w:ascii="Symbol" w:eastAsia="Symbol" w:hAnsi="Symbol" w:cs="Symbol" w:hint="default"/>
        <w:color w:val="auto"/>
        <w:w w:val="100"/>
        <w:sz w:val="22"/>
        <w:szCs w:val="22"/>
        <w:lang w:val="en-GB" w:eastAsia="en-GB" w:bidi="en-GB"/>
      </w:rPr>
    </w:lvl>
    <w:lvl w:ilvl="1" w:tplc="BC30F332">
      <w:numFmt w:val="bullet"/>
      <w:lvlText w:val="•"/>
      <w:lvlJc w:val="left"/>
      <w:pPr>
        <w:ind w:left="1792" w:hanging="360"/>
      </w:pPr>
      <w:rPr>
        <w:rFonts w:hint="default"/>
        <w:lang w:val="en-GB" w:eastAsia="en-GB" w:bidi="en-GB"/>
      </w:rPr>
    </w:lvl>
    <w:lvl w:ilvl="2" w:tplc="70CCD30A">
      <w:numFmt w:val="bullet"/>
      <w:lvlText w:val="•"/>
      <w:lvlJc w:val="left"/>
      <w:pPr>
        <w:ind w:left="2645" w:hanging="360"/>
      </w:pPr>
      <w:rPr>
        <w:rFonts w:hint="default"/>
        <w:lang w:val="en-GB" w:eastAsia="en-GB" w:bidi="en-GB"/>
      </w:rPr>
    </w:lvl>
    <w:lvl w:ilvl="3" w:tplc="CBB09D8E">
      <w:numFmt w:val="bullet"/>
      <w:lvlText w:val="•"/>
      <w:lvlJc w:val="left"/>
      <w:pPr>
        <w:ind w:left="3497" w:hanging="360"/>
      </w:pPr>
      <w:rPr>
        <w:rFonts w:hint="default"/>
        <w:lang w:val="en-GB" w:eastAsia="en-GB" w:bidi="en-GB"/>
      </w:rPr>
    </w:lvl>
    <w:lvl w:ilvl="4" w:tplc="E8303454">
      <w:numFmt w:val="bullet"/>
      <w:lvlText w:val="•"/>
      <w:lvlJc w:val="left"/>
      <w:pPr>
        <w:ind w:left="4350" w:hanging="360"/>
      </w:pPr>
      <w:rPr>
        <w:rFonts w:hint="default"/>
        <w:lang w:val="en-GB" w:eastAsia="en-GB" w:bidi="en-GB"/>
      </w:rPr>
    </w:lvl>
    <w:lvl w:ilvl="5" w:tplc="F03825BC">
      <w:numFmt w:val="bullet"/>
      <w:lvlText w:val="•"/>
      <w:lvlJc w:val="left"/>
      <w:pPr>
        <w:ind w:left="5203" w:hanging="360"/>
      </w:pPr>
      <w:rPr>
        <w:rFonts w:hint="default"/>
        <w:lang w:val="en-GB" w:eastAsia="en-GB" w:bidi="en-GB"/>
      </w:rPr>
    </w:lvl>
    <w:lvl w:ilvl="6" w:tplc="F8520372">
      <w:numFmt w:val="bullet"/>
      <w:lvlText w:val="•"/>
      <w:lvlJc w:val="left"/>
      <w:pPr>
        <w:ind w:left="6055" w:hanging="360"/>
      </w:pPr>
      <w:rPr>
        <w:rFonts w:hint="default"/>
        <w:lang w:val="en-GB" w:eastAsia="en-GB" w:bidi="en-GB"/>
      </w:rPr>
    </w:lvl>
    <w:lvl w:ilvl="7" w:tplc="6D364454">
      <w:numFmt w:val="bullet"/>
      <w:lvlText w:val="•"/>
      <w:lvlJc w:val="left"/>
      <w:pPr>
        <w:ind w:left="6908" w:hanging="360"/>
      </w:pPr>
      <w:rPr>
        <w:rFonts w:hint="default"/>
        <w:lang w:val="en-GB" w:eastAsia="en-GB" w:bidi="en-GB"/>
      </w:rPr>
    </w:lvl>
    <w:lvl w:ilvl="8" w:tplc="D67E2420">
      <w:numFmt w:val="bullet"/>
      <w:lvlText w:val="•"/>
      <w:lvlJc w:val="left"/>
      <w:pPr>
        <w:ind w:left="7761" w:hanging="360"/>
      </w:pPr>
      <w:rPr>
        <w:rFonts w:hint="default"/>
        <w:lang w:val="en-GB" w:eastAsia="en-GB" w:bidi="en-GB"/>
      </w:rPr>
    </w:lvl>
  </w:abstractNum>
  <w:abstractNum w:abstractNumId="5" w15:restartNumberingAfterBreak="0">
    <w:nsid w:val="3A271E3E"/>
    <w:multiLevelType w:val="hybridMultilevel"/>
    <w:tmpl w:val="E8D0F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E235C4"/>
    <w:multiLevelType w:val="hybridMultilevel"/>
    <w:tmpl w:val="C9207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1C1EA6"/>
    <w:multiLevelType w:val="hybridMultilevel"/>
    <w:tmpl w:val="13E0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EC045D"/>
    <w:multiLevelType w:val="hybridMultilevel"/>
    <w:tmpl w:val="00E23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DF5454E"/>
    <w:multiLevelType w:val="hybridMultilevel"/>
    <w:tmpl w:val="24CCE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872CF1"/>
    <w:multiLevelType w:val="hybridMultilevel"/>
    <w:tmpl w:val="F81CC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0410BF"/>
    <w:multiLevelType w:val="hybridMultilevel"/>
    <w:tmpl w:val="F0209DA0"/>
    <w:lvl w:ilvl="0" w:tplc="2BE8C7BC">
      <w:start w:val="30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8603AD"/>
    <w:multiLevelType w:val="hybridMultilevel"/>
    <w:tmpl w:val="5CF8F69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3" w15:restartNumberingAfterBreak="0">
    <w:nsid w:val="74552347"/>
    <w:multiLevelType w:val="hybridMultilevel"/>
    <w:tmpl w:val="7BEA35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5230F24"/>
    <w:multiLevelType w:val="hybridMultilevel"/>
    <w:tmpl w:val="2CCCE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5A33CB"/>
    <w:multiLevelType w:val="hybridMultilevel"/>
    <w:tmpl w:val="3F761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239342">
    <w:abstractNumId w:val="15"/>
  </w:num>
  <w:num w:numId="2" w16cid:durableId="799760470">
    <w:abstractNumId w:val="13"/>
  </w:num>
  <w:num w:numId="3" w16cid:durableId="31541337">
    <w:abstractNumId w:val="12"/>
  </w:num>
  <w:num w:numId="4" w16cid:durableId="1627351578">
    <w:abstractNumId w:val="3"/>
  </w:num>
  <w:num w:numId="5" w16cid:durableId="1153640304">
    <w:abstractNumId w:val="7"/>
  </w:num>
  <w:num w:numId="6" w16cid:durableId="1664502846">
    <w:abstractNumId w:val="1"/>
  </w:num>
  <w:num w:numId="7" w16cid:durableId="1175919712">
    <w:abstractNumId w:val="11"/>
  </w:num>
  <w:num w:numId="8" w16cid:durableId="1845702129">
    <w:abstractNumId w:val="6"/>
  </w:num>
  <w:num w:numId="9" w16cid:durableId="204760503">
    <w:abstractNumId w:val="9"/>
  </w:num>
  <w:num w:numId="10" w16cid:durableId="771242200">
    <w:abstractNumId w:val="2"/>
  </w:num>
  <w:num w:numId="11" w16cid:durableId="1258176573">
    <w:abstractNumId w:val="5"/>
  </w:num>
  <w:num w:numId="12" w16cid:durableId="1121999986">
    <w:abstractNumId w:val="4"/>
  </w:num>
  <w:num w:numId="13" w16cid:durableId="2042851499">
    <w:abstractNumId w:val="10"/>
  </w:num>
  <w:num w:numId="14" w16cid:durableId="1698921712">
    <w:abstractNumId w:val="8"/>
  </w:num>
  <w:num w:numId="15" w16cid:durableId="823619440">
    <w:abstractNumId w:val="4"/>
  </w:num>
  <w:num w:numId="16" w16cid:durableId="685978997">
    <w:abstractNumId w:val="14"/>
  </w:num>
  <w:num w:numId="17" w16cid:durableId="372005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BC"/>
    <w:rsid w:val="0000752E"/>
    <w:rsid w:val="00021874"/>
    <w:rsid w:val="000230E1"/>
    <w:rsid w:val="00032DDA"/>
    <w:rsid w:val="00044265"/>
    <w:rsid w:val="00057235"/>
    <w:rsid w:val="00087597"/>
    <w:rsid w:val="0009192D"/>
    <w:rsid w:val="00096DD1"/>
    <w:rsid w:val="000C3B8D"/>
    <w:rsid w:val="000D4105"/>
    <w:rsid w:val="000E5719"/>
    <w:rsid w:val="000F5F77"/>
    <w:rsid w:val="00100145"/>
    <w:rsid w:val="00130487"/>
    <w:rsid w:val="00131C35"/>
    <w:rsid w:val="00140D0F"/>
    <w:rsid w:val="00141AB5"/>
    <w:rsid w:val="00156C2E"/>
    <w:rsid w:val="001629B2"/>
    <w:rsid w:val="00163D8D"/>
    <w:rsid w:val="00167CB2"/>
    <w:rsid w:val="001903DC"/>
    <w:rsid w:val="00196D62"/>
    <w:rsid w:val="00197F29"/>
    <w:rsid w:val="001A6F0C"/>
    <w:rsid w:val="001B2160"/>
    <w:rsid w:val="001B4E69"/>
    <w:rsid w:val="001D4A2B"/>
    <w:rsid w:val="001E5FC6"/>
    <w:rsid w:val="001F173C"/>
    <w:rsid w:val="00236D87"/>
    <w:rsid w:val="002728C7"/>
    <w:rsid w:val="00273776"/>
    <w:rsid w:val="002A5F66"/>
    <w:rsid w:val="002B541B"/>
    <w:rsid w:val="002C1871"/>
    <w:rsid w:val="002D2961"/>
    <w:rsid w:val="002D2A34"/>
    <w:rsid w:val="002E0561"/>
    <w:rsid w:val="002E1FE6"/>
    <w:rsid w:val="002E27FE"/>
    <w:rsid w:val="002F3342"/>
    <w:rsid w:val="00305EF4"/>
    <w:rsid w:val="00314D64"/>
    <w:rsid w:val="003227F3"/>
    <w:rsid w:val="003367BF"/>
    <w:rsid w:val="00353247"/>
    <w:rsid w:val="00363374"/>
    <w:rsid w:val="00364014"/>
    <w:rsid w:val="0036493F"/>
    <w:rsid w:val="00366360"/>
    <w:rsid w:val="003734C8"/>
    <w:rsid w:val="003A5E26"/>
    <w:rsid w:val="003B68F4"/>
    <w:rsid w:val="003C0A45"/>
    <w:rsid w:val="003D047A"/>
    <w:rsid w:val="003F32A0"/>
    <w:rsid w:val="003F411C"/>
    <w:rsid w:val="0040212F"/>
    <w:rsid w:val="00412A4F"/>
    <w:rsid w:val="004648A9"/>
    <w:rsid w:val="0047153A"/>
    <w:rsid w:val="004819FD"/>
    <w:rsid w:val="004824E1"/>
    <w:rsid w:val="004B611B"/>
    <w:rsid w:val="004C2677"/>
    <w:rsid w:val="004C4016"/>
    <w:rsid w:val="004D1FBB"/>
    <w:rsid w:val="004E65C0"/>
    <w:rsid w:val="00505B2E"/>
    <w:rsid w:val="0051449A"/>
    <w:rsid w:val="00545EA0"/>
    <w:rsid w:val="00546800"/>
    <w:rsid w:val="00586F17"/>
    <w:rsid w:val="005A48C4"/>
    <w:rsid w:val="005B4757"/>
    <w:rsid w:val="005B76F3"/>
    <w:rsid w:val="005C3255"/>
    <w:rsid w:val="005D1C2C"/>
    <w:rsid w:val="005E4A49"/>
    <w:rsid w:val="005F4E85"/>
    <w:rsid w:val="0061213C"/>
    <w:rsid w:val="00627655"/>
    <w:rsid w:val="00633B82"/>
    <w:rsid w:val="00641838"/>
    <w:rsid w:val="0064573F"/>
    <w:rsid w:val="006512C2"/>
    <w:rsid w:val="006552BC"/>
    <w:rsid w:val="00664151"/>
    <w:rsid w:val="00683F83"/>
    <w:rsid w:val="00687D8B"/>
    <w:rsid w:val="006902F4"/>
    <w:rsid w:val="006946BC"/>
    <w:rsid w:val="006D2A64"/>
    <w:rsid w:val="006D4FD9"/>
    <w:rsid w:val="007078CA"/>
    <w:rsid w:val="00717A1B"/>
    <w:rsid w:val="00721419"/>
    <w:rsid w:val="007216FA"/>
    <w:rsid w:val="007402A0"/>
    <w:rsid w:val="007438DC"/>
    <w:rsid w:val="00744E11"/>
    <w:rsid w:val="007712B5"/>
    <w:rsid w:val="00771443"/>
    <w:rsid w:val="007C205E"/>
    <w:rsid w:val="007C400B"/>
    <w:rsid w:val="007C46EE"/>
    <w:rsid w:val="007E43DB"/>
    <w:rsid w:val="00835961"/>
    <w:rsid w:val="00843D33"/>
    <w:rsid w:val="00855788"/>
    <w:rsid w:val="00857AB3"/>
    <w:rsid w:val="00863C0C"/>
    <w:rsid w:val="00863F25"/>
    <w:rsid w:val="008A1487"/>
    <w:rsid w:val="008A1549"/>
    <w:rsid w:val="008A7150"/>
    <w:rsid w:val="009204AA"/>
    <w:rsid w:val="0093247A"/>
    <w:rsid w:val="00933724"/>
    <w:rsid w:val="00934BE7"/>
    <w:rsid w:val="009360AD"/>
    <w:rsid w:val="00937037"/>
    <w:rsid w:val="00943E2B"/>
    <w:rsid w:val="009544D0"/>
    <w:rsid w:val="00955E0A"/>
    <w:rsid w:val="00960F7E"/>
    <w:rsid w:val="00966892"/>
    <w:rsid w:val="00967C7F"/>
    <w:rsid w:val="009A7D7B"/>
    <w:rsid w:val="009D4B32"/>
    <w:rsid w:val="009E30F9"/>
    <w:rsid w:val="00A008D9"/>
    <w:rsid w:val="00A3426A"/>
    <w:rsid w:val="00A34E38"/>
    <w:rsid w:val="00A360C2"/>
    <w:rsid w:val="00A41869"/>
    <w:rsid w:val="00A42635"/>
    <w:rsid w:val="00A539E7"/>
    <w:rsid w:val="00A56480"/>
    <w:rsid w:val="00A613FA"/>
    <w:rsid w:val="00A67C33"/>
    <w:rsid w:val="00A76CC6"/>
    <w:rsid w:val="00A771E9"/>
    <w:rsid w:val="00A8526E"/>
    <w:rsid w:val="00AD5512"/>
    <w:rsid w:val="00B02517"/>
    <w:rsid w:val="00B13C67"/>
    <w:rsid w:val="00B32A39"/>
    <w:rsid w:val="00B43064"/>
    <w:rsid w:val="00B5221E"/>
    <w:rsid w:val="00B5640E"/>
    <w:rsid w:val="00B5772E"/>
    <w:rsid w:val="00B856AD"/>
    <w:rsid w:val="00B875E8"/>
    <w:rsid w:val="00BB5137"/>
    <w:rsid w:val="00BB6A1C"/>
    <w:rsid w:val="00BC2545"/>
    <w:rsid w:val="00BC3185"/>
    <w:rsid w:val="00BC64ED"/>
    <w:rsid w:val="00BD16BA"/>
    <w:rsid w:val="00C02865"/>
    <w:rsid w:val="00C1614D"/>
    <w:rsid w:val="00C24160"/>
    <w:rsid w:val="00C26EBA"/>
    <w:rsid w:val="00C33734"/>
    <w:rsid w:val="00C379DD"/>
    <w:rsid w:val="00C40936"/>
    <w:rsid w:val="00C41DB9"/>
    <w:rsid w:val="00C4200B"/>
    <w:rsid w:val="00C46A8D"/>
    <w:rsid w:val="00C62D2D"/>
    <w:rsid w:val="00C74DD3"/>
    <w:rsid w:val="00CC4DF0"/>
    <w:rsid w:val="00CC571F"/>
    <w:rsid w:val="00CD1995"/>
    <w:rsid w:val="00D067E8"/>
    <w:rsid w:val="00D0703F"/>
    <w:rsid w:val="00D238C2"/>
    <w:rsid w:val="00D3263C"/>
    <w:rsid w:val="00D42E50"/>
    <w:rsid w:val="00D51D7B"/>
    <w:rsid w:val="00D60C9D"/>
    <w:rsid w:val="00D64E48"/>
    <w:rsid w:val="00D96FE4"/>
    <w:rsid w:val="00DA21E1"/>
    <w:rsid w:val="00DA6AE2"/>
    <w:rsid w:val="00DC48C2"/>
    <w:rsid w:val="00DD3CD0"/>
    <w:rsid w:val="00E14B27"/>
    <w:rsid w:val="00E30E4B"/>
    <w:rsid w:val="00E517E2"/>
    <w:rsid w:val="00E7770F"/>
    <w:rsid w:val="00E85412"/>
    <w:rsid w:val="00EA0E4A"/>
    <w:rsid w:val="00EC1539"/>
    <w:rsid w:val="00EC7660"/>
    <w:rsid w:val="00ED33A0"/>
    <w:rsid w:val="00EE4698"/>
    <w:rsid w:val="00EE4CCB"/>
    <w:rsid w:val="00F11FEC"/>
    <w:rsid w:val="00F152B6"/>
    <w:rsid w:val="00F20D27"/>
    <w:rsid w:val="00F2473A"/>
    <w:rsid w:val="00F3251D"/>
    <w:rsid w:val="00F4074F"/>
    <w:rsid w:val="00F91780"/>
    <w:rsid w:val="00FA46BF"/>
    <w:rsid w:val="00FB5FD4"/>
    <w:rsid w:val="00FC50C7"/>
    <w:rsid w:val="00FC51BC"/>
    <w:rsid w:val="00FC760B"/>
    <w:rsid w:val="00FD2402"/>
    <w:rsid w:val="00FE2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C1929"/>
  <w15:docId w15:val="{86426D93-D972-4F65-AB40-554D390A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A8D"/>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9324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47A"/>
    <w:pPr>
      <w:tabs>
        <w:tab w:val="center" w:pos="4513"/>
        <w:tab w:val="right" w:pos="9026"/>
      </w:tabs>
    </w:pPr>
  </w:style>
  <w:style w:type="character" w:customStyle="1" w:styleId="HeaderChar">
    <w:name w:val="Header Char"/>
    <w:basedOn w:val="DefaultParagraphFont"/>
    <w:link w:val="Header"/>
    <w:uiPriority w:val="99"/>
    <w:rsid w:val="0093247A"/>
  </w:style>
  <w:style w:type="paragraph" w:styleId="Footer">
    <w:name w:val="footer"/>
    <w:basedOn w:val="Normal"/>
    <w:link w:val="FooterChar"/>
    <w:uiPriority w:val="99"/>
    <w:unhideWhenUsed/>
    <w:rsid w:val="0093247A"/>
    <w:pPr>
      <w:tabs>
        <w:tab w:val="center" w:pos="4513"/>
        <w:tab w:val="right" w:pos="9026"/>
      </w:tabs>
    </w:pPr>
  </w:style>
  <w:style w:type="character" w:customStyle="1" w:styleId="FooterChar">
    <w:name w:val="Footer Char"/>
    <w:basedOn w:val="DefaultParagraphFont"/>
    <w:link w:val="Footer"/>
    <w:uiPriority w:val="99"/>
    <w:rsid w:val="0093247A"/>
  </w:style>
  <w:style w:type="paragraph" w:customStyle="1" w:styleId="StyleJustifiedLeft127cm">
    <w:name w:val="Style Justified Left:  1.27 cm"/>
    <w:basedOn w:val="Normal"/>
    <w:rsid w:val="0093247A"/>
    <w:pPr>
      <w:spacing w:before="60" w:after="60"/>
      <w:ind w:left="567"/>
      <w:jc w:val="both"/>
    </w:pPr>
    <w:rPr>
      <w:sz w:val="22"/>
      <w:lang w:eastAsia="en-GB"/>
    </w:rPr>
  </w:style>
  <w:style w:type="table" w:styleId="TableGrid">
    <w:name w:val="Table Grid"/>
    <w:basedOn w:val="TableNormal"/>
    <w:uiPriority w:val="59"/>
    <w:rsid w:val="00932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247A"/>
    <w:rPr>
      <w:rFonts w:ascii="Tahoma" w:hAnsi="Tahoma" w:cs="Tahoma"/>
      <w:sz w:val="16"/>
      <w:szCs w:val="16"/>
    </w:rPr>
  </w:style>
  <w:style w:type="character" w:customStyle="1" w:styleId="BalloonTextChar">
    <w:name w:val="Balloon Text Char"/>
    <w:basedOn w:val="DefaultParagraphFont"/>
    <w:link w:val="BalloonText"/>
    <w:uiPriority w:val="99"/>
    <w:semiHidden/>
    <w:rsid w:val="0093247A"/>
    <w:rPr>
      <w:rFonts w:ascii="Tahoma" w:eastAsia="Times New Roman" w:hAnsi="Tahoma" w:cs="Tahoma"/>
      <w:sz w:val="16"/>
      <w:szCs w:val="16"/>
    </w:rPr>
  </w:style>
  <w:style w:type="character" w:customStyle="1" w:styleId="Heading1Char">
    <w:name w:val="Heading 1 Char"/>
    <w:basedOn w:val="DefaultParagraphFont"/>
    <w:link w:val="Heading1"/>
    <w:uiPriority w:val="9"/>
    <w:rsid w:val="0093247A"/>
    <w:rPr>
      <w:rFonts w:asciiTheme="majorHAnsi" w:eastAsiaTheme="majorEastAsia" w:hAnsiTheme="majorHAnsi" w:cstheme="majorBidi"/>
      <w:b/>
      <w:bCs/>
      <w:color w:val="365F91" w:themeColor="accent1" w:themeShade="BF"/>
      <w:sz w:val="28"/>
      <w:szCs w:val="28"/>
    </w:rPr>
  </w:style>
  <w:style w:type="character" w:styleId="Hyperlink">
    <w:name w:val="Hyperlink"/>
    <w:uiPriority w:val="99"/>
    <w:unhideWhenUsed/>
    <w:rsid w:val="00D3263C"/>
    <w:rPr>
      <w:color w:val="0000FF"/>
      <w:u w:val="single"/>
    </w:rPr>
  </w:style>
  <w:style w:type="character" w:styleId="FollowedHyperlink">
    <w:name w:val="FollowedHyperlink"/>
    <w:basedOn w:val="DefaultParagraphFont"/>
    <w:uiPriority w:val="99"/>
    <w:semiHidden/>
    <w:unhideWhenUsed/>
    <w:rsid w:val="005C3255"/>
    <w:rPr>
      <w:color w:val="800080" w:themeColor="followedHyperlink"/>
      <w:u w:val="single"/>
    </w:rPr>
  </w:style>
  <w:style w:type="paragraph" w:styleId="ListParagraph">
    <w:name w:val="List Paragraph"/>
    <w:basedOn w:val="Normal"/>
    <w:uiPriority w:val="34"/>
    <w:qFormat/>
    <w:rsid w:val="00960F7E"/>
    <w:pPr>
      <w:ind w:left="720"/>
      <w:contextualSpacing/>
    </w:pPr>
  </w:style>
  <w:style w:type="character" w:customStyle="1" w:styleId="xforms-deselected">
    <w:name w:val="xforms-deselected"/>
    <w:basedOn w:val="DefaultParagraphFont"/>
    <w:rsid w:val="005B4757"/>
  </w:style>
  <w:style w:type="character" w:styleId="CommentReference">
    <w:name w:val="annotation reference"/>
    <w:basedOn w:val="DefaultParagraphFont"/>
    <w:uiPriority w:val="99"/>
    <w:semiHidden/>
    <w:unhideWhenUsed/>
    <w:rsid w:val="00C40936"/>
    <w:rPr>
      <w:sz w:val="16"/>
      <w:szCs w:val="16"/>
    </w:rPr>
  </w:style>
  <w:style w:type="paragraph" w:styleId="CommentText">
    <w:name w:val="annotation text"/>
    <w:basedOn w:val="Normal"/>
    <w:link w:val="CommentTextChar"/>
    <w:uiPriority w:val="99"/>
    <w:semiHidden/>
    <w:unhideWhenUsed/>
    <w:rsid w:val="00C40936"/>
    <w:rPr>
      <w:sz w:val="20"/>
    </w:rPr>
  </w:style>
  <w:style w:type="character" w:customStyle="1" w:styleId="CommentTextChar">
    <w:name w:val="Comment Text Char"/>
    <w:basedOn w:val="DefaultParagraphFont"/>
    <w:link w:val="CommentText"/>
    <w:uiPriority w:val="99"/>
    <w:semiHidden/>
    <w:rsid w:val="00C4093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40936"/>
    <w:rPr>
      <w:b/>
      <w:bCs/>
    </w:rPr>
  </w:style>
  <w:style w:type="character" w:customStyle="1" w:styleId="CommentSubjectChar">
    <w:name w:val="Comment Subject Char"/>
    <w:basedOn w:val="CommentTextChar"/>
    <w:link w:val="CommentSubject"/>
    <w:uiPriority w:val="99"/>
    <w:semiHidden/>
    <w:rsid w:val="00C40936"/>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545EA0"/>
    <w:rPr>
      <w:color w:val="605E5C"/>
      <w:shd w:val="clear" w:color="auto" w:fill="E1DFDD"/>
    </w:rPr>
  </w:style>
  <w:style w:type="paragraph" w:styleId="BodyText">
    <w:name w:val="Body Text"/>
    <w:basedOn w:val="Normal"/>
    <w:link w:val="BodyTextChar"/>
    <w:uiPriority w:val="1"/>
    <w:qFormat/>
    <w:rsid w:val="00A539E7"/>
    <w:pPr>
      <w:widowControl w:val="0"/>
      <w:autoSpaceDE w:val="0"/>
      <w:autoSpaceDN w:val="0"/>
      <w:ind w:left="220"/>
    </w:pPr>
    <w:rPr>
      <w:rFonts w:eastAsia="Arial" w:cs="Arial"/>
      <w:sz w:val="22"/>
      <w:szCs w:val="22"/>
      <w:lang w:eastAsia="en-GB" w:bidi="en-GB"/>
    </w:rPr>
  </w:style>
  <w:style w:type="character" w:customStyle="1" w:styleId="BodyTextChar">
    <w:name w:val="Body Text Char"/>
    <w:basedOn w:val="DefaultParagraphFont"/>
    <w:link w:val="BodyText"/>
    <w:uiPriority w:val="1"/>
    <w:rsid w:val="00A539E7"/>
    <w:rPr>
      <w:rFonts w:ascii="Arial" w:eastAsia="Arial" w:hAnsi="Arial" w:cs="Arial"/>
      <w:lang w:eastAsia="en-GB" w:bidi="en-GB"/>
    </w:rPr>
  </w:style>
  <w:style w:type="paragraph" w:styleId="Revision">
    <w:name w:val="Revision"/>
    <w:hidden/>
    <w:uiPriority w:val="99"/>
    <w:semiHidden/>
    <w:rsid w:val="00100145"/>
    <w:pPr>
      <w:spacing w:after="0" w:line="240" w:lineRule="auto"/>
    </w:pPr>
    <w:rPr>
      <w:rFonts w:ascii="Arial" w:eastAsia="Times New Roman" w:hAnsi="Arial" w:cs="Times New Roman"/>
      <w:sz w:val="24"/>
      <w:szCs w:val="20"/>
    </w:rPr>
  </w:style>
  <w:style w:type="paragraph" w:customStyle="1" w:styleId="paragraph">
    <w:name w:val="paragraph"/>
    <w:basedOn w:val="Normal"/>
    <w:rsid w:val="00E14B27"/>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E14B27"/>
  </w:style>
  <w:style w:type="table" w:styleId="GridTable5Dark-Accent1">
    <w:name w:val="Grid Table 5 Dark Accent 1"/>
    <w:basedOn w:val="TableNormal"/>
    <w:uiPriority w:val="50"/>
    <w:rsid w:val="003227F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9866">
      <w:bodyDiv w:val="1"/>
      <w:marLeft w:val="0"/>
      <w:marRight w:val="0"/>
      <w:marTop w:val="0"/>
      <w:marBottom w:val="0"/>
      <w:divBdr>
        <w:top w:val="none" w:sz="0" w:space="0" w:color="auto"/>
        <w:left w:val="none" w:sz="0" w:space="0" w:color="auto"/>
        <w:bottom w:val="none" w:sz="0" w:space="0" w:color="auto"/>
        <w:right w:val="none" w:sz="0" w:space="0" w:color="auto"/>
      </w:divBdr>
    </w:div>
    <w:div w:id="24017371">
      <w:bodyDiv w:val="1"/>
      <w:marLeft w:val="0"/>
      <w:marRight w:val="0"/>
      <w:marTop w:val="0"/>
      <w:marBottom w:val="0"/>
      <w:divBdr>
        <w:top w:val="none" w:sz="0" w:space="0" w:color="auto"/>
        <w:left w:val="none" w:sz="0" w:space="0" w:color="auto"/>
        <w:bottom w:val="none" w:sz="0" w:space="0" w:color="auto"/>
        <w:right w:val="none" w:sz="0" w:space="0" w:color="auto"/>
      </w:divBdr>
    </w:div>
    <w:div w:id="35397838">
      <w:bodyDiv w:val="1"/>
      <w:marLeft w:val="0"/>
      <w:marRight w:val="0"/>
      <w:marTop w:val="0"/>
      <w:marBottom w:val="0"/>
      <w:divBdr>
        <w:top w:val="none" w:sz="0" w:space="0" w:color="auto"/>
        <w:left w:val="none" w:sz="0" w:space="0" w:color="auto"/>
        <w:bottom w:val="none" w:sz="0" w:space="0" w:color="auto"/>
        <w:right w:val="none" w:sz="0" w:space="0" w:color="auto"/>
      </w:divBdr>
      <w:divsChild>
        <w:div w:id="1549535786">
          <w:marLeft w:val="30"/>
          <w:marRight w:val="30"/>
          <w:marTop w:val="30"/>
          <w:marBottom w:val="30"/>
          <w:divBdr>
            <w:top w:val="none" w:sz="0" w:space="0" w:color="auto"/>
            <w:left w:val="none" w:sz="0" w:space="0" w:color="auto"/>
            <w:bottom w:val="none" w:sz="0" w:space="0" w:color="auto"/>
            <w:right w:val="none" w:sz="0" w:space="0" w:color="auto"/>
          </w:divBdr>
          <w:divsChild>
            <w:div w:id="1499269872">
              <w:marLeft w:val="75"/>
              <w:marRight w:val="0"/>
              <w:marTop w:val="675"/>
              <w:marBottom w:val="0"/>
              <w:divBdr>
                <w:top w:val="none" w:sz="0" w:space="0" w:color="auto"/>
                <w:left w:val="none" w:sz="0" w:space="0" w:color="auto"/>
                <w:bottom w:val="none" w:sz="0" w:space="0" w:color="auto"/>
                <w:right w:val="none" w:sz="0" w:space="0" w:color="auto"/>
              </w:divBdr>
              <w:divsChild>
                <w:div w:id="2049865592">
                  <w:marLeft w:val="0"/>
                  <w:marRight w:val="0"/>
                  <w:marTop w:val="0"/>
                  <w:marBottom w:val="0"/>
                  <w:divBdr>
                    <w:top w:val="none" w:sz="0" w:space="0" w:color="auto"/>
                    <w:left w:val="none" w:sz="0" w:space="0" w:color="auto"/>
                    <w:bottom w:val="none" w:sz="0" w:space="0" w:color="auto"/>
                    <w:right w:val="none" w:sz="0" w:space="0" w:color="auto"/>
                  </w:divBdr>
                  <w:divsChild>
                    <w:div w:id="1913151768">
                      <w:marLeft w:val="0"/>
                      <w:marRight w:val="0"/>
                      <w:marTop w:val="0"/>
                      <w:marBottom w:val="0"/>
                      <w:divBdr>
                        <w:top w:val="none" w:sz="0" w:space="0" w:color="auto"/>
                        <w:left w:val="none" w:sz="0" w:space="0" w:color="auto"/>
                        <w:bottom w:val="none" w:sz="0" w:space="0" w:color="auto"/>
                        <w:right w:val="none" w:sz="0" w:space="0" w:color="auto"/>
                      </w:divBdr>
                    </w:div>
                  </w:divsChild>
                </w:div>
                <w:div w:id="354693870">
                  <w:marLeft w:val="0"/>
                  <w:marRight w:val="0"/>
                  <w:marTop w:val="0"/>
                  <w:marBottom w:val="0"/>
                  <w:divBdr>
                    <w:top w:val="none" w:sz="0" w:space="0" w:color="auto"/>
                    <w:left w:val="none" w:sz="0" w:space="0" w:color="auto"/>
                    <w:bottom w:val="none" w:sz="0" w:space="0" w:color="auto"/>
                    <w:right w:val="none" w:sz="0" w:space="0" w:color="auto"/>
                  </w:divBdr>
                </w:div>
              </w:divsChild>
            </w:div>
            <w:div w:id="1003050803">
              <w:marLeft w:val="2850"/>
              <w:marRight w:val="0"/>
              <w:marTop w:val="675"/>
              <w:marBottom w:val="0"/>
              <w:divBdr>
                <w:top w:val="none" w:sz="0" w:space="0" w:color="auto"/>
                <w:left w:val="none" w:sz="0" w:space="0" w:color="auto"/>
                <w:bottom w:val="none" w:sz="0" w:space="0" w:color="auto"/>
                <w:right w:val="none" w:sz="0" w:space="0" w:color="auto"/>
              </w:divBdr>
              <w:divsChild>
                <w:div w:id="1193419572">
                  <w:marLeft w:val="0"/>
                  <w:marRight w:val="0"/>
                  <w:marTop w:val="0"/>
                  <w:marBottom w:val="0"/>
                  <w:divBdr>
                    <w:top w:val="none" w:sz="0" w:space="0" w:color="auto"/>
                    <w:left w:val="none" w:sz="0" w:space="0" w:color="auto"/>
                    <w:bottom w:val="none" w:sz="0" w:space="0" w:color="auto"/>
                    <w:right w:val="none" w:sz="0" w:space="0" w:color="auto"/>
                  </w:divBdr>
                  <w:divsChild>
                    <w:div w:id="1355577848">
                      <w:marLeft w:val="0"/>
                      <w:marRight w:val="0"/>
                      <w:marTop w:val="0"/>
                      <w:marBottom w:val="0"/>
                      <w:divBdr>
                        <w:top w:val="none" w:sz="0" w:space="0" w:color="auto"/>
                        <w:left w:val="none" w:sz="0" w:space="0" w:color="auto"/>
                        <w:bottom w:val="none" w:sz="0" w:space="0" w:color="auto"/>
                        <w:right w:val="none" w:sz="0" w:space="0" w:color="auto"/>
                      </w:divBdr>
                      <w:divsChild>
                        <w:div w:id="919631718">
                          <w:marLeft w:val="0"/>
                          <w:marRight w:val="0"/>
                          <w:marTop w:val="0"/>
                          <w:marBottom w:val="0"/>
                          <w:divBdr>
                            <w:top w:val="none" w:sz="0" w:space="0" w:color="auto"/>
                            <w:left w:val="none" w:sz="0" w:space="0" w:color="auto"/>
                            <w:bottom w:val="none" w:sz="0" w:space="0" w:color="auto"/>
                            <w:right w:val="none" w:sz="0" w:space="0" w:color="auto"/>
                          </w:divBdr>
                        </w:div>
                        <w:div w:id="577710996">
                          <w:marLeft w:val="0"/>
                          <w:marRight w:val="0"/>
                          <w:marTop w:val="0"/>
                          <w:marBottom w:val="0"/>
                          <w:divBdr>
                            <w:top w:val="none" w:sz="0" w:space="0" w:color="auto"/>
                            <w:left w:val="none" w:sz="0" w:space="0" w:color="auto"/>
                            <w:bottom w:val="none" w:sz="0" w:space="0" w:color="auto"/>
                            <w:right w:val="none" w:sz="0" w:space="0" w:color="auto"/>
                          </w:divBdr>
                        </w:div>
                        <w:div w:id="152046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27023">
                  <w:marLeft w:val="0"/>
                  <w:marRight w:val="0"/>
                  <w:marTop w:val="0"/>
                  <w:marBottom w:val="0"/>
                  <w:divBdr>
                    <w:top w:val="none" w:sz="0" w:space="0" w:color="auto"/>
                    <w:left w:val="none" w:sz="0" w:space="0" w:color="auto"/>
                    <w:bottom w:val="none" w:sz="0" w:space="0" w:color="auto"/>
                    <w:right w:val="none" w:sz="0" w:space="0" w:color="auto"/>
                  </w:divBdr>
                  <w:divsChild>
                    <w:div w:id="5809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27702">
      <w:bodyDiv w:val="1"/>
      <w:marLeft w:val="0"/>
      <w:marRight w:val="0"/>
      <w:marTop w:val="0"/>
      <w:marBottom w:val="0"/>
      <w:divBdr>
        <w:top w:val="none" w:sz="0" w:space="0" w:color="auto"/>
        <w:left w:val="none" w:sz="0" w:space="0" w:color="auto"/>
        <w:bottom w:val="none" w:sz="0" w:space="0" w:color="auto"/>
        <w:right w:val="none" w:sz="0" w:space="0" w:color="auto"/>
      </w:divBdr>
      <w:divsChild>
        <w:div w:id="460196498">
          <w:marLeft w:val="30"/>
          <w:marRight w:val="30"/>
          <w:marTop w:val="30"/>
          <w:marBottom w:val="30"/>
          <w:divBdr>
            <w:top w:val="none" w:sz="0" w:space="0" w:color="auto"/>
            <w:left w:val="none" w:sz="0" w:space="0" w:color="auto"/>
            <w:bottom w:val="none" w:sz="0" w:space="0" w:color="auto"/>
            <w:right w:val="none" w:sz="0" w:space="0" w:color="auto"/>
          </w:divBdr>
          <w:divsChild>
            <w:div w:id="713697123">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470098576">
      <w:bodyDiv w:val="1"/>
      <w:marLeft w:val="0"/>
      <w:marRight w:val="0"/>
      <w:marTop w:val="0"/>
      <w:marBottom w:val="0"/>
      <w:divBdr>
        <w:top w:val="none" w:sz="0" w:space="0" w:color="auto"/>
        <w:left w:val="none" w:sz="0" w:space="0" w:color="auto"/>
        <w:bottom w:val="none" w:sz="0" w:space="0" w:color="auto"/>
        <w:right w:val="none" w:sz="0" w:space="0" w:color="auto"/>
      </w:divBdr>
      <w:divsChild>
        <w:div w:id="1982348460">
          <w:marLeft w:val="30"/>
          <w:marRight w:val="30"/>
          <w:marTop w:val="30"/>
          <w:marBottom w:val="30"/>
          <w:divBdr>
            <w:top w:val="none" w:sz="0" w:space="0" w:color="auto"/>
            <w:left w:val="none" w:sz="0" w:space="0" w:color="auto"/>
            <w:bottom w:val="none" w:sz="0" w:space="0" w:color="auto"/>
            <w:right w:val="none" w:sz="0" w:space="0" w:color="auto"/>
          </w:divBdr>
          <w:divsChild>
            <w:div w:id="465972831">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651522555">
      <w:bodyDiv w:val="1"/>
      <w:marLeft w:val="0"/>
      <w:marRight w:val="0"/>
      <w:marTop w:val="0"/>
      <w:marBottom w:val="0"/>
      <w:divBdr>
        <w:top w:val="none" w:sz="0" w:space="0" w:color="auto"/>
        <w:left w:val="none" w:sz="0" w:space="0" w:color="auto"/>
        <w:bottom w:val="none" w:sz="0" w:space="0" w:color="auto"/>
        <w:right w:val="none" w:sz="0" w:space="0" w:color="auto"/>
      </w:divBdr>
    </w:div>
    <w:div w:id="1178883760">
      <w:bodyDiv w:val="1"/>
      <w:marLeft w:val="0"/>
      <w:marRight w:val="0"/>
      <w:marTop w:val="0"/>
      <w:marBottom w:val="0"/>
      <w:divBdr>
        <w:top w:val="none" w:sz="0" w:space="0" w:color="auto"/>
        <w:left w:val="none" w:sz="0" w:space="0" w:color="auto"/>
        <w:bottom w:val="none" w:sz="0" w:space="0" w:color="auto"/>
        <w:right w:val="none" w:sz="0" w:space="0" w:color="auto"/>
      </w:divBdr>
      <w:divsChild>
        <w:div w:id="771364079">
          <w:marLeft w:val="0"/>
          <w:marRight w:val="0"/>
          <w:marTop w:val="0"/>
          <w:marBottom w:val="0"/>
          <w:divBdr>
            <w:top w:val="none" w:sz="0" w:space="0" w:color="auto"/>
            <w:left w:val="none" w:sz="0" w:space="0" w:color="auto"/>
            <w:bottom w:val="none" w:sz="0" w:space="0" w:color="auto"/>
            <w:right w:val="none" w:sz="0" w:space="0" w:color="auto"/>
          </w:divBdr>
        </w:div>
        <w:div w:id="963578385">
          <w:marLeft w:val="0"/>
          <w:marRight w:val="0"/>
          <w:marTop w:val="0"/>
          <w:marBottom w:val="0"/>
          <w:divBdr>
            <w:top w:val="none" w:sz="0" w:space="0" w:color="auto"/>
            <w:left w:val="none" w:sz="0" w:space="0" w:color="auto"/>
            <w:bottom w:val="none" w:sz="0" w:space="0" w:color="auto"/>
            <w:right w:val="none" w:sz="0" w:space="0" w:color="auto"/>
          </w:divBdr>
        </w:div>
      </w:divsChild>
    </w:div>
    <w:div w:id="1259288206">
      <w:bodyDiv w:val="1"/>
      <w:marLeft w:val="0"/>
      <w:marRight w:val="0"/>
      <w:marTop w:val="0"/>
      <w:marBottom w:val="0"/>
      <w:divBdr>
        <w:top w:val="none" w:sz="0" w:space="0" w:color="auto"/>
        <w:left w:val="none" w:sz="0" w:space="0" w:color="auto"/>
        <w:bottom w:val="none" w:sz="0" w:space="0" w:color="auto"/>
        <w:right w:val="none" w:sz="0" w:space="0" w:color="auto"/>
      </w:divBdr>
    </w:div>
    <w:div w:id="1361473598">
      <w:bodyDiv w:val="1"/>
      <w:marLeft w:val="0"/>
      <w:marRight w:val="0"/>
      <w:marTop w:val="0"/>
      <w:marBottom w:val="0"/>
      <w:divBdr>
        <w:top w:val="none" w:sz="0" w:space="0" w:color="auto"/>
        <w:left w:val="none" w:sz="0" w:space="0" w:color="auto"/>
        <w:bottom w:val="none" w:sz="0" w:space="0" w:color="auto"/>
        <w:right w:val="none" w:sz="0" w:space="0" w:color="auto"/>
      </w:divBdr>
    </w:div>
    <w:div w:id="1396391517">
      <w:bodyDiv w:val="1"/>
      <w:marLeft w:val="0"/>
      <w:marRight w:val="0"/>
      <w:marTop w:val="0"/>
      <w:marBottom w:val="0"/>
      <w:divBdr>
        <w:top w:val="none" w:sz="0" w:space="0" w:color="auto"/>
        <w:left w:val="none" w:sz="0" w:space="0" w:color="auto"/>
        <w:bottom w:val="none" w:sz="0" w:space="0" w:color="auto"/>
        <w:right w:val="none" w:sz="0" w:space="0" w:color="auto"/>
      </w:divBdr>
      <w:divsChild>
        <w:div w:id="106900255">
          <w:marLeft w:val="30"/>
          <w:marRight w:val="30"/>
          <w:marTop w:val="30"/>
          <w:marBottom w:val="30"/>
          <w:divBdr>
            <w:top w:val="none" w:sz="0" w:space="0" w:color="auto"/>
            <w:left w:val="none" w:sz="0" w:space="0" w:color="auto"/>
            <w:bottom w:val="none" w:sz="0" w:space="0" w:color="auto"/>
            <w:right w:val="none" w:sz="0" w:space="0" w:color="auto"/>
          </w:divBdr>
          <w:divsChild>
            <w:div w:id="634993925">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1666401083">
      <w:bodyDiv w:val="1"/>
      <w:marLeft w:val="0"/>
      <w:marRight w:val="0"/>
      <w:marTop w:val="0"/>
      <w:marBottom w:val="0"/>
      <w:divBdr>
        <w:top w:val="none" w:sz="0" w:space="0" w:color="auto"/>
        <w:left w:val="none" w:sz="0" w:space="0" w:color="auto"/>
        <w:bottom w:val="none" w:sz="0" w:space="0" w:color="auto"/>
        <w:right w:val="none" w:sz="0" w:space="0" w:color="auto"/>
      </w:divBdr>
    </w:div>
    <w:div w:id="2082290927">
      <w:bodyDiv w:val="1"/>
      <w:marLeft w:val="0"/>
      <w:marRight w:val="0"/>
      <w:marTop w:val="0"/>
      <w:marBottom w:val="0"/>
      <w:divBdr>
        <w:top w:val="none" w:sz="0" w:space="0" w:color="auto"/>
        <w:left w:val="none" w:sz="0" w:space="0" w:color="auto"/>
        <w:bottom w:val="none" w:sz="0" w:space="0" w:color="auto"/>
        <w:right w:val="none" w:sz="0" w:space="0" w:color="auto"/>
      </w:divBdr>
      <w:divsChild>
        <w:div w:id="878974287">
          <w:marLeft w:val="30"/>
          <w:marRight w:val="30"/>
          <w:marTop w:val="30"/>
          <w:marBottom w:val="30"/>
          <w:divBdr>
            <w:top w:val="none" w:sz="0" w:space="0" w:color="auto"/>
            <w:left w:val="none" w:sz="0" w:space="0" w:color="auto"/>
            <w:bottom w:val="none" w:sz="0" w:space="0" w:color="auto"/>
            <w:right w:val="none" w:sz="0" w:space="0" w:color="auto"/>
          </w:divBdr>
          <w:divsChild>
            <w:div w:id="1836341379">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DF07BBA4C32747A15C94A1B6B20E61" ma:contentTypeVersion="17" ma:contentTypeDescription="Create a new document." ma:contentTypeScope="" ma:versionID="067e90d6dec8daa995545611b09ef784">
  <xsd:schema xmlns:xsd="http://www.w3.org/2001/XMLSchema" xmlns:xs="http://www.w3.org/2001/XMLSchema" xmlns:p="http://schemas.microsoft.com/office/2006/metadata/properties" xmlns:ns1="http://schemas.microsoft.com/sharepoint/v3" xmlns:ns2="759a7e0b-9261-457a-9c56-2c68f0ee3d52" xmlns:ns3="87944eae-7365-4af5-9066-e309bbb6050e" xmlns:ns4="cccaf3ac-2de9-44d4-aa31-54302fceb5f7" targetNamespace="http://schemas.microsoft.com/office/2006/metadata/properties" ma:root="true" ma:fieldsID="a0d07dd18113253b1896ed0f17c94e7d" ns1:_="" ns2:_="" ns3:_="" ns4:_="">
    <xsd:import namespace="http://schemas.microsoft.com/sharepoint/v3"/>
    <xsd:import namespace="759a7e0b-9261-457a-9c56-2c68f0ee3d52"/>
    <xsd:import namespace="87944eae-7365-4af5-9066-e309bbb6050e"/>
    <xsd:import namespace="cccaf3ac-2de9-44d4-aa31-54302fceb5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9a7e0b-9261-457a-9c56-2c68f0ee3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944eae-7365-4af5-9066-e309bbb6050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55dc3e0-006b-4a14-8025-d1713a9ddaf9}" ma:internalName="TaxCatchAll" ma:showField="CatchAllData" ma:web="87944eae-7365-4af5-9066-e309bbb60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ccaf3ac-2de9-44d4-aa31-54302fceb5f7" xsi:nil="true"/>
    <lcf76f155ced4ddcb4097134ff3c332f xmlns="759a7e0b-9261-457a-9c56-2c68f0ee3d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34015-8769-4FEC-8B60-1C68FB883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9a7e0b-9261-457a-9c56-2c68f0ee3d52"/>
    <ds:schemaRef ds:uri="87944eae-7365-4af5-9066-e309bbb6050e"/>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22C64E-0158-41CA-A17A-9FAFD1540421}">
  <ds:schemaRefs>
    <ds:schemaRef ds:uri="http://schemas.microsoft.com/office/2006/metadata/properties"/>
    <ds:schemaRef ds:uri="http://schemas.microsoft.com/office/infopath/2007/PartnerControls"/>
    <ds:schemaRef ds:uri="http://schemas.microsoft.com/sharepoint/v3"/>
    <ds:schemaRef ds:uri="cccaf3ac-2de9-44d4-aa31-54302fceb5f7"/>
    <ds:schemaRef ds:uri="759a7e0b-9261-457a-9c56-2c68f0ee3d52"/>
  </ds:schemaRefs>
</ds:datastoreItem>
</file>

<file path=customXml/itemProps3.xml><?xml version="1.0" encoding="utf-8"?>
<ds:datastoreItem xmlns:ds="http://schemas.openxmlformats.org/officeDocument/2006/customXml" ds:itemID="{13003380-CA50-46ED-9347-C11DAEE71047}">
  <ds:schemaRefs>
    <ds:schemaRef ds:uri="http://schemas.microsoft.com/sharepoint/v3/contenttype/forms"/>
  </ds:schemaRefs>
</ds:datastoreItem>
</file>

<file path=customXml/itemProps4.xml><?xml version="1.0" encoding="utf-8"?>
<ds:datastoreItem xmlns:ds="http://schemas.openxmlformats.org/officeDocument/2006/customXml" ds:itemID="{3D247F26-977A-440C-80A4-D091DB8A2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CF Future Opportunity Notice</vt:lpstr>
    </vt:vector>
  </TitlesOfParts>
  <Company>NHS South West Commissioning Support</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 Future Opportunity Notice</dc:title>
  <dc:creator>Morley Hannah (NHS SCWCSU)</dc:creator>
  <dc:description>Template approved JG 13102020</dc:description>
  <cp:lastModifiedBy>ROGERS, Rebecca (NHS SOUTH, CENTRAL AND WEST COMMISSIONING SUPPORT UNIT)</cp:lastModifiedBy>
  <cp:revision>2</cp:revision>
  <cp:lastPrinted>2019-07-15T11:24:00Z</cp:lastPrinted>
  <dcterms:created xsi:type="dcterms:W3CDTF">2023-05-26T13:28:00Z</dcterms:created>
  <dcterms:modified xsi:type="dcterms:W3CDTF">2023-05-26T13:28:00Z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0x01010090DF07BBA4C32747A15C94A1B6B20E61</vt:lpwstr>
  </property>
  <property fmtid="{D5CDD505-2E9C-101B-9397-08002B2CF9AE}" pid="3" name="MediaServiceImageTags">
    <vt:lpwstr/>
  </property>
</Properties>
</file>