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43FC6" w14:textId="77777777" w:rsidR="00B442B0" w:rsidRPr="00B442B0" w:rsidRDefault="00B442B0" w:rsidP="00B442B0">
      <w:pPr>
        <w:rPr>
          <w:rFonts w:ascii="Arial" w:hAnsi="Arial" w:cs="Arial"/>
          <w:b/>
          <w:bCs/>
          <w:sz w:val="24"/>
          <w:szCs w:val="24"/>
          <w:u w:val="single"/>
        </w:rPr>
      </w:pPr>
      <w:r w:rsidRPr="00B442B0">
        <w:rPr>
          <w:rFonts w:ascii="Arial" w:hAnsi="Arial" w:cs="Arial"/>
          <w:b/>
          <w:bCs/>
          <w:sz w:val="24"/>
          <w:szCs w:val="24"/>
          <w:u w:val="single"/>
        </w:rPr>
        <w:t>Home Office Reintegration Programme – Expression of Interest (EOI)</w:t>
      </w:r>
    </w:p>
    <w:p w14:paraId="489F7E33" w14:textId="77777777" w:rsidR="00B442B0" w:rsidRPr="00B442B0" w:rsidRDefault="00B442B0" w:rsidP="00B442B0">
      <w:pPr>
        <w:rPr>
          <w:rFonts w:ascii="Arial" w:hAnsi="Arial" w:cs="Arial"/>
          <w:sz w:val="24"/>
          <w:szCs w:val="24"/>
        </w:rPr>
      </w:pPr>
    </w:p>
    <w:p w14:paraId="29B93A54" w14:textId="77777777" w:rsidR="00B442B0" w:rsidRPr="00B442B0" w:rsidRDefault="00B442B0" w:rsidP="00B442B0">
      <w:pPr>
        <w:rPr>
          <w:rFonts w:ascii="Arial" w:hAnsi="Arial" w:cs="Arial"/>
          <w:sz w:val="24"/>
          <w:szCs w:val="24"/>
        </w:rPr>
      </w:pPr>
      <w:r w:rsidRPr="00B442B0">
        <w:rPr>
          <w:rFonts w:ascii="Arial" w:hAnsi="Arial" w:cs="Arial"/>
          <w:sz w:val="24"/>
          <w:szCs w:val="24"/>
        </w:rPr>
        <w:t>The United Kingdom Home Department (Home Office) is considering its options for delivering reintegration support to returning individuals from the UK in the following countries:</w:t>
      </w:r>
    </w:p>
    <w:p w14:paraId="41FF6D26" w14:textId="77777777" w:rsidR="00B442B0" w:rsidRPr="00B442B0" w:rsidRDefault="00B442B0" w:rsidP="00B442B0">
      <w:pPr>
        <w:rPr>
          <w:rFonts w:ascii="Arial" w:hAnsi="Arial" w:cs="Arial"/>
          <w:sz w:val="24"/>
          <w:szCs w:val="24"/>
        </w:rPr>
      </w:pPr>
    </w:p>
    <w:p w14:paraId="7F0B3353" w14:textId="77777777" w:rsidR="00B442B0" w:rsidRPr="00B442B0" w:rsidRDefault="00B442B0" w:rsidP="00B442B0">
      <w:pPr>
        <w:rPr>
          <w:rFonts w:ascii="Arial" w:hAnsi="Arial" w:cs="Arial"/>
          <w:b/>
          <w:bCs/>
          <w:sz w:val="24"/>
          <w:szCs w:val="24"/>
        </w:rPr>
      </w:pPr>
      <w:r w:rsidRPr="00B442B0">
        <w:rPr>
          <w:rFonts w:ascii="Arial" w:hAnsi="Arial" w:cs="Arial"/>
          <w:b/>
          <w:bCs/>
          <w:sz w:val="24"/>
          <w:szCs w:val="24"/>
        </w:rPr>
        <w:t xml:space="preserve">Tranche 1 </w:t>
      </w:r>
    </w:p>
    <w:p w14:paraId="6BBD0643" w14:textId="77777777" w:rsidR="00B442B0" w:rsidRPr="00B442B0" w:rsidRDefault="00B442B0" w:rsidP="00B442B0">
      <w:pPr>
        <w:rPr>
          <w:rFonts w:ascii="Arial" w:hAnsi="Arial" w:cs="Arial"/>
          <w:sz w:val="24"/>
          <w:szCs w:val="24"/>
        </w:rPr>
      </w:pPr>
    </w:p>
    <w:tbl>
      <w:tblPr>
        <w:tblStyle w:val="TableGrid"/>
        <w:tblW w:w="0" w:type="auto"/>
        <w:tblLook w:val="04A0" w:firstRow="1" w:lastRow="0" w:firstColumn="1" w:lastColumn="0" w:noHBand="0" w:noVBand="1"/>
      </w:tblPr>
      <w:tblGrid>
        <w:gridCol w:w="562"/>
        <w:gridCol w:w="2264"/>
      </w:tblGrid>
      <w:tr w:rsidR="00B442B0" w:rsidRPr="00B442B0" w14:paraId="23003462" w14:textId="77777777" w:rsidTr="001A6888">
        <w:tc>
          <w:tcPr>
            <w:tcW w:w="562" w:type="dxa"/>
          </w:tcPr>
          <w:p w14:paraId="4DA63625"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1</w:t>
            </w:r>
          </w:p>
        </w:tc>
        <w:tc>
          <w:tcPr>
            <w:tcW w:w="2264" w:type="dxa"/>
          </w:tcPr>
          <w:p w14:paraId="7C780261"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 xml:space="preserve">Albania </w:t>
            </w:r>
          </w:p>
        </w:tc>
      </w:tr>
      <w:tr w:rsidR="00B442B0" w:rsidRPr="00B442B0" w14:paraId="61A3AFD5" w14:textId="77777777" w:rsidTr="001A6888">
        <w:tc>
          <w:tcPr>
            <w:tcW w:w="562" w:type="dxa"/>
          </w:tcPr>
          <w:p w14:paraId="59E651DE"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2</w:t>
            </w:r>
          </w:p>
        </w:tc>
        <w:tc>
          <w:tcPr>
            <w:tcW w:w="2264" w:type="dxa"/>
          </w:tcPr>
          <w:p w14:paraId="73DF8950"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Ghana</w:t>
            </w:r>
          </w:p>
        </w:tc>
      </w:tr>
      <w:tr w:rsidR="00B442B0" w:rsidRPr="00B442B0" w14:paraId="3F227EF0" w14:textId="77777777" w:rsidTr="001A6888">
        <w:tc>
          <w:tcPr>
            <w:tcW w:w="562" w:type="dxa"/>
          </w:tcPr>
          <w:p w14:paraId="5F9D5C43"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3</w:t>
            </w:r>
          </w:p>
        </w:tc>
        <w:tc>
          <w:tcPr>
            <w:tcW w:w="2264" w:type="dxa"/>
          </w:tcPr>
          <w:p w14:paraId="32E96708"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Bangladesh</w:t>
            </w:r>
          </w:p>
        </w:tc>
      </w:tr>
      <w:tr w:rsidR="00B442B0" w:rsidRPr="00B442B0" w14:paraId="6271DDCB" w14:textId="77777777" w:rsidTr="001A6888">
        <w:tc>
          <w:tcPr>
            <w:tcW w:w="562" w:type="dxa"/>
          </w:tcPr>
          <w:p w14:paraId="296C9FA5"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4</w:t>
            </w:r>
          </w:p>
        </w:tc>
        <w:tc>
          <w:tcPr>
            <w:tcW w:w="2264" w:type="dxa"/>
          </w:tcPr>
          <w:p w14:paraId="47354A58"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Iraq</w:t>
            </w:r>
          </w:p>
        </w:tc>
      </w:tr>
      <w:tr w:rsidR="00B442B0" w:rsidRPr="00B442B0" w14:paraId="697EF8B9" w14:textId="77777777" w:rsidTr="001A6888">
        <w:tc>
          <w:tcPr>
            <w:tcW w:w="562" w:type="dxa"/>
          </w:tcPr>
          <w:p w14:paraId="4556AE0E"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5</w:t>
            </w:r>
          </w:p>
        </w:tc>
        <w:tc>
          <w:tcPr>
            <w:tcW w:w="2264" w:type="dxa"/>
          </w:tcPr>
          <w:p w14:paraId="29602BD9"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Jamaica</w:t>
            </w:r>
          </w:p>
        </w:tc>
      </w:tr>
      <w:tr w:rsidR="00B442B0" w:rsidRPr="00B442B0" w14:paraId="66EDE293" w14:textId="77777777" w:rsidTr="001A6888">
        <w:tc>
          <w:tcPr>
            <w:tcW w:w="562" w:type="dxa"/>
          </w:tcPr>
          <w:p w14:paraId="4718C9B1"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6</w:t>
            </w:r>
          </w:p>
        </w:tc>
        <w:tc>
          <w:tcPr>
            <w:tcW w:w="2264" w:type="dxa"/>
          </w:tcPr>
          <w:p w14:paraId="1CFE6824"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Nigeria</w:t>
            </w:r>
          </w:p>
        </w:tc>
      </w:tr>
      <w:tr w:rsidR="00B442B0" w:rsidRPr="00B442B0" w14:paraId="465803D9" w14:textId="77777777" w:rsidTr="001A6888">
        <w:tc>
          <w:tcPr>
            <w:tcW w:w="562" w:type="dxa"/>
          </w:tcPr>
          <w:p w14:paraId="4F1A15C4"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7</w:t>
            </w:r>
          </w:p>
        </w:tc>
        <w:tc>
          <w:tcPr>
            <w:tcW w:w="2264" w:type="dxa"/>
          </w:tcPr>
          <w:p w14:paraId="36C1DD6A"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Vietnam</w:t>
            </w:r>
          </w:p>
        </w:tc>
      </w:tr>
      <w:tr w:rsidR="00B442B0" w:rsidRPr="00B442B0" w14:paraId="4C779A48" w14:textId="77777777" w:rsidTr="001A6888">
        <w:tc>
          <w:tcPr>
            <w:tcW w:w="562" w:type="dxa"/>
          </w:tcPr>
          <w:p w14:paraId="39987B97"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8</w:t>
            </w:r>
          </w:p>
        </w:tc>
        <w:tc>
          <w:tcPr>
            <w:tcW w:w="2264" w:type="dxa"/>
          </w:tcPr>
          <w:p w14:paraId="29CA2EF1"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Zimbabwe</w:t>
            </w:r>
          </w:p>
        </w:tc>
      </w:tr>
    </w:tbl>
    <w:p w14:paraId="2366A7FB" w14:textId="77777777" w:rsidR="00B442B0" w:rsidRPr="00B442B0" w:rsidRDefault="00B442B0" w:rsidP="00B442B0">
      <w:pPr>
        <w:rPr>
          <w:rFonts w:ascii="Arial" w:hAnsi="Arial" w:cs="Arial"/>
          <w:sz w:val="24"/>
          <w:szCs w:val="24"/>
        </w:rPr>
      </w:pPr>
    </w:p>
    <w:p w14:paraId="34470A45" w14:textId="77777777" w:rsidR="00B442B0" w:rsidRPr="00B442B0" w:rsidRDefault="00B442B0" w:rsidP="00B442B0">
      <w:pPr>
        <w:rPr>
          <w:rFonts w:ascii="Arial" w:hAnsi="Arial" w:cs="Arial"/>
          <w:b/>
          <w:bCs/>
          <w:sz w:val="24"/>
          <w:szCs w:val="24"/>
        </w:rPr>
      </w:pPr>
      <w:r w:rsidRPr="00B442B0">
        <w:rPr>
          <w:rFonts w:ascii="Arial" w:hAnsi="Arial" w:cs="Arial"/>
          <w:b/>
          <w:bCs/>
          <w:sz w:val="24"/>
          <w:szCs w:val="24"/>
        </w:rPr>
        <w:t xml:space="preserve">Tranche 2 </w:t>
      </w:r>
    </w:p>
    <w:p w14:paraId="2461DADA" w14:textId="77777777" w:rsidR="00B442B0" w:rsidRPr="00B442B0" w:rsidRDefault="00B442B0" w:rsidP="00B442B0">
      <w:pPr>
        <w:rPr>
          <w:rFonts w:ascii="Arial" w:hAnsi="Arial" w:cs="Arial"/>
          <w:sz w:val="24"/>
          <w:szCs w:val="24"/>
        </w:rPr>
      </w:pPr>
    </w:p>
    <w:tbl>
      <w:tblPr>
        <w:tblStyle w:val="TableGrid"/>
        <w:tblW w:w="0" w:type="auto"/>
        <w:tblLook w:val="04A0" w:firstRow="1" w:lastRow="0" w:firstColumn="1" w:lastColumn="0" w:noHBand="0" w:noVBand="1"/>
      </w:tblPr>
      <w:tblGrid>
        <w:gridCol w:w="562"/>
        <w:gridCol w:w="2268"/>
      </w:tblGrid>
      <w:tr w:rsidR="00B442B0" w:rsidRPr="00B442B0" w14:paraId="0BACCFA1" w14:textId="77777777" w:rsidTr="001A6888">
        <w:tc>
          <w:tcPr>
            <w:tcW w:w="562" w:type="dxa"/>
          </w:tcPr>
          <w:p w14:paraId="5915923E"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1</w:t>
            </w:r>
          </w:p>
        </w:tc>
        <w:tc>
          <w:tcPr>
            <w:tcW w:w="2268" w:type="dxa"/>
          </w:tcPr>
          <w:p w14:paraId="2B984571"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China</w:t>
            </w:r>
          </w:p>
        </w:tc>
      </w:tr>
      <w:tr w:rsidR="00B442B0" w:rsidRPr="00B442B0" w14:paraId="1DDCB147" w14:textId="77777777" w:rsidTr="001A6888">
        <w:tc>
          <w:tcPr>
            <w:tcW w:w="562" w:type="dxa"/>
          </w:tcPr>
          <w:p w14:paraId="7FA60337"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2</w:t>
            </w:r>
          </w:p>
        </w:tc>
        <w:tc>
          <w:tcPr>
            <w:tcW w:w="2268" w:type="dxa"/>
          </w:tcPr>
          <w:p w14:paraId="1ED649DF"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Eritrea</w:t>
            </w:r>
          </w:p>
        </w:tc>
      </w:tr>
      <w:tr w:rsidR="00B442B0" w:rsidRPr="00B442B0" w14:paraId="4616BA5A" w14:textId="77777777" w:rsidTr="001A6888">
        <w:tc>
          <w:tcPr>
            <w:tcW w:w="562" w:type="dxa"/>
          </w:tcPr>
          <w:p w14:paraId="3689AC49"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3</w:t>
            </w:r>
          </w:p>
        </w:tc>
        <w:tc>
          <w:tcPr>
            <w:tcW w:w="2268" w:type="dxa"/>
          </w:tcPr>
          <w:p w14:paraId="5AA34EE6"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 xml:space="preserve">Ethiopia </w:t>
            </w:r>
          </w:p>
        </w:tc>
      </w:tr>
      <w:tr w:rsidR="00B442B0" w:rsidRPr="00B442B0" w14:paraId="5E0FAC05" w14:textId="77777777" w:rsidTr="001A6888">
        <w:tc>
          <w:tcPr>
            <w:tcW w:w="562" w:type="dxa"/>
          </w:tcPr>
          <w:p w14:paraId="70F7DEA4"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4</w:t>
            </w:r>
          </w:p>
        </w:tc>
        <w:tc>
          <w:tcPr>
            <w:tcW w:w="2268" w:type="dxa"/>
          </w:tcPr>
          <w:p w14:paraId="70253283"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India</w:t>
            </w:r>
          </w:p>
        </w:tc>
      </w:tr>
      <w:tr w:rsidR="00B442B0" w:rsidRPr="00B442B0" w14:paraId="77E5627B" w14:textId="77777777" w:rsidTr="001A6888">
        <w:tc>
          <w:tcPr>
            <w:tcW w:w="562" w:type="dxa"/>
          </w:tcPr>
          <w:p w14:paraId="1A473354"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5</w:t>
            </w:r>
          </w:p>
        </w:tc>
        <w:tc>
          <w:tcPr>
            <w:tcW w:w="2268" w:type="dxa"/>
          </w:tcPr>
          <w:p w14:paraId="3888EC7E" w14:textId="77777777" w:rsidR="00B442B0" w:rsidRPr="00B442B0" w:rsidRDefault="00B442B0" w:rsidP="00B442B0">
            <w:pPr>
              <w:spacing w:after="160" w:line="259" w:lineRule="auto"/>
              <w:rPr>
                <w:rFonts w:ascii="Arial" w:hAnsi="Arial" w:cs="Arial"/>
                <w:sz w:val="24"/>
                <w:szCs w:val="24"/>
              </w:rPr>
            </w:pPr>
            <w:r w:rsidRPr="00B442B0">
              <w:rPr>
                <w:rFonts w:ascii="Arial" w:hAnsi="Arial" w:cs="Arial"/>
                <w:sz w:val="24"/>
                <w:szCs w:val="24"/>
              </w:rPr>
              <w:t>Pakistan</w:t>
            </w:r>
          </w:p>
        </w:tc>
      </w:tr>
    </w:tbl>
    <w:p w14:paraId="35FFF82E" w14:textId="77777777" w:rsidR="00B442B0" w:rsidRPr="00B442B0" w:rsidRDefault="00B442B0" w:rsidP="00B442B0">
      <w:pPr>
        <w:rPr>
          <w:rFonts w:ascii="Arial" w:hAnsi="Arial" w:cs="Arial"/>
          <w:sz w:val="24"/>
          <w:szCs w:val="24"/>
        </w:rPr>
      </w:pPr>
    </w:p>
    <w:p w14:paraId="37E0BAFA" w14:textId="77777777" w:rsidR="00B442B0" w:rsidRPr="00B442B0" w:rsidRDefault="00B442B0" w:rsidP="00B442B0">
      <w:pPr>
        <w:rPr>
          <w:rFonts w:ascii="Arial" w:hAnsi="Arial" w:cs="Arial"/>
          <w:sz w:val="24"/>
          <w:szCs w:val="24"/>
        </w:rPr>
      </w:pPr>
      <w:r w:rsidRPr="00B442B0">
        <w:rPr>
          <w:rFonts w:ascii="Arial" w:hAnsi="Arial" w:cs="Arial"/>
          <w:sz w:val="24"/>
          <w:szCs w:val="24"/>
        </w:rPr>
        <w:t xml:space="preserve">There is a possibility the countries listed in Tranche 1 and 2 may be amended prior to a competitive call for grant funding. </w:t>
      </w:r>
    </w:p>
    <w:p w14:paraId="4371E07D" w14:textId="77777777" w:rsidR="00B442B0" w:rsidRPr="00B442B0" w:rsidRDefault="00B442B0" w:rsidP="00B442B0">
      <w:pPr>
        <w:rPr>
          <w:rFonts w:ascii="Arial" w:hAnsi="Arial" w:cs="Arial"/>
          <w:sz w:val="24"/>
          <w:szCs w:val="24"/>
        </w:rPr>
      </w:pPr>
    </w:p>
    <w:p w14:paraId="02BDE2D2" w14:textId="77777777" w:rsidR="00B442B0" w:rsidRPr="00B442B0" w:rsidRDefault="00B442B0" w:rsidP="00B442B0">
      <w:pPr>
        <w:rPr>
          <w:rFonts w:ascii="Arial" w:hAnsi="Arial" w:cs="Arial"/>
          <w:b/>
          <w:bCs/>
          <w:sz w:val="24"/>
          <w:szCs w:val="24"/>
        </w:rPr>
      </w:pPr>
      <w:r w:rsidRPr="00B442B0">
        <w:rPr>
          <w:rFonts w:ascii="Arial" w:hAnsi="Arial" w:cs="Arial"/>
          <w:sz w:val="24"/>
          <w:szCs w:val="24"/>
        </w:rPr>
        <w:t xml:space="preserve">To determine the extent and nature of such a process, we are seeking expressions of interest from organisations with the appropriate experience and expertise. Please note the EOI process is not a competitive call for funding at this stage, but simply to determine the level of interest from those organisations that possess the capability to provide these services. We have a budget for three financial years (from April 2022 </w:t>
      </w:r>
      <w:r w:rsidRPr="00B442B0">
        <w:rPr>
          <w:rFonts w:ascii="Arial" w:hAnsi="Arial" w:cs="Arial"/>
          <w:sz w:val="24"/>
          <w:szCs w:val="24"/>
        </w:rPr>
        <w:lastRenderedPageBreak/>
        <w:t xml:space="preserve">to March 2025) and therefore </w:t>
      </w:r>
      <w:bookmarkStart w:id="0" w:name="_Hlk99114902"/>
      <w:r w:rsidRPr="00B442B0">
        <w:rPr>
          <w:rFonts w:ascii="Arial" w:hAnsi="Arial" w:cs="Arial"/>
          <w:sz w:val="24"/>
          <w:szCs w:val="24"/>
        </w:rPr>
        <w:t>invite interested bidders to provide an indicative cost of 100 returning individuals per country (Tranches 1 and 2) per financial year.</w:t>
      </w:r>
      <w:bookmarkEnd w:id="0"/>
      <w:r w:rsidRPr="00B442B0">
        <w:rPr>
          <w:rFonts w:ascii="Arial" w:hAnsi="Arial" w:cs="Arial"/>
          <w:sz w:val="24"/>
          <w:szCs w:val="24"/>
        </w:rPr>
        <w:t xml:space="preserve"> This will solely enable the Home Office to gauge costs when building the requirement. Please note that the provision of support to returning individuals could be more or less than this number specified above.</w:t>
      </w:r>
      <w:r w:rsidRPr="00B442B0">
        <w:rPr>
          <w:rFonts w:ascii="Arial" w:hAnsi="Arial" w:cs="Arial"/>
          <w:b/>
          <w:bCs/>
          <w:sz w:val="24"/>
          <w:szCs w:val="24"/>
        </w:rPr>
        <w:t xml:space="preserve"> </w:t>
      </w:r>
    </w:p>
    <w:p w14:paraId="49B349BC" w14:textId="77777777" w:rsidR="00B442B0" w:rsidRPr="00B442B0" w:rsidRDefault="00B442B0" w:rsidP="00B442B0">
      <w:pPr>
        <w:rPr>
          <w:rFonts w:ascii="Arial" w:hAnsi="Arial" w:cs="Arial"/>
          <w:sz w:val="24"/>
          <w:szCs w:val="24"/>
        </w:rPr>
      </w:pPr>
    </w:p>
    <w:p w14:paraId="7E209B05" w14:textId="77777777" w:rsidR="00B442B0" w:rsidRPr="00B442B0" w:rsidRDefault="00B442B0" w:rsidP="00B442B0">
      <w:pPr>
        <w:rPr>
          <w:rFonts w:ascii="Arial" w:hAnsi="Arial" w:cs="Arial"/>
          <w:b/>
          <w:bCs/>
          <w:sz w:val="24"/>
          <w:szCs w:val="24"/>
        </w:rPr>
      </w:pPr>
      <w:r w:rsidRPr="00B442B0">
        <w:rPr>
          <w:rFonts w:ascii="Arial" w:hAnsi="Arial" w:cs="Arial"/>
          <w:b/>
          <w:bCs/>
          <w:sz w:val="24"/>
          <w:szCs w:val="24"/>
        </w:rPr>
        <w:t>BACKGROUND</w:t>
      </w:r>
    </w:p>
    <w:p w14:paraId="43E80AF9" w14:textId="77777777" w:rsidR="00B442B0" w:rsidRPr="00B442B0" w:rsidRDefault="00B442B0" w:rsidP="00B442B0">
      <w:pPr>
        <w:rPr>
          <w:rFonts w:ascii="Arial" w:hAnsi="Arial" w:cs="Arial"/>
          <w:sz w:val="24"/>
          <w:szCs w:val="24"/>
        </w:rPr>
      </w:pPr>
      <w:bookmarkStart w:id="1" w:name="_Hlk91062007"/>
      <w:r w:rsidRPr="00B442B0">
        <w:rPr>
          <w:rFonts w:ascii="Arial" w:hAnsi="Arial" w:cs="Arial"/>
          <w:sz w:val="24"/>
          <w:szCs w:val="24"/>
        </w:rPr>
        <w:t xml:space="preserve">To support the Home Office’s key priorities of tackling illegal migration; removing those with no right to be here; and protecting the vulnerable; the department is seeking a provider(s) to deliver reintegration services to support returning individuals from the United Kingdom (UK) in </w:t>
      </w:r>
      <w:proofErr w:type="gramStart"/>
      <w:r w:rsidRPr="00B442B0">
        <w:rPr>
          <w:rFonts w:ascii="Arial" w:hAnsi="Arial" w:cs="Arial"/>
          <w:sz w:val="24"/>
          <w:szCs w:val="24"/>
        </w:rPr>
        <w:t>a number of</w:t>
      </w:r>
      <w:proofErr w:type="gramEnd"/>
      <w:r w:rsidRPr="00B442B0">
        <w:rPr>
          <w:rFonts w:ascii="Arial" w:hAnsi="Arial" w:cs="Arial"/>
          <w:sz w:val="24"/>
          <w:szCs w:val="24"/>
        </w:rPr>
        <w:t xml:space="preserve"> countries.  </w:t>
      </w:r>
    </w:p>
    <w:p w14:paraId="37F9CB8C" w14:textId="77777777" w:rsidR="00B442B0" w:rsidRPr="00B442B0" w:rsidRDefault="00B442B0" w:rsidP="00B442B0">
      <w:pPr>
        <w:rPr>
          <w:rFonts w:ascii="Arial" w:hAnsi="Arial" w:cs="Arial"/>
          <w:sz w:val="24"/>
          <w:szCs w:val="24"/>
        </w:rPr>
      </w:pPr>
      <w:bookmarkStart w:id="2" w:name="_Hlk91062037"/>
      <w:bookmarkEnd w:id="1"/>
    </w:p>
    <w:p w14:paraId="05029294" w14:textId="77777777" w:rsidR="00B442B0" w:rsidRPr="00B442B0" w:rsidRDefault="00B442B0" w:rsidP="00B442B0">
      <w:pPr>
        <w:rPr>
          <w:rFonts w:ascii="Arial" w:hAnsi="Arial" w:cs="Arial"/>
          <w:sz w:val="24"/>
          <w:szCs w:val="24"/>
        </w:rPr>
      </w:pPr>
      <w:r w:rsidRPr="00B442B0">
        <w:rPr>
          <w:rFonts w:ascii="Arial" w:hAnsi="Arial" w:cs="Arial"/>
          <w:sz w:val="24"/>
          <w:szCs w:val="24"/>
        </w:rPr>
        <w:t>Reintegration is a key component of Objective 21 of the Global Compact for Safe, Orderly and Regular Migration to ‘</w:t>
      </w:r>
      <w:r w:rsidRPr="00B442B0">
        <w:rPr>
          <w:rFonts w:ascii="Arial" w:hAnsi="Arial" w:cs="Arial"/>
          <w:i/>
          <w:iCs/>
          <w:sz w:val="24"/>
          <w:szCs w:val="24"/>
        </w:rPr>
        <w:t>cooperate in facilitating safe and dignified return and readmission, as well as sustainable reintegration</w:t>
      </w:r>
      <w:r w:rsidRPr="00B442B0">
        <w:rPr>
          <w:rFonts w:ascii="Arial" w:hAnsi="Arial" w:cs="Arial"/>
          <w:sz w:val="24"/>
          <w:szCs w:val="24"/>
        </w:rPr>
        <w:t xml:space="preserve">’ with the Home Office seeking to reduce the burden on states when receiving their nationals and help them to become self-sufficient and reintegrate sustainable. </w:t>
      </w:r>
      <w:bookmarkEnd w:id="2"/>
    </w:p>
    <w:p w14:paraId="4EBDEDA3" w14:textId="77777777" w:rsidR="00B442B0" w:rsidRPr="00B442B0" w:rsidRDefault="00B442B0" w:rsidP="00B442B0">
      <w:pPr>
        <w:rPr>
          <w:rFonts w:ascii="Arial" w:hAnsi="Arial" w:cs="Arial"/>
          <w:b/>
          <w:bCs/>
          <w:sz w:val="24"/>
          <w:szCs w:val="24"/>
        </w:rPr>
      </w:pPr>
      <w:r w:rsidRPr="00B442B0">
        <w:rPr>
          <w:rFonts w:ascii="Arial" w:hAnsi="Arial" w:cs="Arial"/>
          <w:b/>
          <w:bCs/>
          <w:sz w:val="24"/>
          <w:szCs w:val="24"/>
        </w:rPr>
        <w:t>PURPOSE OF THE FUNDING</w:t>
      </w:r>
    </w:p>
    <w:p w14:paraId="6752770E" w14:textId="77777777" w:rsidR="00B442B0" w:rsidRPr="00B442B0" w:rsidRDefault="00B442B0" w:rsidP="00B442B0">
      <w:pPr>
        <w:rPr>
          <w:rFonts w:ascii="Arial" w:hAnsi="Arial" w:cs="Arial"/>
          <w:sz w:val="24"/>
          <w:szCs w:val="24"/>
        </w:rPr>
      </w:pPr>
      <w:r w:rsidRPr="00B442B0">
        <w:rPr>
          <w:rFonts w:ascii="Arial" w:hAnsi="Arial" w:cs="Arial"/>
          <w:sz w:val="24"/>
          <w:szCs w:val="24"/>
        </w:rPr>
        <w:t xml:space="preserve">To provide reintegration services and resettlement support to individuals returned from the UK. These services include pre-departure information; airport reception and transportation; provision of temporary accommodation; counselling and mental health support; signposting to locally available services; redocumentation; assistance with setting up a business; accessing educational opportunities and financial management. Please note that this is not an exhaustive list and further details will be provided at the competition stage. </w:t>
      </w:r>
    </w:p>
    <w:p w14:paraId="61AE430E" w14:textId="77777777" w:rsidR="00B442B0" w:rsidRPr="00B442B0" w:rsidRDefault="00B442B0" w:rsidP="00B442B0">
      <w:pPr>
        <w:rPr>
          <w:rFonts w:ascii="Arial" w:hAnsi="Arial" w:cs="Arial"/>
          <w:sz w:val="24"/>
          <w:szCs w:val="24"/>
        </w:rPr>
      </w:pPr>
    </w:p>
    <w:p w14:paraId="754F4A4C" w14:textId="77777777" w:rsidR="00B442B0" w:rsidRPr="00B442B0" w:rsidRDefault="00B442B0" w:rsidP="00B442B0">
      <w:pPr>
        <w:rPr>
          <w:rFonts w:ascii="Arial" w:hAnsi="Arial" w:cs="Arial"/>
          <w:sz w:val="24"/>
          <w:szCs w:val="24"/>
        </w:rPr>
      </w:pPr>
      <w:r w:rsidRPr="00B442B0">
        <w:rPr>
          <w:rFonts w:ascii="Arial" w:hAnsi="Arial" w:cs="Arial"/>
          <w:sz w:val="24"/>
          <w:szCs w:val="24"/>
        </w:rPr>
        <w:t xml:space="preserve">Delivery of these services is proviso on the following criteria: </w:t>
      </w:r>
    </w:p>
    <w:p w14:paraId="7DE23A1F" w14:textId="77777777" w:rsidR="00B442B0" w:rsidRPr="00B442B0" w:rsidRDefault="00B442B0" w:rsidP="00B442B0">
      <w:pPr>
        <w:numPr>
          <w:ilvl w:val="0"/>
          <w:numId w:val="1"/>
        </w:numPr>
        <w:rPr>
          <w:rFonts w:ascii="Arial" w:hAnsi="Arial" w:cs="Arial"/>
          <w:sz w:val="24"/>
          <w:szCs w:val="24"/>
        </w:rPr>
      </w:pPr>
      <w:r w:rsidRPr="00B442B0">
        <w:rPr>
          <w:rFonts w:ascii="Arial" w:hAnsi="Arial" w:cs="Arial"/>
          <w:sz w:val="24"/>
          <w:szCs w:val="24"/>
        </w:rPr>
        <w:t>Previous experience of reintegration activities.</w:t>
      </w:r>
    </w:p>
    <w:p w14:paraId="6ADCA27B" w14:textId="77777777" w:rsidR="00B442B0" w:rsidRPr="00B442B0" w:rsidRDefault="00B442B0" w:rsidP="00B442B0">
      <w:pPr>
        <w:numPr>
          <w:ilvl w:val="0"/>
          <w:numId w:val="1"/>
        </w:numPr>
        <w:rPr>
          <w:rFonts w:ascii="Arial" w:hAnsi="Arial" w:cs="Arial"/>
          <w:sz w:val="24"/>
          <w:szCs w:val="24"/>
        </w:rPr>
      </w:pPr>
      <w:r w:rsidRPr="00B442B0">
        <w:rPr>
          <w:rFonts w:ascii="Arial" w:hAnsi="Arial" w:cs="Arial"/>
          <w:sz w:val="24"/>
          <w:szCs w:val="24"/>
        </w:rPr>
        <w:t xml:space="preserve">Willingness to work with returning individuals who have been convicted in the UK criminal justice system (Foreign National Offenders).  </w:t>
      </w:r>
    </w:p>
    <w:p w14:paraId="2D524631" w14:textId="77777777" w:rsidR="00B442B0" w:rsidRPr="00B442B0" w:rsidRDefault="00B442B0" w:rsidP="00B442B0">
      <w:pPr>
        <w:rPr>
          <w:rFonts w:ascii="Arial" w:hAnsi="Arial" w:cs="Arial"/>
          <w:b/>
          <w:bCs/>
          <w:sz w:val="24"/>
          <w:szCs w:val="24"/>
        </w:rPr>
      </w:pPr>
    </w:p>
    <w:p w14:paraId="485B82DE" w14:textId="77777777" w:rsidR="00B442B0" w:rsidRPr="00B442B0" w:rsidRDefault="00B442B0" w:rsidP="00B442B0">
      <w:pPr>
        <w:rPr>
          <w:rFonts w:ascii="Arial" w:hAnsi="Arial" w:cs="Arial"/>
          <w:b/>
          <w:bCs/>
          <w:sz w:val="24"/>
          <w:szCs w:val="24"/>
        </w:rPr>
      </w:pPr>
      <w:r w:rsidRPr="00B442B0">
        <w:rPr>
          <w:rFonts w:ascii="Arial" w:hAnsi="Arial" w:cs="Arial"/>
          <w:b/>
          <w:bCs/>
          <w:sz w:val="24"/>
          <w:szCs w:val="24"/>
        </w:rPr>
        <w:t xml:space="preserve">Please note that the Home Office will conduct due diligence on any potential providers and that a Grant Agreement will be the commercial option utilised for the programme. </w:t>
      </w:r>
    </w:p>
    <w:p w14:paraId="79B859E8" w14:textId="77777777" w:rsidR="00B442B0" w:rsidRPr="00B442B0" w:rsidRDefault="00B442B0" w:rsidP="00B442B0">
      <w:pPr>
        <w:rPr>
          <w:rFonts w:ascii="Arial" w:hAnsi="Arial" w:cs="Arial"/>
          <w:b/>
          <w:bCs/>
          <w:sz w:val="24"/>
          <w:szCs w:val="24"/>
        </w:rPr>
      </w:pPr>
    </w:p>
    <w:p w14:paraId="305E22A0" w14:textId="77777777" w:rsidR="00B442B0" w:rsidRPr="00B442B0" w:rsidRDefault="00B442B0" w:rsidP="00B442B0">
      <w:pPr>
        <w:rPr>
          <w:rFonts w:ascii="Arial" w:hAnsi="Arial" w:cs="Arial"/>
          <w:b/>
          <w:bCs/>
          <w:sz w:val="24"/>
          <w:szCs w:val="24"/>
        </w:rPr>
      </w:pPr>
      <w:r w:rsidRPr="00B442B0">
        <w:rPr>
          <w:rFonts w:ascii="Arial" w:hAnsi="Arial" w:cs="Arial"/>
          <w:b/>
          <w:bCs/>
          <w:sz w:val="24"/>
          <w:szCs w:val="24"/>
        </w:rPr>
        <w:t xml:space="preserve">Interested bidders should note the Home Office condition of any grant funding will be that recipients are not permitted to charge, apply fees to, or require payment for, any activity provided in connection with this funded programme, </w:t>
      </w:r>
      <w:r w:rsidRPr="00B442B0">
        <w:rPr>
          <w:rFonts w:ascii="Arial" w:hAnsi="Arial" w:cs="Arial"/>
          <w:b/>
          <w:bCs/>
          <w:sz w:val="24"/>
          <w:szCs w:val="24"/>
        </w:rPr>
        <w:lastRenderedPageBreak/>
        <w:t>or otherwise use the grant to undertake or engage in activities that result in commercial gain or profit.</w:t>
      </w:r>
    </w:p>
    <w:p w14:paraId="26632C05" w14:textId="77777777" w:rsidR="00B442B0" w:rsidRPr="00B442B0" w:rsidRDefault="00B442B0" w:rsidP="00B442B0">
      <w:pPr>
        <w:rPr>
          <w:rFonts w:ascii="Arial" w:hAnsi="Arial" w:cs="Arial"/>
          <w:b/>
          <w:bCs/>
          <w:sz w:val="24"/>
          <w:szCs w:val="24"/>
        </w:rPr>
      </w:pPr>
    </w:p>
    <w:p w14:paraId="459C71C4" w14:textId="77777777" w:rsidR="00B442B0" w:rsidRPr="00B442B0" w:rsidRDefault="00B442B0" w:rsidP="00B442B0">
      <w:pPr>
        <w:rPr>
          <w:rFonts w:ascii="Arial" w:hAnsi="Arial" w:cs="Arial"/>
          <w:b/>
          <w:bCs/>
          <w:sz w:val="24"/>
          <w:szCs w:val="24"/>
        </w:rPr>
      </w:pPr>
      <w:r w:rsidRPr="00B442B0">
        <w:rPr>
          <w:rFonts w:ascii="Arial" w:hAnsi="Arial" w:cs="Arial"/>
          <w:b/>
          <w:bCs/>
          <w:sz w:val="24"/>
          <w:szCs w:val="24"/>
        </w:rPr>
        <w:t>KEY OUTCOMES</w:t>
      </w:r>
    </w:p>
    <w:p w14:paraId="1DC53DA7" w14:textId="77777777" w:rsidR="00B442B0" w:rsidRPr="00B442B0" w:rsidRDefault="00B442B0" w:rsidP="00B442B0">
      <w:pPr>
        <w:rPr>
          <w:rFonts w:ascii="Arial" w:hAnsi="Arial" w:cs="Arial"/>
          <w:sz w:val="24"/>
          <w:szCs w:val="24"/>
        </w:rPr>
      </w:pPr>
      <w:r w:rsidRPr="00B442B0">
        <w:rPr>
          <w:rFonts w:ascii="Arial" w:hAnsi="Arial" w:cs="Arial"/>
          <w:sz w:val="24"/>
          <w:szCs w:val="24"/>
        </w:rPr>
        <w:t xml:space="preserve">These include the following:  </w:t>
      </w:r>
    </w:p>
    <w:p w14:paraId="32DAF427" w14:textId="77777777" w:rsidR="00B442B0" w:rsidRPr="00B442B0" w:rsidRDefault="00B442B0" w:rsidP="00B442B0">
      <w:pPr>
        <w:numPr>
          <w:ilvl w:val="0"/>
          <w:numId w:val="2"/>
        </w:numPr>
        <w:rPr>
          <w:rFonts w:ascii="Arial" w:hAnsi="Arial" w:cs="Arial"/>
          <w:sz w:val="24"/>
          <w:szCs w:val="24"/>
        </w:rPr>
      </w:pPr>
      <w:r w:rsidRPr="00B442B0">
        <w:rPr>
          <w:rFonts w:ascii="Arial" w:hAnsi="Arial" w:cs="Arial"/>
          <w:sz w:val="24"/>
          <w:szCs w:val="24"/>
        </w:rPr>
        <w:t xml:space="preserve">Returning individuals will become self-sufficient and are reintegrated socially, economically, and psychologically in their communities of return within 12 months (to be discussed with potential delivery partners).  </w:t>
      </w:r>
    </w:p>
    <w:p w14:paraId="14D556C2" w14:textId="77777777" w:rsidR="00B442B0" w:rsidRPr="00B442B0" w:rsidRDefault="00B442B0" w:rsidP="00B442B0">
      <w:pPr>
        <w:numPr>
          <w:ilvl w:val="0"/>
          <w:numId w:val="2"/>
        </w:numPr>
        <w:rPr>
          <w:rFonts w:ascii="Arial" w:hAnsi="Arial" w:cs="Arial"/>
          <w:sz w:val="24"/>
          <w:szCs w:val="24"/>
        </w:rPr>
      </w:pPr>
      <w:r w:rsidRPr="00B442B0">
        <w:rPr>
          <w:rFonts w:ascii="Arial" w:hAnsi="Arial" w:cs="Arial"/>
          <w:sz w:val="24"/>
          <w:szCs w:val="24"/>
        </w:rPr>
        <w:t xml:space="preserve">Returning individuals contribute to the economic wellbeing of their country of origin.  </w:t>
      </w:r>
    </w:p>
    <w:p w14:paraId="576E1B1B" w14:textId="77777777" w:rsidR="00B442B0" w:rsidRPr="00B442B0" w:rsidRDefault="00B442B0" w:rsidP="00B442B0">
      <w:pPr>
        <w:rPr>
          <w:rFonts w:ascii="Arial" w:hAnsi="Arial" w:cs="Arial"/>
          <w:sz w:val="24"/>
          <w:szCs w:val="24"/>
        </w:rPr>
      </w:pPr>
    </w:p>
    <w:p w14:paraId="3E806A33" w14:textId="77777777" w:rsidR="00B442B0" w:rsidRPr="00B442B0" w:rsidRDefault="00B442B0">
      <w:pPr>
        <w:rPr>
          <w:rFonts w:ascii="Arial" w:hAnsi="Arial" w:cs="Arial"/>
          <w:sz w:val="24"/>
          <w:szCs w:val="24"/>
        </w:rPr>
      </w:pPr>
    </w:p>
    <w:sectPr w:rsidR="00B442B0" w:rsidRPr="00B442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96159"/>
    <w:multiLevelType w:val="hybridMultilevel"/>
    <w:tmpl w:val="8D9E7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EF65A3"/>
    <w:multiLevelType w:val="hybridMultilevel"/>
    <w:tmpl w:val="72A0E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B0"/>
    <w:rsid w:val="00B44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E1B9B"/>
  <w15:chartTrackingRefBased/>
  <w15:docId w15:val="{1AB3721F-0B74-444D-8AE2-2DB6E879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4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Tiwari</dc:creator>
  <cp:keywords/>
  <dc:description/>
  <cp:lastModifiedBy>Anjali Tiwari</cp:lastModifiedBy>
  <cp:revision>1</cp:revision>
  <dcterms:created xsi:type="dcterms:W3CDTF">2022-04-22T14:36:00Z</dcterms:created>
  <dcterms:modified xsi:type="dcterms:W3CDTF">2022-04-22T14:38:00Z</dcterms:modified>
</cp:coreProperties>
</file>