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Pr="008F024C" w:rsidRDefault="00E34621" w:rsidP="002170AA">
      <w:pPr>
        <w:pStyle w:val="MarginText"/>
        <w:jc w:val="center"/>
        <w:rPr>
          <w:rFonts w:cs="Arial"/>
          <w:b/>
          <w:sz w:val="28"/>
          <w:szCs w:val="28"/>
        </w:rPr>
      </w:pPr>
    </w:p>
    <w:p w:rsidR="008F024C" w:rsidRPr="008F024C" w:rsidRDefault="008F024C" w:rsidP="008F024C">
      <w:pPr>
        <w:pStyle w:val="Header"/>
        <w:jc w:val="center"/>
        <w:rPr>
          <w:b/>
          <w:sz w:val="28"/>
          <w:szCs w:val="28"/>
          <w:lang w:val="en-US"/>
        </w:rPr>
      </w:pPr>
      <w:r w:rsidRPr="008F024C">
        <w:rPr>
          <w:b/>
          <w:sz w:val="28"/>
          <w:szCs w:val="28"/>
          <w:lang w:val="en-US"/>
        </w:rPr>
        <w:t>Provision of Consultancy for Guidance Regarding Plans, Proposals and Accommodation Assistance</w:t>
      </w:r>
    </w:p>
    <w:p w:rsidR="00883724" w:rsidRPr="0059248B" w:rsidRDefault="00883724" w:rsidP="00883724">
      <w:pPr>
        <w:jc w:val="center"/>
        <w:rPr>
          <w:rFonts w:cs="Arial"/>
          <w:b/>
          <w:sz w:val="28"/>
          <w:szCs w:val="28"/>
        </w:rPr>
      </w:pPr>
      <w:r w:rsidRPr="0059248B">
        <w:rPr>
          <w:rFonts w:cs="Arial"/>
          <w:b/>
          <w:sz w:val="28"/>
          <w:szCs w:val="28"/>
        </w:rPr>
        <w:t>TO</w:t>
      </w:r>
    </w:p>
    <w:p w:rsidR="00BA62AF" w:rsidRDefault="00BA62AF" w:rsidP="00883724">
      <w:pPr>
        <w:jc w:val="center"/>
        <w:rPr>
          <w:rFonts w:cs="Arial"/>
          <w:b/>
          <w:sz w:val="28"/>
          <w:szCs w:val="28"/>
        </w:rPr>
      </w:pPr>
      <w:r>
        <w:rPr>
          <w:rFonts w:cs="Arial"/>
          <w:b/>
          <w:sz w:val="28"/>
          <w:szCs w:val="28"/>
        </w:rPr>
        <w:t xml:space="preserve">Crown Commercial Service </w:t>
      </w:r>
    </w:p>
    <w:p w:rsidR="00BA62AF" w:rsidRDefault="00BA62AF" w:rsidP="00883724">
      <w:pPr>
        <w:jc w:val="center"/>
        <w:rPr>
          <w:rFonts w:cs="Arial"/>
          <w:b/>
          <w:sz w:val="28"/>
          <w:szCs w:val="28"/>
        </w:rPr>
      </w:pPr>
      <w:r>
        <w:rPr>
          <w:rFonts w:cs="Arial"/>
          <w:b/>
          <w:sz w:val="28"/>
          <w:szCs w:val="28"/>
        </w:rPr>
        <w:t xml:space="preserve">Acting </w:t>
      </w:r>
      <w:r w:rsidR="00864F3D">
        <w:rPr>
          <w:rFonts w:cs="Arial"/>
          <w:b/>
          <w:sz w:val="28"/>
          <w:szCs w:val="28"/>
        </w:rPr>
        <w:t xml:space="preserve">As </w:t>
      </w:r>
      <w:proofErr w:type="gramStart"/>
      <w:r w:rsidR="00864F3D">
        <w:rPr>
          <w:rFonts w:cs="Arial"/>
          <w:b/>
          <w:sz w:val="28"/>
          <w:szCs w:val="28"/>
        </w:rPr>
        <w:t>The</w:t>
      </w:r>
      <w:proofErr w:type="gramEnd"/>
      <w:r w:rsidR="00864F3D">
        <w:rPr>
          <w:rFonts w:cs="Arial"/>
          <w:b/>
          <w:sz w:val="28"/>
          <w:szCs w:val="28"/>
        </w:rPr>
        <w:t xml:space="preserve"> Managing </w:t>
      </w:r>
      <w:r>
        <w:rPr>
          <w:rFonts w:cs="Arial"/>
          <w:b/>
          <w:sz w:val="28"/>
          <w:szCs w:val="28"/>
        </w:rPr>
        <w:t xml:space="preserve">Agent </w:t>
      </w:r>
      <w:r w:rsidR="00864F3D">
        <w:rPr>
          <w:rFonts w:cs="Arial"/>
          <w:b/>
          <w:sz w:val="28"/>
          <w:szCs w:val="28"/>
        </w:rPr>
        <w:t>For The</w:t>
      </w:r>
      <w:r>
        <w:rPr>
          <w:rFonts w:cs="Arial"/>
          <w:b/>
          <w:sz w:val="28"/>
          <w:szCs w:val="28"/>
        </w:rPr>
        <w:t xml:space="preserve"> </w:t>
      </w:r>
    </w:p>
    <w:p w:rsidR="00883724" w:rsidRPr="0059248B" w:rsidRDefault="00FE5217" w:rsidP="00883724">
      <w:pPr>
        <w:jc w:val="center"/>
        <w:rPr>
          <w:rFonts w:cs="Arial"/>
          <w:b/>
          <w:sz w:val="28"/>
          <w:szCs w:val="28"/>
        </w:rPr>
      </w:pPr>
      <w:r>
        <w:rPr>
          <w:rFonts w:cs="Arial"/>
          <w:b/>
          <w:sz w:val="28"/>
          <w:szCs w:val="28"/>
        </w:rPr>
        <w:t xml:space="preserve">Ministry </w:t>
      </w:r>
      <w:r w:rsidR="00BA62AF">
        <w:rPr>
          <w:rFonts w:cs="Arial"/>
          <w:b/>
          <w:sz w:val="28"/>
          <w:szCs w:val="28"/>
        </w:rPr>
        <w:t xml:space="preserve">Of </w:t>
      </w:r>
      <w:r>
        <w:rPr>
          <w:rFonts w:cs="Arial"/>
          <w:b/>
          <w:sz w:val="28"/>
          <w:szCs w:val="28"/>
        </w:rPr>
        <w:t>Defence</w:t>
      </w:r>
    </w:p>
    <w:p w:rsidR="00883724" w:rsidRPr="0059248B" w:rsidRDefault="00883724" w:rsidP="00883724">
      <w:pPr>
        <w:pStyle w:val="Header"/>
        <w:jc w:val="center"/>
        <w:rPr>
          <w:rFonts w:cs="Arial"/>
          <w:b/>
          <w:sz w:val="28"/>
          <w:szCs w:val="28"/>
        </w:rPr>
      </w:pPr>
      <w:r>
        <w:rPr>
          <w:rFonts w:cs="Arial"/>
          <w:b/>
          <w:sz w:val="28"/>
          <w:szCs w:val="28"/>
        </w:rPr>
        <w:t>From</w:t>
      </w:r>
    </w:p>
    <w:p w:rsidR="00883724" w:rsidRPr="008A4982" w:rsidRDefault="008A4982" w:rsidP="00883724">
      <w:pPr>
        <w:pStyle w:val="Header"/>
        <w:jc w:val="center"/>
        <w:rPr>
          <w:rFonts w:cs="Arial"/>
          <w:b/>
          <w:sz w:val="28"/>
          <w:szCs w:val="28"/>
        </w:rPr>
      </w:pPr>
      <w:r w:rsidRPr="008A4982">
        <w:rPr>
          <w:rFonts w:cs="Arial"/>
          <w:b/>
          <w:sz w:val="28"/>
          <w:szCs w:val="28"/>
        </w:rPr>
        <w:t>Deloitte LLP</w:t>
      </w:r>
    </w:p>
    <w:p w:rsidR="00FE5217" w:rsidRPr="00883724" w:rsidRDefault="00FE5217" w:rsidP="00883724">
      <w:pPr>
        <w:pStyle w:val="Header"/>
        <w:jc w:val="center"/>
        <w:rPr>
          <w:rFonts w:cs="Arial"/>
          <w:b/>
          <w:color w:val="FF0000"/>
          <w:sz w:val="28"/>
          <w:szCs w:val="28"/>
        </w:rPr>
      </w:pPr>
    </w:p>
    <w:p w:rsidR="00883724" w:rsidRPr="00FE5217" w:rsidRDefault="00FE5217" w:rsidP="00FE5217">
      <w:pPr>
        <w:pStyle w:val="Header"/>
        <w:jc w:val="center"/>
        <w:rPr>
          <w:rFonts w:cs="Arial"/>
          <w:b/>
          <w:sz w:val="28"/>
          <w:szCs w:val="28"/>
        </w:rPr>
      </w:pPr>
      <w:r w:rsidRPr="00FE5217">
        <w:rPr>
          <w:rFonts w:cs="Arial"/>
          <w:b/>
          <w:sz w:val="28"/>
          <w:szCs w:val="28"/>
        </w:rPr>
        <w:t>CCS Reference: SO170</w:t>
      </w:r>
      <w:r w:rsidR="008F024C">
        <w:rPr>
          <w:rFonts w:cs="Arial"/>
          <w:b/>
          <w:sz w:val="28"/>
          <w:szCs w:val="28"/>
        </w:rPr>
        <w:t>50</w:t>
      </w:r>
    </w:p>
    <w:p w:rsidR="00883724" w:rsidRPr="00FE5217" w:rsidRDefault="00FE5217" w:rsidP="00FE5217">
      <w:pPr>
        <w:pStyle w:val="Header"/>
        <w:jc w:val="center"/>
        <w:rPr>
          <w:rFonts w:cs="Arial"/>
          <w:b/>
          <w:sz w:val="28"/>
          <w:szCs w:val="28"/>
        </w:rPr>
      </w:pPr>
      <w:r w:rsidRPr="00FE5217">
        <w:rPr>
          <w:rFonts w:cs="Arial"/>
          <w:b/>
          <w:sz w:val="28"/>
          <w:szCs w:val="28"/>
        </w:rPr>
        <w:t>Contract Reference: CCCC16AA</w:t>
      </w:r>
      <w:r w:rsidR="008F024C">
        <w:rPr>
          <w:rFonts w:cs="Arial"/>
          <w:b/>
          <w:sz w:val="28"/>
          <w:szCs w:val="28"/>
        </w:rPr>
        <w:t>2</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A96910" w:rsidRDefault="00A96910" w:rsidP="002170AA">
      <w:pPr>
        <w:pStyle w:val="MarginText"/>
        <w:jc w:val="center"/>
        <w:rPr>
          <w:rFonts w:cs="Arial"/>
          <w:b/>
          <w:sz w:val="28"/>
          <w:szCs w:val="28"/>
        </w:rPr>
      </w:pPr>
    </w:p>
    <w:p w:rsidR="00A96910" w:rsidRDefault="00A96910" w:rsidP="002170AA">
      <w:pPr>
        <w:pStyle w:val="MarginText"/>
        <w:jc w:val="center"/>
        <w:rPr>
          <w:rFonts w:cs="Arial"/>
          <w:b/>
          <w:sz w:val="28"/>
          <w:szCs w:val="28"/>
        </w:rPr>
      </w:pPr>
    </w:p>
    <w:p w:rsidR="00A96910" w:rsidRDefault="00A96910" w:rsidP="002170AA">
      <w:pPr>
        <w:pStyle w:val="MarginText"/>
        <w:jc w:val="center"/>
        <w:rPr>
          <w:rFonts w:cs="Arial"/>
          <w:b/>
          <w:sz w:val="28"/>
          <w:szCs w:val="28"/>
        </w:rPr>
      </w:pPr>
    </w:p>
    <w:p w:rsidR="00A96910" w:rsidRDefault="00A96910" w:rsidP="002170AA">
      <w:pPr>
        <w:pStyle w:val="MarginText"/>
        <w:jc w:val="center"/>
        <w:rPr>
          <w:rFonts w:cs="Arial"/>
          <w:b/>
          <w:sz w:val="28"/>
          <w:szCs w:val="28"/>
        </w:rPr>
      </w:pPr>
    </w:p>
    <w:p w:rsidR="00A96910" w:rsidRDefault="00A96910"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lastRenderedPageBreak/>
        <w:t>Table of Contents</w:t>
      </w:r>
    </w:p>
    <w:p w:rsidR="00883724" w:rsidRPr="00883724" w:rsidRDefault="00883724" w:rsidP="00883724">
      <w:pPr>
        <w:rPr>
          <w:b/>
          <w:lang w:val="en-US" w:eastAsia="ja-JP"/>
        </w:rPr>
      </w:pPr>
    </w:p>
    <w:p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A96910">
        <w:rPr>
          <w:rFonts w:cs="Arial"/>
          <w:b/>
          <w:bCs/>
          <w:szCs w:val="22"/>
        </w:rPr>
        <w:t>6</w:t>
      </w:r>
    </w:p>
    <w:p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rsidR="00883724" w:rsidRPr="00883724" w:rsidRDefault="00883724" w:rsidP="00883724">
      <w:pPr>
        <w:pStyle w:val="TOC1"/>
        <w:tabs>
          <w:tab w:val="right" w:leader="dot" w:pos="9506"/>
        </w:tabs>
        <w:rPr>
          <w:rFonts w:cs="Arial"/>
          <w:b/>
          <w:bCs/>
          <w:szCs w:val="22"/>
        </w:rPr>
      </w:pPr>
      <w:r>
        <w:rPr>
          <w:rFonts w:cs="Arial"/>
          <w:b/>
          <w:bCs/>
          <w:szCs w:val="22"/>
        </w:rPr>
        <w:t>PART 1 APPENDIX 3 VARIATIONS/SUPPL</w:t>
      </w:r>
      <w:r w:rsidR="000E0878">
        <w:rPr>
          <w:rFonts w:cs="Arial"/>
          <w:b/>
          <w:bCs/>
          <w:szCs w:val="22"/>
        </w:rPr>
        <w:t>e</w:t>
      </w:r>
      <w:r>
        <w:rPr>
          <w:rFonts w:cs="Arial"/>
          <w:b/>
          <w:bCs/>
          <w:szCs w:val="22"/>
        </w:rPr>
        <w:t>MENTS TO CALL OFF TERMS</w:t>
      </w:r>
      <w:r w:rsidRPr="00883724">
        <w:rPr>
          <w:rFonts w:cs="Arial"/>
          <w:b/>
          <w:bCs/>
          <w:szCs w:val="22"/>
        </w:rPr>
        <w:t xml:space="preserve"> </w:t>
      </w:r>
      <w:r w:rsidRPr="00883724">
        <w:rPr>
          <w:rFonts w:cs="Arial"/>
          <w:b/>
          <w:bCs/>
          <w:szCs w:val="22"/>
        </w:rPr>
        <w:tab/>
      </w:r>
      <w:r w:rsidR="00A96910">
        <w:rPr>
          <w:rFonts w:cs="Arial"/>
          <w:b/>
          <w:bCs/>
          <w:szCs w:val="22"/>
        </w:rPr>
        <w:t>9</w:t>
      </w:r>
    </w:p>
    <w:p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w:t>
      </w:r>
      <w:r w:rsidR="00A96910">
        <w:rPr>
          <w:rFonts w:cs="Arial"/>
          <w:b/>
          <w:bCs/>
          <w:szCs w:val="22"/>
        </w:rPr>
        <w:t>4</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9A1DAC" w:rsidRPr="008335FE" w:rsidRDefault="002170AA" w:rsidP="00F6746E">
      <w:pPr>
        <w:pStyle w:val="MarginText"/>
        <w:jc w:val="center"/>
        <w:rPr>
          <w:b/>
        </w:rPr>
      </w:pPr>
      <w:r w:rsidRPr="00AE5A0F">
        <w:rPr>
          <w:rFonts w:cs="Arial"/>
          <w:b/>
          <w:szCs w:val="22"/>
        </w:rPr>
        <w:br/>
      </w: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316519" w:rsidRDefault="00316519"/>
    <w:p w:rsidR="00316519" w:rsidRDefault="00316519"/>
    <w:p w:rsidR="00316519" w:rsidRDefault="00316519"/>
    <w:p w:rsidR="00316519" w:rsidRDefault="00316519"/>
    <w:p w:rsidR="00316519" w:rsidRDefault="00316519"/>
    <w:p w:rsidR="00316519" w:rsidRDefault="00316519"/>
    <w:p w:rsidR="00316519" w:rsidRDefault="00316519"/>
    <w:p w:rsidR="00316519" w:rsidRDefault="00316519"/>
    <w:p w:rsidR="002170AA" w:rsidRDefault="002170AA"/>
    <w:p w:rsidR="002170AA" w:rsidRDefault="002170AA"/>
    <w:p w:rsidR="002170AA" w:rsidRDefault="002170AA"/>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lastRenderedPageBreak/>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rsidTr="000A35D8">
        <w:tc>
          <w:tcPr>
            <w:tcW w:w="8982" w:type="dxa"/>
            <w:shd w:val="clear" w:color="auto" w:fill="D9D9D9"/>
          </w:tcPr>
          <w:p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rsidTr="000A35D8">
        <w:tc>
          <w:tcPr>
            <w:tcW w:w="8982" w:type="dxa"/>
          </w:tcPr>
          <w:p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4363FF" w:rsidP="007F2B5A">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Contract shall commence on</w:t>
            </w:r>
            <w:r w:rsidR="000E0878">
              <w:rPr>
                <w:rFonts w:cs="Arial"/>
                <w:sz w:val="20"/>
              </w:rPr>
              <w:t>:</w:t>
            </w:r>
            <w:r w:rsidRPr="002F2A88">
              <w:rPr>
                <w:rFonts w:cs="Arial"/>
                <w:sz w:val="20"/>
              </w:rPr>
              <w:t xml:space="preserve"> </w:t>
            </w:r>
            <w:r w:rsidR="008A4982">
              <w:rPr>
                <w:rFonts w:cs="Arial"/>
                <w:sz w:val="20"/>
              </w:rPr>
              <w:t>3</w:t>
            </w:r>
            <w:r w:rsidR="007F2B5A">
              <w:rPr>
                <w:rFonts w:cs="Arial"/>
                <w:sz w:val="20"/>
              </w:rPr>
              <w:t>1</w:t>
            </w:r>
            <w:r w:rsidR="007F2B5A" w:rsidRPr="007F2B5A">
              <w:rPr>
                <w:rFonts w:cs="Arial"/>
                <w:sz w:val="20"/>
                <w:vertAlign w:val="superscript"/>
              </w:rPr>
              <w:t>st</w:t>
            </w:r>
            <w:r w:rsidR="007F2B5A">
              <w:rPr>
                <w:rFonts w:cs="Arial"/>
                <w:sz w:val="20"/>
              </w:rPr>
              <w:t xml:space="preserve"> </w:t>
            </w:r>
            <w:r w:rsidR="008A4982">
              <w:rPr>
                <w:rFonts w:cs="Arial"/>
                <w:sz w:val="20"/>
              </w:rPr>
              <w:t>March 2016</w:t>
            </w:r>
            <w:r w:rsidRPr="00EF7FAA">
              <w:t>.</w:t>
            </w:r>
          </w:p>
        </w:tc>
      </w:tr>
      <w:tr w:rsidR="004363FF" w:rsidRPr="005E64BF" w:rsidTr="000A35D8">
        <w:tc>
          <w:tcPr>
            <w:tcW w:w="8982" w:type="dxa"/>
          </w:tcPr>
          <w:p w:rsidR="004363FF" w:rsidRPr="005E64BF" w:rsidRDefault="004363FF" w:rsidP="000A35D8">
            <w:pPr>
              <w:widowControl w:val="0"/>
              <w:spacing w:line="240" w:lineRule="auto"/>
              <w:rPr>
                <w:rFonts w:cs="Arial"/>
                <w:b/>
                <w:sz w:val="20"/>
              </w:rPr>
            </w:pPr>
            <w:r w:rsidRPr="005E64BF">
              <w:rPr>
                <w:rFonts w:cs="Arial"/>
                <w:b/>
                <w:sz w:val="20"/>
              </w:rPr>
              <w:t>1.2 Expiry Date</w:t>
            </w:r>
          </w:p>
          <w:p w:rsidR="004363FF" w:rsidRPr="005E64BF" w:rsidRDefault="004363FF" w:rsidP="000A35D8">
            <w:pPr>
              <w:widowControl w:val="0"/>
              <w:spacing w:line="240" w:lineRule="auto"/>
              <w:rPr>
                <w:rFonts w:cs="Arial"/>
                <w:sz w:val="20"/>
              </w:rPr>
            </w:pPr>
            <w:r w:rsidRPr="005E64BF">
              <w:rPr>
                <w:rFonts w:cs="Arial"/>
                <w:sz w:val="20"/>
              </w:rPr>
              <w:t>1.2.1 This Contract shall expire on:</w:t>
            </w:r>
            <w:r w:rsidR="000E0878">
              <w:rPr>
                <w:rFonts w:cs="Arial"/>
                <w:sz w:val="20"/>
              </w:rPr>
              <w:t xml:space="preserve"> </w:t>
            </w:r>
            <w:r w:rsidR="007F2B5A">
              <w:rPr>
                <w:rFonts w:cs="Arial"/>
                <w:sz w:val="20"/>
              </w:rPr>
              <w:t>30</w:t>
            </w:r>
            <w:r w:rsidR="008A4982" w:rsidRPr="008A4982">
              <w:rPr>
                <w:rFonts w:cs="Arial"/>
                <w:sz w:val="20"/>
                <w:vertAlign w:val="superscript"/>
              </w:rPr>
              <w:t>th</w:t>
            </w:r>
            <w:r w:rsidR="008A4982">
              <w:rPr>
                <w:rFonts w:cs="Arial"/>
                <w:sz w:val="20"/>
              </w:rPr>
              <w:t xml:space="preserve"> December 2016</w:t>
            </w:r>
            <w:r w:rsidR="000E0878" w:rsidRPr="00EF7FAA">
              <w:t>.</w:t>
            </w:r>
          </w:p>
          <w:p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rsidR="004363FF" w:rsidRPr="005E64BF" w:rsidRDefault="004363FF" w:rsidP="005E64BF">
      <w:pPr>
        <w:widowControl w:val="0"/>
        <w:spacing w:line="240" w:lineRule="auto"/>
        <w:rPr>
          <w:rFonts w:cs="Arial"/>
          <w:b/>
          <w:i/>
          <w:sz w:val="20"/>
        </w:rPr>
      </w:pPr>
    </w:p>
    <w:p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rsidTr="005B48E6">
        <w:tc>
          <w:tcPr>
            <w:tcW w:w="903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5B48E6">
        <w:tc>
          <w:tcPr>
            <w:tcW w:w="9039" w:type="dxa"/>
            <w:shd w:val="clear" w:color="auto" w:fill="auto"/>
          </w:tcPr>
          <w:p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rsidR="009A1DAC" w:rsidRDefault="008A4982" w:rsidP="005E64BF">
            <w:pPr>
              <w:widowControl w:val="0"/>
              <w:spacing w:line="240" w:lineRule="auto"/>
              <w:rPr>
                <w:rFonts w:cs="Arial"/>
                <w:b/>
                <w:sz w:val="20"/>
              </w:rPr>
            </w:pPr>
            <w:r>
              <w:rPr>
                <w:rFonts w:cs="Arial"/>
                <w:b/>
                <w:sz w:val="20"/>
              </w:rPr>
              <w:t>Appendix B Service description</w:t>
            </w:r>
          </w:p>
          <w:bookmarkStart w:id="0" w:name="_MON_1520246777"/>
          <w:bookmarkEnd w:id="0"/>
          <w:p w:rsidR="00212002" w:rsidRPr="00212002" w:rsidRDefault="0024408C" w:rsidP="00A6658F">
            <w:pPr>
              <w:widowControl w:val="0"/>
              <w:spacing w:line="240" w:lineRule="auto"/>
              <w:rPr>
                <w:rFonts w:cs="Arial"/>
                <w:b/>
                <w:i/>
                <w:sz w:val="20"/>
              </w:rPr>
            </w:pPr>
            <w:r>
              <w:rPr>
                <w:rFonts w:cs="Arial"/>
                <w:b/>
                <w:sz w:val="20"/>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20863556" r:id="rId14">
                  <o:FieldCodes>\s</o:FieldCodes>
                </o:OLEObject>
              </w:object>
            </w:r>
          </w:p>
        </w:tc>
      </w:tr>
    </w:tbl>
    <w:p w:rsidR="004363FF" w:rsidRPr="005E64BF" w:rsidRDefault="004363FF" w:rsidP="005E64BF">
      <w:pPr>
        <w:spacing w:line="240" w:lineRule="auto"/>
        <w:rPr>
          <w:rFonts w:cs="Arial"/>
          <w:sz w:val="20"/>
        </w:rPr>
      </w:pPr>
    </w:p>
    <w:p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rsidTr="008F76B2">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rsidTr="008F76B2">
        <w:trPr>
          <w:trHeight w:val="2117"/>
        </w:trPr>
        <w:tc>
          <w:tcPr>
            <w:tcW w:w="9245" w:type="dxa"/>
            <w:shd w:val="clear" w:color="auto" w:fill="auto"/>
          </w:tcPr>
          <w:p w:rsidR="00A6658F" w:rsidRPr="00E962CD" w:rsidRDefault="00A6658F" w:rsidP="00A6658F">
            <w:pPr>
              <w:pStyle w:val="MarginText"/>
              <w:ind w:left="720" w:hanging="720"/>
              <w:rPr>
                <w:rFonts w:eastAsia="Times New Roman" w:cs="Arial"/>
                <w:b/>
                <w:sz w:val="20"/>
                <w:lang w:eastAsia="en-US"/>
              </w:rPr>
            </w:pPr>
            <w:r w:rsidRPr="00E962CD">
              <w:rPr>
                <w:rFonts w:eastAsia="Times New Roman" w:cs="Arial"/>
                <w:b/>
                <w:sz w:val="20"/>
                <w:lang w:eastAsia="en-US"/>
              </w:rPr>
              <w:t>3.1 Performance of the Service and Deliverables</w:t>
            </w:r>
          </w:p>
          <w:p w:rsidR="00B263E4" w:rsidRPr="00DB1822" w:rsidRDefault="00A6658F" w:rsidP="0024408C">
            <w:pPr>
              <w:pStyle w:val="MarginText"/>
              <w:ind w:left="720" w:hanging="720"/>
              <w:rPr>
                <w:rFonts w:cs="Arial"/>
                <w:b/>
                <w:sz w:val="20"/>
              </w:rPr>
            </w:pPr>
            <w:r w:rsidRPr="009019E1">
              <w:rPr>
                <w:rFonts w:cs="Arial"/>
                <w:b/>
                <w:sz w:val="20"/>
              </w:rPr>
              <w:t>Please see attached Appendix B document above.</w:t>
            </w:r>
          </w:p>
        </w:tc>
      </w:tr>
      <w:tr w:rsidR="004363FF" w:rsidRPr="005E64BF" w:rsidTr="008F76B2">
        <w:tc>
          <w:tcPr>
            <w:tcW w:w="9245" w:type="dxa"/>
            <w:shd w:val="clear" w:color="auto" w:fill="auto"/>
          </w:tcPr>
          <w:p w:rsidR="00E34621" w:rsidRDefault="004363FF" w:rsidP="00E34621">
            <w:pPr>
              <w:keepNext/>
              <w:widowControl w:val="0"/>
              <w:spacing w:line="240" w:lineRule="auto"/>
              <w:rPr>
                <w:rFonts w:cs="Arial"/>
                <w:b/>
                <w:sz w:val="20"/>
              </w:rPr>
            </w:pPr>
            <w:r w:rsidRPr="005E64BF">
              <w:rPr>
                <w:rFonts w:cs="Arial"/>
                <w:b/>
                <w:sz w:val="20"/>
              </w:rPr>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p w:rsidR="00E34621" w:rsidRPr="008F76B2" w:rsidRDefault="00A6658F" w:rsidP="00E34621">
            <w:pPr>
              <w:keepNext/>
              <w:widowControl w:val="0"/>
              <w:spacing w:line="240" w:lineRule="auto"/>
              <w:rPr>
                <w:rFonts w:cs="Arial"/>
                <w:b/>
                <w:i/>
                <w:sz w:val="20"/>
                <w:shd w:val="clear" w:color="auto" w:fill="92D050"/>
              </w:rPr>
            </w:pPr>
            <w:r w:rsidRPr="009019E1">
              <w:rPr>
                <w:rFonts w:cs="Arial"/>
                <w:b/>
                <w:sz w:val="20"/>
              </w:rPr>
              <w:t>Please see attached Appendix B document above.</w:t>
            </w:r>
          </w:p>
        </w:tc>
      </w:tr>
    </w:tbl>
    <w:p w:rsidR="004363FF" w:rsidRPr="005E64BF" w:rsidRDefault="004363FF" w:rsidP="005E64BF">
      <w:pPr>
        <w:widowControl w:val="0"/>
        <w:spacing w:line="240" w:lineRule="auto"/>
        <w:rPr>
          <w:rFonts w:cs="Arial"/>
          <w:sz w:val="20"/>
        </w:rPr>
      </w:pPr>
    </w:p>
    <w:p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XSpec="center" w:tblpY="340"/>
        <w:tblW w:w="10515" w:type="dxa"/>
        <w:jc w:val="center"/>
        <w:tblLayout w:type="fixed"/>
        <w:tblLook w:val="04A0" w:firstRow="1" w:lastRow="0" w:firstColumn="1" w:lastColumn="0" w:noHBand="0" w:noVBand="1"/>
      </w:tblPr>
      <w:tblGrid>
        <w:gridCol w:w="1271"/>
        <w:gridCol w:w="9244"/>
      </w:tblGrid>
      <w:tr w:rsidR="00EA571E" w:rsidTr="00A96910">
        <w:trPr>
          <w:trHeight w:val="4028"/>
          <w:jc w:val="center"/>
        </w:trPr>
        <w:tc>
          <w:tcPr>
            <w:tcW w:w="1271" w:type="dxa"/>
          </w:tcPr>
          <w:p w:rsidR="00EA571E" w:rsidRPr="00AD615B"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A96910">
            <w:pPr>
              <w:rPr>
                <w:b/>
                <w:color w:val="000000"/>
                <w:sz w:val="20"/>
              </w:rPr>
            </w:pPr>
            <w:r w:rsidRPr="00AD615B">
              <w:rPr>
                <w:b/>
                <w:color w:val="000000"/>
                <w:sz w:val="20"/>
              </w:rPr>
              <w:t xml:space="preserve">The Authority requires the Contractor to deliver the services as per the proposal dated </w:t>
            </w:r>
            <w:r w:rsidR="00A6658F" w:rsidRPr="00A6658F">
              <w:rPr>
                <w:b/>
                <w:sz w:val="20"/>
              </w:rPr>
              <w:t>10</w:t>
            </w:r>
            <w:r w:rsidR="00A6658F" w:rsidRPr="00A6658F">
              <w:rPr>
                <w:b/>
                <w:sz w:val="20"/>
                <w:vertAlign w:val="superscript"/>
              </w:rPr>
              <w:t>th</w:t>
            </w:r>
            <w:r w:rsidR="00A6658F" w:rsidRPr="00A6658F">
              <w:rPr>
                <w:b/>
                <w:sz w:val="20"/>
              </w:rPr>
              <w:t xml:space="preserve"> March 2016</w:t>
            </w:r>
          </w:p>
          <w:p w:rsidR="00EA571E" w:rsidRPr="00AD615B"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A96910">
            <w:pPr>
              <w:overflowPunct/>
              <w:autoSpaceDE/>
              <w:autoSpaceDN/>
              <w:adjustRightInd/>
              <w:spacing w:after="0" w:line="240" w:lineRule="auto"/>
              <w:jc w:val="left"/>
              <w:textAlignment w:val="auto"/>
              <w:rPr>
                <w:rFonts w:eastAsia="STZhongsong" w:cs="Arial"/>
                <w:sz w:val="20"/>
                <w:lang w:eastAsia="zh-CN"/>
              </w:rPr>
            </w:pPr>
          </w:p>
        </w:tc>
        <w:tc>
          <w:tcPr>
            <w:tcW w:w="9244" w:type="dxa"/>
          </w:tcPr>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551CE5" w:rsidRDefault="00CC0FAE" w:rsidP="00CC0FAE">
            <w:pPr>
              <w:overflowPunct/>
              <w:autoSpaceDE/>
              <w:autoSpaceDN/>
              <w:adjustRightInd/>
              <w:spacing w:after="0" w:line="240" w:lineRule="auto"/>
              <w:jc w:val="left"/>
              <w:textAlignment w:val="auto"/>
              <w:rPr>
                <w:rFonts w:eastAsia="STZhongsong" w:cs="Arial"/>
                <w:b/>
                <w:color w:val="FF0000"/>
                <w:sz w:val="20"/>
                <w:lang w:eastAsia="zh-CN"/>
              </w:rPr>
            </w:pPr>
            <w:r>
              <w:rPr>
                <w:rFonts w:cs="Arial"/>
              </w:rPr>
              <w:t>REDACTED TEXT</w:t>
            </w:r>
            <w:r>
              <w:rPr>
                <w:rFonts w:cs="Arial"/>
              </w:rPr>
              <w:t xml:space="preserve"> </w:t>
            </w:r>
          </w:p>
        </w:tc>
      </w:tr>
      <w:tr w:rsidR="00EA571E" w:rsidTr="00A96910">
        <w:trPr>
          <w:trHeight w:val="5421"/>
          <w:jc w:val="center"/>
        </w:trPr>
        <w:tc>
          <w:tcPr>
            <w:tcW w:w="1271" w:type="dxa"/>
          </w:tcPr>
          <w:p w:rsidR="00EA571E"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Default="00EA571E" w:rsidP="00A96910">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rsidR="00EA571E"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A96910">
            <w:pPr>
              <w:overflowPunct/>
              <w:autoSpaceDE/>
              <w:autoSpaceDN/>
              <w:adjustRightInd/>
              <w:spacing w:after="0" w:line="240" w:lineRule="auto"/>
              <w:jc w:val="left"/>
              <w:textAlignment w:val="auto"/>
              <w:rPr>
                <w:rFonts w:eastAsia="STZhongsong" w:cs="Arial"/>
                <w:sz w:val="20"/>
                <w:lang w:eastAsia="zh-CN"/>
              </w:rPr>
            </w:pPr>
          </w:p>
        </w:tc>
        <w:tc>
          <w:tcPr>
            <w:tcW w:w="9244" w:type="dxa"/>
          </w:tcPr>
          <w:p w:rsidR="00EA571E"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Default="00EA571E" w:rsidP="00A96910">
            <w:pPr>
              <w:overflowPunct/>
              <w:autoSpaceDE/>
              <w:autoSpaceDN/>
              <w:adjustRightInd/>
              <w:spacing w:after="0" w:line="240" w:lineRule="auto"/>
              <w:jc w:val="left"/>
              <w:textAlignment w:val="auto"/>
              <w:rPr>
                <w:rFonts w:eastAsia="STZhongsong" w:cs="Arial"/>
                <w:b/>
                <w:color w:val="FF0000"/>
                <w:sz w:val="20"/>
                <w:lang w:eastAsia="zh-CN"/>
              </w:rPr>
            </w:pPr>
          </w:p>
          <w:p w:rsidR="00A6658F" w:rsidRDefault="00A6658F" w:rsidP="00A96910">
            <w:pPr>
              <w:overflowPunct/>
              <w:autoSpaceDE/>
              <w:autoSpaceDN/>
              <w:adjustRightInd/>
              <w:spacing w:after="0" w:line="240" w:lineRule="auto"/>
              <w:jc w:val="left"/>
              <w:textAlignment w:val="auto"/>
              <w:rPr>
                <w:rFonts w:eastAsia="STZhongsong" w:cs="Arial"/>
                <w:b/>
                <w:sz w:val="20"/>
                <w:lang w:eastAsia="zh-CN"/>
              </w:rPr>
            </w:pPr>
            <w:r w:rsidRPr="00767113">
              <w:rPr>
                <w:rFonts w:eastAsia="STZhongsong" w:cs="Arial"/>
                <w:b/>
                <w:sz w:val="20"/>
                <w:lang w:eastAsia="zh-CN"/>
              </w:rPr>
              <w:t xml:space="preserve">For the </w:t>
            </w:r>
            <w:r>
              <w:rPr>
                <w:rFonts w:eastAsia="STZhongsong" w:cs="Arial"/>
                <w:b/>
                <w:sz w:val="20"/>
                <w:lang w:eastAsia="zh-CN"/>
              </w:rPr>
              <w:t>avoidance</w:t>
            </w:r>
            <w:r w:rsidRPr="00767113">
              <w:rPr>
                <w:rFonts w:eastAsia="STZhongsong" w:cs="Arial"/>
                <w:b/>
                <w:sz w:val="20"/>
                <w:lang w:eastAsia="zh-CN"/>
              </w:rPr>
              <w:t xml:space="preserve"> of </w:t>
            </w:r>
            <w:r>
              <w:rPr>
                <w:rFonts w:eastAsia="STZhongsong" w:cs="Arial"/>
                <w:b/>
                <w:sz w:val="20"/>
                <w:lang w:eastAsia="zh-CN"/>
              </w:rPr>
              <w:t>doubt the contract will not exceed £1,900,000.00 (excluding VAT).</w:t>
            </w:r>
          </w:p>
          <w:p w:rsidR="00A6658F" w:rsidRDefault="00A6658F" w:rsidP="00A96910">
            <w:pPr>
              <w:overflowPunct/>
              <w:autoSpaceDE/>
              <w:autoSpaceDN/>
              <w:adjustRightInd/>
              <w:spacing w:after="0" w:line="240" w:lineRule="auto"/>
              <w:jc w:val="left"/>
              <w:textAlignment w:val="auto"/>
              <w:rPr>
                <w:rFonts w:eastAsia="STZhongsong" w:cs="Arial"/>
                <w:b/>
                <w:sz w:val="20"/>
                <w:lang w:eastAsia="zh-CN"/>
              </w:rPr>
            </w:pPr>
          </w:p>
          <w:p w:rsidR="00A6658F" w:rsidRDefault="00A6658F" w:rsidP="00A96910">
            <w:pPr>
              <w:overflowPunct/>
              <w:autoSpaceDE/>
              <w:autoSpaceDN/>
              <w:adjustRightInd/>
              <w:spacing w:after="0" w:line="240" w:lineRule="auto"/>
              <w:jc w:val="left"/>
              <w:textAlignment w:val="auto"/>
              <w:rPr>
                <w:rFonts w:eastAsia="STZhongsong" w:cs="Arial"/>
                <w:b/>
                <w:sz w:val="20"/>
                <w:lang w:eastAsia="zh-CN"/>
              </w:rPr>
            </w:pPr>
            <w:r w:rsidRPr="00767113">
              <w:rPr>
                <w:rFonts w:eastAsia="STZhongsong" w:cs="Arial"/>
                <w:b/>
                <w:sz w:val="20"/>
                <w:lang w:eastAsia="zh-CN"/>
              </w:rPr>
              <w:t>See attached Pricing Document</w:t>
            </w:r>
            <w:r>
              <w:rPr>
                <w:rFonts w:eastAsia="STZhongsong" w:cs="Arial"/>
                <w:b/>
                <w:sz w:val="20"/>
                <w:lang w:eastAsia="zh-CN"/>
              </w:rPr>
              <w:t xml:space="preserve"> below</w:t>
            </w:r>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B263E4" w:rsidRDefault="00CC0FAE" w:rsidP="00A96910">
            <w:pPr>
              <w:overflowPunct/>
              <w:autoSpaceDE/>
              <w:autoSpaceDN/>
              <w:adjustRightInd/>
              <w:spacing w:after="0" w:line="240" w:lineRule="auto"/>
              <w:jc w:val="left"/>
              <w:textAlignment w:val="auto"/>
              <w:rPr>
                <w:rFonts w:eastAsia="STZhongsong" w:cs="Arial"/>
                <w:b/>
                <w:sz w:val="20"/>
                <w:lang w:eastAsia="zh-CN"/>
              </w:rPr>
            </w:pPr>
            <w:r>
              <w:rPr>
                <w:rFonts w:cs="Arial"/>
              </w:rPr>
              <w:t>REDACTED TEXT</w:t>
            </w:r>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B263E4" w:rsidRDefault="00CC0FAE" w:rsidP="00A96910">
            <w:pPr>
              <w:overflowPunct/>
              <w:autoSpaceDE/>
              <w:autoSpaceDN/>
              <w:adjustRightInd/>
              <w:spacing w:after="0" w:line="240" w:lineRule="auto"/>
              <w:jc w:val="left"/>
              <w:textAlignment w:val="auto"/>
              <w:rPr>
                <w:rFonts w:eastAsia="STZhongsong" w:cs="Arial"/>
                <w:b/>
                <w:sz w:val="20"/>
                <w:lang w:eastAsia="zh-CN"/>
              </w:rPr>
            </w:pPr>
            <w:r>
              <w:rPr>
                <w:rFonts w:cs="Arial"/>
              </w:rPr>
              <w:t>REDACTED TEXT</w:t>
            </w:r>
          </w:p>
          <w:p w:rsidR="00B263E4" w:rsidRDefault="00CC0FAE" w:rsidP="00A96910">
            <w:pPr>
              <w:overflowPunct/>
              <w:autoSpaceDE/>
              <w:autoSpaceDN/>
              <w:adjustRightInd/>
              <w:spacing w:after="0" w:line="240" w:lineRule="auto"/>
              <w:jc w:val="left"/>
              <w:textAlignment w:val="auto"/>
              <w:rPr>
                <w:rFonts w:eastAsia="STZhongsong" w:cs="Arial"/>
                <w:b/>
                <w:sz w:val="20"/>
                <w:lang w:eastAsia="zh-CN"/>
              </w:rPr>
            </w:pPr>
            <w:r>
              <w:rPr>
                <w:rFonts w:cs="Arial"/>
              </w:rPr>
              <w:t>REDACTED TEXT</w:t>
            </w:r>
            <w:bookmarkStart w:id="1" w:name="_GoBack"/>
            <w:bookmarkEnd w:id="1"/>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B263E4" w:rsidRDefault="00B263E4" w:rsidP="00A96910">
            <w:pPr>
              <w:overflowPunct/>
              <w:autoSpaceDE/>
              <w:autoSpaceDN/>
              <w:adjustRightInd/>
              <w:spacing w:after="0" w:line="240" w:lineRule="auto"/>
              <w:jc w:val="left"/>
              <w:textAlignment w:val="auto"/>
              <w:rPr>
                <w:rFonts w:eastAsia="STZhongsong" w:cs="Arial"/>
                <w:b/>
                <w:sz w:val="20"/>
                <w:lang w:eastAsia="zh-CN"/>
              </w:rPr>
            </w:pPr>
          </w:p>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tc>
      </w:tr>
      <w:tr w:rsidR="00EA571E" w:rsidTr="00A96910">
        <w:trPr>
          <w:trHeight w:val="2381"/>
          <w:jc w:val="center"/>
        </w:trPr>
        <w:tc>
          <w:tcPr>
            <w:tcW w:w="1271" w:type="dxa"/>
          </w:tcPr>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A96910">
            <w:pPr>
              <w:overflowPunct/>
              <w:autoSpaceDE/>
              <w:autoSpaceDN/>
              <w:adjustRightInd/>
              <w:spacing w:after="0" w:line="240" w:lineRule="auto"/>
              <w:jc w:val="left"/>
              <w:textAlignment w:val="auto"/>
              <w:rPr>
                <w:rFonts w:eastAsia="STZhongsong" w:cs="Arial"/>
                <w:sz w:val="20"/>
                <w:lang w:eastAsia="zh-CN"/>
              </w:rPr>
            </w:pPr>
          </w:p>
        </w:tc>
        <w:tc>
          <w:tcPr>
            <w:tcW w:w="9244" w:type="dxa"/>
          </w:tcPr>
          <w:p w:rsidR="00EA571E" w:rsidRPr="007661E9" w:rsidRDefault="00EA571E" w:rsidP="00A96910">
            <w:pPr>
              <w:overflowPunct/>
              <w:autoSpaceDE/>
              <w:autoSpaceDN/>
              <w:adjustRightInd/>
              <w:spacing w:after="0" w:line="240" w:lineRule="auto"/>
              <w:jc w:val="left"/>
              <w:textAlignment w:val="auto"/>
              <w:rPr>
                <w:b/>
                <w:sz w:val="20"/>
              </w:rPr>
            </w:pPr>
          </w:p>
          <w:p w:rsidR="00EA571E" w:rsidRDefault="00EA571E" w:rsidP="00A96910">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The invitation to Tender Documentation</w:t>
            </w:r>
          </w:p>
          <w:p w:rsidR="007813B7" w:rsidRDefault="007813B7" w:rsidP="00A96910">
            <w:pPr>
              <w:overflowPunct/>
              <w:autoSpaceDE/>
              <w:autoSpaceDN/>
              <w:adjustRightInd/>
              <w:spacing w:after="0" w:line="240" w:lineRule="auto"/>
              <w:jc w:val="left"/>
              <w:textAlignment w:val="auto"/>
              <w:rPr>
                <w:b/>
                <w:sz w:val="20"/>
              </w:rPr>
            </w:pPr>
          </w:p>
          <w:p w:rsidR="00864F3D" w:rsidRDefault="00864F3D" w:rsidP="00A96910">
            <w:pPr>
              <w:overflowPunct/>
              <w:autoSpaceDE/>
              <w:autoSpaceDN/>
              <w:adjustRightInd/>
              <w:spacing w:after="0" w:line="240" w:lineRule="auto"/>
              <w:jc w:val="left"/>
              <w:textAlignment w:val="auto"/>
              <w:rPr>
                <w:b/>
                <w:sz w:val="20"/>
              </w:rPr>
            </w:pPr>
            <w:r>
              <w:rPr>
                <w:b/>
                <w:sz w:val="20"/>
              </w:rPr>
              <w:t xml:space="preserve">DEFCONS and DEFFORMS </w:t>
            </w:r>
          </w:p>
          <w:p w:rsidR="00864F3D" w:rsidRDefault="00864F3D" w:rsidP="00A96910">
            <w:pPr>
              <w:overflowPunct/>
              <w:autoSpaceDE/>
              <w:autoSpaceDN/>
              <w:adjustRightInd/>
              <w:spacing w:after="0" w:line="240" w:lineRule="auto"/>
              <w:jc w:val="left"/>
              <w:textAlignment w:val="auto"/>
              <w:rPr>
                <w:b/>
                <w:sz w:val="20"/>
              </w:rPr>
            </w:pPr>
          </w:p>
          <w:bookmarkStart w:id="2" w:name="_MON_1520246868"/>
          <w:bookmarkEnd w:id="2"/>
          <w:p w:rsidR="007813B7" w:rsidRPr="007813B7" w:rsidRDefault="00A6658F" w:rsidP="00A96910">
            <w:pPr>
              <w:widowControl w:val="0"/>
              <w:spacing w:line="240" w:lineRule="auto"/>
              <w:rPr>
                <w:rFonts w:cs="Arial"/>
                <w:b/>
                <w:sz w:val="20"/>
              </w:rPr>
            </w:pPr>
            <w:r>
              <w:rPr>
                <w:rFonts w:cs="Arial"/>
                <w:b/>
                <w:sz w:val="20"/>
              </w:rPr>
              <w:object w:dxaOrig="1544" w:dyaOrig="998">
                <v:shape id="_x0000_i1026" type="#_x0000_t75" style="width:77.25pt;height:50.25pt" o:ole="">
                  <v:imagedata r:id="rId15" o:title=""/>
                </v:shape>
                <o:OLEObject Type="Embed" ProgID="Word.Document.12" ShapeID="_x0000_i1026" DrawAspect="Icon" ObjectID="_1520863557" r:id="rId16">
                  <o:FieldCodes>\s</o:FieldCodes>
                </o:OLEObject>
              </w:object>
            </w:r>
          </w:p>
        </w:tc>
      </w:tr>
    </w:tbl>
    <w:p w:rsidR="007E7F9E" w:rsidRPr="004363FF" w:rsidRDefault="007E7F9E" w:rsidP="007E7F9E">
      <w:pPr>
        <w:jc w:val="center"/>
        <w:rPr>
          <w:b/>
          <w:i/>
          <w:sz w:val="28"/>
          <w:szCs w:val="28"/>
        </w:rPr>
      </w:pPr>
    </w:p>
    <w:p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3" w:name="LASTCURSORPOSITION"/>
      <w:bookmarkEnd w:id="3"/>
    </w:p>
    <w:p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rsidR="00E777F6" w:rsidRPr="00E777F6" w:rsidRDefault="00E777F6" w:rsidP="00E777F6">
      <w:pPr>
        <w:jc w:val="center"/>
        <w:rPr>
          <w:b/>
        </w:rPr>
      </w:pPr>
      <w:r w:rsidRPr="00E777F6">
        <w:rPr>
          <w:b/>
        </w:rPr>
        <w:t>MOD SPECIFIC TERMS AND CONDITIONS</w:t>
      </w:r>
    </w:p>
    <w:p w:rsidR="008F024C" w:rsidRDefault="00E777F6" w:rsidP="00E777F6">
      <w:pPr>
        <w:jc w:val="left"/>
        <w:rPr>
          <w:b/>
        </w:rPr>
      </w:pPr>
      <w:r w:rsidRPr="00E777F6">
        <w:rPr>
          <w:b/>
        </w:rPr>
        <w:t>DEFCONS and DEFFORMS</w:t>
      </w:r>
    </w:p>
    <w:tbl>
      <w:tblPr>
        <w:tblpPr w:leftFromText="180" w:rightFromText="180" w:vertAnchor="text" w:horzAnchor="margin" w:tblpY="235"/>
        <w:tblW w:w="92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35"/>
        <w:gridCol w:w="1984"/>
        <w:gridCol w:w="5023"/>
      </w:tblGrid>
      <w:tr w:rsidR="00027469" w:rsidTr="00584FB3">
        <w:trPr>
          <w:trHeight w:val="331"/>
        </w:trPr>
        <w:tc>
          <w:tcPr>
            <w:tcW w:w="22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027469" w:rsidRPr="0066206B" w:rsidRDefault="00027469" w:rsidP="00584FB3">
            <w:pPr>
              <w:overflowPunct/>
              <w:autoSpaceDE/>
              <w:adjustRightInd/>
              <w:spacing w:before="120" w:after="120" w:line="240" w:lineRule="auto"/>
              <w:ind w:left="180"/>
              <w:jc w:val="left"/>
              <w:rPr>
                <w:rFonts w:cs="Arial"/>
                <w:b/>
                <w:szCs w:val="22"/>
                <w:lang w:eastAsia="en-GB"/>
              </w:rPr>
            </w:pPr>
            <w:r w:rsidRPr="0066206B">
              <w:rPr>
                <w:rFonts w:cs="Arial"/>
                <w:b/>
                <w:szCs w:val="22"/>
                <w:lang w:eastAsia="en-GB"/>
              </w:rPr>
              <w:t>DEFCON</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027469" w:rsidRPr="0066206B" w:rsidRDefault="00027469" w:rsidP="00584FB3">
            <w:pPr>
              <w:overflowPunct/>
              <w:autoSpaceDE/>
              <w:adjustRightInd/>
              <w:spacing w:before="120" w:after="120" w:line="240" w:lineRule="auto"/>
              <w:ind w:left="180"/>
              <w:jc w:val="left"/>
              <w:rPr>
                <w:rFonts w:cs="Arial"/>
                <w:b/>
                <w:szCs w:val="22"/>
                <w:lang w:eastAsia="en-GB"/>
              </w:rPr>
            </w:pPr>
            <w:r>
              <w:rPr>
                <w:rFonts w:cs="Arial"/>
                <w:b/>
                <w:szCs w:val="22"/>
                <w:lang w:eastAsia="en-GB"/>
              </w:rPr>
              <w:t>EDITION</w:t>
            </w:r>
          </w:p>
        </w:tc>
        <w:tc>
          <w:tcPr>
            <w:tcW w:w="50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027469" w:rsidRPr="0066206B" w:rsidRDefault="00027469" w:rsidP="00584FB3">
            <w:pPr>
              <w:overflowPunct/>
              <w:autoSpaceDE/>
              <w:adjustRightInd/>
              <w:spacing w:before="120" w:after="120" w:line="240" w:lineRule="auto"/>
              <w:ind w:left="180"/>
              <w:jc w:val="left"/>
              <w:rPr>
                <w:rFonts w:cs="Arial"/>
                <w:b/>
                <w:szCs w:val="22"/>
                <w:lang w:eastAsia="en-GB"/>
              </w:rPr>
            </w:pPr>
            <w:r w:rsidRPr="0066206B">
              <w:rPr>
                <w:rFonts w:cs="Arial"/>
                <w:b/>
                <w:szCs w:val="22"/>
                <w:lang w:eastAsia="en-GB"/>
              </w:rPr>
              <w:t>DESCRIPTION</w:t>
            </w:r>
          </w:p>
        </w:tc>
      </w:tr>
      <w:tr w:rsidR="00027469" w:rsidTr="00584FB3">
        <w:trPr>
          <w:trHeight w:val="331"/>
        </w:trPr>
        <w:tc>
          <w:tcPr>
            <w:tcW w:w="2235" w:type="dxa"/>
            <w:tcBorders>
              <w:top w:val="single" w:sz="8"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5J</w:t>
            </w:r>
          </w:p>
        </w:tc>
        <w:tc>
          <w:tcPr>
            <w:tcW w:w="1984" w:type="dxa"/>
            <w:tcBorders>
              <w:top w:val="single" w:sz="8"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03/15]</w:t>
            </w:r>
          </w:p>
        </w:tc>
        <w:tc>
          <w:tcPr>
            <w:tcW w:w="5023" w:type="dxa"/>
            <w:tcBorders>
              <w:top w:val="single" w:sz="8"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Unique Identifiers</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35</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10/04]</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Progress Payments</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76</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12/06]</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Contractors Personnel at Government Establishments</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DEFCON129J</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07/08]</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The Use of The Electronic Business Delivery Form</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501</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03/15]</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Definitions and Interpretations</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502</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06/14]</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Specifications</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503</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12/14]</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Amendments to contract</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522JA</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04/09]</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Payment under P2P (Two way match)</w:t>
            </w:r>
          </w:p>
        </w:tc>
      </w:tr>
      <w:tr w:rsidR="00027469" w:rsidTr="00584FB3">
        <w:trPr>
          <w:trHeight w:val="1238"/>
        </w:trPr>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531</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11/14]</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Disclosure of Information – where specific mention of non disclosure agreements is sought by the Customer.  Where this is the case the associated Commercial Policy Statement (Protection of Information) should be consulted and the matter discussed with the ICF in the first instance.</w:t>
            </w:r>
          </w:p>
        </w:tc>
      </w:tr>
      <w:tr w:rsidR="00027469" w:rsidTr="00584FB3">
        <w:trPr>
          <w:trHeight w:val="1238"/>
        </w:trPr>
        <w:tc>
          <w:tcPr>
            <w:tcW w:w="2235"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602A</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027469">
            <w:pPr>
              <w:overflowPunct/>
              <w:autoSpaceDE/>
              <w:adjustRightInd/>
              <w:spacing w:before="120" w:after="120" w:line="240" w:lineRule="auto"/>
              <w:ind w:left="180"/>
              <w:rPr>
                <w:rFonts w:cs="Arial"/>
                <w:szCs w:val="22"/>
                <w:lang w:eastAsia="en-GB"/>
              </w:rPr>
            </w:pPr>
            <w:r>
              <w:rPr>
                <w:rFonts w:cs="Arial"/>
                <w:szCs w:val="22"/>
                <w:lang w:eastAsia="en-GB"/>
              </w:rPr>
              <w:t>[Edn. 12/06]</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Deliverable Quality Plan</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647</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09/13]</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Financial Management Information</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660</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12/16]</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Security Aspects Letter</w:t>
            </w:r>
            <w:r w:rsidRPr="005F13E1">
              <w:rPr>
                <w:rFonts w:cs="Arial"/>
                <w:szCs w:val="22"/>
                <w:vertAlign w:val="superscript"/>
                <w:lang w:eastAsia="en-GB"/>
              </w:rPr>
              <w:t>1</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DEFCON 703</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08/13]</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Intellectual Property Rights - Vesting in the Authority</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DEFFORM 30</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04/15]</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The Electronic Transactions Agreement</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lastRenderedPageBreak/>
              <w:t>DEFFORM 94</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11/06]</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Confidentiality Agreement</w:t>
            </w:r>
          </w:p>
        </w:tc>
      </w:tr>
      <w:tr w:rsidR="00027469" w:rsidTr="00584FB3">
        <w:tc>
          <w:tcPr>
            <w:tcW w:w="2235" w:type="dxa"/>
            <w:tcBorders>
              <w:top w:val="single" w:sz="6" w:space="0" w:color="auto"/>
              <w:left w:val="single" w:sz="8" w:space="0" w:color="auto"/>
              <w:bottom w:val="single" w:sz="6"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DEFFORM 111</w:t>
            </w:r>
          </w:p>
        </w:tc>
        <w:tc>
          <w:tcPr>
            <w:tcW w:w="1984" w:type="dxa"/>
            <w:tcBorders>
              <w:top w:val="single" w:sz="6" w:space="0" w:color="auto"/>
              <w:left w:val="single" w:sz="8" w:space="0" w:color="auto"/>
              <w:bottom w:val="single" w:sz="6"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08/15]</w:t>
            </w:r>
          </w:p>
        </w:tc>
        <w:tc>
          <w:tcPr>
            <w:tcW w:w="5023" w:type="dxa"/>
            <w:tcBorders>
              <w:top w:val="single" w:sz="6" w:space="0" w:color="auto"/>
              <w:left w:val="single" w:sz="8" w:space="0" w:color="auto"/>
              <w:bottom w:val="single" w:sz="6"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Annex – Addresses and Other Information</w:t>
            </w:r>
          </w:p>
        </w:tc>
      </w:tr>
      <w:tr w:rsidR="00027469" w:rsidTr="00584FB3">
        <w:tc>
          <w:tcPr>
            <w:tcW w:w="2235" w:type="dxa"/>
            <w:tcBorders>
              <w:top w:val="single" w:sz="6" w:space="0" w:color="auto"/>
              <w:left w:val="single" w:sz="8" w:space="0" w:color="auto"/>
              <w:bottom w:val="single" w:sz="8" w:space="0" w:color="auto"/>
              <w:right w:val="single" w:sz="8" w:space="0" w:color="auto"/>
            </w:tcBorders>
            <w:vAlign w:val="center"/>
            <w:hideMark/>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AQAP 2120</w:t>
            </w:r>
          </w:p>
        </w:tc>
        <w:tc>
          <w:tcPr>
            <w:tcW w:w="1984" w:type="dxa"/>
            <w:tcBorders>
              <w:top w:val="single" w:sz="6" w:space="0" w:color="auto"/>
              <w:left w:val="single" w:sz="8" w:space="0" w:color="auto"/>
              <w:bottom w:val="single" w:sz="8" w:space="0" w:color="auto"/>
              <w:right w:val="single" w:sz="8" w:space="0" w:color="auto"/>
            </w:tcBorders>
          </w:tcPr>
          <w:p w:rsidR="00027469" w:rsidRDefault="00027469" w:rsidP="00584FB3">
            <w:pPr>
              <w:overflowPunct/>
              <w:autoSpaceDE/>
              <w:adjustRightInd/>
              <w:spacing w:before="120" w:after="120" w:line="240" w:lineRule="auto"/>
              <w:ind w:left="180"/>
              <w:jc w:val="left"/>
              <w:rPr>
                <w:rFonts w:cs="Arial"/>
                <w:szCs w:val="22"/>
                <w:lang w:eastAsia="en-GB"/>
              </w:rPr>
            </w:pPr>
            <w:r>
              <w:rPr>
                <w:rFonts w:cs="Arial"/>
                <w:szCs w:val="22"/>
                <w:lang w:eastAsia="en-GB"/>
              </w:rPr>
              <w:t>[Edn. 3]</w:t>
            </w:r>
          </w:p>
        </w:tc>
        <w:tc>
          <w:tcPr>
            <w:tcW w:w="5023" w:type="dxa"/>
            <w:tcBorders>
              <w:top w:val="single" w:sz="6" w:space="0" w:color="auto"/>
              <w:left w:val="single" w:sz="8" w:space="0" w:color="auto"/>
              <w:bottom w:val="single" w:sz="8" w:space="0" w:color="auto"/>
              <w:right w:val="single" w:sz="8" w:space="0" w:color="auto"/>
            </w:tcBorders>
            <w:vAlign w:val="center"/>
          </w:tcPr>
          <w:p w:rsidR="00027469" w:rsidRDefault="00027469" w:rsidP="00584FB3">
            <w:pPr>
              <w:overflowPunct/>
              <w:autoSpaceDE/>
              <w:adjustRightInd/>
              <w:spacing w:before="120" w:after="120" w:line="240" w:lineRule="auto"/>
              <w:jc w:val="left"/>
              <w:rPr>
                <w:rFonts w:cs="Arial"/>
                <w:szCs w:val="22"/>
                <w:lang w:eastAsia="en-GB"/>
              </w:rPr>
            </w:pPr>
            <w:r>
              <w:rPr>
                <w:rFonts w:cs="Arial"/>
                <w:szCs w:val="22"/>
                <w:lang w:eastAsia="en-GB"/>
              </w:rPr>
              <w:t>NATO Quality Assurance requirements for Production</w:t>
            </w:r>
          </w:p>
        </w:tc>
      </w:tr>
    </w:tbl>
    <w:p w:rsidR="00027469" w:rsidRDefault="00027469" w:rsidP="00E777F6">
      <w:pPr>
        <w:jc w:val="left"/>
        <w:rPr>
          <w:b/>
        </w:rPr>
      </w:pPr>
    </w:p>
    <w:p w:rsidR="00027469" w:rsidRDefault="00027469" w:rsidP="00E777F6">
      <w:pPr>
        <w:jc w:val="left"/>
        <w:rPr>
          <w:b/>
        </w:rPr>
      </w:pPr>
      <w:r w:rsidRPr="00027469">
        <w:rPr>
          <w:rFonts w:ascii="MS Shell Dlg 2" w:hAnsi="MS Shell Dlg 2"/>
          <w:color w:val="000000"/>
          <w:sz w:val="18"/>
          <w:szCs w:val="18"/>
          <w:vertAlign w:val="superscript"/>
          <w:lang w:eastAsia="en-GB"/>
        </w:rPr>
        <w:t>1</w:t>
      </w:r>
      <w:r>
        <w:rPr>
          <w:rFonts w:ascii="MS Shell Dlg 2" w:hAnsi="MS Shell Dlg 2"/>
          <w:color w:val="000000"/>
          <w:sz w:val="18"/>
          <w:szCs w:val="18"/>
          <w:lang w:eastAsia="en-GB"/>
        </w:rPr>
        <w:t xml:space="preserve"> </w:t>
      </w:r>
      <w:r w:rsidRPr="005F13E1">
        <w:rPr>
          <w:rFonts w:ascii="MS Shell Dlg 2" w:hAnsi="MS Shell Dlg 2"/>
          <w:color w:val="000000"/>
          <w:sz w:val="18"/>
          <w:szCs w:val="18"/>
          <w:lang w:eastAsia="en-GB"/>
        </w:rPr>
        <w:t>For the purposes of DEFCON 660 the requirement for a Security Aspects Letter (SAL) is waived.</w:t>
      </w:r>
    </w:p>
    <w:p w:rsidR="00E43FF4" w:rsidRPr="00E777F6" w:rsidRDefault="00E43FF4" w:rsidP="00E777F6">
      <w:pPr>
        <w:jc w:val="left"/>
        <w:rPr>
          <w:b/>
        </w:rPr>
      </w:pPr>
    </w:p>
    <w:p w:rsidR="00B832EC" w:rsidRDefault="00B832EC" w:rsidP="00B832EC">
      <w:pPr>
        <w:pStyle w:val="BodyTextIndent"/>
        <w:numPr>
          <w:ilvl w:val="0"/>
          <w:numId w:val="0"/>
        </w:numPr>
        <w:ind w:left="720"/>
        <w:jc w:val="center"/>
        <w:rPr>
          <w:sz w:val="20"/>
          <w:shd w:val="clear" w:color="auto" w:fill="92D050"/>
        </w:rPr>
      </w:pPr>
    </w:p>
    <w:p w:rsidR="00D63EEF" w:rsidRDefault="00766A12" w:rsidP="00D63EEF">
      <w:pPr>
        <w:pStyle w:val="MarginText"/>
        <w:jc w:val="center"/>
        <w:rPr>
          <w:rFonts w:cs="Arial"/>
          <w:b/>
          <w:sz w:val="28"/>
          <w:szCs w:val="28"/>
        </w:rPr>
      </w:pPr>
      <w:r w:rsidRPr="00766A12">
        <w:br w:type="page"/>
      </w:r>
    </w:p>
    <w:p w:rsidR="00D63EEF" w:rsidRDefault="00D63EEF" w:rsidP="00D63EEF">
      <w:pPr>
        <w:pStyle w:val="MarginText"/>
        <w:jc w:val="center"/>
        <w:rPr>
          <w:rFonts w:cs="Arial"/>
          <w:b/>
          <w:szCs w:val="22"/>
        </w:rPr>
      </w:pPr>
      <w:r w:rsidRPr="00AE5A0F">
        <w:rPr>
          <w:rFonts w:cs="Arial"/>
          <w:b/>
          <w:sz w:val="28"/>
          <w:szCs w:val="28"/>
        </w:rPr>
        <w:lastRenderedPageBreak/>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lastRenderedPageBreak/>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A96910">
          <w:rPr>
            <w:rFonts w:cs="Arial"/>
            <w:noProof/>
          </w:rPr>
          <w:t>14</w:t>
        </w:r>
        <w:r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A96910">
          <w:rPr>
            <w:rFonts w:cs="Arial"/>
            <w:noProof/>
          </w:rPr>
          <w:t>19</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A96910">
          <w:rPr>
            <w:rFonts w:cs="Arial"/>
            <w:noProof/>
          </w:rPr>
          <w:t>21</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A96910">
          <w:rPr>
            <w:rFonts w:cs="Arial"/>
            <w:noProof/>
          </w:rPr>
          <w:t>22</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A96910">
          <w:rPr>
            <w:rFonts w:cs="Arial"/>
            <w:noProof/>
          </w:rPr>
          <w:t>24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A96910">
          <w:rPr>
            <w:rFonts w:cs="Arial"/>
            <w:noProof/>
          </w:rPr>
          <w:t>25</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A96910">
          <w:rPr>
            <w:rFonts w:cs="Arial"/>
            <w:noProof/>
          </w:rPr>
          <w:t>27</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A96910">
          <w:rPr>
            <w:rFonts w:cs="Arial"/>
            <w:noProof/>
          </w:rPr>
          <w:t>28</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A96910">
          <w:rPr>
            <w:rFonts w:cs="Arial"/>
            <w:noProof/>
          </w:rPr>
          <w:t>34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A96910">
          <w:rPr>
            <w:rFonts w:cs="Arial"/>
            <w:noProof/>
          </w:rPr>
          <w:t>36</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A96910">
          <w:rPr>
            <w:rFonts w:cs="Arial"/>
            <w:noProof/>
          </w:rPr>
          <w:t>39</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A96910">
          <w:rPr>
            <w:rFonts w:cs="Arial"/>
            <w:noProof/>
          </w:rPr>
          <w:t>41</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A96910">
          <w:rPr>
            <w:rFonts w:cs="Arial"/>
            <w:noProof/>
          </w:rPr>
          <w:t>41</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A96910">
          <w:rPr>
            <w:rFonts w:cs="Arial"/>
            <w:noProof/>
          </w:rPr>
          <w:t>42</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A96910">
          <w:rPr>
            <w:rFonts w:cs="Arial"/>
            <w:noProof/>
          </w:rPr>
          <w:t>42</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A96910">
          <w:rPr>
            <w:rFonts w:cs="Arial"/>
            <w:noProof/>
          </w:rPr>
          <w:t>43</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A96910">
          <w:rPr>
            <w:rFonts w:cs="Arial"/>
            <w:noProof/>
          </w:rPr>
          <w:t>44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A96910">
          <w:rPr>
            <w:rFonts w:cs="Arial"/>
            <w:noProof/>
          </w:rPr>
          <w:t>44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A96910">
          <w:rPr>
            <w:rFonts w:cs="Arial"/>
            <w:noProof/>
          </w:rPr>
          <w:t>44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A96910">
          <w:rPr>
            <w:rFonts w:cs="Arial"/>
            <w:noProof/>
          </w:rPr>
          <w:t>44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A96910">
          <w:rPr>
            <w:rFonts w:cs="Arial"/>
            <w:noProof/>
          </w:rPr>
          <w:t>44</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A96910">
          <w:rPr>
            <w:rFonts w:cs="Arial"/>
            <w:noProof/>
          </w:rPr>
          <w:t>45</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A96910">
          <w:rPr>
            <w:rFonts w:cs="Arial"/>
            <w:noProof/>
          </w:rPr>
          <w:t>45</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A96910">
          <w:rPr>
            <w:rFonts w:cs="Arial"/>
            <w:noProof/>
          </w:rPr>
          <w:t>46</w:t>
        </w:r>
        <w:r w:rsidR="008C2CC9" w:rsidRPr="00A833EE">
          <w:rPr>
            <w:rFonts w:cs="Arial"/>
            <w:noProof/>
          </w:rPr>
          <w:fldChar w:fldCharType="end"/>
        </w:r>
      </w:hyperlink>
    </w:p>
    <w:p w:rsidR="00C03B23" w:rsidRPr="00A833EE" w:rsidRDefault="001C2EC8"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A96910">
          <w:rPr>
            <w:rFonts w:cs="Arial"/>
            <w:noProof/>
          </w:rPr>
          <w:t>46</w:t>
        </w:r>
        <w:r w:rsidR="008C2CC9" w:rsidRPr="00A833EE">
          <w:rPr>
            <w:rFonts w:cs="Arial"/>
            <w:noProof/>
          </w:rPr>
          <w:fldChar w:fldCharType="end"/>
        </w:r>
      </w:hyperlink>
    </w:p>
    <w:p w:rsidR="00C03B23" w:rsidRPr="00A833EE" w:rsidRDefault="001C2EC8"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A96910">
          <w:rPr>
            <w:rFonts w:ascii="Arial" w:hAnsi="Arial" w:cs="Arial"/>
            <w:noProof/>
          </w:rPr>
          <w:t>49</w:t>
        </w:r>
        <w:r w:rsidR="008C2CC9" w:rsidRPr="00A833EE">
          <w:rPr>
            <w:rFonts w:ascii="Arial" w:hAnsi="Arial" w:cs="Arial"/>
            <w:noProof/>
          </w:rPr>
          <w:fldChar w:fldCharType="end"/>
        </w:r>
      </w:hyperlink>
    </w:p>
    <w:p w:rsidR="00C03B23" w:rsidRPr="00A833EE" w:rsidRDefault="001C2EC8"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A96910">
          <w:rPr>
            <w:rFonts w:ascii="Arial" w:hAnsi="Arial" w:cs="Arial"/>
            <w:noProof/>
          </w:rPr>
          <w:t>51</w:t>
        </w:r>
        <w:r w:rsidR="008C2CC9" w:rsidRPr="00A833EE">
          <w:rPr>
            <w:rFonts w:ascii="Arial" w:hAnsi="Arial" w:cs="Arial"/>
            <w:noProof/>
          </w:rPr>
          <w:fldChar w:fldCharType="end"/>
        </w:r>
      </w:hyperlink>
    </w:p>
    <w:p w:rsidR="00C03B23" w:rsidRPr="00A833EE" w:rsidRDefault="001C2EC8"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A96910">
          <w:rPr>
            <w:noProof/>
          </w:rPr>
          <w:t>62</w:t>
        </w:r>
        <w:r w:rsidR="008C2CC9" w:rsidRPr="00A833EE">
          <w:rPr>
            <w:noProof/>
          </w:rPr>
          <w:fldChar w:fldCharType="end"/>
        </w:r>
      </w:hyperlink>
    </w:p>
    <w:p w:rsidR="00C03B23" w:rsidRDefault="008C2CC9" w:rsidP="00C03B23">
      <w:pPr>
        <w:pStyle w:val="TOC8"/>
        <w:rPr>
          <w:rFonts w:ascii="Arial" w:hAnsi="Arial" w:cs="Arial"/>
          <w:sz w:val="20"/>
        </w:rPr>
      </w:pPr>
      <w:r w:rsidRPr="00A833EE">
        <w:rPr>
          <w:rFonts w:ascii="Arial" w:hAnsi="Arial" w:cs="Arial"/>
          <w:sz w:val="20"/>
        </w:rPr>
        <w:fldChar w:fldCharType="end"/>
      </w:r>
    </w:p>
    <w:p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rsidR="00C03B23" w:rsidRPr="00A4589E" w:rsidRDefault="00C03B23" w:rsidP="00C03B23">
      <w:pPr>
        <w:pStyle w:val="Heading1"/>
        <w:rPr>
          <w:rFonts w:cs="Arial"/>
          <w:sz w:val="20"/>
        </w:rPr>
      </w:pPr>
      <w:bookmarkStart w:id="4" w:name="TOCField"/>
      <w:bookmarkStart w:id="5" w:name="_Toc335743363"/>
      <w:bookmarkEnd w:id="4"/>
      <w:r w:rsidRPr="00A4589E">
        <w:rPr>
          <w:rFonts w:cs="Arial"/>
          <w:sz w:val="20"/>
        </w:rPr>
        <w:lastRenderedPageBreak/>
        <w:t>DEFINITIONS AND INTERPRETATION</w:t>
      </w:r>
      <w:bookmarkEnd w:id="5"/>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8A4982">
        <w:rPr>
          <w:rFonts w:cs="Arial"/>
          <w:sz w:val="20"/>
        </w:rPr>
        <w:t>3</w:t>
      </w:r>
      <w:r w:rsidR="007F2B5A">
        <w:rPr>
          <w:rFonts w:cs="Arial"/>
          <w:sz w:val="20"/>
        </w:rPr>
        <w:t>1</w:t>
      </w:r>
      <w:r w:rsidR="007F2B5A" w:rsidRPr="007F2B5A">
        <w:rPr>
          <w:rFonts w:cs="Arial"/>
          <w:sz w:val="20"/>
          <w:vertAlign w:val="superscript"/>
        </w:rPr>
        <w:t>st</w:t>
      </w:r>
      <w:r w:rsidR="007F2B5A">
        <w:rPr>
          <w:rFonts w:cs="Arial"/>
          <w:sz w:val="20"/>
        </w:rPr>
        <w:t xml:space="preserve"> </w:t>
      </w:r>
      <w:r w:rsidR="008A4982">
        <w:rPr>
          <w:rFonts w:cs="Arial"/>
          <w:sz w:val="20"/>
        </w:rPr>
        <w:t>March 2016</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C03B23" w:rsidRPr="002C6211" w:rsidRDefault="007D594E" w:rsidP="00584FB3">
      <w:pPr>
        <w:overflowPunct/>
        <w:autoSpaceDE/>
        <w:autoSpaceDN/>
        <w:adjustRightInd/>
        <w:spacing w:after="0" w:line="240" w:lineRule="auto"/>
        <w:jc w:val="left"/>
        <w:textAlignment w:val="auto"/>
        <w:rPr>
          <w:rFonts w:cs="Arial"/>
          <w:sz w:val="20"/>
        </w:rPr>
      </w:pPr>
      <w:r>
        <w:rPr>
          <w:rFonts w:cs="Arial"/>
          <w:b/>
          <w:sz w:val="20"/>
        </w:rPr>
        <w:br w:type="page"/>
      </w:r>
      <w:r w:rsidR="00C03B23" w:rsidRPr="000E6A2F" w:rsidDel="00B003D0">
        <w:rPr>
          <w:rFonts w:cs="Arial"/>
          <w:b/>
          <w:sz w:val="20"/>
        </w:rPr>
        <w:lastRenderedPageBreak/>
        <w:t xml:space="preserve"> </w:t>
      </w:r>
      <w:r w:rsidR="00C03B23" w:rsidRPr="00033C26" w:rsidDel="00B003D0">
        <w:rPr>
          <w:rFonts w:cs="Arial"/>
          <w:b/>
          <w:sz w:val="20"/>
        </w:rPr>
        <w:t xml:space="preserve"> </w:t>
      </w:r>
      <w:r w:rsidR="00C03B23" w:rsidRPr="00033C26">
        <w:rPr>
          <w:b/>
          <w:sz w:val="20"/>
        </w:rPr>
        <w:t xml:space="preserve">“Implementation Plan” </w:t>
      </w:r>
      <w:r w:rsidR="00C03B23" w:rsidRPr="00EB5478">
        <w:rPr>
          <w:rFonts w:cs="Arial"/>
          <w:sz w:val="20"/>
        </w:rPr>
        <w:t>m</w:t>
      </w:r>
      <w:r w:rsidR="00C03B23" w:rsidRPr="00033C26">
        <w:rPr>
          <w:rFonts w:cs="Arial"/>
          <w:sz w:val="20"/>
        </w:rPr>
        <w:t xml:space="preserve">eans the plan referred to </w:t>
      </w:r>
      <w:r w:rsidR="00C03B23"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7F2B5A">
        <w:rPr>
          <w:rFonts w:cs="Arial"/>
          <w:sz w:val="20"/>
        </w:rPr>
        <w:t>30</w:t>
      </w:r>
      <w:r w:rsidR="008A4982" w:rsidRPr="008A4982">
        <w:rPr>
          <w:rFonts w:cs="Arial"/>
          <w:sz w:val="20"/>
          <w:vertAlign w:val="superscript"/>
        </w:rPr>
        <w:t>th</w:t>
      </w:r>
      <w:r w:rsidR="008A4982">
        <w:rPr>
          <w:rFonts w:cs="Arial"/>
          <w:sz w:val="20"/>
        </w:rPr>
        <w:t xml:space="preserve"> March 2016</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B1426D" w:rsidRDefault="00C03B23" w:rsidP="00C03B23">
      <w:pPr>
        <w:pStyle w:val="BodyTextIndent"/>
        <w:numPr>
          <w:ilvl w:val="0"/>
          <w:numId w:val="0"/>
        </w:numPr>
        <w:overflowPunct w:val="0"/>
        <w:autoSpaceDE w:val="0"/>
        <w:autoSpaceDN w:val="0"/>
        <w:ind w:left="720"/>
        <w:textAlignment w:val="baseline"/>
        <w:rPr>
          <w:sz w:val="20"/>
        </w:rPr>
      </w:pPr>
      <w:r w:rsidRPr="00B1426D">
        <w:rPr>
          <w:b/>
          <w:sz w:val="20"/>
        </w:rPr>
        <w:t xml:space="preserve">“Relevant Conviction” </w:t>
      </w:r>
      <w:r w:rsidRPr="00B1426D">
        <w:rPr>
          <w:sz w:val="20"/>
        </w:rPr>
        <w:t xml:space="preserve">means a conviction that is relevant to the nature of the Contract Services or as specified in section 2.1 of Appendix </w:t>
      </w:r>
      <w:r w:rsidR="00B1426D">
        <w:rPr>
          <w:sz w:val="20"/>
        </w:rPr>
        <w:t>1 of the Letter of Appointment;</w:t>
      </w:r>
    </w:p>
    <w:p w:rsidR="00C03B23" w:rsidRDefault="00C03B23" w:rsidP="00C03B23">
      <w:pPr>
        <w:pStyle w:val="BodyTextIndent"/>
        <w:numPr>
          <w:ilvl w:val="0"/>
          <w:numId w:val="0"/>
        </w:numPr>
        <w:overflowPunct w:val="0"/>
        <w:autoSpaceDE w:val="0"/>
        <w:autoSpaceDN w:val="0"/>
        <w:ind w:left="720"/>
        <w:textAlignment w:val="baseline"/>
        <w:rPr>
          <w:sz w:val="20"/>
        </w:rPr>
      </w:pPr>
      <w:r w:rsidRPr="00B1426D">
        <w:rPr>
          <w:b/>
          <w:sz w:val="20"/>
        </w:rPr>
        <w:t xml:space="preserve">“Security Management Plan” </w:t>
      </w:r>
      <w:r w:rsidRPr="00B1426D">
        <w:rPr>
          <w:sz w:val="20"/>
        </w:rPr>
        <w:t>means the Supplier’s security management plan prepared pursuant to Schedule 1 to these Call-Off Terms as updated from time to time with</w:t>
      </w:r>
      <w:r w:rsidR="00B1426D">
        <w:rPr>
          <w:sz w:val="20"/>
        </w:rPr>
        <w:t xml:space="preserve"> the agreement of the Customer,</w:t>
      </w:r>
    </w:p>
    <w:p w:rsidR="00C03B23" w:rsidRPr="002C6211" w:rsidRDefault="00B1426D" w:rsidP="00C03B23">
      <w:pPr>
        <w:pStyle w:val="BodyTextIndent"/>
        <w:rPr>
          <w:sz w:val="20"/>
          <w:shd w:val="clear" w:color="auto" w:fill="92D050"/>
        </w:rPr>
      </w:pPr>
      <w:r>
        <w:rPr>
          <w:b/>
          <w:sz w:val="20"/>
        </w:rPr>
        <w:t>“Security Policy”</w:t>
      </w:r>
      <w:r w:rsidR="00C03B23" w:rsidRPr="00144EEA">
        <w:rPr>
          <w:sz w:val="20"/>
        </w:rPr>
        <w:t xml:space="preserve"> </w:t>
      </w:r>
      <w:r w:rsidR="00C03B23" w:rsidRPr="00144EEA">
        <w:rPr>
          <w:rFonts w:cs="Arial"/>
          <w:sz w:val="20"/>
        </w:rPr>
        <w:t xml:space="preserve">means the Customer’s security requirements as set out in </w:t>
      </w:r>
      <w:r w:rsidR="00C03B23" w:rsidRPr="002C6211">
        <w:rPr>
          <w:rFonts w:cs="Arial"/>
          <w:sz w:val="20"/>
        </w:rPr>
        <w:t>section 4.1 of the Letter of Appointment and as outlined in Sche</w:t>
      </w:r>
      <w:r>
        <w:rPr>
          <w:rFonts w:cs="Arial"/>
          <w:sz w:val="20"/>
        </w:rPr>
        <w:t>dule 1 to these Call-Off Terms;</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B1426D"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B1426D">
        <w:rPr>
          <w:rFonts w:cs="Arial"/>
          <w:b/>
          <w:sz w:val="20"/>
        </w:rPr>
        <w:t xml:space="preserve">“Sites” </w:t>
      </w:r>
      <w:r w:rsidRPr="00B1426D">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B1426D" w:rsidRPr="00B1426D">
        <w:rPr>
          <w:rFonts w:cs="Arial"/>
          <w:sz w:val="20"/>
        </w:rPr>
        <w: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B1426D"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B1426D">
        <w:rPr>
          <w:rFonts w:cs="Arial"/>
          <w:b/>
          <w:sz w:val="20"/>
        </w:rPr>
        <w:t>“Supplier System”</w:t>
      </w:r>
      <w:r w:rsidRPr="00B1426D">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B1426D" w:rsidRPr="00B1426D">
        <w:rPr>
          <w:rFonts w:cs="Arial"/>
          <w:sz w:val="20"/>
        </w:rPr>
        <w:t xml:space="preserve"> receive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6"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6"/>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7" w:name="_Toc335743364"/>
      <w:r w:rsidRPr="00A4589E">
        <w:rPr>
          <w:rFonts w:cs="Arial"/>
          <w:sz w:val="20"/>
        </w:rPr>
        <w:t xml:space="preserve">SUPPLY OF </w:t>
      </w:r>
      <w:r>
        <w:rPr>
          <w:rFonts w:cs="Arial"/>
          <w:sz w:val="20"/>
        </w:rPr>
        <w:t xml:space="preserve">CONTRACT </w:t>
      </w:r>
      <w:r w:rsidRPr="00A4589E">
        <w:rPr>
          <w:rFonts w:cs="Arial"/>
          <w:sz w:val="20"/>
        </w:rPr>
        <w:t>SERVICES</w:t>
      </w:r>
      <w:bookmarkEnd w:id="7"/>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w:t>
      </w:r>
      <w:r>
        <w:rPr>
          <w:rFonts w:cs="Arial"/>
          <w:sz w:val="20"/>
        </w:rPr>
        <w:lastRenderedPageBreak/>
        <w:t xml:space="preserve">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lastRenderedPageBreak/>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8" w:name="_Toc335743365"/>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rsidR="00C03B23" w:rsidRDefault="00C03B23" w:rsidP="00C03B23">
      <w:pPr>
        <w:pStyle w:val="Heading3"/>
        <w:numPr>
          <w:ilvl w:val="0"/>
          <w:numId w:val="0"/>
        </w:numPr>
        <w:tabs>
          <w:tab w:val="num" w:pos="2970"/>
        </w:tabs>
        <w:ind w:left="1800" w:hanging="1080"/>
        <w:rPr>
          <w:sz w:val="20"/>
        </w:rPr>
      </w:pPr>
      <w:r>
        <w:rPr>
          <w:sz w:val="20"/>
        </w:rPr>
        <w:lastRenderedPageBreak/>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27" w:name="_Toc335743366"/>
      <w:r w:rsidRPr="00C555DC">
        <w:rPr>
          <w:sz w:val="20"/>
        </w:rPr>
        <w:t>2C.</w:t>
      </w:r>
      <w:r w:rsidRPr="00C555DC">
        <w:rPr>
          <w:sz w:val="20"/>
        </w:rPr>
        <w:tab/>
      </w:r>
      <w:bookmarkStart w:id="28" w:name="_Toc304196131"/>
      <w:bookmarkStart w:id="29" w:name="_Toc304196307"/>
      <w:bookmarkStart w:id="30" w:name="_Toc304196483"/>
      <w:bookmarkStart w:id="31" w:name="_Toc304200959"/>
      <w:bookmarkStart w:id="32" w:name="_Toc304202046"/>
      <w:bookmarkStart w:id="33" w:name="_Toc304212972"/>
      <w:bookmarkStart w:id="34" w:name="_Toc304453841"/>
      <w:bookmarkStart w:id="35" w:name="_Toc304454014"/>
      <w:bookmarkStart w:id="36" w:name="_Toc304454636"/>
      <w:bookmarkStart w:id="37" w:name="_Toc304808608"/>
      <w:bookmarkStart w:id="38" w:name="_Toc304897200"/>
      <w:bookmarkStart w:id="39" w:name="_Toc304901111"/>
      <w:bookmarkStart w:id="40" w:name="_Toc304901284"/>
      <w:bookmarkStart w:id="41" w:name="_Toc304904526"/>
      <w:bookmarkStart w:id="42" w:name="_Toc305422572"/>
      <w:bookmarkStart w:id="43"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03B23" w:rsidRPr="002D3A01" w:rsidRDefault="00C03B23" w:rsidP="00C03B23">
      <w:pPr>
        <w:pStyle w:val="Heading3"/>
        <w:numPr>
          <w:ilvl w:val="0"/>
          <w:numId w:val="0"/>
        </w:numPr>
        <w:ind w:left="720" w:hanging="720"/>
        <w:rPr>
          <w:sz w:val="20"/>
        </w:rPr>
      </w:pPr>
      <w:bookmarkStart w:id="44"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4"/>
    </w:p>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5" w:name="_Ref238890199"/>
    </w:p>
    <w:bookmarkEnd w:id="45"/>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6" w:name="_Toc139080182"/>
      <w:r>
        <w:rPr>
          <w:sz w:val="20"/>
        </w:rPr>
        <w:t xml:space="preserve">  </w:t>
      </w:r>
    </w:p>
    <w:p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rsidR="00C03B23" w:rsidRPr="006E0B72" w:rsidRDefault="00C03B23" w:rsidP="00C03B23">
      <w:pPr>
        <w:pStyle w:val="Heading3"/>
        <w:numPr>
          <w:ilvl w:val="0"/>
          <w:numId w:val="0"/>
        </w:numPr>
        <w:tabs>
          <w:tab w:val="num" w:pos="3080"/>
        </w:tabs>
        <w:ind w:left="709" w:hanging="709"/>
        <w:rPr>
          <w:sz w:val="20"/>
        </w:rPr>
      </w:pPr>
      <w:r w:rsidRPr="006E0B72">
        <w:rPr>
          <w:sz w:val="20"/>
        </w:rPr>
        <w:t>2C.</w:t>
      </w:r>
      <w:r w:rsidR="008815D3" w:rsidRPr="006E0B72">
        <w:rPr>
          <w:sz w:val="20"/>
        </w:rPr>
        <w:t>10</w:t>
      </w:r>
      <w:r w:rsidRPr="006E0B72">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rsidR="00C03B23" w:rsidRPr="006E0B72" w:rsidRDefault="00C03B23" w:rsidP="00C03B23">
      <w:pPr>
        <w:pStyle w:val="Heading3"/>
        <w:numPr>
          <w:ilvl w:val="0"/>
          <w:numId w:val="0"/>
        </w:numPr>
        <w:tabs>
          <w:tab w:val="num" w:pos="3080"/>
        </w:tabs>
        <w:ind w:left="709" w:hanging="709"/>
        <w:rPr>
          <w:sz w:val="20"/>
        </w:rPr>
      </w:pPr>
      <w:r w:rsidRPr="006E0B72">
        <w:rPr>
          <w:sz w:val="20"/>
        </w:rPr>
        <w:t>2C.1</w:t>
      </w:r>
      <w:r w:rsidR="008815D3" w:rsidRPr="006E0B72">
        <w:rPr>
          <w:sz w:val="20"/>
        </w:rPr>
        <w:t>1</w:t>
      </w:r>
      <w:r w:rsidRPr="006E0B72">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rsidR="00C03B23" w:rsidRPr="006E0B72" w:rsidRDefault="00C03B23" w:rsidP="00C03B23">
      <w:pPr>
        <w:pStyle w:val="Heading3"/>
        <w:numPr>
          <w:ilvl w:val="0"/>
          <w:numId w:val="0"/>
        </w:numPr>
        <w:tabs>
          <w:tab w:val="num" w:pos="3080"/>
        </w:tabs>
        <w:ind w:left="709" w:hanging="709"/>
        <w:rPr>
          <w:b/>
          <w:sz w:val="20"/>
        </w:rPr>
      </w:pPr>
      <w:r w:rsidRPr="006E0B72">
        <w:rPr>
          <w:sz w:val="20"/>
        </w:rPr>
        <w:tab/>
        <w:t>2C.1</w:t>
      </w:r>
      <w:r w:rsidR="008815D3" w:rsidRPr="006E0B72">
        <w:rPr>
          <w:sz w:val="20"/>
        </w:rPr>
        <w:t>1</w:t>
      </w:r>
      <w:r w:rsidRPr="006E0B72">
        <w:rPr>
          <w:sz w:val="20"/>
        </w:rPr>
        <w:t xml:space="preserve">.1  carry out a police check with the records held by </w:t>
      </w:r>
      <w:r w:rsidR="00AF0ADA" w:rsidRPr="006E0B72">
        <w:rPr>
          <w:sz w:val="20"/>
        </w:rPr>
        <w:t xml:space="preserve">the </w:t>
      </w:r>
      <w:r w:rsidRPr="006E0B72">
        <w:rPr>
          <w:sz w:val="20"/>
        </w:rPr>
        <w:t>DfE;</w:t>
      </w:r>
    </w:p>
    <w:p w:rsidR="00C03B23" w:rsidRPr="006E0B72" w:rsidRDefault="00C03B23" w:rsidP="00C03B23">
      <w:pPr>
        <w:pStyle w:val="Heading3"/>
        <w:numPr>
          <w:ilvl w:val="0"/>
          <w:numId w:val="0"/>
        </w:numPr>
        <w:tabs>
          <w:tab w:val="num" w:pos="3080"/>
        </w:tabs>
        <w:ind w:left="709" w:hanging="709"/>
        <w:rPr>
          <w:sz w:val="20"/>
        </w:rPr>
      </w:pPr>
      <w:r w:rsidRPr="006E0B72">
        <w:rPr>
          <w:sz w:val="20"/>
        </w:rPr>
        <w:tab/>
        <w:t>2C.1</w:t>
      </w:r>
      <w:r w:rsidR="008815D3" w:rsidRPr="006E0B72">
        <w:rPr>
          <w:sz w:val="20"/>
        </w:rPr>
        <w:t>1</w:t>
      </w:r>
      <w:r w:rsidRPr="006E0B72">
        <w:rPr>
          <w:sz w:val="20"/>
        </w:rPr>
        <w:t>.2  conduct thorough questioning regarding any Relevant Convictions; and</w:t>
      </w:r>
    </w:p>
    <w:p w:rsidR="00C03B23" w:rsidRPr="006E0B72" w:rsidRDefault="000A29FE" w:rsidP="00C03B23">
      <w:pPr>
        <w:pStyle w:val="Heading3"/>
        <w:numPr>
          <w:ilvl w:val="0"/>
          <w:numId w:val="0"/>
        </w:numPr>
        <w:tabs>
          <w:tab w:val="num" w:pos="3080"/>
        </w:tabs>
        <w:ind w:left="1560" w:hanging="851"/>
        <w:rPr>
          <w:sz w:val="20"/>
        </w:rPr>
      </w:pPr>
      <w:r w:rsidRPr="006E0B72">
        <w:rPr>
          <w:sz w:val="20"/>
        </w:rPr>
        <w:t>2C.11.3 ensure</w:t>
      </w:r>
      <w:r w:rsidR="00C03B23" w:rsidRPr="006E0B72">
        <w:rPr>
          <w:sz w:val="20"/>
        </w:rPr>
        <w:t xml:space="preserve"> a police check is completed and such other checks as may be carried out through </w:t>
      </w:r>
      <w:r w:rsidRPr="006E0B72">
        <w:rPr>
          <w:sz w:val="20"/>
        </w:rPr>
        <w:t>the Disclosure</w:t>
      </w:r>
      <w:r w:rsidR="00C03B23" w:rsidRPr="006E0B72">
        <w:rPr>
          <w:sz w:val="20"/>
        </w:rPr>
        <w:t xml:space="preserve"> and Baring Service [previously -Criminal Records Bureau</w:t>
      </w:r>
      <w:r w:rsidRPr="006E0B72">
        <w:rPr>
          <w:sz w:val="20"/>
        </w:rPr>
        <w:t>];</w:t>
      </w:r>
      <w:r w:rsidR="00C03B23" w:rsidRPr="006E0B72">
        <w:rPr>
          <w:sz w:val="20"/>
        </w:rPr>
        <w:t xml:space="preserve"> and</w:t>
      </w:r>
    </w:p>
    <w:p w:rsidR="00C03B23" w:rsidRPr="00432D60" w:rsidRDefault="000A29FE" w:rsidP="00C03B23">
      <w:pPr>
        <w:pStyle w:val="Heading3"/>
        <w:numPr>
          <w:ilvl w:val="0"/>
          <w:numId w:val="0"/>
        </w:numPr>
        <w:tabs>
          <w:tab w:val="num" w:pos="3080"/>
        </w:tabs>
        <w:ind w:left="1560" w:hanging="851"/>
        <w:rPr>
          <w:sz w:val="20"/>
        </w:rPr>
      </w:pPr>
      <w:r w:rsidRPr="006E0B72">
        <w:rPr>
          <w:sz w:val="20"/>
        </w:rPr>
        <w:t>2C.11.4 not</w:t>
      </w:r>
      <w:r w:rsidR="00C03B23" w:rsidRPr="006E0B72">
        <w:rPr>
          <w:sz w:val="20"/>
        </w:rPr>
        <w:t xml:space="preserve"> engage or continue to employ in the provision of the Contract Services any person who has a Relevant Conviction or an inappropriate record.</w:t>
      </w:r>
    </w:p>
    <w:p w:rsidR="00C03B23" w:rsidRPr="00A4589E" w:rsidRDefault="00C03B23" w:rsidP="00C03B23">
      <w:pPr>
        <w:pStyle w:val="Heading1"/>
        <w:keepNext/>
        <w:rPr>
          <w:rFonts w:cs="Arial"/>
          <w:sz w:val="20"/>
        </w:rPr>
      </w:pPr>
      <w:bookmarkStart w:id="47" w:name="_Ref313371683"/>
      <w:bookmarkStart w:id="48" w:name="_Toc335743367"/>
      <w:bookmarkEnd w:id="46"/>
      <w:r w:rsidRPr="00A4589E">
        <w:rPr>
          <w:rFonts w:cs="Arial"/>
          <w:sz w:val="20"/>
        </w:rPr>
        <w:lastRenderedPageBreak/>
        <w:t xml:space="preserve">PAYMENT AND </w:t>
      </w:r>
      <w:bookmarkEnd w:id="47"/>
      <w:r w:rsidRPr="00A4589E">
        <w:rPr>
          <w:rFonts w:cs="Arial"/>
          <w:sz w:val="20"/>
        </w:rPr>
        <w:t>CHARGES</w:t>
      </w:r>
      <w:bookmarkEnd w:id="48"/>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49"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9"/>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0" w:name="_Ref313364329"/>
      <w:r w:rsidRPr="00A4589E">
        <w:rPr>
          <w:rFonts w:cs="Arial"/>
          <w:b/>
          <w:sz w:val="20"/>
        </w:rPr>
        <w:t>Payment</w:t>
      </w:r>
      <w:bookmarkEnd w:id="50"/>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1"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1"/>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lastRenderedPageBreak/>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2"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2"/>
    </w:p>
    <w:p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3" w:name="_Ref313370178"/>
      <w:r w:rsidRPr="00A4589E">
        <w:rPr>
          <w:rFonts w:cs="Arial"/>
          <w:b/>
          <w:sz w:val="20"/>
        </w:rPr>
        <w:t>Recovery of Sums Due</w:t>
      </w:r>
      <w:bookmarkEnd w:id="53"/>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4" w:name="_Toc335743368"/>
      <w:bookmarkStart w:id="55" w:name="_Ref313371594"/>
      <w:r>
        <w:rPr>
          <w:rFonts w:cs="Arial"/>
          <w:sz w:val="20"/>
        </w:rPr>
        <w:t>LIABILITY AND INSURANCE</w:t>
      </w:r>
      <w:bookmarkEnd w:id="54"/>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6" w:name="_Ref311654936"/>
      <w:r w:rsidRPr="006C3D9C">
        <w:rPr>
          <w:sz w:val="20"/>
        </w:rPr>
        <w:t>Neither Party excludes or limits its liability for:</w:t>
      </w:r>
      <w:bookmarkEnd w:id="56"/>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 xml:space="preserve">he Supplier shall fully indemnify and keep indemnified the Customer on demand in full from and against all claims, proceedings, actions, damages, costs, expenses and any other liabilities whatsoever arising out of, in respect of </w:t>
      </w:r>
      <w:r w:rsidRPr="00B10032">
        <w:rPr>
          <w:rFonts w:cs="Arial"/>
          <w:sz w:val="20"/>
        </w:rPr>
        <w:lastRenderedPageBreak/>
        <w:t>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57"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7"/>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58" w:name="_Ref311654962"/>
      <w:r>
        <w:rPr>
          <w:rFonts w:cs="Arial"/>
          <w:sz w:val="20"/>
        </w:rPr>
        <w:t>I</w:t>
      </w:r>
      <w:r w:rsidRPr="00B10032">
        <w:rPr>
          <w:rFonts w:cs="Arial"/>
          <w:sz w:val="20"/>
        </w:rPr>
        <w:t>n no event shall either Party be liable to the other for any:</w:t>
      </w:r>
      <w:bookmarkEnd w:id="58"/>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lastRenderedPageBreak/>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59" w:name="_Ref313366946"/>
      <w:bookmarkStart w:id="60" w:name="_Toc335743369"/>
      <w:bookmarkEnd w:id="55"/>
      <w:r w:rsidRPr="00A4589E">
        <w:rPr>
          <w:rFonts w:cs="Arial"/>
          <w:sz w:val="20"/>
        </w:rPr>
        <w:t>INTELLECTUAL PROPERTY RIGHTS</w:t>
      </w:r>
      <w:bookmarkEnd w:id="59"/>
      <w:bookmarkEnd w:id="60"/>
    </w:p>
    <w:p w:rsidR="00C03B23" w:rsidRDefault="00C03B23" w:rsidP="00C03B23">
      <w:pPr>
        <w:pStyle w:val="Heading2"/>
        <w:tabs>
          <w:tab w:val="num" w:pos="720"/>
        </w:tabs>
        <w:ind w:left="720"/>
        <w:rPr>
          <w:rFonts w:cs="Arial"/>
          <w:sz w:val="20"/>
        </w:rPr>
      </w:pPr>
      <w:bookmarkStart w:id="61"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1"/>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w:t>
      </w:r>
      <w:r w:rsidRPr="00A4589E">
        <w:rPr>
          <w:rFonts w:cs="Arial"/>
          <w:sz w:val="20"/>
        </w:rPr>
        <w:lastRenderedPageBreak/>
        <w:t xml:space="preserve">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2"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2"/>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3" w:name="_Ref313367870"/>
      <w:bookmarkStart w:id="64" w:name="_Toc335743370"/>
      <w:r w:rsidRPr="00A4589E">
        <w:rPr>
          <w:rFonts w:cs="Arial"/>
          <w:sz w:val="20"/>
        </w:rPr>
        <w:t>PROTECTION OF INFORMATION</w:t>
      </w:r>
      <w:bookmarkEnd w:id="63"/>
      <w:bookmarkEnd w:id="64"/>
    </w:p>
    <w:p w:rsidR="00C03B23" w:rsidRPr="00A4589E" w:rsidRDefault="00C03B23" w:rsidP="00C03B23">
      <w:pPr>
        <w:pStyle w:val="Heading2"/>
        <w:keepNext/>
        <w:keepLines/>
        <w:tabs>
          <w:tab w:val="num" w:pos="720"/>
        </w:tabs>
        <w:ind w:left="720"/>
        <w:rPr>
          <w:rFonts w:cs="Arial"/>
          <w:b/>
          <w:sz w:val="20"/>
        </w:rPr>
      </w:pPr>
      <w:bookmarkStart w:id="65" w:name="_Ref313367297"/>
      <w:r w:rsidRPr="00A4589E">
        <w:rPr>
          <w:rFonts w:cs="Arial"/>
          <w:b/>
          <w:sz w:val="20"/>
        </w:rPr>
        <w:t>Protection of Personal Data</w:t>
      </w:r>
      <w:bookmarkEnd w:id="65"/>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lastRenderedPageBreak/>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6" w:name="_Ref313367753"/>
      <w:r w:rsidRPr="00A4589E">
        <w:rPr>
          <w:rFonts w:cs="Arial"/>
          <w:b/>
          <w:sz w:val="20"/>
        </w:rPr>
        <w:t>Confidentiality</w:t>
      </w:r>
      <w:bookmarkEnd w:id="66"/>
    </w:p>
    <w:p w:rsidR="00C03B23" w:rsidRPr="00A4589E" w:rsidRDefault="00C03B23" w:rsidP="00C03B23">
      <w:pPr>
        <w:pStyle w:val="Heading3"/>
        <w:keepNext/>
        <w:rPr>
          <w:rFonts w:cs="Arial"/>
          <w:sz w:val="20"/>
        </w:rPr>
      </w:pPr>
      <w:bookmarkStart w:id="67"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7"/>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68"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8"/>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lastRenderedPageBreak/>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Pr="00A4589E" w:rsidRDefault="00C03B23" w:rsidP="00C03B23">
      <w:pPr>
        <w:pStyle w:val="Heading3"/>
        <w:rPr>
          <w:rFonts w:cs="Arial"/>
          <w:sz w:val="20"/>
        </w:rPr>
      </w:pPr>
      <w:bookmarkStart w:id="69"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9"/>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70"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0"/>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1" w:name="_Ref313369975"/>
      <w:r w:rsidRPr="00A4589E">
        <w:rPr>
          <w:rFonts w:cs="Arial"/>
          <w:b/>
          <w:sz w:val="20"/>
        </w:rPr>
        <w:t>Freedom of Information</w:t>
      </w:r>
      <w:bookmarkEnd w:id="71"/>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2" w:name="_Ref313368004"/>
      <w:r w:rsidRPr="00A4589E">
        <w:rPr>
          <w:rFonts w:cs="Arial"/>
          <w:sz w:val="20"/>
        </w:rPr>
        <w:lastRenderedPageBreak/>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2"/>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C03B23" w:rsidRPr="006E0B72" w:rsidRDefault="00C03B23" w:rsidP="00C03B23">
      <w:pPr>
        <w:pStyle w:val="Heading3"/>
        <w:numPr>
          <w:ilvl w:val="0"/>
          <w:numId w:val="0"/>
        </w:numPr>
        <w:rPr>
          <w:rFonts w:cs="Arial"/>
          <w:b/>
          <w:sz w:val="20"/>
        </w:rPr>
      </w:pPr>
      <w:r w:rsidRPr="006E0B72">
        <w:rPr>
          <w:rFonts w:cs="Arial"/>
          <w:b/>
          <w:sz w:val="20"/>
        </w:rPr>
        <w:t>6A.</w:t>
      </w:r>
      <w:r w:rsidRPr="006E0B72">
        <w:rPr>
          <w:rFonts w:cs="Arial"/>
          <w:b/>
          <w:sz w:val="20"/>
        </w:rPr>
        <w:tab/>
      </w:r>
      <w:r w:rsidRPr="006E0B72">
        <w:rPr>
          <w:rFonts w:cs="Arial"/>
          <w:b/>
          <w:sz w:val="20"/>
        </w:rPr>
        <w:tab/>
        <w:t xml:space="preserve">     SECURITY REQUIREMENTS</w:t>
      </w:r>
    </w:p>
    <w:p w:rsidR="00C03B23" w:rsidRPr="006E0B72" w:rsidRDefault="00C03B23" w:rsidP="00C03B23">
      <w:pPr>
        <w:pStyle w:val="Heading3"/>
        <w:numPr>
          <w:ilvl w:val="0"/>
          <w:numId w:val="0"/>
        </w:numPr>
        <w:ind w:left="1701" w:hanging="992"/>
        <w:rPr>
          <w:rFonts w:cs="Arial"/>
          <w:sz w:val="20"/>
        </w:rPr>
      </w:pPr>
      <w:r w:rsidRPr="006E0B72">
        <w:rPr>
          <w:rFonts w:cs="Arial"/>
          <w:sz w:val="20"/>
        </w:rPr>
        <w:t>6A.1       The Supplier shall comply, and shall procure the compl</w:t>
      </w:r>
      <w:r w:rsidR="00584FB3">
        <w:rPr>
          <w:rFonts w:cs="Arial"/>
          <w:sz w:val="20"/>
        </w:rPr>
        <w:t xml:space="preserve">iance of the Supplier’s Staff, </w:t>
      </w:r>
      <w:r w:rsidRPr="006E0B72">
        <w:rPr>
          <w:rFonts w:cs="Arial"/>
          <w:sz w:val="20"/>
        </w:rPr>
        <w:t xml:space="preserve">with the Security Policy and the Security Management Plan and the Supplier shall ensure that the Security Management Plan produced by the Supplier fully complies with the Security Policy.  </w:t>
      </w:r>
    </w:p>
    <w:p w:rsidR="00C03B23" w:rsidRPr="006E0B72" w:rsidRDefault="00C03B23" w:rsidP="00C03B23">
      <w:pPr>
        <w:spacing w:after="0" w:line="240" w:lineRule="auto"/>
        <w:ind w:left="1701" w:hanging="992"/>
        <w:rPr>
          <w:sz w:val="20"/>
        </w:rPr>
      </w:pPr>
      <w:bookmarkStart w:id="73" w:name="_Ref225254750"/>
      <w:r w:rsidRPr="006E0B72">
        <w:rPr>
          <w:sz w:val="20"/>
        </w:rPr>
        <w:t>6A.2</w:t>
      </w:r>
      <w:r w:rsidRPr="006E0B72">
        <w:rPr>
          <w:sz w:val="20"/>
        </w:rPr>
        <w:tab/>
        <w:t>The Customer shall notify the Supplier of any changes or proposed changes to the Security Policy.</w:t>
      </w:r>
      <w:bookmarkStart w:id="74" w:name="_Ref221681832"/>
      <w:bookmarkStart w:id="75" w:name="_Ref231787108"/>
      <w:bookmarkEnd w:id="73"/>
    </w:p>
    <w:p w:rsidR="00C03B23" w:rsidRPr="006E0B72" w:rsidRDefault="00C03B23" w:rsidP="00C03B23">
      <w:pPr>
        <w:spacing w:after="0" w:line="240" w:lineRule="auto"/>
        <w:ind w:left="1701" w:hanging="992"/>
        <w:rPr>
          <w:sz w:val="20"/>
        </w:rPr>
      </w:pPr>
    </w:p>
    <w:p w:rsidR="00C03B23" w:rsidRPr="006E0B72" w:rsidRDefault="00C03B23" w:rsidP="00C03B23">
      <w:pPr>
        <w:spacing w:after="0" w:line="240" w:lineRule="auto"/>
        <w:ind w:left="1701" w:hanging="992"/>
        <w:rPr>
          <w:sz w:val="20"/>
        </w:rPr>
      </w:pPr>
      <w:r w:rsidRPr="006E0B72">
        <w:rPr>
          <w:sz w:val="20"/>
        </w:rPr>
        <w:lastRenderedPageBreak/>
        <w:t>6A.3</w:t>
      </w:r>
      <w:r w:rsidRPr="006E0B72">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4"/>
      <w:bookmarkEnd w:id="75"/>
    </w:p>
    <w:p w:rsidR="00C03B23" w:rsidRPr="006E0B72" w:rsidRDefault="00C03B23" w:rsidP="00C03B23">
      <w:pPr>
        <w:spacing w:after="0" w:line="240" w:lineRule="auto"/>
        <w:ind w:left="1701" w:hanging="992"/>
        <w:rPr>
          <w:sz w:val="20"/>
        </w:rPr>
      </w:pPr>
    </w:p>
    <w:p w:rsidR="00C03B23" w:rsidRDefault="00C03B23" w:rsidP="00C03B23">
      <w:pPr>
        <w:spacing w:after="0" w:line="240" w:lineRule="auto"/>
        <w:ind w:left="1701" w:hanging="992"/>
        <w:rPr>
          <w:sz w:val="20"/>
        </w:rPr>
      </w:pPr>
      <w:r w:rsidRPr="006E0B72">
        <w:rPr>
          <w:sz w:val="20"/>
        </w:rPr>
        <w:t>6A.4</w:t>
      </w:r>
      <w:r w:rsidRPr="006E0B72">
        <w:rPr>
          <w:sz w:val="20"/>
        </w:rPr>
        <w:tab/>
        <w:t>Until and/or unless a change to the Contract Charges is agreed by the Customer pursuant to Clauses 2.2 the Supplier shall continue to perform the Contract Services in accordance with its existing obligations.]</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76"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6"/>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7"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78" w:name="_Ref313372170"/>
      <w:bookmarkStart w:id="79" w:name="_Toc335743371"/>
      <w:bookmarkEnd w:id="77"/>
      <w:r w:rsidRPr="00A4589E">
        <w:rPr>
          <w:rFonts w:cs="Arial"/>
          <w:sz w:val="20"/>
        </w:rPr>
        <w:t>WARRANTIES</w:t>
      </w:r>
      <w:r>
        <w:rPr>
          <w:rFonts w:cs="Arial"/>
          <w:sz w:val="20"/>
        </w:rPr>
        <w:t>,</w:t>
      </w:r>
      <w:r w:rsidRPr="00A4589E">
        <w:rPr>
          <w:rFonts w:cs="Arial"/>
          <w:sz w:val="20"/>
        </w:rPr>
        <w:t xml:space="preserve"> REPRESENTATIONS</w:t>
      </w:r>
      <w:bookmarkEnd w:id="78"/>
      <w:r>
        <w:rPr>
          <w:rFonts w:cs="Arial"/>
          <w:sz w:val="20"/>
        </w:rPr>
        <w:t xml:space="preserve"> AND UNDERTAKINGS</w:t>
      </w:r>
      <w:bookmarkEnd w:id="79"/>
    </w:p>
    <w:p w:rsidR="00C03B23" w:rsidRPr="00A4589E" w:rsidRDefault="00C03B23" w:rsidP="00C03B23">
      <w:pPr>
        <w:pStyle w:val="Heading2"/>
        <w:keepNext/>
        <w:tabs>
          <w:tab w:val="num" w:pos="720"/>
        </w:tabs>
        <w:ind w:left="720"/>
        <w:rPr>
          <w:rFonts w:cs="Arial"/>
          <w:sz w:val="20"/>
        </w:rPr>
      </w:pPr>
      <w:bookmarkStart w:id="80"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0"/>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w:t>
      </w:r>
      <w:r w:rsidRPr="00A4589E">
        <w:rPr>
          <w:rFonts w:cs="Arial"/>
          <w:sz w:val="20"/>
        </w:rPr>
        <w:lastRenderedPageBreak/>
        <w:t>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1" w:name="_Ref313373896"/>
      <w:bookmarkStart w:id="82" w:name="_Toc335743372"/>
      <w:r w:rsidRPr="00A4589E">
        <w:rPr>
          <w:rFonts w:cs="Arial"/>
          <w:sz w:val="20"/>
        </w:rPr>
        <w:t>TERMINATION</w:t>
      </w:r>
      <w:bookmarkEnd w:id="81"/>
      <w:bookmarkEnd w:id="82"/>
    </w:p>
    <w:p w:rsidR="00C03B23" w:rsidRPr="00A4589E" w:rsidRDefault="00C03B23" w:rsidP="00C03B23">
      <w:pPr>
        <w:pStyle w:val="Heading2"/>
        <w:keepNext/>
        <w:tabs>
          <w:tab w:val="num" w:pos="720"/>
        </w:tabs>
        <w:ind w:left="720"/>
        <w:rPr>
          <w:rFonts w:cs="Arial"/>
          <w:b/>
          <w:sz w:val="20"/>
        </w:rPr>
      </w:pPr>
      <w:bookmarkStart w:id="83" w:name="_Ref313371016"/>
      <w:r w:rsidRPr="00A4589E">
        <w:rPr>
          <w:rFonts w:cs="Arial"/>
          <w:b/>
          <w:sz w:val="20"/>
        </w:rPr>
        <w:t>Termination on Insolvency</w:t>
      </w:r>
      <w:bookmarkEnd w:id="83"/>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4"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4"/>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lastRenderedPageBreak/>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5"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5"/>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6"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6"/>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87" w:name="_Ref313369326"/>
      <w:r w:rsidRPr="00A4589E">
        <w:rPr>
          <w:rFonts w:cs="Arial"/>
          <w:b/>
          <w:sz w:val="20"/>
        </w:rPr>
        <w:lastRenderedPageBreak/>
        <w:t xml:space="preserve">Termination on </w:t>
      </w:r>
      <w:bookmarkEnd w:id="87"/>
      <w:r>
        <w:rPr>
          <w:rFonts w:cs="Arial"/>
          <w:b/>
          <w:sz w:val="20"/>
        </w:rPr>
        <w:t>Material Breach, Persistent Failure or Grave Misconduct etc</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88"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8"/>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89" w:name="_Ref313371033"/>
      <w:bookmarkStart w:id="90" w:name="_Ref313369604"/>
      <w:r w:rsidRPr="00A4589E">
        <w:rPr>
          <w:rFonts w:cs="Arial"/>
          <w:b/>
          <w:sz w:val="20"/>
        </w:rPr>
        <w:t>Termination on Change of Control</w:t>
      </w:r>
      <w:bookmarkEnd w:id="89"/>
    </w:p>
    <w:p w:rsidR="00C03B23" w:rsidRPr="00A4589E" w:rsidRDefault="00C03B23" w:rsidP="00C03B23">
      <w:pPr>
        <w:pStyle w:val="Heading3"/>
        <w:rPr>
          <w:rFonts w:cs="Arial"/>
          <w:sz w:val="20"/>
        </w:rPr>
      </w:pPr>
      <w:bookmarkStart w:id="91"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1"/>
    </w:p>
    <w:p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lastRenderedPageBreak/>
        <w:t xml:space="preserve">Termination </w:t>
      </w:r>
      <w:bookmarkEnd w:id="90"/>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2" w:name="_Ref313370007"/>
      <w:bookmarkStart w:id="93" w:name="_Toc335743373"/>
      <w:r w:rsidRPr="00A4589E">
        <w:rPr>
          <w:rFonts w:cs="Arial"/>
          <w:sz w:val="20"/>
        </w:rPr>
        <w:t>CONSEQUENCES OF EXPIRY OR TERMINATION</w:t>
      </w:r>
      <w:bookmarkEnd w:id="92"/>
      <w:bookmarkEnd w:id="93"/>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w:t>
      </w:r>
      <w:r w:rsidRPr="00294B98">
        <w:rPr>
          <w:sz w:val="20"/>
        </w:rPr>
        <w:lastRenderedPageBreak/>
        <w:t xml:space="preserve">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4"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4"/>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5"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5"/>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6" w:name="_Ref313373915"/>
      <w:bookmarkStart w:id="97" w:name="_Toc335743374"/>
      <w:r w:rsidRPr="00A4589E">
        <w:rPr>
          <w:rFonts w:cs="Arial"/>
          <w:sz w:val="20"/>
        </w:rPr>
        <w:lastRenderedPageBreak/>
        <w:t>PUBLICITY, MEDIA AND OFFICIAL ENQUIRIES</w:t>
      </w:r>
      <w:bookmarkEnd w:id="96"/>
      <w:bookmarkEnd w:id="97"/>
    </w:p>
    <w:p w:rsidR="00C03B23" w:rsidRPr="00A4589E" w:rsidRDefault="00C03B23" w:rsidP="00C03B23">
      <w:pPr>
        <w:pStyle w:val="Heading2"/>
        <w:tabs>
          <w:tab w:val="num" w:pos="720"/>
        </w:tabs>
        <w:ind w:left="720"/>
        <w:rPr>
          <w:rFonts w:cs="Arial"/>
          <w:sz w:val="20"/>
        </w:rPr>
      </w:pPr>
      <w:bookmarkStart w:id="98"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8"/>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99" w:name="_Ref313370019"/>
      <w:bookmarkStart w:id="100" w:name="_Toc335743375"/>
      <w:r w:rsidRPr="00A4589E">
        <w:rPr>
          <w:rFonts w:cs="Arial"/>
          <w:sz w:val="20"/>
        </w:rPr>
        <w:t>PREVENTION OF BRIBERY AND CORRUPTION</w:t>
      </w:r>
      <w:bookmarkEnd w:id="99"/>
      <w:bookmarkEnd w:id="100"/>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w:t>
      </w:r>
      <w:r w:rsidRPr="00A4589E">
        <w:rPr>
          <w:rFonts w:cs="Arial"/>
          <w:sz w:val="20"/>
        </w:rPr>
        <w:lastRenderedPageBreak/>
        <w:t xml:space="preserve">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1" w:name="_Toc335743376"/>
      <w:r w:rsidRPr="00A4589E">
        <w:rPr>
          <w:rFonts w:cs="Arial"/>
          <w:sz w:val="20"/>
        </w:rPr>
        <w:t>NON-DISCRIMINATION</w:t>
      </w:r>
      <w:bookmarkEnd w:id="101"/>
    </w:p>
    <w:p w:rsidR="00C03B23" w:rsidRPr="00A4589E" w:rsidRDefault="00C03B23" w:rsidP="00C03B23">
      <w:pPr>
        <w:pStyle w:val="Heading2"/>
        <w:tabs>
          <w:tab w:val="num" w:pos="720"/>
        </w:tabs>
        <w:ind w:left="720"/>
        <w:rPr>
          <w:rFonts w:cs="Arial"/>
          <w:sz w:val="20"/>
        </w:rPr>
      </w:pPr>
      <w:bookmarkStart w:id="102"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2"/>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3" w:name="_Ref313370082"/>
      <w:bookmarkStart w:id="104" w:name="_Toc335743377"/>
      <w:r w:rsidRPr="00A4589E">
        <w:rPr>
          <w:rFonts w:cs="Arial"/>
          <w:sz w:val="20"/>
        </w:rPr>
        <w:t>PREVENTION OF FRAUD</w:t>
      </w:r>
      <w:bookmarkEnd w:id="103"/>
      <w:bookmarkEnd w:id="104"/>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lastRenderedPageBreak/>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5" w:name="_Ref313370605"/>
      <w:bookmarkStart w:id="106" w:name="_Toc335743378"/>
      <w:r w:rsidRPr="00A4589E">
        <w:rPr>
          <w:rFonts w:cs="Arial"/>
          <w:sz w:val="20"/>
        </w:rPr>
        <w:t>TRANSFER AND SUB-CONTRACTING</w:t>
      </w:r>
      <w:bookmarkEnd w:id="105"/>
      <w:bookmarkEnd w:id="106"/>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07"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7"/>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08"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8"/>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09" w:name="_Toc335743379"/>
      <w:r w:rsidRPr="001A3AB9">
        <w:rPr>
          <w:rFonts w:cs="Arial"/>
          <w:sz w:val="20"/>
        </w:rPr>
        <w:t>WAIVER</w:t>
      </w:r>
      <w:bookmarkEnd w:id="109"/>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0" w:name="_Ref313370047"/>
      <w:bookmarkStart w:id="111" w:name="_Toc335743380"/>
      <w:r w:rsidRPr="001A3AB9">
        <w:rPr>
          <w:rFonts w:cs="Arial"/>
          <w:sz w:val="20"/>
        </w:rPr>
        <w:t>CUMULATI</w:t>
      </w:r>
      <w:r w:rsidRPr="001A3AB9">
        <w:rPr>
          <w:rFonts w:cs="Arial"/>
          <w:b w:val="0"/>
          <w:sz w:val="20"/>
        </w:rPr>
        <w:t>V</w:t>
      </w:r>
      <w:r w:rsidRPr="001A3AB9">
        <w:rPr>
          <w:rFonts w:cs="Arial"/>
          <w:sz w:val="20"/>
        </w:rPr>
        <w:t>E REMEDIES</w:t>
      </w:r>
      <w:bookmarkEnd w:id="110"/>
      <w:bookmarkEnd w:id="111"/>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2" w:name="_Toc335743381"/>
      <w:r w:rsidRPr="00A4589E">
        <w:rPr>
          <w:rFonts w:cs="Arial"/>
          <w:sz w:val="20"/>
        </w:rPr>
        <w:t>FURTHER ASSURANCES</w:t>
      </w:r>
      <w:bookmarkEnd w:id="112"/>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3" w:name="_Toc335743382"/>
      <w:r w:rsidRPr="00A4589E">
        <w:rPr>
          <w:rFonts w:cs="Arial"/>
          <w:sz w:val="20"/>
        </w:rPr>
        <w:t>SEVERABILITY</w:t>
      </w:r>
      <w:bookmarkEnd w:id="113"/>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4" w:name="_Toc335743383"/>
      <w:r>
        <w:rPr>
          <w:rFonts w:cs="Arial"/>
          <w:sz w:val="20"/>
        </w:rPr>
        <w:t>SUPPLIER</w:t>
      </w:r>
      <w:r w:rsidRPr="00A4589E">
        <w:rPr>
          <w:rFonts w:cs="Arial"/>
          <w:sz w:val="20"/>
        </w:rPr>
        <w:t>’S STATUS</w:t>
      </w:r>
      <w:bookmarkEnd w:id="114"/>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w:t>
      </w:r>
      <w:r w:rsidRPr="00A4589E">
        <w:rPr>
          <w:rFonts w:cs="Arial"/>
          <w:sz w:val="20"/>
        </w:rPr>
        <w:lastRenderedPageBreak/>
        <w:t>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5" w:name="_Toc335743384"/>
      <w:r w:rsidRPr="00A4589E">
        <w:rPr>
          <w:rFonts w:cs="Arial"/>
          <w:sz w:val="20"/>
        </w:rPr>
        <w:t>ENTIRE AGREEMENT</w:t>
      </w:r>
      <w:bookmarkEnd w:id="115"/>
    </w:p>
    <w:p w:rsidR="00C03B23" w:rsidRPr="00A4589E" w:rsidRDefault="00C03B23" w:rsidP="00C03B23">
      <w:pPr>
        <w:pStyle w:val="Heading2"/>
        <w:tabs>
          <w:tab w:val="num" w:pos="720"/>
        </w:tabs>
        <w:ind w:left="720"/>
        <w:rPr>
          <w:rFonts w:cs="Arial"/>
          <w:sz w:val="20"/>
        </w:rPr>
      </w:pPr>
      <w:bookmarkStart w:id="116"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6"/>
    </w:p>
    <w:p w:rsidR="00C03B23" w:rsidRPr="00A4589E" w:rsidRDefault="00C03B23" w:rsidP="00C03B23">
      <w:pPr>
        <w:pStyle w:val="Heading2"/>
        <w:tabs>
          <w:tab w:val="num" w:pos="720"/>
        </w:tabs>
        <w:ind w:left="720"/>
        <w:rPr>
          <w:rFonts w:cs="Arial"/>
          <w:sz w:val="20"/>
        </w:rPr>
      </w:pPr>
      <w:bookmarkStart w:id="117"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7"/>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18" w:name="_Ref313370095"/>
      <w:bookmarkStart w:id="119" w:name="_Toc335743385"/>
      <w:r w:rsidRPr="00A4589E">
        <w:rPr>
          <w:rFonts w:cs="Arial"/>
          <w:sz w:val="20"/>
        </w:rPr>
        <w:t>CONTRACTS (RIGHTS OF THIRD PARTIES) ACT</w:t>
      </w:r>
      <w:bookmarkEnd w:id="118"/>
      <w:bookmarkEnd w:id="119"/>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0"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1" w:name="_Toc335743386"/>
      <w:r w:rsidRPr="00A4589E">
        <w:rPr>
          <w:rFonts w:cs="Arial"/>
          <w:sz w:val="20"/>
        </w:rPr>
        <w:lastRenderedPageBreak/>
        <w:t>NOTICES</w:t>
      </w:r>
      <w:bookmarkEnd w:id="120"/>
      <w:bookmarkEnd w:id="121"/>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2"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2"/>
    </w:p>
    <w:p w:rsidR="00C03B23" w:rsidRPr="00A4589E" w:rsidRDefault="00C03B23" w:rsidP="00C03B23">
      <w:pPr>
        <w:pStyle w:val="Heading2"/>
        <w:tabs>
          <w:tab w:val="num" w:pos="720"/>
        </w:tabs>
        <w:ind w:left="720"/>
        <w:rPr>
          <w:rFonts w:cs="Arial"/>
          <w:sz w:val="20"/>
        </w:rPr>
      </w:pPr>
      <w:bookmarkStart w:id="123"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3"/>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4" w:name="_Toc314810842"/>
      <w:bookmarkStart w:id="125" w:name="_Toc335743387"/>
      <w:r w:rsidRPr="00837B0E">
        <w:rPr>
          <w:sz w:val="20"/>
        </w:rPr>
        <w:t>DISPUTES AND LAW</w:t>
      </w:r>
      <w:bookmarkEnd w:id="124"/>
      <w:bookmarkEnd w:id="125"/>
    </w:p>
    <w:p w:rsidR="00C03B23" w:rsidRPr="00837B0E" w:rsidRDefault="00C03B23" w:rsidP="00C03B23">
      <w:pPr>
        <w:pStyle w:val="Heading2"/>
        <w:keepNext/>
        <w:tabs>
          <w:tab w:val="clear" w:pos="1350"/>
          <w:tab w:val="num" w:pos="720"/>
        </w:tabs>
        <w:ind w:left="720"/>
        <w:rPr>
          <w:b/>
          <w:sz w:val="20"/>
        </w:rPr>
      </w:pPr>
      <w:bookmarkStart w:id="126" w:name="_Ref313370109"/>
      <w:r w:rsidRPr="00837B0E">
        <w:rPr>
          <w:b/>
          <w:sz w:val="20"/>
        </w:rPr>
        <w:t>Governing Law and Jurisdiction</w:t>
      </w:r>
      <w:bookmarkEnd w:id="126"/>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27" w:name="_Ref313372098"/>
      <w:r w:rsidRPr="00837B0E">
        <w:rPr>
          <w:b/>
          <w:sz w:val="20"/>
        </w:rPr>
        <w:t>Dispute Resolution</w:t>
      </w:r>
      <w:bookmarkEnd w:id="127"/>
    </w:p>
    <w:p w:rsidR="00C03B23" w:rsidRPr="00837B0E" w:rsidRDefault="00C03B23" w:rsidP="00C03B23">
      <w:pPr>
        <w:pStyle w:val="Heading3"/>
        <w:rPr>
          <w:sz w:val="20"/>
        </w:rPr>
      </w:pPr>
      <w:bookmarkStart w:id="128"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8"/>
    </w:p>
    <w:p w:rsidR="00C03B23" w:rsidRPr="00837B0E" w:rsidRDefault="00C03B23" w:rsidP="00C03B23">
      <w:pPr>
        <w:pStyle w:val="Heading3"/>
        <w:rPr>
          <w:sz w:val="20"/>
        </w:rPr>
      </w:pPr>
      <w:r w:rsidRPr="00837B0E">
        <w:rPr>
          <w:sz w:val="20"/>
        </w:rPr>
        <w:lastRenderedPageBreak/>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29" w:name="_Ref313371432"/>
      <w:r w:rsidRPr="00837B0E">
        <w:rPr>
          <w:sz w:val="20"/>
        </w:rPr>
        <w:t>The procedure for mediation is as follows:</w:t>
      </w:r>
      <w:bookmarkEnd w:id="129"/>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0"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0"/>
    </w:p>
    <w:p w:rsidR="00C03B23" w:rsidRPr="00837B0E" w:rsidRDefault="00C03B23" w:rsidP="00C03B23">
      <w:pPr>
        <w:pStyle w:val="Heading4"/>
        <w:rPr>
          <w:sz w:val="20"/>
        </w:rPr>
      </w:pPr>
      <w:r w:rsidRPr="00837B0E">
        <w:rPr>
          <w:sz w:val="20"/>
        </w:rPr>
        <w:t xml:space="preserve">if the Parties fail to reach agreement in the structured negotiations within sixty (60) Working Days of the Contract Mediator being appointed, or such longer period as may be agreed by the Parties, </w:t>
      </w:r>
      <w:r w:rsidRPr="00837B0E">
        <w:rPr>
          <w:sz w:val="20"/>
        </w:rPr>
        <w:lastRenderedPageBreak/>
        <w:t>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1" w:name="_Toc127759065"/>
      <w:bookmarkStart w:id="132" w:name="_Toc139080105"/>
      <w:bookmarkStart w:id="133" w:name="_Toc296514644"/>
      <w:bookmarkStart w:id="134" w:name="_Toc297577110"/>
      <w:bookmarkStart w:id="135" w:name="_Toc297577509"/>
      <w:bookmarkStart w:id="136" w:name="_Toc297624436"/>
    </w:p>
    <w:bookmarkEnd w:id="131"/>
    <w:bookmarkEnd w:id="132"/>
    <w:bookmarkEnd w:id="133"/>
    <w:bookmarkEnd w:id="134"/>
    <w:bookmarkEnd w:id="135"/>
    <w:bookmarkEnd w:id="136"/>
    <w:p w:rsidR="00C03B23" w:rsidRPr="00A4589E" w:rsidRDefault="00C03B23" w:rsidP="00C03B23">
      <w:pPr>
        <w:pStyle w:val="Heading4"/>
        <w:rPr>
          <w:rFonts w:cs="Arial"/>
          <w:sz w:val="20"/>
        </w:rPr>
        <w:sectPr w:rsidR="00C03B23" w:rsidRPr="00A4589E" w:rsidSect="005B48E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40" w:right="1701"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37" w:name="_Toc335743388"/>
      <w:bookmarkStart w:id="138" w:name="_Ref313382807"/>
      <w:bookmarkStart w:id="139"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7"/>
      <w:r w:rsidRPr="00A4589E">
        <w:rPr>
          <w:rFonts w:ascii="Arial" w:hAnsi="Arial" w:cs="Arial"/>
          <w:sz w:val="20"/>
        </w:rPr>
        <w:t xml:space="preserve"> </w:t>
      </w:r>
    </w:p>
    <w:p w:rsidR="00C03B23" w:rsidRPr="00942CB1" w:rsidRDefault="00C03B23" w:rsidP="00C03B23">
      <w:pPr>
        <w:pStyle w:val="MarginText"/>
        <w:keepNext/>
        <w:numPr>
          <w:ilvl w:val="0"/>
          <w:numId w:val="35"/>
        </w:numPr>
        <w:rPr>
          <w:sz w:val="20"/>
        </w:rPr>
      </w:pPr>
      <w:r w:rsidRPr="00942CB1">
        <w:rPr>
          <w:b/>
          <w:bCs/>
          <w:sz w:val="20"/>
        </w:rPr>
        <w:t xml:space="preserve">SCOPE </w:t>
      </w:r>
    </w:p>
    <w:p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C03B23">
      <w:pPr>
        <w:pStyle w:val="MarginText"/>
        <w:keepNext/>
        <w:numPr>
          <w:ilvl w:val="0"/>
          <w:numId w:val="36"/>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rsidR="00C03B23" w:rsidRPr="00F03D5D" w:rsidRDefault="00C03B23" w:rsidP="00C03B23">
      <w:pPr>
        <w:pStyle w:val="MarginText"/>
        <w:numPr>
          <w:ilvl w:val="0"/>
          <w:numId w:val="36"/>
        </w:numPr>
        <w:rPr>
          <w:b/>
          <w:bCs/>
          <w:sz w:val="20"/>
        </w:rPr>
      </w:pPr>
      <w:bookmarkStart w:id="140" w:name="_Toc26780124"/>
      <w:r w:rsidRPr="00F03D5D">
        <w:rPr>
          <w:b/>
          <w:bCs/>
          <w:sz w:val="20"/>
        </w:rPr>
        <w:t>SERVICE LEVELS</w:t>
      </w:r>
    </w:p>
    <w:p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w:t>
      </w:r>
      <w:r w:rsidRPr="00F03D5D">
        <w:rPr>
          <w:sz w:val="20"/>
        </w:rPr>
        <w:lastRenderedPageBreak/>
        <w:t>(Part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rsidR="00C03B23" w:rsidRPr="00F03D5D" w:rsidRDefault="00C03B23" w:rsidP="00C03B23">
      <w:pPr>
        <w:pStyle w:val="MarginText"/>
        <w:numPr>
          <w:ilvl w:val="1"/>
          <w:numId w:val="36"/>
        </w:numPr>
        <w:rPr>
          <w:sz w:val="20"/>
        </w:rPr>
      </w:pPr>
      <w:r w:rsidRPr="00F03D5D">
        <w:rPr>
          <w:sz w:val="20"/>
        </w:rPr>
        <w:t>The Supplier shall achieve:</w:t>
      </w:r>
    </w:p>
    <w:p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0"/>
    <w:p w:rsidR="00C03B23" w:rsidRPr="00F03D5D" w:rsidRDefault="00C03B23" w:rsidP="00C03B23">
      <w:pPr>
        <w:pStyle w:val="MarginText"/>
        <w:keepNext/>
        <w:numPr>
          <w:ilvl w:val="0"/>
          <w:numId w:val="36"/>
        </w:numPr>
        <w:rPr>
          <w:b/>
          <w:bCs/>
          <w:sz w:val="20"/>
        </w:rPr>
      </w:pPr>
      <w:r w:rsidRPr="00F03D5D">
        <w:rPr>
          <w:b/>
          <w:bCs/>
          <w:sz w:val="20"/>
        </w:rPr>
        <w:t>SERVICE PERFORMANCE REVIEW</w:t>
      </w:r>
    </w:p>
    <w:p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1"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1"/>
    </w:p>
    <w:p w:rsidR="00C03B23" w:rsidRPr="00942CB1" w:rsidRDefault="00C03B23" w:rsidP="00C03B23">
      <w:pPr>
        <w:pStyle w:val="MarginText"/>
        <w:jc w:val="center"/>
        <w:rPr>
          <w:b/>
          <w:bCs/>
          <w:sz w:val="20"/>
        </w:rPr>
      </w:pPr>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Default="00C03B23" w:rsidP="00C03B23">
      <w:pPr>
        <w:overflowPunct/>
        <w:autoSpaceDE/>
        <w:autoSpaceDN/>
        <w:adjustRightInd/>
        <w:spacing w:after="200" w:line="276" w:lineRule="auto"/>
        <w:jc w:val="left"/>
        <w:textAlignment w:val="auto"/>
        <w:rPr>
          <w:b/>
          <w:bCs/>
          <w:sz w:val="20"/>
          <w:lang w:eastAsia="en-GB"/>
        </w:rPr>
      </w:pPr>
    </w:p>
    <w:p w:rsidR="00AB64A8" w:rsidRDefault="00AB64A8">
      <w:pPr>
        <w:overflowPunct/>
        <w:autoSpaceDE/>
        <w:autoSpaceDN/>
        <w:adjustRightInd/>
        <w:spacing w:after="0" w:line="240" w:lineRule="auto"/>
        <w:jc w:val="left"/>
        <w:textAlignment w:val="auto"/>
        <w:rPr>
          <w:b/>
          <w:bCs/>
          <w:sz w:val="20"/>
          <w:lang w:eastAsia="en-GB"/>
        </w:rPr>
      </w:pPr>
      <w:r>
        <w:rPr>
          <w:b/>
          <w:bCs/>
          <w:sz w:val="20"/>
          <w:lang w:eastAsia="en-GB"/>
        </w:rPr>
        <w:br w:type="page"/>
      </w:r>
    </w:p>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CB2345" w:rsidRDefault="00CB2345">
      <w:r>
        <w:lastRenderedPageBreak/>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lastRenderedPageBreak/>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bl>
    <w:p w:rsidR="00CB2345" w:rsidRDefault="00CB2345">
      <w:r>
        <w:lastRenderedPageBreak/>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585"/>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8"/>
      <w:bookmarkEnd w:id="139"/>
    </w:tbl>
    <w:p w:rsidR="00C03B23" w:rsidRDefault="00C03B23" w:rsidP="00C03B23">
      <w:pPr>
        <w:overflowPunct/>
        <w:autoSpaceDE/>
        <w:autoSpaceDN/>
        <w:adjustRightInd/>
        <w:spacing w:after="0" w:line="240" w:lineRule="auto"/>
        <w:jc w:val="left"/>
        <w:textAlignment w:val="auto"/>
        <w:rPr>
          <w:rFonts w:cs="Arial"/>
          <w:b/>
          <w:sz w:val="20"/>
        </w:rPr>
      </w:pPr>
    </w:p>
    <w:p w:rsidR="00C03B23" w:rsidRDefault="00C03B23" w:rsidP="00C03B23">
      <w:pPr>
        <w:overflowPunct/>
        <w:autoSpaceDE/>
        <w:autoSpaceDN/>
        <w:adjustRightInd/>
        <w:spacing w:after="0" w:line="240" w:lineRule="auto"/>
        <w:jc w:val="left"/>
        <w:textAlignment w:val="auto"/>
        <w:rPr>
          <w:rFonts w:cs="Arial"/>
          <w:b/>
          <w:sz w:val="20"/>
        </w:rPr>
      </w:pPr>
    </w:p>
    <w:p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2"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2"/>
    </w:p>
    <w:p w:rsidR="00C03B23" w:rsidRPr="0061016F" w:rsidRDefault="00C03B23" w:rsidP="00C03B23">
      <w:pPr>
        <w:overflowPunct/>
        <w:autoSpaceDE/>
        <w:autoSpaceDN/>
        <w:adjustRightInd/>
        <w:spacing w:after="0" w:line="240" w:lineRule="auto"/>
        <w:jc w:val="left"/>
        <w:textAlignment w:val="auto"/>
        <w:rPr>
          <w:rFonts w:cs="Arial"/>
          <w:b/>
          <w:sz w:val="20"/>
        </w:rPr>
      </w:pPr>
    </w:p>
    <w:p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rsidTr="00C03B23">
        <w:trPr>
          <w:trHeight w:val="1151"/>
        </w:trPr>
        <w:tc>
          <w:tcPr>
            <w:tcW w:w="2660" w:type="dxa"/>
          </w:tcPr>
          <w:p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rsidTr="00C03B23">
        <w:trPr>
          <w:trHeight w:val="854"/>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rsidTr="00C03B23">
        <w:trPr>
          <w:trHeight w:val="655"/>
        </w:trPr>
        <w:tc>
          <w:tcPr>
            <w:tcW w:w="2660" w:type="dxa"/>
          </w:tcPr>
          <w:p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rsidTr="00C03B23">
        <w:trPr>
          <w:trHeight w:val="747"/>
        </w:trPr>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rsidTr="00C03B23">
        <w:tc>
          <w:tcPr>
            <w:tcW w:w="2660" w:type="dxa"/>
          </w:tcPr>
          <w:p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rsidR="00AB64A8" w:rsidRDefault="00AB64A8" w:rsidP="00C03B23">
      <w:pPr>
        <w:pStyle w:val="Heading1"/>
        <w:numPr>
          <w:ilvl w:val="0"/>
          <w:numId w:val="0"/>
        </w:numPr>
        <w:rPr>
          <w:rFonts w:cs="Arial"/>
          <w:sz w:val="20"/>
        </w:rPr>
      </w:pPr>
    </w:p>
    <w:p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rsidR="00C03B23" w:rsidRPr="008311CC" w:rsidRDefault="00C03B23" w:rsidP="00C03B23">
      <w:pPr>
        <w:pStyle w:val="Heading1"/>
        <w:numPr>
          <w:ilvl w:val="0"/>
          <w:numId w:val="0"/>
        </w:numPr>
        <w:rPr>
          <w:rFonts w:cs="Arial"/>
          <w:sz w:val="20"/>
        </w:rPr>
      </w:pPr>
    </w:p>
    <w:p w:rsidR="00C03B23" w:rsidRPr="00A80570" w:rsidRDefault="00C03B23" w:rsidP="00C03B23">
      <w:pPr>
        <w:pStyle w:val="MarginText"/>
        <w:rPr>
          <w:b/>
        </w:rPr>
      </w:pPr>
      <w:bookmarkStart w:id="143" w:name="_Toc331761805"/>
      <w:bookmarkStart w:id="144" w:name="_Toc333413319"/>
      <w:r w:rsidRPr="00A80570">
        <w:rPr>
          <w:b/>
        </w:rPr>
        <w:t>1</w:t>
      </w:r>
      <w:r w:rsidRPr="00A80570">
        <w:rPr>
          <w:b/>
        </w:rPr>
        <w:tab/>
        <w:t>INTRODUCTION</w:t>
      </w:r>
      <w:bookmarkEnd w:id="143"/>
      <w:bookmarkEnd w:id="144"/>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rsidR="00C03B23" w:rsidRPr="00A80570" w:rsidRDefault="00C03B23" w:rsidP="00C03B23">
      <w:pPr>
        <w:pStyle w:val="MarginText"/>
        <w:rPr>
          <w:b/>
        </w:rPr>
      </w:pPr>
      <w:bookmarkStart w:id="145" w:name="_Toc331761806"/>
      <w:bookmarkStart w:id="146" w:name="_Toc333413320"/>
      <w:r w:rsidRPr="00A80570">
        <w:rPr>
          <w:b/>
        </w:rPr>
        <w:t>2.</w:t>
      </w:r>
      <w:r w:rsidRPr="00A80570">
        <w:rPr>
          <w:b/>
        </w:rPr>
        <w:tab/>
        <w:t>PRINCIPLES OF SECURITY</w:t>
      </w:r>
      <w:bookmarkEnd w:id="145"/>
      <w:bookmarkEnd w:id="146"/>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lastRenderedPageBreak/>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C03B23" w:rsidRPr="00A80570" w:rsidRDefault="00C03B23" w:rsidP="00C03B23">
      <w:pPr>
        <w:pStyle w:val="MarginText"/>
        <w:rPr>
          <w:b/>
        </w:rPr>
      </w:pPr>
      <w:bookmarkStart w:id="147" w:name="_Toc331761807"/>
      <w:bookmarkStart w:id="148" w:name="_Toc333413321"/>
      <w:r w:rsidRPr="00A80570">
        <w:rPr>
          <w:b/>
        </w:rPr>
        <w:t>3.</w:t>
      </w:r>
      <w:r w:rsidRPr="00A80570">
        <w:rPr>
          <w:b/>
        </w:rPr>
        <w:tab/>
        <w:t>ISMS AND SECURITY MANAGEMENT PLAN</w:t>
      </w:r>
      <w:bookmarkEnd w:id="147"/>
      <w:bookmarkEnd w:id="148"/>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including the Premises, the Sites, the Supplier System and any ICT, information and data (including the Customer </w:t>
      </w:r>
      <w:r w:rsidRPr="008311CC">
        <w:rPr>
          <w:rFonts w:cs="Arial"/>
          <w:sz w:val="20"/>
        </w:rPr>
        <w:lastRenderedPageBreak/>
        <w:t>Confidential Information and the Customer Data) to the extent used by the Customer or the Supplier in connection with this Contract.</w:t>
      </w:r>
    </w:p>
    <w:p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w:t>
      </w:r>
      <w:r w:rsidRPr="008311CC">
        <w:rPr>
          <w:rFonts w:cs="Arial"/>
          <w:sz w:val="20"/>
        </w:rPr>
        <w:lastRenderedPageBreak/>
        <w:t xml:space="preserve">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w:t>
      </w:r>
      <w:r>
        <w:rPr>
          <w:rFonts w:cs="Arial"/>
          <w:sz w:val="20"/>
        </w:rPr>
        <w:lastRenderedPageBreak/>
        <w:t>under Clause 2.2</w:t>
      </w:r>
      <w:r w:rsidRPr="008311CC">
        <w:rPr>
          <w:rFonts w:cs="Arial"/>
          <w:sz w:val="20"/>
        </w:rPr>
        <w:t xml:space="preserve"> and shall not be implemented until approved in writing by the Customer.</w:t>
      </w:r>
    </w:p>
    <w:p w:rsidR="00C03B23" w:rsidRPr="00A80570" w:rsidRDefault="00C03B23" w:rsidP="00C03B23">
      <w:pPr>
        <w:pStyle w:val="MarginText"/>
        <w:rPr>
          <w:b/>
        </w:rPr>
      </w:pPr>
      <w:bookmarkStart w:id="149" w:name="_Toc331761808"/>
      <w:bookmarkStart w:id="150" w:name="_Toc333413322"/>
      <w:r w:rsidRPr="00A80570">
        <w:rPr>
          <w:b/>
        </w:rPr>
        <w:t>4.</w:t>
      </w:r>
      <w:r w:rsidRPr="00A80570">
        <w:rPr>
          <w:b/>
        </w:rPr>
        <w:tab/>
        <w:t>TESTING</w:t>
      </w:r>
      <w:bookmarkEnd w:id="149"/>
      <w:bookmarkEnd w:id="150"/>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rsidR="00C03B23" w:rsidRPr="00A80570" w:rsidRDefault="00C03B23" w:rsidP="00C03B23">
      <w:pPr>
        <w:pStyle w:val="MarginText"/>
        <w:rPr>
          <w:b/>
        </w:rPr>
      </w:pPr>
      <w:bookmarkStart w:id="151" w:name="_Toc331761809"/>
      <w:bookmarkStart w:id="152" w:name="_Toc333413323"/>
      <w:r w:rsidRPr="00A80570">
        <w:rPr>
          <w:b/>
        </w:rPr>
        <w:t>5.</w:t>
      </w:r>
      <w:r w:rsidRPr="00A80570">
        <w:rPr>
          <w:b/>
        </w:rPr>
        <w:tab/>
        <w:t>COMPLIANCE WITH ISO/IEC 27001</w:t>
      </w:r>
      <w:bookmarkEnd w:id="151"/>
      <w:bookmarkEnd w:id="152"/>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rsidR="00C03B23" w:rsidRPr="00A80570" w:rsidRDefault="00C03B23" w:rsidP="00C03B23">
      <w:pPr>
        <w:pStyle w:val="MarginText"/>
        <w:rPr>
          <w:b/>
        </w:rPr>
      </w:pPr>
      <w:bookmarkStart w:id="153" w:name="_Toc331761810"/>
      <w:bookmarkStart w:id="154" w:name="_Toc333413324"/>
      <w:r w:rsidRPr="00A80570">
        <w:rPr>
          <w:b/>
        </w:rPr>
        <w:t>6.</w:t>
      </w:r>
      <w:r w:rsidRPr="00A80570">
        <w:rPr>
          <w:b/>
        </w:rPr>
        <w:tab/>
        <w:t>BREACH OF SECURITY</w:t>
      </w:r>
      <w:bookmarkEnd w:id="153"/>
      <w:bookmarkEnd w:id="154"/>
    </w:p>
    <w:p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rsidR="00C03B23" w:rsidRPr="00531159" w:rsidRDefault="00C03B23" w:rsidP="00C03B23">
      <w:pPr>
        <w:pStyle w:val="BodyTextIndent3"/>
        <w:rPr>
          <w:rFonts w:ascii="Arial" w:hAnsi="Arial" w:cs="Arial"/>
          <w:sz w:val="20"/>
        </w:rPr>
      </w:pPr>
      <w:r w:rsidRPr="008311CC">
        <w:rPr>
          <w:rFonts w:ascii="Arial" w:hAnsi="Arial" w:cs="Arial"/>
          <w:sz w:val="20"/>
        </w:rPr>
        <w:lastRenderedPageBreak/>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rsidR="00C03B23" w:rsidRPr="00820CAD" w:rsidRDefault="00C03B23" w:rsidP="00C03B23">
      <w:pPr>
        <w:pStyle w:val="NormalBold"/>
        <w:ind w:left="330"/>
        <w:rPr>
          <w:sz w:val="20"/>
          <w:szCs w:val="20"/>
        </w:rPr>
      </w:pPr>
      <w:r w:rsidRPr="00820CAD">
        <w:rPr>
          <w:sz w:val="20"/>
          <w:szCs w:val="20"/>
        </w:rPr>
        <w:t>Personnel Security</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rsidR="00C03B23" w:rsidRPr="00820CAD" w:rsidRDefault="00C03B23" w:rsidP="00C03B23">
      <w:pPr>
        <w:pStyle w:val="NormalBold"/>
        <w:ind w:left="330"/>
        <w:rPr>
          <w:sz w:val="20"/>
          <w:szCs w:val="20"/>
        </w:rPr>
      </w:pPr>
      <w:r w:rsidRPr="00820CAD">
        <w:rPr>
          <w:sz w:val="20"/>
          <w:szCs w:val="20"/>
        </w:rPr>
        <w:t>Secure Information Handling and Transfers</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rsidR="00C03B23" w:rsidRPr="00820CAD" w:rsidRDefault="00C03B23" w:rsidP="00C03B23">
      <w:pPr>
        <w:pStyle w:val="NormalBold"/>
        <w:ind w:left="330"/>
        <w:rPr>
          <w:sz w:val="20"/>
          <w:szCs w:val="20"/>
        </w:rPr>
      </w:pPr>
      <w:r w:rsidRPr="00820CAD">
        <w:rPr>
          <w:sz w:val="20"/>
          <w:szCs w:val="20"/>
        </w:rPr>
        <w:t>Portable Media</w:t>
      </w:r>
    </w:p>
    <w:p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rsidR="00C03B23" w:rsidRPr="00820CAD" w:rsidRDefault="00C03B23" w:rsidP="00C03B23">
      <w:pPr>
        <w:pStyle w:val="NormalBold"/>
        <w:ind w:left="330"/>
        <w:rPr>
          <w:sz w:val="20"/>
          <w:szCs w:val="20"/>
        </w:rPr>
      </w:pPr>
      <w:r w:rsidRPr="00820CAD">
        <w:rPr>
          <w:sz w:val="20"/>
          <w:szCs w:val="20"/>
        </w:rPr>
        <w:t>Offshoring</w:t>
      </w:r>
    </w:p>
    <w:p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rsidR="00C03B23" w:rsidRPr="00820CAD" w:rsidRDefault="00C03B23" w:rsidP="00C03B23">
      <w:pPr>
        <w:pStyle w:val="NormalBold"/>
        <w:ind w:left="330"/>
        <w:rPr>
          <w:sz w:val="20"/>
          <w:szCs w:val="20"/>
        </w:rPr>
      </w:pPr>
      <w:r w:rsidRPr="00820CAD">
        <w:rPr>
          <w:sz w:val="20"/>
          <w:szCs w:val="20"/>
        </w:rPr>
        <w:t>Premises Security</w:t>
      </w:r>
    </w:p>
    <w:p w:rsidR="00C03B23" w:rsidRPr="00820CAD" w:rsidRDefault="00C03B23" w:rsidP="00C03B23">
      <w:pPr>
        <w:pStyle w:val="Normalindent1"/>
        <w:tabs>
          <w:tab w:val="clear" w:pos="926"/>
        </w:tabs>
        <w:ind w:left="566" w:firstLine="0"/>
        <w:rPr>
          <w:sz w:val="20"/>
          <w:szCs w:val="20"/>
        </w:rPr>
      </w:pPr>
      <w:r w:rsidRPr="00820CAD">
        <w:rPr>
          <w:sz w:val="20"/>
          <w:szCs w:val="20"/>
        </w:rPr>
        <w:lastRenderedPageBreak/>
        <w:t>Security of premises and control of access.</w:t>
      </w:r>
    </w:p>
    <w:p w:rsidR="00C03B23" w:rsidRPr="00820CAD" w:rsidRDefault="00C03B23" w:rsidP="00C03B23">
      <w:pPr>
        <w:pStyle w:val="NormalBold"/>
        <w:ind w:left="330"/>
        <w:rPr>
          <w:sz w:val="20"/>
          <w:szCs w:val="20"/>
        </w:rPr>
      </w:pPr>
      <w:r w:rsidRPr="00820CAD">
        <w:rPr>
          <w:sz w:val="20"/>
          <w:szCs w:val="20"/>
        </w:rPr>
        <w:t>Security Incidents</w:t>
      </w:r>
    </w:p>
    <w:p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rsidR="00585E76" w:rsidRPr="003B6C8F" w:rsidRDefault="00585E76" w:rsidP="003B6C8F">
      <w:pPr>
        <w:jc w:val="center"/>
        <w:rPr>
          <w:rFonts w:cs="Arial"/>
          <w:b/>
          <w:sz w:val="20"/>
        </w:rPr>
      </w:pPr>
    </w:p>
    <w:sectPr w:rsidR="00585E76" w:rsidRPr="003B6C8F" w:rsidSect="00C04C74">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C8" w:rsidRDefault="001C2EC8">
      <w:pPr>
        <w:spacing w:after="0" w:line="20" w:lineRule="exact"/>
      </w:pPr>
    </w:p>
  </w:endnote>
  <w:endnote w:type="continuationSeparator" w:id="0">
    <w:p w:rsidR="001C2EC8" w:rsidRDefault="001C2EC8">
      <w:pPr>
        <w:spacing w:after="0" w:line="20" w:lineRule="exact"/>
      </w:pPr>
    </w:p>
  </w:endnote>
  <w:endnote w:type="continuationNotice" w:id="1">
    <w:p w:rsidR="001C2EC8" w:rsidRDefault="001C2EC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hell Dlg 2">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872AC" w:rsidRDefault="000872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872AC" w:rsidRDefault="000872A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Pr="000E0878" w:rsidRDefault="000872AC" w:rsidP="000E0878">
    <w:pPr>
      <w:pStyle w:val="Header"/>
      <w:jc w:val="left"/>
      <w:rPr>
        <w:b/>
        <w:szCs w:val="22"/>
        <w:lang w:val="en-US"/>
      </w:rPr>
    </w:pPr>
    <w:r w:rsidRPr="00813093">
      <w:rPr>
        <w:sz w:val="18"/>
        <w:szCs w:val="18"/>
      </w:rPr>
      <w:t xml:space="preserve">Contract: </w:t>
    </w:r>
    <w:r w:rsidRPr="008F024C">
      <w:rPr>
        <w:sz w:val="18"/>
        <w:szCs w:val="18"/>
        <w:lang w:val="en-US"/>
      </w:rPr>
      <w:t>Provision of Consultancy for Guidance Regarding Plans, Proposals and Accommodation Assistance</w:t>
    </w:r>
    <w:r>
      <w:rPr>
        <w:sz w:val="18"/>
        <w:szCs w:val="18"/>
        <w:lang w:val="en-US"/>
      </w:rPr>
      <w:br/>
    </w:r>
    <w:r>
      <w:rPr>
        <w:sz w:val="18"/>
        <w:szCs w:val="18"/>
      </w:rPr>
      <w:t>CCS Reference: SO17050 Contract Reference: CCCC16AA2</w:t>
    </w:r>
  </w:p>
  <w:p w:rsidR="000872AC" w:rsidRPr="00813093" w:rsidRDefault="000872AC" w:rsidP="000E0878">
    <w:pPr>
      <w:pStyle w:val="Footer"/>
      <w:jc w:val="left"/>
      <w:rPr>
        <w:sz w:val="18"/>
        <w:szCs w:val="18"/>
      </w:rPr>
    </w:pPr>
    <w:r>
      <w:rPr>
        <w:sz w:val="18"/>
        <w:szCs w:val="18"/>
      </w:rPr>
      <w:tab/>
    </w:r>
  </w:p>
  <w:p w:rsidR="000872AC" w:rsidRPr="00BB2491" w:rsidRDefault="000872AC"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CC0FAE">
      <w:rPr>
        <w:noProof/>
        <w:sz w:val="18"/>
        <w:szCs w:val="18"/>
      </w:rPr>
      <w:t>38</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CC0FAE">
      <w:rPr>
        <w:noProof/>
        <w:sz w:val="18"/>
        <w:szCs w:val="18"/>
      </w:rPr>
      <w:t>71</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CC0FAE">
      <w:rPr>
        <w:noProof/>
        <w:sz w:val="18"/>
        <w:szCs w:val="18"/>
      </w:rPr>
      <w:t>30 March 2016</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0872AC" w:rsidRDefault="000872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0872AC" w:rsidRDefault="000872AC"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C8" w:rsidRDefault="001C2EC8">
      <w:pPr>
        <w:spacing w:after="0" w:line="240" w:lineRule="auto"/>
      </w:pPr>
      <w:r>
        <w:separator/>
      </w:r>
    </w:p>
  </w:footnote>
  <w:footnote w:type="continuationSeparator" w:id="0">
    <w:p w:rsidR="001C2EC8" w:rsidRDefault="001C2EC8">
      <w:pPr>
        <w:spacing w:after="0" w:line="240" w:lineRule="auto"/>
      </w:pPr>
      <w:r>
        <w:continuationSeparator/>
      </w:r>
    </w:p>
  </w:footnote>
  <w:footnote w:type="continuationNotice" w:id="1">
    <w:p w:rsidR="001C2EC8" w:rsidRDefault="001C2E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Pr="00883724" w:rsidRDefault="000872AC"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AC" w:rsidRDefault="000872AC"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66F80CBE"/>
    <w:multiLevelType w:val="multilevel"/>
    <w:tmpl w:val="766C966C"/>
    <w:numStyleLink w:val="111111"/>
  </w:abstractNum>
  <w:abstractNum w:abstractNumId="36"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2D12"/>
    <w:rsid w:val="00003B6C"/>
    <w:rsid w:val="00005A51"/>
    <w:rsid w:val="00006781"/>
    <w:rsid w:val="00006EB0"/>
    <w:rsid w:val="0001267F"/>
    <w:rsid w:val="00014147"/>
    <w:rsid w:val="00020BCC"/>
    <w:rsid w:val="00021238"/>
    <w:rsid w:val="00023EAE"/>
    <w:rsid w:val="00027469"/>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872AC"/>
    <w:rsid w:val="00090F0E"/>
    <w:rsid w:val="00093E12"/>
    <w:rsid w:val="00094BA5"/>
    <w:rsid w:val="00095C7A"/>
    <w:rsid w:val="000A102D"/>
    <w:rsid w:val="000A10F5"/>
    <w:rsid w:val="000A1A64"/>
    <w:rsid w:val="000A1E79"/>
    <w:rsid w:val="000A29FE"/>
    <w:rsid w:val="000A35D8"/>
    <w:rsid w:val="000A67F5"/>
    <w:rsid w:val="000A6ED6"/>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0878"/>
    <w:rsid w:val="000E297D"/>
    <w:rsid w:val="000E2D9B"/>
    <w:rsid w:val="000E3C03"/>
    <w:rsid w:val="000E500B"/>
    <w:rsid w:val="000E6A2F"/>
    <w:rsid w:val="000F1186"/>
    <w:rsid w:val="000F386F"/>
    <w:rsid w:val="000F4643"/>
    <w:rsid w:val="00102227"/>
    <w:rsid w:val="00102B01"/>
    <w:rsid w:val="00105350"/>
    <w:rsid w:val="00105D51"/>
    <w:rsid w:val="00105F41"/>
    <w:rsid w:val="001076A7"/>
    <w:rsid w:val="001103F3"/>
    <w:rsid w:val="00110FFA"/>
    <w:rsid w:val="00113541"/>
    <w:rsid w:val="001144E0"/>
    <w:rsid w:val="001162EF"/>
    <w:rsid w:val="00116510"/>
    <w:rsid w:val="00116EF6"/>
    <w:rsid w:val="001243F1"/>
    <w:rsid w:val="0013055F"/>
    <w:rsid w:val="00130827"/>
    <w:rsid w:val="001308C1"/>
    <w:rsid w:val="00134834"/>
    <w:rsid w:val="00135696"/>
    <w:rsid w:val="00135F90"/>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5656"/>
    <w:rsid w:val="001B04D4"/>
    <w:rsid w:val="001B18A6"/>
    <w:rsid w:val="001B7D21"/>
    <w:rsid w:val="001C1613"/>
    <w:rsid w:val="001C2EC8"/>
    <w:rsid w:val="001C3AE9"/>
    <w:rsid w:val="001C4783"/>
    <w:rsid w:val="001C586F"/>
    <w:rsid w:val="001C5B07"/>
    <w:rsid w:val="001D18F2"/>
    <w:rsid w:val="001D35E7"/>
    <w:rsid w:val="001D393E"/>
    <w:rsid w:val="001D5CF9"/>
    <w:rsid w:val="001D7993"/>
    <w:rsid w:val="001E0104"/>
    <w:rsid w:val="001E17CE"/>
    <w:rsid w:val="001E31C6"/>
    <w:rsid w:val="001E38EB"/>
    <w:rsid w:val="001E567E"/>
    <w:rsid w:val="001E6CFE"/>
    <w:rsid w:val="001E73EF"/>
    <w:rsid w:val="001E740A"/>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08C"/>
    <w:rsid w:val="002441B3"/>
    <w:rsid w:val="002478B9"/>
    <w:rsid w:val="00252664"/>
    <w:rsid w:val="00252AE8"/>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87B49"/>
    <w:rsid w:val="00290BBA"/>
    <w:rsid w:val="00292A73"/>
    <w:rsid w:val="00294B98"/>
    <w:rsid w:val="002A0D9C"/>
    <w:rsid w:val="002A5C67"/>
    <w:rsid w:val="002B1BFF"/>
    <w:rsid w:val="002B685D"/>
    <w:rsid w:val="002C4E09"/>
    <w:rsid w:val="002D2CA2"/>
    <w:rsid w:val="002D306F"/>
    <w:rsid w:val="002D327A"/>
    <w:rsid w:val="002D33F9"/>
    <w:rsid w:val="002D3A01"/>
    <w:rsid w:val="002D3C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519"/>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87040"/>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B8E"/>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3D46"/>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7C0A"/>
    <w:rsid w:val="0056099F"/>
    <w:rsid w:val="00564C41"/>
    <w:rsid w:val="00566720"/>
    <w:rsid w:val="005674FA"/>
    <w:rsid w:val="00574287"/>
    <w:rsid w:val="00576EC4"/>
    <w:rsid w:val="00577AD8"/>
    <w:rsid w:val="00583253"/>
    <w:rsid w:val="00584FB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0B72"/>
    <w:rsid w:val="006E1C32"/>
    <w:rsid w:val="006F06D5"/>
    <w:rsid w:val="006F2A29"/>
    <w:rsid w:val="006F449C"/>
    <w:rsid w:val="006F4EC5"/>
    <w:rsid w:val="006F7BC9"/>
    <w:rsid w:val="006F7EFE"/>
    <w:rsid w:val="00701646"/>
    <w:rsid w:val="0070397D"/>
    <w:rsid w:val="0070559B"/>
    <w:rsid w:val="00706BB4"/>
    <w:rsid w:val="0071416C"/>
    <w:rsid w:val="00715154"/>
    <w:rsid w:val="00715D83"/>
    <w:rsid w:val="00720057"/>
    <w:rsid w:val="00720809"/>
    <w:rsid w:val="00724B22"/>
    <w:rsid w:val="0073160F"/>
    <w:rsid w:val="007317E0"/>
    <w:rsid w:val="00732D82"/>
    <w:rsid w:val="00735D99"/>
    <w:rsid w:val="007360EF"/>
    <w:rsid w:val="00736E19"/>
    <w:rsid w:val="007405FA"/>
    <w:rsid w:val="00741EE7"/>
    <w:rsid w:val="0074232C"/>
    <w:rsid w:val="007429AD"/>
    <w:rsid w:val="00745BED"/>
    <w:rsid w:val="00750AD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13B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2B5A"/>
    <w:rsid w:val="007F79AD"/>
    <w:rsid w:val="008010E1"/>
    <w:rsid w:val="00801750"/>
    <w:rsid w:val="008039F4"/>
    <w:rsid w:val="00805AD3"/>
    <w:rsid w:val="00813093"/>
    <w:rsid w:val="008137F7"/>
    <w:rsid w:val="008139E2"/>
    <w:rsid w:val="00813A1A"/>
    <w:rsid w:val="008145F8"/>
    <w:rsid w:val="00816131"/>
    <w:rsid w:val="00820CAD"/>
    <w:rsid w:val="008226DC"/>
    <w:rsid w:val="00826B64"/>
    <w:rsid w:val="008311CC"/>
    <w:rsid w:val="008322AB"/>
    <w:rsid w:val="00832A71"/>
    <w:rsid w:val="00832C30"/>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7A80"/>
    <w:rsid w:val="00857BD2"/>
    <w:rsid w:val="008642A6"/>
    <w:rsid w:val="00864F3D"/>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4982"/>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3CF3"/>
    <w:rsid w:val="008E4CCA"/>
    <w:rsid w:val="008E5D0C"/>
    <w:rsid w:val="008E61E2"/>
    <w:rsid w:val="008E6E26"/>
    <w:rsid w:val="008E7D94"/>
    <w:rsid w:val="008F024C"/>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1AED"/>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58F"/>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169"/>
    <w:rsid w:val="00A95554"/>
    <w:rsid w:val="00A95F74"/>
    <w:rsid w:val="00A96910"/>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B003D0"/>
    <w:rsid w:val="00B00D94"/>
    <w:rsid w:val="00B014A2"/>
    <w:rsid w:val="00B10032"/>
    <w:rsid w:val="00B10436"/>
    <w:rsid w:val="00B1299B"/>
    <w:rsid w:val="00B1426D"/>
    <w:rsid w:val="00B172EE"/>
    <w:rsid w:val="00B17CAB"/>
    <w:rsid w:val="00B20A98"/>
    <w:rsid w:val="00B2332C"/>
    <w:rsid w:val="00B25433"/>
    <w:rsid w:val="00B263E4"/>
    <w:rsid w:val="00B26A96"/>
    <w:rsid w:val="00B30408"/>
    <w:rsid w:val="00B36F5D"/>
    <w:rsid w:val="00B44133"/>
    <w:rsid w:val="00B52695"/>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2AF"/>
    <w:rsid w:val="00BA63AF"/>
    <w:rsid w:val="00BB085A"/>
    <w:rsid w:val="00BB1764"/>
    <w:rsid w:val="00BB2491"/>
    <w:rsid w:val="00BB37E1"/>
    <w:rsid w:val="00BB3A7A"/>
    <w:rsid w:val="00BB5260"/>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41D"/>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0FAE"/>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31342"/>
    <w:rsid w:val="00D35D47"/>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3C5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279B"/>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84E87"/>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2118"/>
    <w:rsid w:val="00EF79BF"/>
    <w:rsid w:val="00EF7FAA"/>
    <w:rsid w:val="00F036EC"/>
    <w:rsid w:val="00F03D5D"/>
    <w:rsid w:val="00F07831"/>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E5217"/>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8D4F3-84E0-4BB0-A382-C311BAD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3.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4.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5F54364-1C0B-46DD-BBE6-1E96782D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159</TotalTime>
  <Pages>71</Pages>
  <Words>20145</Words>
  <Characters>114830</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134706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10</cp:revision>
  <cp:lastPrinted>2013-01-02T14:27:00Z</cp:lastPrinted>
  <dcterms:created xsi:type="dcterms:W3CDTF">2016-03-22T14:19:00Z</dcterms:created>
  <dcterms:modified xsi:type="dcterms:W3CDTF">2016-03-30T16:20:00Z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