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5D139" w14:textId="77777777" w:rsidR="00DC6E38" w:rsidRDefault="00DC6E38" w:rsidP="00DC6E38">
      <w:pPr>
        <w:rPr>
          <w:rFonts w:cs="Arial"/>
          <w:b/>
        </w:rPr>
      </w:pPr>
      <w:r>
        <w:rPr>
          <w:noProof/>
        </w:rPr>
        <w:drawing>
          <wp:inline distT="0" distB="0" distL="0" distR="0" wp14:anchorId="7D255A2E" wp14:editId="1D019F9B">
            <wp:extent cx="1363980" cy="1137285"/>
            <wp:effectExtent l="0" t="0" r="7620" b="5715"/>
            <wp:docPr id="1" name="Picture 1" descr="Department of Health and Social Care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Picture 1" descr="Department of Health and Social Care logo">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1137285"/>
                    </a:xfrm>
                    <a:prstGeom prst="rect">
                      <a:avLst/>
                    </a:prstGeom>
                    <a:noFill/>
                    <a:ln>
                      <a:noFill/>
                    </a:ln>
                  </pic:spPr>
                </pic:pic>
              </a:graphicData>
            </a:graphic>
          </wp:inline>
        </w:drawing>
      </w:r>
    </w:p>
    <w:p w14:paraId="06B6B8F2" w14:textId="083FE521" w:rsidR="00C03CC6" w:rsidRDefault="006D2D75" w:rsidP="00C03CC6">
      <w:pPr>
        <w:jc w:val="center"/>
        <w:rPr>
          <w:rFonts w:cs="Arial"/>
          <w:b/>
        </w:rPr>
      </w:pPr>
      <w:r>
        <w:rPr>
          <w:rFonts w:cs="Arial"/>
          <w:b/>
        </w:rPr>
        <w:t xml:space="preserve">ITT </w:t>
      </w:r>
      <w:r w:rsidR="00C03CC6" w:rsidRPr="0017533E">
        <w:rPr>
          <w:rFonts w:cs="Arial"/>
          <w:b/>
        </w:rPr>
        <w:t xml:space="preserve">SCHEDULE </w:t>
      </w:r>
      <w:r w:rsidR="00107F0E">
        <w:rPr>
          <w:rFonts w:cs="Arial"/>
          <w:b/>
        </w:rPr>
        <w:t>8</w:t>
      </w:r>
    </w:p>
    <w:p w14:paraId="2AE1D4DC" w14:textId="05BBB4E0" w:rsidR="00C03CC6" w:rsidRDefault="00C03CC6" w:rsidP="00C03CC6">
      <w:pPr>
        <w:jc w:val="center"/>
        <w:rPr>
          <w:rFonts w:cs="Arial"/>
          <w:b/>
        </w:rPr>
      </w:pPr>
      <w:r w:rsidRPr="0017533E">
        <w:rPr>
          <w:rFonts w:cs="Arial"/>
          <w:b/>
        </w:rPr>
        <w:t>SPECIFICATION</w:t>
      </w:r>
    </w:p>
    <w:p w14:paraId="0D16A868" w14:textId="7BB342C1" w:rsidR="00AF39D9" w:rsidRDefault="00AF39D9" w:rsidP="00C03CC6">
      <w:pPr>
        <w:jc w:val="center"/>
        <w:rPr>
          <w:rFonts w:cs="Arial"/>
          <w:b/>
        </w:rPr>
      </w:pPr>
    </w:p>
    <w:p w14:paraId="2714CDE4" w14:textId="646AE677" w:rsidR="00AF39D9" w:rsidRDefault="00AF39D9" w:rsidP="00AF39D9">
      <w:pPr>
        <w:jc w:val="both"/>
        <w:rPr>
          <w:rFonts w:cs="Arial"/>
          <w:b/>
        </w:rPr>
      </w:pPr>
      <w:r w:rsidRPr="00AF39D9">
        <w:rPr>
          <w:rFonts w:cs="Arial"/>
          <w:b/>
          <w:highlight w:val="yellow"/>
        </w:rPr>
        <w:t xml:space="preserve">[NOTE TO TENDERERS: </w:t>
      </w:r>
      <w:r>
        <w:rPr>
          <w:rFonts w:cs="Arial"/>
          <w:b/>
          <w:highlight w:val="yellow"/>
        </w:rPr>
        <w:t>This S</w:t>
      </w:r>
      <w:r w:rsidRPr="00AF39D9">
        <w:rPr>
          <w:rFonts w:cs="Arial"/>
          <w:b/>
          <w:highlight w:val="yellow"/>
        </w:rPr>
        <w:t xml:space="preserve">pecification will form part of the </w:t>
      </w:r>
      <w:r>
        <w:rPr>
          <w:rFonts w:cs="Arial"/>
          <w:b/>
          <w:highlight w:val="yellow"/>
        </w:rPr>
        <w:t>F</w:t>
      </w:r>
      <w:r w:rsidRPr="00AF39D9">
        <w:rPr>
          <w:rFonts w:cs="Arial"/>
          <w:b/>
          <w:highlight w:val="yellow"/>
        </w:rPr>
        <w:t xml:space="preserve">ramework </w:t>
      </w:r>
      <w:r>
        <w:rPr>
          <w:rFonts w:cs="Arial"/>
          <w:b/>
          <w:highlight w:val="yellow"/>
        </w:rPr>
        <w:t>A</w:t>
      </w:r>
      <w:r w:rsidRPr="00AF39D9">
        <w:rPr>
          <w:rFonts w:cs="Arial"/>
          <w:b/>
          <w:highlight w:val="yellow"/>
        </w:rPr>
        <w:t>greement and should be interpreted in accordance with the definitions therein]</w:t>
      </w:r>
      <w:r>
        <w:rPr>
          <w:rFonts w:cs="Arial"/>
          <w:b/>
        </w:rPr>
        <w:t xml:space="preserve"> </w:t>
      </w:r>
    </w:p>
    <w:p w14:paraId="1D0F2A47" w14:textId="77777777" w:rsidR="00C03CC6" w:rsidRDefault="00C03CC6" w:rsidP="00C03CC6">
      <w:pPr>
        <w:jc w:val="center"/>
        <w:rPr>
          <w:rFonts w:cs="Arial"/>
          <w:b/>
        </w:rPr>
      </w:pPr>
    </w:p>
    <w:p w14:paraId="04E151BE" w14:textId="77777777" w:rsidR="00C9569D" w:rsidRPr="00C03CC6" w:rsidRDefault="00C9569D" w:rsidP="00D05C22">
      <w:pPr>
        <w:pStyle w:val="Heading1"/>
        <w:jc w:val="both"/>
        <w:rPr>
          <w:rFonts w:cs="Arial"/>
          <w:b/>
          <w:lang w:eastAsia="en-GB"/>
        </w:rPr>
      </w:pPr>
      <w:r w:rsidRPr="00C03CC6">
        <w:rPr>
          <w:rFonts w:cs="Arial"/>
          <w:b/>
          <w:lang w:eastAsia="en-GB"/>
        </w:rPr>
        <w:t xml:space="preserve">Introduction </w:t>
      </w:r>
    </w:p>
    <w:p w14:paraId="5309A629" w14:textId="77777777" w:rsidR="00C9569D" w:rsidRPr="00C03CC6" w:rsidRDefault="00C9569D" w:rsidP="00D05C22">
      <w:pPr>
        <w:pStyle w:val="Body1"/>
        <w:jc w:val="both"/>
        <w:rPr>
          <w:rFonts w:cs="Arial"/>
          <w:lang w:eastAsia="en-GB"/>
        </w:rPr>
      </w:pPr>
    </w:p>
    <w:p w14:paraId="34385F51" w14:textId="6D8033F1" w:rsidR="00C9569D" w:rsidRPr="00C03CC6" w:rsidRDefault="00C9569D" w:rsidP="00D05C22">
      <w:pPr>
        <w:pStyle w:val="Heading2"/>
        <w:jc w:val="both"/>
        <w:rPr>
          <w:rFonts w:cs="Arial"/>
          <w:lang w:eastAsia="en-GB"/>
        </w:rPr>
      </w:pPr>
      <w:r w:rsidRPr="00C03CC6">
        <w:rPr>
          <w:rFonts w:cs="Arial"/>
          <w:lang w:eastAsia="en-GB"/>
        </w:rPr>
        <w:t>DHSC has appointed the Supplier to store and</w:t>
      </w:r>
      <w:r w:rsidR="00097C4D" w:rsidRPr="00C03CC6">
        <w:rPr>
          <w:rFonts w:cs="Arial"/>
          <w:lang w:eastAsia="en-GB"/>
        </w:rPr>
        <w:t>/or</w:t>
      </w:r>
      <w:r w:rsidRPr="00C03CC6">
        <w:rPr>
          <w:rFonts w:cs="Arial"/>
          <w:lang w:eastAsia="en-GB"/>
        </w:rPr>
        <w:t xml:space="preserve"> distribute a range of DHSC-owned goods which may include pharmaceutical products,</w:t>
      </w:r>
      <w:r w:rsidR="002D1DA8">
        <w:rPr>
          <w:rFonts w:cs="Arial"/>
          <w:lang w:eastAsia="en-GB"/>
        </w:rPr>
        <w:t xml:space="preserve"> vaccines</w:t>
      </w:r>
      <w:r w:rsidR="00B431EC" w:rsidRPr="00C03CC6">
        <w:rPr>
          <w:rFonts w:cs="Arial"/>
          <w:lang w:eastAsia="en-GB"/>
        </w:rPr>
        <w:t>, repackaged and relabelled products, medical devices, consumables, reagents</w:t>
      </w:r>
      <w:r w:rsidR="00C21DBF" w:rsidRPr="00C03CC6">
        <w:rPr>
          <w:rFonts w:cs="Arial"/>
          <w:lang w:eastAsia="en-GB"/>
        </w:rPr>
        <w:t xml:space="preserve"> and</w:t>
      </w:r>
      <w:r w:rsidR="00B431EC" w:rsidRPr="00C03CC6">
        <w:rPr>
          <w:rFonts w:cs="Arial"/>
          <w:lang w:eastAsia="en-GB"/>
        </w:rPr>
        <w:t xml:space="preserve"> medical equipment </w:t>
      </w:r>
      <w:r w:rsidRPr="00C03CC6">
        <w:rPr>
          <w:rFonts w:cs="Arial"/>
          <w:lang w:eastAsia="en-GB"/>
        </w:rPr>
        <w:t>(the “</w:t>
      </w:r>
      <w:r w:rsidRPr="00C03CC6">
        <w:rPr>
          <w:rFonts w:cs="Arial"/>
          <w:b/>
          <w:lang w:eastAsia="en-GB"/>
        </w:rPr>
        <w:t>Goods</w:t>
      </w:r>
      <w:r w:rsidRPr="00C03CC6">
        <w:rPr>
          <w:rFonts w:cs="Arial"/>
          <w:lang w:eastAsia="en-GB"/>
        </w:rPr>
        <w:t>”)</w:t>
      </w:r>
      <w:r w:rsidR="00410EB3" w:rsidRPr="00C03CC6">
        <w:rPr>
          <w:rFonts w:cs="Arial"/>
          <w:lang w:eastAsia="en-GB"/>
        </w:rPr>
        <w:t xml:space="preserve">. </w:t>
      </w:r>
    </w:p>
    <w:p w14:paraId="71AD79E5" w14:textId="77777777" w:rsidR="00C9569D" w:rsidRPr="00C03CC6" w:rsidRDefault="00C9569D" w:rsidP="00D05C22">
      <w:pPr>
        <w:pStyle w:val="Body2"/>
        <w:jc w:val="both"/>
        <w:rPr>
          <w:rFonts w:cs="Arial"/>
          <w:lang w:eastAsia="en-GB"/>
        </w:rPr>
      </w:pPr>
    </w:p>
    <w:p w14:paraId="272A2D5F" w14:textId="101756C5" w:rsidR="00C9569D" w:rsidRPr="00C03CC6" w:rsidRDefault="00C9569D" w:rsidP="00D05C22">
      <w:pPr>
        <w:pStyle w:val="Heading2"/>
        <w:jc w:val="both"/>
        <w:rPr>
          <w:rFonts w:cs="Arial"/>
          <w:lang w:eastAsia="en-GB"/>
        </w:rPr>
      </w:pPr>
      <w:r w:rsidRPr="00C03CC6">
        <w:rPr>
          <w:rFonts w:cs="Arial"/>
          <w:lang w:eastAsia="en-GB"/>
        </w:rPr>
        <w:t>The Supplier will receive the Goods from DHSC</w:t>
      </w:r>
      <w:r w:rsidR="00097C4D" w:rsidRPr="00C03CC6">
        <w:rPr>
          <w:rFonts w:cs="Arial"/>
          <w:lang w:eastAsia="en-GB"/>
        </w:rPr>
        <w:t>,</w:t>
      </w:r>
      <w:r w:rsidRPr="00C03CC6">
        <w:rPr>
          <w:rFonts w:cs="Arial"/>
          <w:lang w:eastAsia="en-GB"/>
        </w:rPr>
        <w:t xml:space="preserve"> or from a third-party supplier or manufacturer </w:t>
      </w:r>
      <w:r w:rsidR="00B431EC" w:rsidRPr="00C03CC6">
        <w:rPr>
          <w:rFonts w:cs="Arial"/>
          <w:lang w:eastAsia="en-GB"/>
        </w:rPr>
        <w:t>on behalf of DHSC</w:t>
      </w:r>
      <w:r w:rsidR="00097C4D" w:rsidRPr="00C03CC6">
        <w:rPr>
          <w:rFonts w:cs="Arial"/>
          <w:lang w:eastAsia="en-GB"/>
        </w:rPr>
        <w:t>,</w:t>
      </w:r>
      <w:r w:rsidR="00B431EC" w:rsidRPr="00C03CC6">
        <w:rPr>
          <w:rFonts w:cs="Arial"/>
          <w:lang w:eastAsia="en-GB"/>
        </w:rPr>
        <w:t xml:space="preserve"> </w:t>
      </w:r>
      <w:r w:rsidRPr="00C03CC6">
        <w:rPr>
          <w:rFonts w:cs="Arial"/>
          <w:lang w:eastAsia="en-GB"/>
        </w:rPr>
        <w:t xml:space="preserve">and store and/or distribute the Goods to third parties </w:t>
      </w:r>
      <w:r w:rsidR="00410EB3" w:rsidRPr="00C03CC6">
        <w:rPr>
          <w:rFonts w:cs="Arial"/>
          <w:lang w:eastAsia="en-GB"/>
        </w:rPr>
        <w:t xml:space="preserve">which may be third-party suppliers to DHSC or directly to DHSC’s customers </w:t>
      </w:r>
      <w:r w:rsidRPr="00C03CC6">
        <w:rPr>
          <w:rFonts w:cs="Arial"/>
          <w:lang w:eastAsia="en-GB"/>
        </w:rPr>
        <w:t>(the “</w:t>
      </w:r>
      <w:r w:rsidRPr="00C03CC6">
        <w:rPr>
          <w:rFonts w:cs="Arial"/>
          <w:b/>
          <w:lang w:eastAsia="en-GB"/>
        </w:rPr>
        <w:t>End-Users</w:t>
      </w:r>
      <w:r w:rsidRPr="00C03CC6">
        <w:rPr>
          <w:rFonts w:cs="Arial"/>
          <w:lang w:eastAsia="en-GB"/>
        </w:rPr>
        <w:t>”) on</w:t>
      </w:r>
      <w:r w:rsidR="00B431EC" w:rsidRPr="00C03CC6">
        <w:rPr>
          <w:rFonts w:cs="Arial"/>
          <w:lang w:eastAsia="en-GB"/>
        </w:rPr>
        <w:t xml:space="preserve"> receipt of an</w:t>
      </w:r>
      <w:r w:rsidR="00C21DBF" w:rsidRPr="00C03CC6">
        <w:rPr>
          <w:rFonts w:cs="Arial"/>
          <w:lang w:eastAsia="en-GB"/>
        </w:rPr>
        <w:t xml:space="preserve"> End-User O</w:t>
      </w:r>
      <w:r w:rsidR="00B431EC" w:rsidRPr="00C03CC6">
        <w:rPr>
          <w:rFonts w:cs="Arial"/>
          <w:lang w:eastAsia="en-GB"/>
        </w:rPr>
        <w:t xml:space="preserve">rder as further described in this Specification. </w:t>
      </w:r>
    </w:p>
    <w:p w14:paraId="181B4DA3" w14:textId="77777777" w:rsidR="00C9569D" w:rsidRPr="00C03CC6" w:rsidRDefault="00C9569D" w:rsidP="00D05C22">
      <w:pPr>
        <w:pStyle w:val="Body2"/>
        <w:jc w:val="both"/>
        <w:rPr>
          <w:rFonts w:cs="Arial"/>
          <w:lang w:eastAsia="en-GB"/>
        </w:rPr>
      </w:pPr>
    </w:p>
    <w:p w14:paraId="6A7E1B90" w14:textId="5D88A473" w:rsidR="00C9569D" w:rsidRPr="00C03CC6" w:rsidRDefault="00C9569D" w:rsidP="00D05C22">
      <w:pPr>
        <w:pStyle w:val="Heading2"/>
        <w:jc w:val="both"/>
        <w:rPr>
          <w:rFonts w:cs="Arial"/>
          <w:lang w:eastAsia="en-GB"/>
        </w:rPr>
      </w:pPr>
      <w:r w:rsidRPr="00C03CC6">
        <w:rPr>
          <w:rFonts w:cs="Arial"/>
          <w:lang w:eastAsia="en-GB"/>
        </w:rPr>
        <w:t xml:space="preserve">The Services are divided into the following </w:t>
      </w:r>
      <w:r w:rsidR="00C21DBF" w:rsidRPr="00C03CC6">
        <w:rPr>
          <w:rFonts w:cs="Arial"/>
          <w:lang w:eastAsia="en-GB"/>
        </w:rPr>
        <w:t xml:space="preserve">six </w:t>
      </w:r>
      <w:r w:rsidRPr="00C03CC6">
        <w:rPr>
          <w:rFonts w:cs="Arial"/>
          <w:lang w:eastAsia="en-GB"/>
        </w:rPr>
        <w:t>(</w:t>
      </w:r>
      <w:r w:rsidR="00C21DBF" w:rsidRPr="00C03CC6">
        <w:rPr>
          <w:rFonts w:cs="Arial"/>
          <w:lang w:eastAsia="en-GB"/>
        </w:rPr>
        <w:t>6</w:t>
      </w:r>
      <w:r w:rsidRPr="00C03CC6">
        <w:rPr>
          <w:rFonts w:cs="Arial"/>
          <w:lang w:eastAsia="en-GB"/>
        </w:rPr>
        <w:t>)</w:t>
      </w:r>
      <w:r w:rsidR="00C21DBF" w:rsidRPr="00C03CC6">
        <w:rPr>
          <w:rFonts w:cs="Arial"/>
          <w:lang w:eastAsia="en-GB"/>
        </w:rPr>
        <w:t xml:space="preserve"> main</w:t>
      </w:r>
      <w:r w:rsidR="006D2D75">
        <w:rPr>
          <w:rFonts w:cs="Arial"/>
          <w:lang w:eastAsia="en-GB"/>
        </w:rPr>
        <w:t xml:space="preserve"> l</w:t>
      </w:r>
      <w:r w:rsidRPr="00C03CC6">
        <w:rPr>
          <w:rFonts w:cs="Arial"/>
          <w:lang w:eastAsia="en-GB"/>
        </w:rPr>
        <w:t xml:space="preserve">ots: </w:t>
      </w:r>
    </w:p>
    <w:p w14:paraId="02F449BE" w14:textId="77777777" w:rsidR="00C9569D" w:rsidRPr="00C03CC6" w:rsidRDefault="00C9569D" w:rsidP="00D05C22">
      <w:pPr>
        <w:pStyle w:val="Body2"/>
        <w:jc w:val="both"/>
        <w:rPr>
          <w:rFonts w:cs="Arial"/>
          <w:lang w:eastAsia="en-GB"/>
        </w:rPr>
      </w:pPr>
    </w:p>
    <w:p w14:paraId="70BDBD1C" w14:textId="599A87E5" w:rsidR="00C9569D" w:rsidRPr="00C03CC6" w:rsidRDefault="00C9569D" w:rsidP="00D05C22">
      <w:pPr>
        <w:pStyle w:val="Heading3"/>
        <w:ind w:hanging="964"/>
        <w:jc w:val="both"/>
        <w:rPr>
          <w:rFonts w:cs="Arial"/>
          <w:lang w:eastAsia="en-GB"/>
        </w:rPr>
      </w:pPr>
      <w:r w:rsidRPr="00C03CC6">
        <w:rPr>
          <w:rFonts w:cs="Arial"/>
          <w:lang w:eastAsia="en-GB"/>
        </w:rPr>
        <w:t>Lot 1: Pharmaceutical – Primary Care (general practice, pharmacy, dentists, opticians and care homes</w:t>
      </w:r>
      <w:r w:rsidR="00B431EC" w:rsidRPr="00C03CC6">
        <w:rPr>
          <w:rFonts w:cs="Arial"/>
          <w:lang w:eastAsia="en-GB"/>
        </w:rPr>
        <w:t>)</w:t>
      </w:r>
      <w:r w:rsidR="006D2D75">
        <w:rPr>
          <w:rFonts w:cs="Arial"/>
          <w:lang w:eastAsia="en-GB"/>
        </w:rPr>
        <w:t>;</w:t>
      </w:r>
    </w:p>
    <w:p w14:paraId="3A0CD921" w14:textId="77777777" w:rsidR="00C9569D" w:rsidRPr="00C03CC6" w:rsidRDefault="00C9569D" w:rsidP="00D05C22">
      <w:pPr>
        <w:pStyle w:val="Heading3"/>
        <w:numPr>
          <w:ilvl w:val="0"/>
          <w:numId w:val="0"/>
        </w:numPr>
        <w:ind w:left="2404"/>
        <w:jc w:val="both"/>
        <w:rPr>
          <w:rFonts w:cs="Arial"/>
          <w:lang w:eastAsia="en-GB"/>
        </w:rPr>
      </w:pPr>
    </w:p>
    <w:p w14:paraId="19F29E6F" w14:textId="34547291" w:rsidR="00C9569D" w:rsidRPr="00C03CC6" w:rsidRDefault="00C9569D" w:rsidP="00D05C22">
      <w:pPr>
        <w:pStyle w:val="Heading3"/>
        <w:ind w:hanging="964"/>
        <w:jc w:val="both"/>
        <w:rPr>
          <w:rFonts w:cs="Arial"/>
          <w:lang w:eastAsia="en-GB"/>
        </w:rPr>
      </w:pPr>
      <w:r w:rsidRPr="00C03CC6">
        <w:rPr>
          <w:rFonts w:cs="Arial"/>
          <w:lang w:eastAsia="en-GB"/>
        </w:rPr>
        <w:t>Lot 2: Pharmaceutical – Secondary Care (</w:t>
      </w:r>
      <w:r w:rsidR="00214C62" w:rsidRPr="00C03CC6">
        <w:rPr>
          <w:rFonts w:cs="Arial"/>
          <w:lang w:eastAsia="en-GB"/>
        </w:rPr>
        <w:t xml:space="preserve">including </w:t>
      </w:r>
      <w:r w:rsidRPr="00C03CC6">
        <w:rPr>
          <w:rFonts w:cs="Arial"/>
          <w:lang w:eastAsia="en-GB"/>
        </w:rPr>
        <w:t xml:space="preserve">NHS trusts, </w:t>
      </w:r>
      <w:r w:rsidR="0049322B" w:rsidRPr="00C03CC6">
        <w:rPr>
          <w:rFonts w:cs="Arial"/>
          <w:lang w:eastAsia="en-GB"/>
        </w:rPr>
        <w:t xml:space="preserve">healthcare providers as part of </w:t>
      </w:r>
      <w:r w:rsidRPr="00C03CC6">
        <w:rPr>
          <w:rFonts w:cs="Arial"/>
          <w:lang w:eastAsia="en-GB"/>
        </w:rPr>
        <w:t>hospital outreach, Children and Ado</w:t>
      </w:r>
      <w:r w:rsidR="0032401E" w:rsidRPr="00C03CC6">
        <w:rPr>
          <w:rFonts w:cs="Arial"/>
          <w:lang w:eastAsia="en-GB"/>
        </w:rPr>
        <w:t>lescent Mental Health Services)</w:t>
      </w:r>
      <w:r w:rsidR="006D2D75">
        <w:rPr>
          <w:rFonts w:cs="Arial"/>
          <w:lang w:eastAsia="en-GB"/>
        </w:rPr>
        <w:t>;</w:t>
      </w:r>
      <w:r w:rsidR="0032401E" w:rsidRPr="00C03CC6">
        <w:rPr>
          <w:rFonts w:cs="Arial"/>
          <w:lang w:eastAsia="en-GB"/>
        </w:rPr>
        <w:t xml:space="preserve"> </w:t>
      </w:r>
    </w:p>
    <w:p w14:paraId="0BB4BAD4" w14:textId="77777777" w:rsidR="00C9569D" w:rsidRPr="00C03CC6" w:rsidRDefault="00C9569D" w:rsidP="00D05C22">
      <w:pPr>
        <w:pStyle w:val="Heading3"/>
        <w:numPr>
          <w:ilvl w:val="0"/>
          <w:numId w:val="0"/>
        </w:numPr>
        <w:ind w:left="2404"/>
        <w:jc w:val="both"/>
        <w:rPr>
          <w:rFonts w:cs="Arial"/>
          <w:lang w:eastAsia="en-GB"/>
        </w:rPr>
      </w:pPr>
    </w:p>
    <w:p w14:paraId="2F701AD4" w14:textId="44CC66CF" w:rsidR="00C9569D" w:rsidRPr="00C03CC6" w:rsidRDefault="00C9569D" w:rsidP="00D05C22">
      <w:pPr>
        <w:pStyle w:val="Heading3"/>
        <w:ind w:hanging="964"/>
        <w:jc w:val="both"/>
        <w:rPr>
          <w:rFonts w:cs="Arial"/>
          <w:lang w:eastAsia="en-GB"/>
        </w:rPr>
      </w:pPr>
      <w:r w:rsidRPr="00C03CC6">
        <w:rPr>
          <w:rFonts w:cs="Arial"/>
          <w:lang w:eastAsia="en-GB"/>
        </w:rPr>
        <w:t>Lot 3: Natio</w:t>
      </w:r>
      <w:r w:rsidR="00B431EC" w:rsidRPr="00C03CC6">
        <w:rPr>
          <w:rFonts w:cs="Arial"/>
          <w:lang w:eastAsia="en-GB"/>
        </w:rPr>
        <w:t>nal Vaccine Programme Products</w:t>
      </w:r>
      <w:r w:rsidR="006D2D75">
        <w:rPr>
          <w:rFonts w:cs="Arial"/>
          <w:lang w:eastAsia="en-GB"/>
        </w:rPr>
        <w:t>;</w:t>
      </w:r>
      <w:r w:rsidR="00B431EC" w:rsidRPr="00C03CC6">
        <w:rPr>
          <w:rFonts w:cs="Arial"/>
          <w:lang w:eastAsia="en-GB"/>
        </w:rPr>
        <w:t xml:space="preserve"> </w:t>
      </w:r>
    </w:p>
    <w:p w14:paraId="7AC1F940" w14:textId="77777777" w:rsidR="00C9569D" w:rsidRPr="00C03CC6" w:rsidRDefault="00C9569D" w:rsidP="00D05C22">
      <w:pPr>
        <w:pStyle w:val="Heading3"/>
        <w:numPr>
          <w:ilvl w:val="0"/>
          <w:numId w:val="0"/>
        </w:numPr>
        <w:ind w:left="2404"/>
        <w:jc w:val="both"/>
        <w:rPr>
          <w:rFonts w:cs="Arial"/>
          <w:lang w:eastAsia="en-GB"/>
        </w:rPr>
      </w:pPr>
    </w:p>
    <w:p w14:paraId="7E83FBF7" w14:textId="78CEB68A" w:rsidR="00C9569D" w:rsidRPr="00C03CC6" w:rsidRDefault="00C9569D" w:rsidP="00D05C22">
      <w:pPr>
        <w:pStyle w:val="Heading3"/>
        <w:ind w:hanging="964"/>
        <w:jc w:val="both"/>
        <w:rPr>
          <w:rFonts w:cs="Arial"/>
          <w:lang w:eastAsia="en-GB"/>
        </w:rPr>
      </w:pPr>
      <w:r w:rsidRPr="00C03CC6">
        <w:rPr>
          <w:rFonts w:cs="Arial"/>
          <w:lang w:eastAsia="en-GB"/>
        </w:rPr>
        <w:t>Lot 4: High Consequence Infectious Disease (HCID) Vaccine Distribution</w:t>
      </w:r>
      <w:r w:rsidR="006D2D75">
        <w:rPr>
          <w:rFonts w:cs="Arial"/>
          <w:lang w:eastAsia="en-GB"/>
        </w:rPr>
        <w:t>;</w:t>
      </w:r>
    </w:p>
    <w:p w14:paraId="28662C57" w14:textId="77777777" w:rsidR="00C9569D" w:rsidRPr="00C03CC6" w:rsidRDefault="00C9569D" w:rsidP="00D05C22">
      <w:pPr>
        <w:pStyle w:val="Heading3"/>
        <w:numPr>
          <w:ilvl w:val="0"/>
          <w:numId w:val="0"/>
        </w:numPr>
        <w:ind w:left="2404"/>
        <w:jc w:val="both"/>
        <w:rPr>
          <w:rFonts w:cs="Arial"/>
          <w:lang w:eastAsia="en-GB"/>
        </w:rPr>
      </w:pPr>
    </w:p>
    <w:p w14:paraId="72BFD7F3" w14:textId="44BFF823" w:rsidR="00C9569D" w:rsidRPr="00C03CC6" w:rsidRDefault="00C9569D" w:rsidP="00D05C22">
      <w:pPr>
        <w:pStyle w:val="Heading3"/>
        <w:ind w:hanging="964"/>
        <w:jc w:val="both"/>
        <w:rPr>
          <w:rFonts w:cs="Arial"/>
          <w:lang w:eastAsia="en-GB"/>
        </w:rPr>
      </w:pPr>
      <w:r w:rsidRPr="00C03CC6">
        <w:rPr>
          <w:rFonts w:cs="Arial"/>
          <w:lang w:eastAsia="en-GB"/>
        </w:rPr>
        <w:t xml:space="preserve">Lot 5: Repacked and Relabelled </w:t>
      </w:r>
      <w:r w:rsidR="00410EB3" w:rsidRPr="00C03CC6">
        <w:rPr>
          <w:rFonts w:cs="Arial"/>
          <w:lang w:eastAsia="en-GB"/>
        </w:rPr>
        <w:t>P</w:t>
      </w:r>
      <w:r w:rsidRPr="00C03CC6">
        <w:rPr>
          <w:rFonts w:cs="Arial"/>
          <w:lang w:eastAsia="en-GB"/>
        </w:rPr>
        <w:t>roducts</w:t>
      </w:r>
      <w:r w:rsidR="006D2D75">
        <w:rPr>
          <w:rFonts w:cs="Arial"/>
          <w:lang w:eastAsia="en-GB"/>
        </w:rPr>
        <w:t>; and</w:t>
      </w:r>
    </w:p>
    <w:p w14:paraId="44CC7705" w14:textId="77777777" w:rsidR="00C9569D" w:rsidRPr="00C03CC6" w:rsidRDefault="00C9569D" w:rsidP="00D05C22">
      <w:pPr>
        <w:pStyle w:val="Heading3"/>
        <w:numPr>
          <w:ilvl w:val="0"/>
          <w:numId w:val="0"/>
        </w:numPr>
        <w:ind w:left="2404"/>
        <w:jc w:val="both"/>
        <w:rPr>
          <w:rFonts w:cs="Arial"/>
          <w:lang w:eastAsia="en-GB"/>
        </w:rPr>
      </w:pPr>
    </w:p>
    <w:p w14:paraId="72FECA76" w14:textId="23AE4127" w:rsidR="00C9569D" w:rsidRPr="00C03CC6" w:rsidRDefault="00C9569D" w:rsidP="00D05C22">
      <w:pPr>
        <w:pStyle w:val="Heading3"/>
        <w:ind w:hanging="964"/>
        <w:jc w:val="both"/>
        <w:rPr>
          <w:rFonts w:cs="Arial"/>
          <w:lang w:eastAsia="en-GB"/>
        </w:rPr>
      </w:pPr>
      <w:r w:rsidRPr="00C03CC6">
        <w:rPr>
          <w:rFonts w:cs="Arial"/>
          <w:lang w:eastAsia="en-GB"/>
        </w:rPr>
        <w:t>Lot 6: Medical Devices, Consumables, Reagents and Equipment</w:t>
      </w:r>
      <w:r w:rsidR="006D2D75">
        <w:rPr>
          <w:rFonts w:cs="Arial"/>
          <w:lang w:eastAsia="en-GB"/>
        </w:rPr>
        <w:t>.</w:t>
      </w:r>
    </w:p>
    <w:p w14:paraId="33AA144B" w14:textId="77777777" w:rsidR="00C9569D" w:rsidRPr="00C03CC6" w:rsidRDefault="00C9569D" w:rsidP="00D05C22">
      <w:pPr>
        <w:pStyle w:val="Heading3"/>
        <w:numPr>
          <w:ilvl w:val="0"/>
          <w:numId w:val="0"/>
        </w:numPr>
        <w:ind w:left="2404"/>
        <w:jc w:val="both"/>
        <w:rPr>
          <w:rFonts w:cs="Arial"/>
          <w:lang w:eastAsia="en-GB"/>
        </w:rPr>
      </w:pPr>
    </w:p>
    <w:p w14:paraId="13F333D2" w14:textId="41000B50" w:rsidR="00C21DBF" w:rsidRPr="00C03CC6" w:rsidRDefault="006D2D75" w:rsidP="00D05C22">
      <w:pPr>
        <w:pStyle w:val="Heading2"/>
        <w:jc w:val="both"/>
        <w:rPr>
          <w:rFonts w:cs="Arial"/>
          <w:lang w:eastAsia="en-GB"/>
        </w:rPr>
      </w:pPr>
      <w:r>
        <w:rPr>
          <w:rFonts w:cs="Arial"/>
          <w:lang w:eastAsia="en-GB"/>
        </w:rPr>
        <w:t>Each main lot is sub-divided into two sub-l</w:t>
      </w:r>
      <w:r w:rsidR="00C21DBF" w:rsidRPr="00C03CC6">
        <w:rPr>
          <w:rFonts w:cs="Arial"/>
          <w:lang w:eastAsia="en-GB"/>
        </w:rPr>
        <w:t xml:space="preserve">ots – sub-Lot (A) will comprise </w:t>
      </w:r>
      <w:r w:rsidR="005D5532" w:rsidRPr="00C03CC6">
        <w:rPr>
          <w:rFonts w:cs="Arial"/>
          <w:lang w:eastAsia="en-GB"/>
        </w:rPr>
        <w:t xml:space="preserve">national </w:t>
      </w:r>
      <w:r w:rsidR="00C21DBF" w:rsidRPr="00C03CC6">
        <w:rPr>
          <w:rFonts w:cs="Arial"/>
          <w:lang w:eastAsia="en-GB"/>
        </w:rPr>
        <w:t xml:space="preserve">Framework Suppliers and sub-Lot (B) will comprise </w:t>
      </w:r>
      <w:r w:rsidR="005D5532" w:rsidRPr="00C03CC6">
        <w:rPr>
          <w:rFonts w:cs="Arial"/>
          <w:lang w:eastAsia="en-GB"/>
        </w:rPr>
        <w:t>regional</w:t>
      </w:r>
      <w:r w:rsidR="00C21DBF" w:rsidRPr="00C03CC6">
        <w:rPr>
          <w:rFonts w:cs="Arial"/>
          <w:lang w:eastAsia="en-GB"/>
        </w:rPr>
        <w:t xml:space="preserve"> Framework Suppliers. </w:t>
      </w:r>
    </w:p>
    <w:p w14:paraId="74910E7C" w14:textId="77777777" w:rsidR="00C21DBF" w:rsidRPr="00C03CC6" w:rsidRDefault="00C21DBF" w:rsidP="00C21DBF">
      <w:pPr>
        <w:pStyle w:val="Body2"/>
        <w:rPr>
          <w:lang w:eastAsia="en-GB"/>
        </w:rPr>
      </w:pPr>
    </w:p>
    <w:p w14:paraId="7901E661" w14:textId="041751FF" w:rsidR="00C9569D" w:rsidRPr="00C03CC6" w:rsidRDefault="00C9569D" w:rsidP="00D05C22">
      <w:pPr>
        <w:pStyle w:val="Heading2"/>
        <w:jc w:val="both"/>
        <w:rPr>
          <w:rFonts w:cs="Arial"/>
          <w:lang w:eastAsia="en-GB"/>
        </w:rPr>
      </w:pPr>
      <w:r w:rsidRPr="00C03CC6">
        <w:rPr>
          <w:rFonts w:cs="Arial"/>
          <w:lang w:eastAsia="en-GB"/>
        </w:rPr>
        <w:t xml:space="preserve">The specific requirements for each </w:t>
      </w:r>
      <w:r w:rsidR="00C21DBF" w:rsidRPr="00C03CC6">
        <w:rPr>
          <w:rFonts w:cs="Arial"/>
          <w:lang w:eastAsia="en-GB"/>
        </w:rPr>
        <w:t xml:space="preserve">main </w:t>
      </w:r>
      <w:r w:rsidR="006D2D75">
        <w:rPr>
          <w:rFonts w:cs="Arial"/>
          <w:lang w:eastAsia="en-GB"/>
        </w:rPr>
        <w:t>l</w:t>
      </w:r>
      <w:r w:rsidRPr="00C03CC6">
        <w:rPr>
          <w:rFonts w:cs="Arial"/>
          <w:lang w:eastAsia="en-GB"/>
        </w:rPr>
        <w:t xml:space="preserve">ot are set out further below in this Specification. The Supplier is appointed to </w:t>
      </w:r>
      <w:r w:rsidR="00C21DBF" w:rsidRPr="00C03CC6">
        <w:rPr>
          <w:rFonts w:cs="Arial"/>
          <w:lang w:eastAsia="en-GB"/>
        </w:rPr>
        <w:t>sub-</w:t>
      </w:r>
      <w:r w:rsidR="006D2D75">
        <w:rPr>
          <w:rFonts w:cs="Arial"/>
          <w:lang w:eastAsia="en-GB"/>
        </w:rPr>
        <w:t>l</w:t>
      </w:r>
      <w:r w:rsidRPr="00C03CC6">
        <w:rPr>
          <w:rFonts w:cs="Arial"/>
          <w:lang w:eastAsia="en-GB"/>
        </w:rPr>
        <w:t xml:space="preserve">ot(s) </w:t>
      </w:r>
      <w:r w:rsidRPr="00C03CC6">
        <w:rPr>
          <w:rFonts w:cs="Arial"/>
          <w:highlight w:val="yellow"/>
          <w:lang w:eastAsia="en-GB"/>
        </w:rPr>
        <w:t xml:space="preserve">[insert on framework agreement award] </w:t>
      </w:r>
      <w:r w:rsidR="006D2D75">
        <w:rPr>
          <w:rFonts w:cs="Arial"/>
          <w:highlight w:val="yellow"/>
          <w:lang w:eastAsia="en-GB"/>
        </w:rPr>
        <w:t>[for the delivery of the Services</w:t>
      </w:r>
      <w:r w:rsidR="00447BC1" w:rsidRPr="00C03CC6">
        <w:rPr>
          <w:rFonts w:cs="Arial"/>
          <w:highlight w:val="yellow"/>
          <w:lang w:eastAsia="en-GB"/>
        </w:rPr>
        <w:t xml:space="preserve"> in the following regions: xxxx]</w:t>
      </w:r>
      <w:r w:rsidR="00447BC1" w:rsidRPr="00C03CC6">
        <w:rPr>
          <w:rFonts w:cs="Arial"/>
          <w:lang w:eastAsia="en-GB"/>
        </w:rPr>
        <w:t xml:space="preserve"> </w:t>
      </w:r>
      <w:r w:rsidRPr="00C03CC6">
        <w:rPr>
          <w:rFonts w:cs="Arial"/>
          <w:lang w:eastAsia="en-GB"/>
        </w:rPr>
        <w:t xml:space="preserve">and only the requirements of those </w:t>
      </w:r>
      <w:r w:rsidR="00C21DBF" w:rsidRPr="00C03CC6">
        <w:rPr>
          <w:rFonts w:cs="Arial"/>
          <w:lang w:eastAsia="en-GB"/>
        </w:rPr>
        <w:t>sub-</w:t>
      </w:r>
      <w:r w:rsidR="006D2D75">
        <w:rPr>
          <w:rFonts w:cs="Arial"/>
          <w:lang w:eastAsia="en-GB"/>
        </w:rPr>
        <w:t>l</w:t>
      </w:r>
      <w:r w:rsidRPr="00C03CC6">
        <w:rPr>
          <w:rFonts w:cs="Arial"/>
          <w:lang w:eastAsia="en-GB"/>
        </w:rPr>
        <w:t xml:space="preserve">ots will apply to the Supplier. </w:t>
      </w:r>
    </w:p>
    <w:p w14:paraId="686207D1" w14:textId="5517E0DC" w:rsidR="00D05C22" w:rsidRPr="00C03CC6" w:rsidRDefault="00D05C22" w:rsidP="00D05C22">
      <w:pPr>
        <w:pStyle w:val="Body2"/>
        <w:jc w:val="both"/>
        <w:rPr>
          <w:lang w:eastAsia="en-GB"/>
        </w:rPr>
      </w:pPr>
    </w:p>
    <w:p w14:paraId="101A3510" w14:textId="317FCCEB" w:rsidR="00D05C22" w:rsidRPr="00C03CC6" w:rsidRDefault="00D05C22" w:rsidP="00D05C22">
      <w:pPr>
        <w:pStyle w:val="Heading2"/>
        <w:jc w:val="both"/>
        <w:rPr>
          <w:lang w:eastAsia="en-GB"/>
        </w:rPr>
      </w:pPr>
      <w:r w:rsidRPr="00C03CC6">
        <w:rPr>
          <w:lang w:eastAsia="en-GB"/>
        </w:rPr>
        <w:t>This Specification will be interpreted in accordance with Joint Schedule 1 (Definitions)</w:t>
      </w:r>
      <w:r w:rsidR="006D2D75">
        <w:rPr>
          <w:lang w:eastAsia="en-GB"/>
        </w:rPr>
        <w:t xml:space="preserve"> of the Framework Agreement</w:t>
      </w:r>
      <w:r w:rsidRPr="00C03CC6">
        <w:rPr>
          <w:lang w:eastAsia="en-GB"/>
        </w:rPr>
        <w:t xml:space="preserve"> and the Glossary </w:t>
      </w:r>
      <w:r w:rsidR="000B5A3A" w:rsidRPr="00C03CC6">
        <w:rPr>
          <w:lang w:eastAsia="en-GB"/>
        </w:rPr>
        <w:t>set out in the Annex to this</w:t>
      </w:r>
      <w:r w:rsidRPr="00C03CC6">
        <w:rPr>
          <w:lang w:eastAsia="en-GB"/>
        </w:rPr>
        <w:t xml:space="preserve"> Specification. </w:t>
      </w:r>
    </w:p>
    <w:p w14:paraId="58F01F75" w14:textId="77777777" w:rsidR="00C9569D" w:rsidRPr="00C03CC6" w:rsidRDefault="00C9569D" w:rsidP="00D05C22">
      <w:pPr>
        <w:pStyle w:val="Body2"/>
        <w:jc w:val="both"/>
        <w:rPr>
          <w:rFonts w:cs="Arial"/>
          <w:lang w:eastAsia="en-GB"/>
        </w:rPr>
      </w:pPr>
    </w:p>
    <w:p w14:paraId="0EF3AE0A" w14:textId="0B6DAAD0" w:rsidR="00C9569D" w:rsidRPr="00C03CC6" w:rsidRDefault="00E61FAB" w:rsidP="00D05C22">
      <w:pPr>
        <w:pStyle w:val="Heading1"/>
        <w:jc w:val="both"/>
        <w:rPr>
          <w:rFonts w:cs="Arial"/>
          <w:b/>
          <w:lang w:eastAsia="en-GB"/>
        </w:rPr>
      </w:pPr>
      <w:r w:rsidRPr="00C03CC6">
        <w:rPr>
          <w:rFonts w:cs="Arial"/>
          <w:b/>
          <w:lang w:eastAsia="en-GB"/>
        </w:rPr>
        <w:t xml:space="preserve">Statement of </w:t>
      </w:r>
      <w:r w:rsidR="00DF6203" w:rsidRPr="00C03CC6">
        <w:rPr>
          <w:rFonts w:cs="Arial"/>
          <w:b/>
          <w:lang w:eastAsia="en-GB"/>
        </w:rPr>
        <w:t>Requirement</w:t>
      </w:r>
      <w:r w:rsidRPr="00C03CC6">
        <w:rPr>
          <w:rFonts w:cs="Arial"/>
          <w:b/>
          <w:lang w:eastAsia="en-GB"/>
        </w:rPr>
        <w:t>s</w:t>
      </w:r>
      <w:r w:rsidR="00DF6203" w:rsidRPr="00C03CC6">
        <w:rPr>
          <w:rFonts w:cs="Arial"/>
          <w:b/>
          <w:lang w:eastAsia="en-GB"/>
        </w:rPr>
        <w:t xml:space="preserve"> for the Goods </w:t>
      </w:r>
    </w:p>
    <w:p w14:paraId="356863A4" w14:textId="77777777" w:rsidR="00C9569D" w:rsidRPr="00C03CC6" w:rsidRDefault="00C9569D" w:rsidP="00D05C22">
      <w:pPr>
        <w:pStyle w:val="Body1"/>
        <w:jc w:val="both"/>
        <w:rPr>
          <w:rFonts w:cs="Arial"/>
          <w:lang w:eastAsia="en-GB"/>
        </w:rPr>
      </w:pPr>
    </w:p>
    <w:p w14:paraId="21DAB3E5" w14:textId="7311B6D2" w:rsidR="00661F58" w:rsidRPr="00C03CC6" w:rsidRDefault="00661F58" w:rsidP="00661F58">
      <w:pPr>
        <w:pStyle w:val="Heading2"/>
        <w:jc w:val="both"/>
      </w:pPr>
      <w:r w:rsidRPr="00C03CC6">
        <w:t xml:space="preserve">DHSC purchases </w:t>
      </w:r>
      <w:r w:rsidR="00461466">
        <w:t xml:space="preserve">and stockpiles </w:t>
      </w:r>
      <w:r w:rsidRPr="00C03CC6">
        <w:t>Goods in response to anticipated shortages (both imminent shortages and potential long-term shortages further to DHSC’s risk-mitigation strategy). DHSC identifies potential shortage</w:t>
      </w:r>
      <w:r w:rsidR="00410EB3" w:rsidRPr="00C03CC6">
        <w:t>s</w:t>
      </w:r>
      <w:r w:rsidRPr="00C03CC6">
        <w:t xml:space="preserve"> through a number of routes including from intelligence gained from NHS sources</w:t>
      </w:r>
      <w:r w:rsidR="00BA3927" w:rsidRPr="00C03CC6">
        <w:t xml:space="preserve"> (including NHS England’s Allocation and Distribution Group</w:t>
      </w:r>
      <w:r w:rsidR="00FD1930" w:rsidRPr="00C03CC6">
        <w:t xml:space="preserve"> </w:t>
      </w:r>
      <w:r w:rsidR="002C4FD0" w:rsidRPr="00C03CC6">
        <w:t>(</w:t>
      </w:r>
      <w:r w:rsidR="00FD1930" w:rsidRPr="00C03CC6">
        <w:t>the “</w:t>
      </w:r>
      <w:r w:rsidR="00FD1930" w:rsidRPr="00C03CC6">
        <w:rPr>
          <w:b/>
        </w:rPr>
        <w:t>ADG</w:t>
      </w:r>
      <w:r w:rsidR="00FD1930" w:rsidRPr="00C03CC6">
        <w:t>”</w:t>
      </w:r>
      <w:r w:rsidR="002C4FD0" w:rsidRPr="00C03CC6">
        <w:t>) in respect of pharmaceutical shortages and shortages in secondary-care</w:t>
      </w:r>
      <w:r w:rsidR="00FD1930" w:rsidRPr="00C03CC6">
        <w:t>)</w:t>
      </w:r>
      <w:r w:rsidRPr="00C03CC6">
        <w:t xml:space="preserve"> or via its supply chain risk identification processes</w:t>
      </w:r>
      <w:r w:rsidR="00E61FAB" w:rsidRPr="00C03CC6">
        <w:t>. Where there is a requirement for Framework Suppliers to store these Goods and/or Goods are required by End-Users, DHSC will issue a Statement of Requirement</w:t>
      </w:r>
      <w:r w:rsidR="00E504CE" w:rsidRPr="00C03CC6">
        <w:t>s.</w:t>
      </w:r>
      <w:r w:rsidR="00E61FAB" w:rsidRPr="00C03CC6">
        <w:t xml:space="preserve"> </w:t>
      </w:r>
      <w:r w:rsidR="00E504CE" w:rsidRPr="00C03CC6">
        <w:t xml:space="preserve"> </w:t>
      </w:r>
      <w:r w:rsidRPr="00C03CC6">
        <w:t xml:space="preserve">The </w:t>
      </w:r>
      <w:r w:rsidR="00E61FAB" w:rsidRPr="00C03CC6">
        <w:t xml:space="preserve">Statement of </w:t>
      </w:r>
      <w:r w:rsidRPr="00C03CC6">
        <w:t>Requirement</w:t>
      </w:r>
      <w:r w:rsidR="00E61FAB" w:rsidRPr="00C03CC6">
        <w:t>s</w:t>
      </w:r>
      <w:r w:rsidRPr="00C03CC6">
        <w:t xml:space="preserve"> may be for</w:t>
      </w:r>
      <w:r w:rsidR="00E61FAB" w:rsidRPr="00C03CC6">
        <w:t xml:space="preserve"> Services in England only or may </w:t>
      </w:r>
      <w:r w:rsidR="00E504CE" w:rsidRPr="00C03CC6">
        <w:t>include any or all of</w:t>
      </w:r>
      <w:r w:rsidR="00E61FAB" w:rsidRPr="00C03CC6">
        <w:t xml:space="preserve"> </w:t>
      </w:r>
      <w:r w:rsidR="006D2D75">
        <w:t>Northern Ireland, Wales or Scotland (together the “</w:t>
      </w:r>
      <w:r w:rsidR="00E61FAB" w:rsidRPr="006D2D75">
        <w:rPr>
          <w:b/>
        </w:rPr>
        <w:t>Devolved Administrations</w:t>
      </w:r>
      <w:r w:rsidR="006D2D75">
        <w:t>”)</w:t>
      </w:r>
      <w:r w:rsidR="00461466">
        <w:t xml:space="preserve"> and will specify any specific requirements as necessary. </w:t>
      </w:r>
    </w:p>
    <w:p w14:paraId="0D362035" w14:textId="77777777" w:rsidR="00661F58" w:rsidRPr="00C03CC6" w:rsidRDefault="00661F58" w:rsidP="00661F58">
      <w:pPr>
        <w:pStyle w:val="Heading2"/>
        <w:numPr>
          <w:ilvl w:val="0"/>
          <w:numId w:val="0"/>
        </w:numPr>
        <w:ind w:left="1440"/>
        <w:jc w:val="both"/>
        <w:rPr>
          <w:rFonts w:cs="Arial"/>
          <w:lang w:eastAsia="en-GB"/>
        </w:rPr>
      </w:pPr>
    </w:p>
    <w:p w14:paraId="01DEF0A1" w14:textId="0C510AD7" w:rsidR="00D70FBB" w:rsidRPr="00C03CC6" w:rsidRDefault="00D70FBB" w:rsidP="00D70FBB">
      <w:pPr>
        <w:pStyle w:val="Heading2"/>
        <w:jc w:val="both"/>
        <w:rPr>
          <w:rFonts w:cs="Arial"/>
          <w:lang w:eastAsia="en-GB"/>
        </w:rPr>
      </w:pPr>
      <w:r w:rsidRPr="00C03CC6">
        <w:rPr>
          <w:rFonts w:cs="Arial"/>
          <w:lang w:eastAsia="en-GB"/>
        </w:rPr>
        <w:t xml:space="preserve">DHSC purchases the Goods directly from the manufacturer and </w:t>
      </w:r>
      <w:r w:rsidR="00DC455B">
        <w:rPr>
          <w:rFonts w:cs="Arial"/>
          <w:lang w:eastAsia="en-GB"/>
        </w:rPr>
        <w:t xml:space="preserve">may either </w:t>
      </w:r>
      <w:r w:rsidRPr="00C03CC6">
        <w:rPr>
          <w:rFonts w:cs="Arial"/>
          <w:lang w:eastAsia="en-GB"/>
        </w:rPr>
        <w:t>ask the manufacturer to deliver the Goods directly to the Supplier</w:t>
      </w:r>
      <w:r w:rsidR="00DC455B">
        <w:rPr>
          <w:rFonts w:cs="Arial"/>
          <w:lang w:eastAsia="en-GB"/>
        </w:rPr>
        <w:t xml:space="preserve"> or will deliver the Goods itself</w:t>
      </w:r>
      <w:r w:rsidRPr="00C03CC6">
        <w:rPr>
          <w:rFonts w:cs="Arial"/>
          <w:lang w:eastAsia="en-GB"/>
        </w:rPr>
        <w:t xml:space="preserve">. Exceptionally, </w:t>
      </w:r>
      <w:r w:rsidRPr="00C03CC6">
        <w:t>DHSC will receive the Goods directly from the manufacturer and the Supplier will be asked to collect the Goods from identified DHSC warehouses. Where this is the case, DHSC will set this out in the Statement of Requirements.</w:t>
      </w:r>
      <w:r w:rsidRPr="00C03CC6">
        <w:rPr>
          <w:rFonts w:cs="Arial"/>
          <w:lang w:eastAsia="en-GB"/>
        </w:rPr>
        <w:t xml:space="preserve"> </w:t>
      </w:r>
    </w:p>
    <w:p w14:paraId="3A26C565" w14:textId="77777777" w:rsidR="00D70FBB" w:rsidRPr="00C03CC6" w:rsidRDefault="00D70FBB" w:rsidP="00D70FBB">
      <w:pPr>
        <w:pStyle w:val="Heading2"/>
        <w:numPr>
          <w:ilvl w:val="0"/>
          <w:numId w:val="0"/>
        </w:numPr>
        <w:ind w:left="1440"/>
        <w:jc w:val="both"/>
        <w:rPr>
          <w:rFonts w:cs="Arial"/>
          <w:lang w:eastAsia="en-GB"/>
        </w:rPr>
      </w:pPr>
    </w:p>
    <w:p w14:paraId="50B7386E" w14:textId="016171C8" w:rsidR="002C4FD0" w:rsidRPr="00C03CC6" w:rsidRDefault="00E61FAB" w:rsidP="00D05C22">
      <w:pPr>
        <w:pStyle w:val="Heading2"/>
        <w:jc w:val="both"/>
        <w:rPr>
          <w:rFonts w:cs="Arial"/>
          <w:lang w:eastAsia="en-GB"/>
        </w:rPr>
      </w:pPr>
      <w:r w:rsidRPr="00C03CC6">
        <w:rPr>
          <w:rFonts w:cs="Arial"/>
          <w:lang w:eastAsia="en-GB"/>
        </w:rPr>
        <w:t>When a Supplier accepts a Statement of Requirement</w:t>
      </w:r>
      <w:r w:rsidR="00776820" w:rsidRPr="00C03CC6">
        <w:rPr>
          <w:rFonts w:cs="Arial"/>
          <w:lang w:eastAsia="en-GB"/>
        </w:rPr>
        <w:t>s</w:t>
      </w:r>
      <w:r w:rsidRPr="00C03CC6">
        <w:rPr>
          <w:rFonts w:cs="Arial"/>
          <w:lang w:eastAsia="en-GB"/>
        </w:rPr>
        <w:t xml:space="preserve"> and enters into a Call-Off Contract</w:t>
      </w:r>
      <w:r w:rsidR="002C4FD0" w:rsidRPr="00C03CC6">
        <w:rPr>
          <w:rFonts w:cs="Arial"/>
          <w:lang w:eastAsia="en-GB"/>
        </w:rPr>
        <w:t xml:space="preserve">, it will confirm to DHSC, or a </w:t>
      </w:r>
      <w:r w:rsidR="00D70FBB" w:rsidRPr="00C03CC6">
        <w:rPr>
          <w:rFonts w:cs="Arial"/>
          <w:lang w:eastAsia="en-GB"/>
        </w:rPr>
        <w:t>third party</w:t>
      </w:r>
      <w:r w:rsidR="002C4FD0" w:rsidRPr="00C03CC6">
        <w:rPr>
          <w:rFonts w:cs="Arial"/>
          <w:lang w:eastAsia="en-GB"/>
        </w:rPr>
        <w:t xml:space="preserve"> nominated by DHSC, that it has received</w:t>
      </w:r>
      <w:r w:rsidR="00D70FBB" w:rsidRPr="00C03CC6">
        <w:rPr>
          <w:rFonts w:cs="Arial"/>
          <w:lang w:eastAsia="en-GB"/>
        </w:rPr>
        <w:t xml:space="preserve"> </w:t>
      </w:r>
      <w:r w:rsidR="002C4FD0" w:rsidRPr="00C03CC6">
        <w:rPr>
          <w:rFonts w:cs="Arial"/>
          <w:lang w:eastAsia="en-GB"/>
        </w:rPr>
        <w:t>the relevant Goods in its possession.</w:t>
      </w:r>
      <w:r w:rsidRPr="00C03CC6">
        <w:rPr>
          <w:rFonts w:cs="Arial"/>
          <w:lang w:eastAsia="en-GB"/>
        </w:rPr>
        <w:t xml:space="preserve"> </w:t>
      </w:r>
    </w:p>
    <w:p w14:paraId="5AC8B19E" w14:textId="77777777" w:rsidR="002C4FD0" w:rsidRPr="00C03CC6" w:rsidRDefault="002C4FD0" w:rsidP="002C4FD0">
      <w:pPr>
        <w:pStyle w:val="Body2"/>
        <w:rPr>
          <w:lang w:eastAsia="en-GB"/>
        </w:rPr>
      </w:pPr>
    </w:p>
    <w:p w14:paraId="35ED3E0A" w14:textId="77777777" w:rsidR="00507B36" w:rsidRPr="00C03CC6" w:rsidRDefault="002C4FD0" w:rsidP="00D05C22">
      <w:pPr>
        <w:pStyle w:val="Heading2"/>
        <w:jc w:val="both"/>
        <w:rPr>
          <w:rFonts w:cs="Arial"/>
          <w:lang w:eastAsia="en-GB"/>
        </w:rPr>
      </w:pPr>
      <w:r w:rsidRPr="00C03CC6">
        <w:rPr>
          <w:rFonts w:cs="Arial"/>
          <w:lang w:eastAsia="en-GB"/>
        </w:rPr>
        <w:t>Where a Supplier is required to deliver</w:t>
      </w:r>
      <w:r w:rsidR="004604F2" w:rsidRPr="00C03CC6">
        <w:rPr>
          <w:rFonts w:cs="Arial"/>
          <w:lang w:eastAsia="en-GB"/>
        </w:rPr>
        <w:t xml:space="preserve"> Goods</w:t>
      </w:r>
      <w:r w:rsidR="00410EB3" w:rsidRPr="00C03CC6">
        <w:rPr>
          <w:rFonts w:cs="Arial"/>
          <w:lang w:eastAsia="en-GB"/>
        </w:rPr>
        <w:t xml:space="preserve"> to End-Users</w:t>
      </w:r>
      <w:r w:rsidR="004604F2" w:rsidRPr="00C03CC6">
        <w:rPr>
          <w:rFonts w:cs="Arial"/>
          <w:lang w:eastAsia="en-GB"/>
        </w:rPr>
        <w:t>,</w:t>
      </w:r>
      <w:r w:rsidR="00E61FAB" w:rsidRPr="00C03CC6">
        <w:rPr>
          <w:rFonts w:cs="Arial"/>
          <w:lang w:eastAsia="en-GB"/>
        </w:rPr>
        <w:t xml:space="preserve"> End-Users will be notified</w:t>
      </w:r>
      <w:r w:rsidR="00FD1930" w:rsidRPr="00C03CC6">
        <w:rPr>
          <w:rFonts w:cs="Arial"/>
          <w:lang w:eastAsia="en-GB"/>
        </w:rPr>
        <w:t xml:space="preserve"> (by DHSC or a third</w:t>
      </w:r>
      <w:r w:rsidR="00D70FBB" w:rsidRPr="00C03CC6">
        <w:rPr>
          <w:rFonts w:cs="Arial"/>
          <w:lang w:eastAsia="en-GB"/>
        </w:rPr>
        <w:t xml:space="preserve"> </w:t>
      </w:r>
      <w:r w:rsidR="00FD1930" w:rsidRPr="00C03CC6">
        <w:rPr>
          <w:rFonts w:cs="Arial"/>
          <w:lang w:eastAsia="en-GB"/>
        </w:rPr>
        <w:t>party such as the ADG)</w:t>
      </w:r>
      <w:r w:rsidR="00E61FAB" w:rsidRPr="00C03CC6">
        <w:rPr>
          <w:rFonts w:cs="Arial"/>
          <w:lang w:eastAsia="en-GB"/>
        </w:rPr>
        <w:t xml:space="preserve"> that the Supplier holds the Goods. An End-User can then place an End-User Order with the Supplier in respect of those Goods. </w:t>
      </w:r>
    </w:p>
    <w:p w14:paraId="77196FB2" w14:textId="77777777" w:rsidR="00507B36" w:rsidRPr="00C03CC6" w:rsidRDefault="00507B36" w:rsidP="00507B36">
      <w:pPr>
        <w:pStyle w:val="Heading2"/>
        <w:numPr>
          <w:ilvl w:val="0"/>
          <w:numId w:val="0"/>
        </w:numPr>
        <w:ind w:left="1440"/>
        <w:jc w:val="both"/>
        <w:rPr>
          <w:rFonts w:cs="Arial"/>
          <w:lang w:eastAsia="en-GB"/>
        </w:rPr>
      </w:pPr>
    </w:p>
    <w:p w14:paraId="3522A59D" w14:textId="48D572B0" w:rsidR="00BA3927" w:rsidRPr="00C03CC6" w:rsidRDefault="00410EB3" w:rsidP="00D05C22">
      <w:pPr>
        <w:pStyle w:val="Heading2"/>
        <w:jc w:val="both"/>
        <w:rPr>
          <w:rFonts w:cs="Arial"/>
          <w:lang w:eastAsia="en-GB"/>
        </w:rPr>
      </w:pPr>
      <w:r w:rsidRPr="00C03CC6">
        <w:rPr>
          <w:rFonts w:cs="Arial"/>
          <w:lang w:eastAsia="en-GB"/>
        </w:rPr>
        <w:t>Where a Supplier is instead required to deliver the Goods to a third-party supplier</w:t>
      </w:r>
      <w:r w:rsidR="00513979" w:rsidRPr="00C03CC6">
        <w:rPr>
          <w:rFonts w:cs="Arial"/>
          <w:lang w:eastAsia="en-GB"/>
        </w:rPr>
        <w:t xml:space="preserve">, the arrangements for </w:t>
      </w:r>
      <w:r w:rsidR="006D2D75">
        <w:rPr>
          <w:rFonts w:cs="Arial"/>
          <w:lang w:eastAsia="en-GB"/>
        </w:rPr>
        <w:t>this</w:t>
      </w:r>
      <w:r w:rsidR="00513979" w:rsidRPr="00C03CC6">
        <w:rPr>
          <w:rFonts w:cs="Arial"/>
          <w:lang w:eastAsia="en-GB"/>
        </w:rPr>
        <w:t xml:space="preserve"> will be set out in the </w:t>
      </w:r>
      <w:r w:rsidR="006D2D75">
        <w:rPr>
          <w:rFonts w:cs="Arial"/>
          <w:lang w:eastAsia="en-GB"/>
        </w:rPr>
        <w:t>Statement of Requirements</w:t>
      </w:r>
      <w:r w:rsidR="00513979" w:rsidRPr="00C03CC6">
        <w:rPr>
          <w:rFonts w:cs="Arial"/>
          <w:lang w:eastAsia="en-GB"/>
        </w:rPr>
        <w:t>.</w:t>
      </w:r>
    </w:p>
    <w:p w14:paraId="02E854B5" w14:textId="77777777" w:rsidR="00BA3927" w:rsidRPr="00C03CC6" w:rsidRDefault="00BA3927" w:rsidP="00BA3927">
      <w:pPr>
        <w:pStyle w:val="Body2"/>
        <w:rPr>
          <w:lang w:eastAsia="en-GB"/>
        </w:rPr>
      </w:pPr>
    </w:p>
    <w:p w14:paraId="27D22B02" w14:textId="623FC483" w:rsidR="00DF6203" w:rsidRPr="00C03CC6" w:rsidRDefault="00DF6203" w:rsidP="00D05C22">
      <w:pPr>
        <w:pStyle w:val="Heading1"/>
        <w:jc w:val="both"/>
        <w:rPr>
          <w:rFonts w:cs="Arial"/>
          <w:b/>
          <w:lang w:eastAsia="en-GB"/>
        </w:rPr>
      </w:pPr>
      <w:r w:rsidRPr="00C03CC6">
        <w:rPr>
          <w:rFonts w:cs="Arial"/>
          <w:b/>
          <w:lang w:eastAsia="en-GB"/>
        </w:rPr>
        <w:t xml:space="preserve">Services </w:t>
      </w:r>
    </w:p>
    <w:p w14:paraId="2E4931C1" w14:textId="259CF837" w:rsidR="00E61FAB" w:rsidRPr="00C03CC6" w:rsidRDefault="00E61FAB" w:rsidP="00E61FAB">
      <w:pPr>
        <w:pStyle w:val="Body1"/>
        <w:ind w:left="12"/>
        <w:rPr>
          <w:lang w:eastAsia="en-GB"/>
        </w:rPr>
      </w:pPr>
    </w:p>
    <w:p w14:paraId="11EB17D8" w14:textId="51D53064" w:rsidR="00E61FAB" w:rsidRPr="00C03CC6" w:rsidRDefault="00E61FAB" w:rsidP="00FD1930">
      <w:pPr>
        <w:pStyle w:val="Heading2"/>
        <w:jc w:val="both"/>
        <w:rPr>
          <w:lang w:eastAsia="en-GB"/>
        </w:rPr>
      </w:pPr>
      <w:r w:rsidRPr="00C03CC6">
        <w:rPr>
          <w:lang w:eastAsia="en-GB"/>
        </w:rPr>
        <w:t xml:space="preserve">DHSC will describe the </w:t>
      </w:r>
      <w:r w:rsidRPr="00C03CC6">
        <w:rPr>
          <w:rFonts w:cs="Arial"/>
          <w:lang w:eastAsia="en-GB"/>
        </w:rPr>
        <w:t>specific</w:t>
      </w:r>
      <w:r w:rsidRPr="00C03CC6">
        <w:rPr>
          <w:lang w:eastAsia="en-GB"/>
        </w:rPr>
        <w:t xml:space="preserve"> Services required in a Statement of Requirements. Those Services may include one or more of the following: </w:t>
      </w:r>
    </w:p>
    <w:p w14:paraId="44C8B515" w14:textId="77777777" w:rsidR="00707AEC" w:rsidRPr="00C03CC6" w:rsidRDefault="00707AEC" w:rsidP="00D05C22">
      <w:pPr>
        <w:pStyle w:val="Body1"/>
        <w:jc w:val="both"/>
        <w:rPr>
          <w:rFonts w:cs="Arial"/>
          <w:lang w:eastAsia="en-GB"/>
        </w:rPr>
      </w:pPr>
    </w:p>
    <w:p w14:paraId="62D7B9CC" w14:textId="28B6214E" w:rsidR="00DF6203" w:rsidRPr="00C03CC6" w:rsidRDefault="002E09D4" w:rsidP="00E61FAB">
      <w:pPr>
        <w:pStyle w:val="Body2"/>
        <w:ind w:left="284"/>
        <w:jc w:val="both"/>
        <w:rPr>
          <w:rFonts w:cs="Arial"/>
          <w:u w:val="single"/>
          <w:lang w:eastAsia="en-GB"/>
        </w:rPr>
      </w:pPr>
      <w:r w:rsidRPr="00C03CC6">
        <w:rPr>
          <w:rFonts w:cs="Arial"/>
          <w:u w:val="single"/>
          <w:lang w:eastAsia="en-GB"/>
        </w:rPr>
        <w:t>L</w:t>
      </w:r>
      <w:r w:rsidR="00DF6203" w:rsidRPr="00C03CC6">
        <w:rPr>
          <w:rFonts w:cs="Arial"/>
          <w:u w:val="single"/>
          <w:lang w:eastAsia="en-GB"/>
        </w:rPr>
        <w:t xml:space="preserve">ong-term storage </w:t>
      </w:r>
    </w:p>
    <w:p w14:paraId="08FFB8C7" w14:textId="77777777" w:rsidR="00DF6203" w:rsidRPr="00C03CC6" w:rsidRDefault="00DF6203" w:rsidP="00D05C22">
      <w:pPr>
        <w:pStyle w:val="Body2"/>
        <w:ind w:left="720"/>
        <w:jc w:val="both"/>
        <w:rPr>
          <w:rFonts w:cs="Arial"/>
          <w:u w:val="single"/>
          <w:lang w:eastAsia="en-GB"/>
        </w:rPr>
      </w:pPr>
    </w:p>
    <w:p w14:paraId="69AF03F0" w14:textId="22473D9C" w:rsidR="004604F2" w:rsidRPr="00C03CC6" w:rsidRDefault="00DF6203" w:rsidP="00D05C22">
      <w:pPr>
        <w:pStyle w:val="Heading2"/>
        <w:jc w:val="both"/>
        <w:rPr>
          <w:rFonts w:cs="Arial"/>
          <w:lang w:eastAsia="en-GB"/>
        </w:rPr>
      </w:pPr>
      <w:r w:rsidRPr="00C03CC6">
        <w:rPr>
          <w:rFonts w:cs="Arial"/>
          <w:lang w:eastAsia="en-GB"/>
        </w:rPr>
        <w:t xml:space="preserve">The Supplier may be required to hold Goods in long-term storage prior to </w:t>
      </w:r>
      <w:r w:rsidR="004604F2" w:rsidRPr="00C03CC6">
        <w:rPr>
          <w:rFonts w:cs="Arial"/>
          <w:lang w:eastAsia="en-GB"/>
        </w:rPr>
        <w:t>an End-User Order</w:t>
      </w:r>
      <w:r w:rsidR="00410EB3" w:rsidRPr="00C03CC6">
        <w:rPr>
          <w:rFonts w:cs="Arial"/>
          <w:lang w:eastAsia="en-GB"/>
        </w:rPr>
        <w:t xml:space="preserve"> (whether that End-User Order is received by a Supplier or a third-party supplier)</w:t>
      </w:r>
      <w:r w:rsidR="004604F2" w:rsidRPr="00C03CC6">
        <w:rPr>
          <w:rFonts w:cs="Arial"/>
          <w:lang w:eastAsia="en-GB"/>
        </w:rPr>
        <w:t>. The Supplier may be required to hold larger consignments for a longer term than under a short-term storage and distribution arrangement</w:t>
      </w:r>
      <w:r w:rsidR="00E504CE" w:rsidRPr="00C03CC6">
        <w:rPr>
          <w:rFonts w:cs="Arial"/>
          <w:lang w:eastAsia="en-GB"/>
        </w:rPr>
        <w:t xml:space="preserve"> as described in paragraph</w:t>
      </w:r>
      <w:r w:rsidR="006D2D75">
        <w:rPr>
          <w:rFonts w:cs="Arial"/>
          <w:lang w:eastAsia="en-GB"/>
        </w:rPr>
        <w:t xml:space="preserve"> </w:t>
      </w:r>
      <w:r w:rsidR="006D2D75">
        <w:rPr>
          <w:rFonts w:cs="Arial"/>
          <w:lang w:eastAsia="en-GB"/>
        </w:rPr>
        <w:fldChar w:fldCharType="begin"/>
      </w:r>
      <w:r w:rsidR="006D2D75">
        <w:rPr>
          <w:rFonts w:cs="Arial"/>
          <w:lang w:eastAsia="en-GB"/>
        </w:rPr>
        <w:instrText xml:space="preserve"> REF _Ref95736441 \r \h </w:instrText>
      </w:r>
      <w:r w:rsidR="006D2D75">
        <w:rPr>
          <w:rFonts w:cs="Arial"/>
          <w:lang w:eastAsia="en-GB"/>
        </w:rPr>
      </w:r>
      <w:r w:rsidR="006D2D75">
        <w:rPr>
          <w:rFonts w:cs="Arial"/>
          <w:lang w:eastAsia="en-GB"/>
        </w:rPr>
        <w:fldChar w:fldCharType="separate"/>
      </w:r>
      <w:r w:rsidR="006D2D75">
        <w:rPr>
          <w:rFonts w:cs="Arial"/>
          <w:lang w:eastAsia="en-GB"/>
        </w:rPr>
        <w:t>3.3</w:t>
      </w:r>
      <w:r w:rsidR="006D2D75">
        <w:rPr>
          <w:rFonts w:cs="Arial"/>
          <w:lang w:eastAsia="en-GB"/>
        </w:rPr>
        <w:fldChar w:fldCharType="end"/>
      </w:r>
      <w:r w:rsidR="004604F2" w:rsidRPr="00C03CC6">
        <w:rPr>
          <w:rFonts w:cs="Arial"/>
          <w:lang w:eastAsia="en-GB"/>
        </w:rPr>
        <w:t xml:space="preserve">, the specifics of </w:t>
      </w:r>
      <w:r w:rsidR="00E504CE" w:rsidRPr="00C03CC6">
        <w:rPr>
          <w:rFonts w:cs="Arial"/>
          <w:lang w:eastAsia="en-GB"/>
        </w:rPr>
        <w:t>the longer-term storage arrangements</w:t>
      </w:r>
      <w:r w:rsidR="004604F2" w:rsidRPr="00C03CC6">
        <w:rPr>
          <w:rFonts w:cs="Arial"/>
          <w:lang w:eastAsia="en-GB"/>
        </w:rPr>
        <w:t xml:space="preserve"> be</w:t>
      </w:r>
      <w:r w:rsidR="00E504CE" w:rsidRPr="00C03CC6">
        <w:rPr>
          <w:rFonts w:cs="Arial"/>
          <w:lang w:eastAsia="en-GB"/>
        </w:rPr>
        <w:t>ing</w:t>
      </w:r>
      <w:r w:rsidR="004604F2" w:rsidRPr="00C03CC6">
        <w:rPr>
          <w:rFonts w:cs="Arial"/>
          <w:lang w:eastAsia="en-GB"/>
        </w:rPr>
        <w:t xml:space="preserve"> set out in the Statement of Requirements. The Supplier may be required to deliver the Goods to </w:t>
      </w:r>
      <w:r w:rsidR="00410EB3" w:rsidRPr="00C03CC6">
        <w:rPr>
          <w:rFonts w:cs="Arial"/>
          <w:lang w:eastAsia="en-GB"/>
        </w:rPr>
        <w:t xml:space="preserve">a third-party </w:t>
      </w:r>
      <w:r w:rsidR="004604F2" w:rsidRPr="00C03CC6">
        <w:rPr>
          <w:rFonts w:cs="Arial"/>
          <w:lang w:eastAsia="en-GB"/>
        </w:rPr>
        <w:t xml:space="preserve">supplier, including another Framework Supplier, for delivery to the End-User or may be </w:t>
      </w:r>
      <w:r w:rsidR="004604F2" w:rsidRPr="00C03CC6">
        <w:rPr>
          <w:rFonts w:cs="Arial"/>
          <w:lang w:eastAsia="en-GB"/>
        </w:rPr>
        <w:lastRenderedPageBreak/>
        <w:t xml:space="preserve">required to deliver the Goods directly to the End-User. </w:t>
      </w:r>
      <w:r w:rsidR="00410EB3" w:rsidRPr="00C03CC6">
        <w:rPr>
          <w:rFonts w:cs="Arial"/>
          <w:lang w:eastAsia="en-GB"/>
        </w:rPr>
        <w:t xml:space="preserve">In the case of the latter, the provisions below (Short-term storage and distribution) will apply. </w:t>
      </w:r>
    </w:p>
    <w:p w14:paraId="6E740193" w14:textId="575193A9" w:rsidR="00DF6203" w:rsidRPr="00C03CC6" w:rsidRDefault="00410EB3" w:rsidP="00D05C22">
      <w:pPr>
        <w:pStyle w:val="Body2"/>
        <w:jc w:val="both"/>
        <w:rPr>
          <w:rFonts w:cs="Arial"/>
          <w:lang w:eastAsia="en-GB"/>
        </w:rPr>
      </w:pPr>
      <w:r w:rsidRPr="00C03CC6" w:rsidDel="004604F2">
        <w:rPr>
          <w:rFonts w:cs="Arial"/>
          <w:lang w:eastAsia="en-GB"/>
        </w:rPr>
        <w:t xml:space="preserve"> </w:t>
      </w:r>
    </w:p>
    <w:p w14:paraId="736D45F5" w14:textId="444F9949" w:rsidR="00DF6203" w:rsidRPr="00C03CC6" w:rsidRDefault="002E09D4" w:rsidP="00410EB3">
      <w:pPr>
        <w:pStyle w:val="Body1"/>
        <w:ind w:left="284"/>
        <w:jc w:val="both"/>
        <w:rPr>
          <w:rFonts w:cs="Arial"/>
          <w:u w:val="single"/>
          <w:lang w:eastAsia="en-GB"/>
        </w:rPr>
      </w:pPr>
      <w:r w:rsidRPr="00C03CC6">
        <w:rPr>
          <w:rFonts w:cs="Arial"/>
          <w:u w:val="single"/>
          <w:lang w:eastAsia="en-GB"/>
        </w:rPr>
        <w:t>S</w:t>
      </w:r>
      <w:r w:rsidR="00DF6203" w:rsidRPr="00C03CC6">
        <w:rPr>
          <w:rFonts w:cs="Arial"/>
          <w:u w:val="single"/>
          <w:lang w:eastAsia="en-GB"/>
        </w:rPr>
        <w:t xml:space="preserve">hort-term storage and distribution </w:t>
      </w:r>
    </w:p>
    <w:p w14:paraId="4221B506" w14:textId="77777777" w:rsidR="00DF6203" w:rsidRPr="00C03CC6" w:rsidRDefault="00DF6203" w:rsidP="00D05C22">
      <w:pPr>
        <w:pStyle w:val="Body1"/>
        <w:jc w:val="both"/>
        <w:rPr>
          <w:rFonts w:cs="Arial"/>
          <w:lang w:eastAsia="en-GB"/>
        </w:rPr>
      </w:pPr>
    </w:p>
    <w:p w14:paraId="0402980B" w14:textId="02C680CC" w:rsidR="004604F2" w:rsidRDefault="004604F2" w:rsidP="00D05C22">
      <w:pPr>
        <w:pStyle w:val="Heading2"/>
        <w:jc w:val="both"/>
        <w:rPr>
          <w:rFonts w:cs="Arial"/>
          <w:lang w:eastAsia="en-GB"/>
        </w:rPr>
      </w:pPr>
      <w:bookmarkStart w:id="0" w:name="_Ref95736441"/>
      <w:r w:rsidRPr="00C03CC6">
        <w:rPr>
          <w:rFonts w:cs="Arial"/>
          <w:lang w:eastAsia="en-GB"/>
        </w:rPr>
        <w:t xml:space="preserve">The Supplier may be required to hold Goods in short-term storage and deliver the Goods to an End-User on receipt of an End-User Order. The Supplier </w:t>
      </w:r>
      <w:r w:rsidR="00047B65" w:rsidRPr="00C03CC6">
        <w:rPr>
          <w:rFonts w:cs="Arial"/>
          <w:lang w:eastAsia="en-GB"/>
        </w:rPr>
        <w:t>will need to ensure that it can meet End-User coverage, register new End-Users and prepare its inventory management system for new Goods prior to receiving the first End-User Order.</w:t>
      </w:r>
      <w:r w:rsidR="006B6231" w:rsidRPr="00C03CC6">
        <w:rPr>
          <w:rFonts w:cs="Arial"/>
          <w:lang w:eastAsia="en-GB"/>
        </w:rPr>
        <w:t xml:space="preserve"> DHSC may, from time to time, notify the Supplier that it must temporarily cease accepting any End-User Orders for particular Goods in the case of excessive demand and/or where there are potential supply shortages. DHSC</w:t>
      </w:r>
      <w:r w:rsidR="00447BC1" w:rsidRPr="00C03CC6">
        <w:rPr>
          <w:rFonts w:cs="Arial"/>
          <w:lang w:eastAsia="en-GB"/>
        </w:rPr>
        <w:t xml:space="preserve"> will inform the Supplier if this is the case and t</w:t>
      </w:r>
      <w:r w:rsidR="006B6231" w:rsidRPr="00C03CC6">
        <w:rPr>
          <w:rFonts w:cs="Arial"/>
          <w:lang w:eastAsia="en-GB"/>
        </w:rPr>
        <w:t>he Supplier will store the Goods until further notice from DHSC.</w:t>
      </w:r>
      <w:bookmarkEnd w:id="0"/>
    </w:p>
    <w:p w14:paraId="1447D16D" w14:textId="77777777" w:rsidR="006D2D75" w:rsidRPr="006D2D75" w:rsidRDefault="006D2D75" w:rsidP="006D2D75">
      <w:pPr>
        <w:pStyle w:val="Body2"/>
        <w:rPr>
          <w:lang w:eastAsia="en-GB"/>
        </w:rPr>
      </w:pPr>
    </w:p>
    <w:p w14:paraId="578E57F9" w14:textId="1259A142" w:rsidR="00B51588" w:rsidRPr="00C03CC6" w:rsidRDefault="00DF6203" w:rsidP="00513979">
      <w:pPr>
        <w:pStyle w:val="Heading2"/>
        <w:jc w:val="both"/>
        <w:rPr>
          <w:rFonts w:cs="Arial"/>
          <w:lang w:eastAsia="en-GB"/>
        </w:rPr>
      </w:pPr>
      <w:r w:rsidRPr="00C03CC6">
        <w:rPr>
          <w:rFonts w:cs="Arial"/>
          <w:lang w:eastAsia="en-GB"/>
        </w:rPr>
        <w:t>The Supplier must provide a</w:t>
      </w:r>
      <w:r w:rsidR="00513979" w:rsidRPr="00C03CC6">
        <w:rPr>
          <w:rFonts w:cs="Arial"/>
          <w:lang w:eastAsia="en-GB"/>
        </w:rPr>
        <w:t xml:space="preserve"> secure and user-friendly</w:t>
      </w:r>
      <w:r w:rsidRPr="00C03CC6">
        <w:rPr>
          <w:rFonts w:cs="Arial"/>
          <w:lang w:eastAsia="en-GB"/>
        </w:rPr>
        <w:t xml:space="preserve"> ordering system </w:t>
      </w:r>
      <w:r w:rsidR="002E09D4" w:rsidRPr="00C03CC6">
        <w:rPr>
          <w:rFonts w:cs="Arial"/>
          <w:lang w:eastAsia="en-GB"/>
        </w:rPr>
        <w:t xml:space="preserve">for End-Users </w:t>
      </w:r>
      <w:r w:rsidRPr="00C03CC6">
        <w:rPr>
          <w:rFonts w:cs="Arial"/>
          <w:lang w:eastAsia="en-GB"/>
        </w:rPr>
        <w:t>which, as a minimum</w:t>
      </w:r>
      <w:r w:rsidR="006D2D75">
        <w:rPr>
          <w:rFonts w:cs="Arial"/>
          <w:lang w:eastAsia="en-GB"/>
        </w:rPr>
        <w:t>,</w:t>
      </w:r>
      <w:r w:rsidR="00513979" w:rsidRPr="00C03CC6">
        <w:rPr>
          <w:rFonts w:cs="Arial"/>
          <w:lang w:eastAsia="en-GB"/>
        </w:rPr>
        <w:t xml:space="preserve"> </w:t>
      </w:r>
      <w:r w:rsidR="00B51588" w:rsidRPr="00C03CC6">
        <w:rPr>
          <w:rFonts w:cs="Arial"/>
          <w:lang w:eastAsia="en-GB"/>
        </w:rPr>
        <w:t>is only accessible by authorised Supplier Staff via a secur</w:t>
      </w:r>
      <w:r w:rsidR="00513979" w:rsidRPr="00C03CC6">
        <w:rPr>
          <w:rFonts w:cs="Arial"/>
          <w:lang w:eastAsia="en-GB"/>
        </w:rPr>
        <w:t>e company email address log-in and which complies with the provisions of Framework Schedule 9 (Cyber Essentials Framework), Framework Schedule 10 (Business Continuity and Disaster Recover</w:t>
      </w:r>
      <w:r w:rsidR="009472DB">
        <w:rPr>
          <w:rFonts w:cs="Arial"/>
          <w:lang w:eastAsia="en-GB"/>
        </w:rPr>
        <w:t>y</w:t>
      </w:r>
      <w:r w:rsidR="00513979" w:rsidRPr="00C03CC6">
        <w:rPr>
          <w:rFonts w:cs="Arial"/>
          <w:lang w:eastAsia="en-GB"/>
        </w:rPr>
        <w:t>) and Joint Schedule 1</w:t>
      </w:r>
      <w:r w:rsidR="006D2D75">
        <w:rPr>
          <w:rFonts w:cs="Arial"/>
          <w:lang w:eastAsia="en-GB"/>
        </w:rPr>
        <w:t>0</w:t>
      </w:r>
      <w:r w:rsidR="00513979" w:rsidRPr="00C03CC6">
        <w:rPr>
          <w:rFonts w:cs="Arial"/>
          <w:lang w:eastAsia="en-GB"/>
        </w:rPr>
        <w:t xml:space="preserve"> (Processing Data). </w:t>
      </w:r>
      <w:r w:rsidR="00DC455B">
        <w:rPr>
          <w:rFonts w:cs="Arial"/>
          <w:lang w:eastAsia="en-GB"/>
        </w:rPr>
        <w:t xml:space="preserve">If orders are made by telephone, they must be followed-up and confirmed via email by the Supplier. </w:t>
      </w:r>
    </w:p>
    <w:p w14:paraId="0F0D2965" w14:textId="5D94E4D4" w:rsidR="00DF6203" w:rsidRPr="00C03CC6" w:rsidRDefault="00DF6203" w:rsidP="00513979">
      <w:pPr>
        <w:pStyle w:val="Heading3"/>
        <w:numPr>
          <w:ilvl w:val="0"/>
          <w:numId w:val="0"/>
        </w:numPr>
        <w:ind w:left="2404"/>
        <w:jc w:val="both"/>
        <w:rPr>
          <w:rFonts w:cs="Arial"/>
          <w:lang w:eastAsia="en-GB"/>
        </w:rPr>
      </w:pPr>
    </w:p>
    <w:p w14:paraId="103449AC" w14:textId="7D2A12C9" w:rsidR="002E09D4" w:rsidRPr="00C03CC6" w:rsidRDefault="002E09D4" w:rsidP="006D2D75">
      <w:pPr>
        <w:pStyle w:val="Heading2"/>
        <w:jc w:val="both"/>
        <w:rPr>
          <w:lang w:eastAsia="en-GB"/>
        </w:rPr>
      </w:pPr>
      <w:r w:rsidRPr="00C03CC6">
        <w:rPr>
          <w:lang w:eastAsia="en-GB"/>
        </w:rPr>
        <w:t>On receipt of an End-User Order, the Supplier must</w:t>
      </w:r>
      <w:r w:rsidR="004604F2" w:rsidRPr="00C03CC6">
        <w:rPr>
          <w:lang w:eastAsia="en-GB"/>
        </w:rPr>
        <w:t xml:space="preserve"> </w:t>
      </w:r>
      <w:r w:rsidRPr="00C03CC6">
        <w:rPr>
          <w:lang w:eastAsia="en-GB"/>
        </w:rPr>
        <w:t xml:space="preserve">deliver the Goods to the address specified by the End-User </w:t>
      </w:r>
      <w:r w:rsidR="004604F2" w:rsidRPr="00C03CC6">
        <w:rPr>
          <w:lang w:eastAsia="en-GB"/>
        </w:rPr>
        <w:t xml:space="preserve">within the period set out in the Order Form and/or End-User Order. </w:t>
      </w:r>
    </w:p>
    <w:p w14:paraId="40FAF4EC" w14:textId="77777777" w:rsidR="002E09D4" w:rsidRPr="00C03CC6" w:rsidRDefault="002E09D4" w:rsidP="00D05C22">
      <w:pPr>
        <w:pStyle w:val="Body3"/>
        <w:jc w:val="both"/>
        <w:rPr>
          <w:rFonts w:cs="Arial"/>
          <w:b/>
          <w:lang w:eastAsia="en-GB"/>
        </w:rPr>
      </w:pPr>
    </w:p>
    <w:p w14:paraId="7692C65E" w14:textId="091BC330" w:rsidR="002E09D4" w:rsidRPr="00C03CC6" w:rsidRDefault="00707AEC" w:rsidP="00047B65">
      <w:pPr>
        <w:pStyle w:val="Body1"/>
        <w:ind w:left="0"/>
        <w:jc w:val="both"/>
        <w:rPr>
          <w:rFonts w:cs="Arial"/>
          <w:u w:val="single"/>
          <w:lang w:eastAsia="en-GB"/>
        </w:rPr>
      </w:pPr>
      <w:r w:rsidRPr="00C03CC6">
        <w:rPr>
          <w:rFonts w:cs="Arial"/>
          <w:u w:val="single"/>
          <w:lang w:eastAsia="en-GB"/>
        </w:rPr>
        <w:t xml:space="preserve">Collecting </w:t>
      </w:r>
      <w:r w:rsidR="00410EB3" w:rsidRPr="00C03CC6">
        <w:rPr>
          <w:rFonts w:cs="Arial"/>
          <w:u w:val="single"/>
          <w:lang w:eastAsia="en-GB"/>
        </w:rPr>
        <w:t>End-User Payments</w:t>
      </w:r>
      <w:r w:rsidRPr="00C03CC6">
        <w:rPr>
          <w:rFonts w:cs="Arial"/>
          <w:u w:val="single"/>
          <w:lang w:eastAsia="en-GB"/>
        </w:rPr>
        <w:t xml:space="preserve"> </w:t>
      </w:r>
    </w:p>
    <w:p w14:paraId="77D0ECAC" w14:textId="77777777" w:rsidR="002E09D4" w:rsidRPr="00C03CC6" w:rsidRDefault="002E09D4" w:rsidP="00D05C22">
      <w:pPr>
        <w:pStyle w:val="Body1"/>
        <w:jc w:val="both"/>
        <w:rPr>
          <w:rFonts w:cs="Arial"/>
          <w:lang w:eastAsia="en-GB"/>
        </w:rPr>
      </w:pPr>
    </w:p>
    <w:p w14:paraId="7ADA2477" w14:textId="75B3CAD9" w:rsidR="00047B65" w:rsidRPr="00C03CC6" w:rsidRDefault="00513979" w:rsidP="00D05C22">
      <w:pPr>
        <w:pStyle w:val="Heading2"/>
        <w:jc w:val="both"/>
        <w:rPr>
          <w:rFonts w:cs="Arial"/>
          <w:lang w:eastAsia="en-GB"/>
        </w:rPr>
      </w:pPr>
      <w:r w:rsidRPr="00C03CC6">
        <w:rPr>
          <w:rFonts w:cs="Arial"/>
          <w:lang w:eastAsia="en-GB"/>
        </w:rPr>
        <w:t xml:space="preserve">The actual supply of Goods and the transfer of ownership in those Goods is between DHSC and End-Users and sits outside the Framework Agreement and any Call-Off Contract. </w:t>
      </w:r>
      <w:r w:rsidR="006D2D75">
        <w:rPr>
          <w:rFonts w:cs="Arial"/>
          <w:lang w:eastAsia="en-GB"/>
        </w:rPr>
        <w:t>However, w</w:t>
      </w:r>
      <w:r w:rsidRPr="00C03CC6">
        <w:rPr>
          <w:rFonts w:cs="Arial"/>
          <w:lang w:eastAsia="en-GB"/>
        </w:rPr>
        <w:t>hile title</w:t>
      </w:r>
      <w:r w:rsidR="00047B65" w:rsidRPr="00C03CC6">
        <w:rPr>
          <w:rFonts w:cs="Arial"/>
          <w:lang w:eastAsia="en-GB"/>
        </w:rPr>
        <w:t xml:space="preserve"> to the Goods remains with DHSC until receipt by the End-User</w:t>
      </w:r>
      <w:r w:rsidRPr="00C03CC6">
        <w:rPr>
          <w:rFonts w:cs="Arial"/>
          <w:lang w:eastAsia="en-GB"/>
        </w:rPr>
        <w:t>,</w:t>
      </w:r>
      <w:r w:rsidR="00047B65" w:rsidRPr="00C03CC6">
        <w:rPr>
          <w:rFonts w:cs="Arial"/>
          <w:lang w:eastAsia="en-GB"/>
        </w:rPr>
        <w:t xml:space="preserve"> </w:t>
      </w:r>
      <w:r w:rsidR="002E09D4" w:rsidRPr="00C03CC6">
        <w:rPr>
          <w:rFonts w:cs="Arial"/>
          <w:lang w:eastAsia="en-GB"/>
        </w:rPr>
        <w:t xml:space="preserve">DHSC may require the Supplier to </w:t>
      </w:r>
      <w:r w:rsidR="00707AEC" w:rsidRPr="00C03CC6">
        <w:rPr>
          <w:rFonts w:cs="Arial"/>
          <w:lang w:eastAsia="en-GB"/>
        </w:rPr>
        <w:t>act</w:t>
      </w:r>
      <w:r w:rsidR="002E09D4" w:rsidRPr="00C03CC6">
        <w:rPr>
          <w:rFonts w:cs="Arial"/>
          <w:lang w:eastAsia="en-GB"/>
        </w:rPr>
        <w:t xml:space="preserve"> as</w:t>
      </w:r>
      <w:r w:rsidR="00707AEC" w:rsidRPr="00C03CC6">
        <w:rPr>
          <w:rFonts w:cs="Arial"/>
          <w:lang w:eastAsia="en-GB"/>
        </w:rPr>
        <w:t xml:space="preserve"> an agent for DHSC, collecting payments </w:t>
      </w:r>
      <w:r w:rsidR="002E09D4" w:rsidRPr="00C03CC6">
        <w:rPr>
          <w:rFonts w:cs="Arial"/>
          <w:lang w:eastAsia="en-GB"/>
        </w:rPr>
        <w:t xml:space="preserve">from End-Users </w:t>
      </w:r>
      <w:r w:rsidR="006D2D75" w:rsidRPr="00C03CC6">
        <w:rPr>
          <w:rFonts w:cs="Arial"/>
          <w:lang w:eastAsia="en-GB"/>
        </w:rPr>
        <w:t xml:space="preserve">in a primary care setting </w:t>
      </w:r>
      <w:r w:rsidRPr="00C03CC6">
        <w:rPr>
          <w:rFonts w:cs="Arial"/>
          <w:lang w:eastAsia="en-GB"/>
        </w:rPr>
        <w:t xml:space="preserve">on behalf of DHSC </w:t>
      </w:r>
      <w:r w:rsidR="002E09D4" w:rsidRPr="00C03CC6">
        <w:rPr>
          <w:rFonts w:cs="Arial"/>
          <w:lang w:eastAsia="en-GB"/>
        </w:rPr>
        <w:t xml:space="preserve">on receipt of </w:t>
      </w:r>
      <w:r w:rsidR="00047B65" w:rsidRPr="00C03CC6">
        <w:rPr>
          <w:rFonts w:cs="Arial"/>
          <w:lang w:eastAsia="en-GB"/>
        </w:rPr>
        <w:t xml:space="preserve">the </w:t>
      </w:r>
      <w:r w:rsidR="002E09D4" w:rsidRPr="00C03CC6">
        <w:rPr>
          <w:rFonts w:cs="Arial"/>
          <w:lang w:eastAsia="en-GB"/>
        </w:rPr>
        <w:t>Goods</w:t>
      </w:r>
      <w:r w:rsidR="00410EB3" w:rsidRPr="00C03CC6">
        <w:rPr>
          <w:rFonts w:cs="Arial"/>
          <w:lang w:eastAsia="en-GB"/>
        </w:rPr>
        <w:t xml:space="preserve"> (“</w:t>
      </w:r>
      <w:r w:rsidR="00410EB3" w:rsidRPr="00C03CC6">
        <w:rPr>
          <w:rFonts w:cs="Arial"/>
          <w:b/>
          <w:lang w:eastAsia="en-GB"/>
        </w:rPr>
        <w:t>End-User Payment</w:t>
      </w:r>
      <w:r w:rsidR="00410EB3" w:rsidRPr="00C03CC6">
        <w:rPr>
          <w:rFonts w:cs="Arial"/>
          <w:lang w:eastAsia="en-GB"/>
        </w:rPr>
        <w:t>”)</w:t>
      </w:r>
      <w:r w:rsidR="002E09D4" w:rsidRPr="00C03CC6">
        <w:rPr>
          <w:rFonts w:cs="Arial"/>
          <w:lang w:eastAsia="en-GB"/>
        </w:rPr>
        <w:t>.</w:t>
      </w:r>
      <w:r w:rsidR="00047B65" w:rsidRPr="00C03CC6">
        <w:rPr>
          <w:rFonts w:cs="Arial"/>
          <w:lang w:eastAsia="en-GB"/>
        </w:rPr>
        <w:t xml:space="preserve"> </w:t>
      </w:r>
    </w:p>
    <w:p w14:paraId="7F8C6BAC" w14:textId="77777777" w:rsidR="00047B65" w:rsidRPr="00C03CC6" w:rsidRDefault="00047B65" w:rsidP="00047B65">
      <w:pPr>
        <w:pStyle w:val="Body2"/>
        <w:rPr>
          <w:lang w:eastAsia="en-GB"/>
        </w:rPr>
      </w:pPr>
    </w:p>
    <w:p w14:paraId="16B33ED6" w14:textId="045ED8D1" w:rsidR="00263BAE" w:rsidRPr="00C03CC6" w:rsidRDefault="00513979" w:rsidP="00D05C22">
      <w:pPr>
        <w:pStyle w:val="Heading2"/>
        <w:jc w:val="both"/>
        <w:rPr>
          <w:rFonts w:cs="Arial"/>
          <w:lang w:eastAsia="en-GB"/>
        </w:rPr>
      </w:pPr>
      <w:r w:rsidRPr="00C03CC6">
        <w:rPr>
          <w:rFonts w:cs="Arial"/>
          <w:lang w:eastAsia="en-GB"/>
        </w:rPr>
        <w:t>In this instance, t</w:t>
      </w:r>
      <w:r w:rsidR="00047B65" w:rsidRPr="00C03CC6">
        <w:rPr>
          <w:rFonts w:cs="Arial"/>
          <w:lang w:eastAsia="en-GB"/>
        </w:rPr>
        <w:t xml:space="preserve">he Supplier will issue an invoice to the End-User </w:t>
      </w:r>
      <w:r w:rsidR="00410EB3" w:rsidRPr="00C03CC6">
        <w:rPr>
          <w:rFonts w:cs="Arial"/>
          <w:lang w:eastAsia="en-GB"/>
        </w:rPr>
        <w:t>for the End-User Payment</w:t>
      </w:r>
      <w:r w:rsidR="006D2D75">
        <w:rPr>
          <w:rFonts w:cs="Arial"/>
          <w:lang w:eastAsia="en-GB"/>
        </w:rPr>
        <w:t xml:space="preserve">, </w:t>
      </w:r>
      <w:r w:rsidR="006D2D75" w:rsidRPr="00C03CC6">
        <w:rPr>
          <w:rFonts w:cs="Arial"/>
          <w:lang w:eastAsia="en-GB"/>
        </w:rPr>
        <w:t>previously agreed between DHSC and the End-User</w:t>
      </w:r>
      <w:r w:rsidR="006D2D75">
        <w:rPr>
          <w:rFonts w:cs="Arial"/>
          <w:lang w:eastAsia="en-GB"/>
        </w:rPr>
        <w:t>, on behalf of DHSC.</w:t>
      </w:r>
      <w:r w:rsidR="00047B65" w:rsidRPr="00C03CC6">
        <w:rPr>
          <w:rFonts w:cs="Arial"/>
          <w:lang w:eastAsia="en-GB"/>
        </w:rPr>
        <w:t xml:space="preserve"> The Supplier</w:t>
      </w:r>
      <w:r w:rsidR="00507B36" w:rsidRPr="00C03CC6">
        <w:rPr>
          <w:rFonts w:cs="Arial"/>
          <w:lang w:eastAsia="en-GB"/>
        </w:rPr>
        <w:t xml:space="preserve"> shall ensure that payment terms require End-Users to pay such invoices within </w:t>
      </w:r>
      <w:r w:rsidR="00047B65" w:rsidRPr="00C03CC6">
        <w:rPr>
          <w:rFonts w:cs="Arial"/>
          <w:lang w:eastAsia="en-GB"/>
        </w:rPr>
        <w:t>a maximum of thirty (30) days</w:t>
      </w:r>
      <w:r w:rsidR="00FD1930" w:rsidRPr="00C03CC6">
        <w:rPr>
          <w:rFonts w:cs="Arial"/>
          <w:lang w:eastAsia="en-GB"/>
        </w:rPr>
        <w:t xml:space="preserve"> from the date </w:t>
      </w:r>
      <w:r w:rsidR="00507B36" w:rsidRPr="00C03CC6">
        <w:rPr>
          <w:rFonts w:cs="Arial"/>
          <w:lang w:eastAsia="en-GB"/>
        </w:rPr>
        <w:t>of</w:t>
      </w:r>
      <w:r w:rsidR="00FD1930" w:rsidRPr="00C03CC6">
        <w:rPr>
          <w:rFonts w:cs="Arial"/>
          <w:lang w:eastAsia="en-GB"/>
        </w:rPr>
        <w:t xml:space="preserve"> invoice</w:t>
      </w:r>
      <w:r w:rsidR="00047B65" w:rsidRPr="00C03CC6">
        <w:rPr>
          <w:rFonts w:cs="Arial"/>
          <w:lang w:eastAsia="en-GB"/>
        </w:rPr>
        <w:t xml:space="preserve">. </w:t>
      </w:r>
      <w:r w:rsidR="00263BAE" w:rsidRPr="00C03CC6">
        <w:rPr>
          <w:rFonts w:cs="Arial"/>
          <w:lang w:eastAsia="en-GB"/>
        </w:rPr>
        <w:t>The Supplier shall use reasonable endeavours to collect the End-User Payment, using all endeavours that it would to collect debt from its own customers. In the event that such End-User Payment has not been collected within sixty (60) days from the date of invoice, DHSC will relieve</w:t>
      </w:r>
      <w:r w:rsidR="006D2D75">
        <w:rPr>
          <w:rFonts w:cs="Arial"/>
          <w:lang w:eastAsia="en-GB"/>
        </w:rPr>
        <w:t xml:space="preserve"> the Supplier of its obligation</w:t>
      </w:r>
      <w:r w:rsidR="00263BAE" w:rsidRPr="00C03CC6">
        <w:rPr>
          <w:rFonts w:cs="Arial"/>
          <w:lang w:eastAsia="en-GB"/>
        </w:rPr>
        <w:t xml:space="preserve"> and will collect the End-User Payment directly. </w:t>
      </w:r>
    </w:p>
    <w:p w14:paraId="365E7815" w14:textId="77777777" w:rsidR="00263BAE" w:rsidRPr="00C03CC6" w:rsidRDefault="00263BAE" w:rsidP="00263BAE">
      <w:pPr>
        <w:pStyle w:val="Heading2"/>
        <w:numPr>
          <w:ilvl w:val="0"/>
          <w:numId w:val="0"/>
        </w:numPr>
        <w:ind w:left="1440"/>
        <w:jc w:val="both"/>
        <w:rPr>
          <w:rFonts w:cs="Arial"/>
          <w:lang w:eastAsia="en-GB"/>
        </w:rPr>
      </w:pPr>
    </w:p>
    <w:p w14:paraId="2535072D" w14:textId="2EE1EEC8" w:rsidR="00047B65" w:rsidRPr="00C03CC6" w:rsidRDefault="00047B65" w:rsidP="00D05C22">
      <w:pPr>
        <w:pStyle w:val="Heading2"/>
        <w:jc w:val="both"/>
        <w:rPr>
          <w:rFonts w:cs="Arial"/>
          <w:lang w:eastAsia="en-GB"/>
        </w:rPr>
      </w:pPr>
      <w:r w:rsidRPr="00C03CC6">
        <w:rPr>
          <w:rFonts w:cs="Arial"/>
          <w:lang w:eastAsia="en-GB"/>
        </w:rPr>
        <w:t xml:space="preserve">The Supplier </w:t>
      </w:r>
      <w:r w:rsidR="00A9347A" w:rsidRPr="00C03CC6">
        <w:rPr>
          <w:rFonts w:cs="Arial"/>
          <w:lang w:eastAsia="en-GB"/>
        </w:rPr>
        <w:t>must</w:t>
      </w:r>
      <w:r w:rsidRPr="00C03CC6">
        <w:rPr>
          <w:rFonts w:cs="Arial"/>
          <w:lang w:eastAsia="en-GB"/>
        </w:rPr>
        <w:t xml:space="preserve"> reimburse DHSC </w:t>
      </w:r>
      <w:r w:rsidR="00263BAE" w:rsidRPr="00C03CC6">
        <w:rPr>
          <w:rFonts w:cs="Arial"/>
          <w:lang w:eastAsia="en-GB"/>
        </w:rPr>
        <w:t xml:space="preserve">in respect of any </w:t>
      </w:r>
      <w:r w:rsidRPr="00C03CC6">
        <w:rPr>
          <w:rFonts w:cs="Arial"/>
          <w:lang w:eastAsia="en-GB"/>
        </w:rPr>
        <w:t xml:space="preserve">End-User </w:t>
      </w:r>
      <w:r w:rsidR="00410EB3" w:rsidRPr="00C03CC6">
        <w:rPr>
          <w:rFonts w:cs="Arial"/>
          <w:lang w:eastAsia="en-GB"/>
        </w:rPr>
        <w:t>P</w:t>
      </w:r>
      <w:r w:rsidRPr="00C03CC6">
        <w:rPr>
          <w:rFonts w:cs="Arial"/>
          <w:lang w:eastAsia="en-GB"/>
        </w:rPr>
        <w:t>ayment</w:t>
      </w:r>
      <w:r w:rsidR="00263BAE" w:rsidRPr="00C03CC6">
        <w:rPr>
          <w:rFonts w:cs="Arial"/>
          <w:lang w:eastAsia="en-GB"/>
        </w:rPr>
        <w:t>s in aggregate at the end of each calendar month and the details of this will be more specifically set out in an Order Form</w:t>
      </w:r>
      <w:r w:rsidRPr="00C03CC6">
        <w:rPr>
          <w:rFonts w:cs="Arial"/>
          <w:lang w:eastAsia="en-GB"/>
        </w:rPr>
        <w:t xml:space="preserve">. </w:t>
      </w:r>
    </w:p>
    <w:p w14:paraId="3D358D52" w14:textId="77777777" w:rsidR="00047B65" w:rsidRPr="00C03CC6" w:rsidRDefault="00047B65" w:rsidP="00047B65">
      <w:pPr>
        <w:pStyle w:val="Heading2"/>
        <w:numPr>
          <w:ilvl w:val="0"/>
          <w:numId w:val="0"/>
        </w:numPr>
        <w:ind w:left="1440"/>
        <w:jc w:val="both"/>
        <w:rPr>
          <w:rFonts w:cs="Arial"/>
          <w:lang w:eastAsia="en-GB"/>
        </w:rPr>
      </w:pPr>
    </w:p>
    <w:p w14:paraId="25146B50" w14:textId="475A2329" w:rsidR="002E09D4" w:rsidRPr="00C03CC6" w:rsidRDefault="002E09D4" w:rsidP="00D05C22">
      <w:pPr>
        <w:pStyle w:val="Heading2"/>
        <w:jc w:val="both"/>
        <w:rPr>
          <w:rFonts w:cs="Arial"/>
          <w:lang w:eastAsia="en-GB"/>
        </w:rPr>
      </w:pPr>
      <w:r w:rsidRPr="00C03CC6">
        <w:rPr>
          <w:rFonts w:cs="Arial"/>
          <w:lang w:eastAsia="en-GB"/>
        </w:rPr>
        <w:lastRenderedPageBreak/>
        <w:t xml:space="preserve">If the Supplier is required to provide this Service, DHSC will indicate this </w:t>
      </w:r>
      <w:r w:rsidR="00047B65" w:rsidRPr="00C03CC6">
        <w:rPr>
          <w:rFonts w:cs="Arial"/>
          <w:lang w:eastAsia="en-GB"/>
        </w:rPr>
        <w:t>in the Statement of Requirements.</w:t>
      </w:r>
      <w:r w:rsidRPr="00C03CC6">
        <w:rPr>
          <w:rFonts w:cs="Arial"/>
          <w:lang w:eastAsia="en-GB"/>
        </w:rPr>
        <w:t xml:space="preserve"> </w:t>
      </w:r>
    </w:p>
    <w:p w14:paraId="0048FB2C" w14:textId="01466C1A" w:rsidR="00C33049" w:rsidRPr="00C03CC6" w:rsidRDefault="00C33049" w:rsidP="00D05C22">
      <w:pPr>
        <w:pStyle w:val="Body2"/>
        <w:jc w:val="both"/>
        <w:rPr>
          <w:highlight w:val="yellow"/>
          <w:lang w:eastAsia="en-GB"/>
        </w:rPr>
      </w:pPr>
    </w:p>
    <w:p w14:paraId="2CE9AD7C" w14:textId="58B37BB5" w:rsidR="00D05C22" w:rsidRPr="00C03CC6" w:rsidRDefault="00A773C3" w:rsidP="00A773C3">
      <w:pPr>
        <w:pStyle w:val="Body2"/>
        <w:ind w:left="0"/>
        <w:jc w:val="both"/>
        <w:rPr>
          <w:u w:val="single"/>
          <w:lang w:eastAsia="en-GB"/>
        </w:rPr>
      </w:pPr>
      <w:r w:rsidRPr="00C03CC6">
        <w:rPr>
          <w:u w:val="single"/>
          <w:lang w:eastAsia="en-GB"/>
        </w:rPr>
        <w:t>Delivery to Devolved Administrations</w:t>
      </w:r>
      <w:r w:rsidR="00D05C22" w:rsidRPr="00C03CC6">
        <w:rPr>
          <w:u w:val="single"/>
          <w:lang w:eastAsia="en-GB"/>
        </w:rPr>
        <w:t xml:space="preserve"> </w:t>
      </w:r>
    </w:p>
    <w:p w14:paraId="79E57281" w14:textId="77777777" w:rsidR="00A773C3" w:rsidRPr="00C03CC6" w:rsidRDefault="00A773C3" w:rsidP="00A773C3">
      <w:pPr>
        <w:pStyle w:val="Heading2"/>
        <w:numPr>
          <w:ilvl w:val="0"/>
          <w:numId w:val="0"/>
        </w:numPr>
        <w:jc w:val="both"/>
        <w:rPr>
          <w:u w:val="single"/>
          <w:lang w:eastAsia="en-GB"/>
        </w:rPr>
      </w:pPr>
    </w:p>
    <w:p w14:paraId="79A71CA5" w14:textId="1A0FABBA" w:rsidR="00B1726A" w:rsidRPr="00C03CC6" w:rsidRDefault="00A773C3" w:rsidP="00A773C3">
      <w:pPr>
        <w:pStyle w:val="Heading2"/>
        <w:jc w:val="both"/>
        <w:rPr>
          <w:lang w:eastAsia="en-GB"/>
        </w:rPr>
      </w:pPr>
      <w:r w:rsidRPr="00C03CC6">
        <w:rPr>
          <w:lang w:eastAsia="en-GB"/>
        </w:rPr>
        <w:t>The Supplier shall ensure that it has any</w:t>
      </w:r>
      <w:r w:rsidR="00A9347A" w:rsidRPr="00C03CC6">
        <w:rPr>
          <w:lang w:eastAsia="en-GB"/>
        </w:rPr>
        <w:t xml:space="preserve"> necessary</w:t>
      </w:r>
      <w:r w:rsidRPr="00C03CC6">
        <w:rPr>
          <w:lang w:eastAsia="en-GB"/>
        </w:rPr>
        <w:t xml:space="preserve"> additional licences and export requirements in place prior to delivering to the Devolved Administrations. A Supplier may be required to either deliver directly to a Devolved Administration’s Government</w:t>
      </w:r>
      <w:r w:rsidR="006B6231" w:rsidRPr="00C03CC6">
        <w:rPr>
          <w:lang w:eastAsia="en-GB"/>
        </w:rPr>
        <w:t>, a designated location specified by the Devolved Administration</w:t>
      </w:r>
      <w:r w:rsidR="006D2D75">
        <w:rPr>
          <w:lang w:eastAsia="en-GB"/>
        </w:rPr>
        <w:t>’s Government</w:t>
      </w:r>
      <w:r w:rsidR="006B6231" w:rsidRPr="00C03CC6">
        <w:rPr>
          <w:lang w:eastAsia="en-GB"/>
        </w:rPr>
        <w:t xml:space="preserve"> and/</w:t>
      </w:r>
      <w:r w:rsidRPr="00C03CC6">
        <w:rPr>
          <w:lang w:eastAsia="en-GB"/>
        </w:rPr>
        <w:t xml:space="preserve">or directly to End-Users within </w:t>
      </w:r>
      <w:r w:rsidR="00A9347A" w:rsidRPr="00C03CC6">
        <w:rPr>
          <w:lang w:eastAsia="en-GB"/>
        </w:rPr>
        <w:t xml:space="preserve">the </w:t>
      </w:r>
      <w:r w:rsidR="00214C62" w:rsidRPr="00C03CC6">
        <w:rPr>
          <w:lang w:eastAsia="en-GB"/>
        </w:rPr>
        <w:t xml:space="preserve">territory of </w:t>
      </w:r>
      <w:r w:rsidRPr="00C03CC6">
        <w:rPr>
          <w:lang w:eastAsia="en-GB"/>
        </w:rPr>
        <w:t xml:space="preserve">that Devolved Administration.  </w:t>
      </w:r>
    </w:p>
    <w:p w14:paraId="1B84BC05" w14:textId="77777777" w:rsidR="00B1726A" w:rsidRPr="00C03CC6" w:rsidRDefault="00B1726A" w:rsidP="00B1726A">
      <w:pPr>
        <w:pStyle w:val="Heading2"/>
        <w:numPr>
          <w:ilvl w:val="0"/>
          <w:numId w:val="0"/>
        </w:numPr>
        <w:ind w:left="1440"/>
        <w:jc w:val="both"/>
        <w:rPr>
          <w:lang w:eastAsia="en-GB"/>
        </w:rPr>
      </w:pPr>
    </w:p>
    <w:p w14:paraId="42300421" w14:textId="323509DD" w:rsidR="00A773C3" w:rsidRPr="00C03CC6" w:rsidRDefault="00A773C3" w:rsidP="00A773C3">
      <w:pPr>
        <w:pStyle w:val="Heading2"/>
        <w:jc w:val="both"/>
        <w:rPr>
          <w:lang w:eastAsia="en-GB"/>
        </w:rPr>
      </w:pPr>
      <w:r w:rsidRPr="00C03CC6">
        <w:rPr>
          <w:lang w:eastAsia="en-GB"/>
        </w:rPr>
        <w:t>Where a Supplier is unable to deliver the Goods directly to End-Users in the Devolved Administrations because it does not have</w:t>
      </w:r>
      <w:r w:rsidR="00461466">
        <w:rPr>
          <w:lang w:eastAsia="en-GB"/>
        </w:rPr>
        <w:t>, for example, the</w:t>
      </w:r>
      <w:r w:rsidRPr="00C03CC6">
        <w:rPr>
          <w:lang w:eastAsia="en-GB"/>
        </w:rPr>
        <w:t xml:space="preserve"> appropriate</w:t>
      </w:r>
      <w:r w:rsidR="00DC455B">
        <w:rPr>
          <w:lang w:eastAsia="en-GB"/>
        </w:rPr>
        <w:t xml:space="preserve"> licences or distribution partners etc.</w:t>
      </w:r>
      <w:r w:rsidRPr="00C03CC6">
        <w:rPr>
          <w:lang w:eastAsia="en-GB"/>
        </w:rPr>
        <w:t xml:space="preserve"> in place, </w:t>
      </w:r>
      <w:r w:rsidR="00FD3368" w:rsidRPr="00C03CC6">
        <w:rPr>
          <w:lang w:eastAsia="en-GB"/>
        </w:rPr>
        <w:t xml:space="preserve">the Supplier shall notify DHSC and </w:t>
      </w:r>
      <w:r w:rsidRPr="00C03CC6">
        <w:rPr>
          <w:lang w:eastAsia="en-GB"/>
        </w:rPr>
        <w:t xml:space="preserve">DHSC will put in place arrangements outside of </w:t>
      </w:r>
      <w:r w:rsidR="006D2D75">
        <w:rPr>
          <w:lang w:eastAsia="en-GB"/>
        </w:rPr>
        <w:t>the Framework Agreement</w:t>
      </w:r>
      <w:r w:rsidRPr="00C03CC6">
        <w:rPr>
          <w:lang w:eastAsia="en-GB"/>
        </w:rPr>
        <w:t xml:space="preserve"> to ensure that those Goods are delivered </w:t>
      </w:r>
      <w:r w:rsidR="00410EB3" w:rsidRPr="00C03CC6">
        <w:rPr>
          <w:lang w:eastAsia="en-GB"/>
        </w:rPr>
        <w:t>to End-Users and the Supplier shall provide all reasonable assistance to DHSC</w:t>
      </w:r>
      <w:r w:rsidR="00FD3368" w:rsidRPr="00C03CC6">
        <w:rPr>
          <w:lang w:eastAsia="en-GB"/>
        </w:rPr>
        <w:t xml:space="preserve"> or a supplier nominated by DHSC</w:t>
      </w:r>
      <w:r w:rsidR="00410EB3" w:rsidRPr="00C03CC6">
        <w:rPr>
          <w:lang w:eastAsia="en-GB"/>
        </w:rPr>
        <w:t xml:space="preserve"> to ensure a seamless operation</w:t>
      </w:r>
      <w:r w:rsidR="00FD3368" w:rsidRPr="00C03CC6">
        <w:rPr>
          <w:lang w:eastAsia="en-GB"/>
        </w:rPr>
        <w:t xml:space="preserve"> and delivery to End-Users in the Devolved Administration</w:t>
      </w:r>
      <w:r w:rsidR="00410EB3" w:rsidRPr="00C03CC6">
        <w:rPr>
          <w:lang w:eastAsia="en-GB"/>
        </w:rPr>
        <w:t xml:space="preserve">. </w:t>
      </w:r>
    </w:p>
    <w:p w14:paraId="7601F3AA" w14:textId="77777777" w:rsidR="00707AEC" w:rsidRPr="00C03CC6" w:rsidRDefault="00707AEC" w:rsidP="00D05C22">
      <w:pPr>
        <w:pStyle w:val="Body3"/>
        <w:jc w:val="both"/>
        <w:rPr>
          <w:rFonts w:cs="Arial"/>
          <w:lang w:eastAsia="en-GB"/>
        </w:rPr>
      </w:pPr>
    </w:p>
    <w:p w14:paraId="43EDA576" w14:textId="77777777" w:rsidR="00707AEC" w:rsidRPr="00C03CC6" w:rsidRDefault="005245A9" w:rsidP="00D05C22">
      <w:pPr>
        <w:pStyle w:val="Heading1"/>
        <w:jc w:val="both"/>
        <w:rPr>
          <w:rFonts w:cs="Arial"/>
          <w:b/>
          <w:lang w:eastAsia="en-GB"/>
        </w:rPr>
      </w:pPr>
      <w:r w:rsidRPr="00C03CC6">
        <w:rPr>
          <w:rFonts w:cs="Arial"/>
          <w:b/>
          <w:lang w:eastAsia="en-GB"/>
        </w:rPr>
        <w:t>Storage and D</w:t>
      </w:r>
      <w:r w:rsidR="00707AEC" w:rsidRPr="00C03CC6">
        <w:rPr>
          <w:rFonts w:cs="Arial"/>
          <w:b/>
          <w:lang w:eastAsia="en-GB"/>
        </w:rPr>
        <w:t xml:space="preserve">istribution </w:t>
      </w:r>
    </w:p>
    <w:p w14:paraId="0EF17E81" w14:textId="77777777" w:rsidR="00707AEC" w:rsidRPr="00C03CC6" w:rsidRDefault="00707AEC" w:rsidP="00C33DCB">
      <w:pPr>
        <w:pStyle w:val="Body1"/>
        <w:jc w:val="both"/>
        <w:rPr>
          <w:rFonts w:cs="Arial"/>
          <w:lang w:eastAsia="en-GB"/>
        </w:rPr>
      </w:pPr>
    </w:p>
    <w:p w14:paraId="618EDE26" w14:textId="113ED4A9" w:rsidR="00914CC5" w:rsidRPr="00C03CC6" w:rsidRDefault="00914CC5" w:rsidP="00C33DCB">
      <w:pPr>
        <w:pStyle w:val="Heading2"/>
        <w:numPr>
          <w:ilvl w:val="1"/>
          <w:numId w:val="7"/>
        </w:numPr>
        <w:jc w:val="both"/>
        <w:rPr>
          <w:rFonts w:cs="Arial"/>
          <w:lang w:eastAsia="en-GB"/>
        </w:rPr>
      </w:pPr>
      <w:r w:rsidRPr="00C03CC6">
        <w:rPr>
          <w:rFonts w:cs="Arial"/>
          <w:lang w:eastAsia="en-GB"/>
        </w:rPr>
        <w:t>The Supplier must at all times handle</w:t>
      </w:r>
      <w:r w:rsidR="00A00B1F" w:rsidRPr="00C03CC6">
        <w:rPr>
          <w:rFonts w:cs="Arial"/>
          <w:lang w:eastAsia="en-GB"/>
        </w:rPr>
        <w:t>, control, store and distribute</w:t>
      </w:r>
      <w:r w:rsidRPr="00C03CC6">
        <w:rPr>
          <w:rFonts w:cs="Arial"/>
          <w:lang w:eastAsia="en-GB"/>
        </w:rPr>
        <w:t xml:space="preserve"> Medicinal Products in accordance wit</w:t>
      </w:r>
      <w:r w:rsidR="00C33DCB" w:rsidRPr="00C03CC6">
        <w:rPr>
          <w:rFonts w:cs="Arial"/>
          <w:lang w:eastAsia="en-GB"/>
        </w:rPr>
        <w:t xml:space="preserve">h Good Distribution Practice.  This will include (but is not limited to) ensuring that records: </w:t>
      </w:r>
    </w:p>
    <w:p w14:paraId="52221537" w14:textId="3D75ADD0" w:rsidR="00C33DCB" w:rsidRPr="00C03CC6" w:rsidRDefault="00C33DCB" w:rsidP="00C33DCB">
      <w:pPr>
        <w:pStyle w:val="Heading3"/>
        <w:numPr>
          <w:ilvl w:val="0"/>
          <w:numId w:val="0"/>
        </w:numPr>
        <w:ind w:left="2404"/>
        <w:jc w:val="both"/>
        <w:rPr>
          <w:lang w:eastAsia="en-GB"/>
        </w:rPr>
      </w:pPr>
    </w:p>
    <w:p w14:paraId="7474C496" w14:textId="2A923786" w:rsidR="00C33DCB" w:rsidRPr="00C03CC6" w:rsidRDefault="00C33DCB" w:rsidP="00C33DCB">
      <w:pPr>
        <w:pStyle w:val="Heading3"/>
        <w:jc w:val="both"/>
      </w:pPr>
      <w:r w:rsidRPr="00C03CC6">
        <w:t>are kept either in the form of purchase/sales invoices, delivery slips, or on computer</w:t>
      </w:r>
      <w:r w:rsidR="006D2D75">
        <w:t>s</w:t>
      </w:r>
      <w:r w:rsidRPr="00C03CC6">
        <w:t xml:space="preserve"> or any other form, for any transaction in </w:t>
      </w:r>
      <w:r w:rsidR="00410EB3" w:rsidRPr="00C03CC6">
        <w:t>M</w:t>
      </w:r>
      <w:r w:rsidRPr="00C03CC6">
        <w:t xml:space="preserve">edicinal </w:t>
      </w:r>
      <w:r w:rsidR="00410EB3" w:rsidRPr="00C03CC6">
        <w:t>P</w:t>
      </w:r>
      <w:r w:rsidRPr="00C03CC6">
        <w:t>roducts received, supplied or brokered;</w:t>
      </w:r>
    </w:p>
    <w:p w14:paraId="6B0DB045" w14:textId="77777777" w:rsidR="00C33DCB" w:rsidRPr="00C03CC6" w:rsidRDefault="00C33DCB" w:rsidP="00C33DCB">
      <w:pPr>
        <w:pStyle w:val="Body3"/>
        <w:jc w:val="both"/>
      </w:pPr>
    </w:p>
    <w:p w14:paraId="17C2DFDE" w14:textId="485EE803" w:rsidR="00C33DCB" w:rsidRPr="00C03CC6" w:rsidRDefault="00C33DCB" w:rsidP="00C33DCB">
      <w:pPr>
        <w:pStyle w:val="Heading3"/>
        <w:jc w:val="both"/>
      </w:pPr>
      <w:r w:rsidRPr="00C03CC6">
        <w:t xml:space="preserve">include at least the following information: date; name of the </w:t>
      </w:r>
      <w:r w:rsidR="00410EB3" w:rsidRPr="00C03CC6">
        <w:t>M</w:t>
      </w:r>
      <w:r w:rsidRPr="00C03CC6">
        <w:t xml:space="preserve">edicinal </w:t>
      </w:r>
      <w:r w:rsidR="00410EB3" w:rsidRPr="00C03CC6">
        <w:t>P</w:t>
      </w:r>
      <w:r w:rsidRPr="00C03CC6">
        <w:t xml:space="preserve">roduct; quantity received, supplied or brokered; name and address of the </w:t>
      </w:r>
      <w:r w:rsidR="00410EB3" w:rsidRPr="00C03CC6">
        <w:t>S</w:t>
      </w:r>
      <w:r w:rsidRPr="00C03CC6">
        <w:t xml:space="preserve">upplier, </w:t>
      </w:r>
      <w:r w:rsidR="00410EB3" w:rsidRPr="00C03CC6">
        <w:t>End-User</w:t>
      </w:r>
      <w:r w:rsidRPr="00C03CC6">
        <w:t xml:space="preserve">, broker or consignee, as appropriate; and batch number for </w:t>
      </w:r>
      <w:r w:rsidR="00410EB3" w:rsidRPr="00C03CC6">
        <w:t>M</w:t>
      </w:r>
      <w:r w:rsidRPr="00C03CC6">
        <w:t xml:space="preserve">edicinal </w:t>
      </w:r>
      <w:r w:rsidR="00410EB3" w:rsidRPr="00C03CC6">
        <w:t>P</w:t>
      </w:r>
      <w:r w:rsidRPr="00C03CC6">
        <w:t>roduct</w:t>
      </w:r>
      <w:r w:rsidR="006D2D75">
        <w:t>s</w:t>
      </w:r>
      <w:r w:rsidRPr="00C03CC6">
        <w:t xml:space="preserve"> bearing the safety features; and </w:t>
      </w:r>
    </w:p>
    <w:p w14:paraId="42561632" w14:textId="77777777" w:rsidR="00C33DCB" w:rsidRPr="00C03CC6" w:rsidRDefault="00C33DCB" w:rsidP="00C33DCB">
      <w:pPr>
        <w:pStyle w:val="Body3"/>
        <w:jc w:val="both"/>
      </w:pPr>
    </w:p>
    <w:p w14:paraId="36BCDAD7" w14:textId="4FB3F1ED" w:rsidR="00C33DCB" w:rsidRPr="00C03CC6" w:rsidRDefault="002C54DA" w:rsidP="00C33DCB">
      <w:pPr>
        <w:pStyle w:val="Heading3"/>
        <w:jc w:val="both"/>
      </w:pPr>
      <w:r w:rsidRPr="00C03CC6">
        <w:t xml:space="preserve">are </w:t>
      </w:r>
      <w:r w:rsidR="00C33DCB" w:rsidRPr="00C03CC6">
        <w:t>made available to the End-User</w:t>
      </w:r>
      <w:r w:rsidR="00410EB3" w:rsidRPr="00C03CC6">
        <w:t xml:space="preserve"> and DHSC on request</w:t>
      </w:r>
      <w:r w:rsidR="00C33DCB" w:rsidRPr="00C03CC6">
        <w:t>.</w:t>
      </w:r>
    </w:p>
    <w:p w14:paraId="6699C6DF" w14:textId="77777777" w:rsidR="00C33DCB" w:rsidRPr="00C03CC6" w:rsidRDefault="00C33DCB" w:rsidP="00C33DCB">
      <w:pPr>
        <w:pStyle w:val="Body2"/>
        <w:rPr>
          <w:lang w:eastAsia="en-GB"/>
        </w:rPr>
      </w:pPr>
    </w:p>
    <w:p w14:paraId="2AF42983" w14:textId="4DFD9945" w:rsidR="00B1326D" w:rsidRPr="00C03CC6" w:rsidRDefault="006B6231" w:rsidP="00E504CE">
      <w:pPr>
        <w:pStyle w:val="Heading2"/>
        <w:numPr>
          <w:ilvl w:val="1"/>
          <w:numId w:val="7"/>
        </w:numPr>
        <w:jc w:val="both"/>
        <w:rPr>
          <w:rFonts w:cs="Arial"/>
          <w:lang w:eastAsia="en-GB"/>
        </w:rPr>
      </w:pPr>
      <w:r w:rsidRPr="00C03CC6">
        <w:rPr>
          <w:rFonts w:cs="Arial"/>
          <w:lang w:eastAsia="en-GB"/>
        </w:rPr>
        <w:t>For all Goods, excluding medical devices</w:t>
      </w:r>
      <w:r w:rsidR="00EE5E3D">
        <w:rPr>
          <w:rFonts w:cs="Arial"/>
          <w:lang w:eastAsia="en-GB"/>
        </w:rPr>
        <w:t xml:space="preserve"> in Lot 6</w:t>
      </w:r>
      <w:r w:rsidRPr="00C03CC6">
        <w:rPr>
          <w:rFonts w:cs="Arial"/>
          <w:lang w:eastAsia="en-GB"/>
        </w:rPr>
        <w:t xml:space="preserve">, </w:t>
      </w:r>
      <w:r w:rsidR="00B1326D" w:rsidRPr="00C03CC6">
        <w:rPr>
          <w:rFonts w:cs="Arial"/>
          <w:lang w:eastAsia="en-GB"/>
        </w:rPr>
        <w:t>DHSC will put in place a separate Quality Technical Agreement which will be annexed to the Statement of Requirements and will explain the roles of DHSC and the Supplier in terms of complying w</w:t>
      </w:r>
      <w:r w:rsidR="004C1830" w:rsidRPr="00C03CC6">
        <w:rPr>
          <w:rFonts w:cs="Arial"/>
          <w:lang w:eastAsia="en-GB"/>
        </w:rPr>
        <w:t xml:space="preserve">ith Good Distribution Practice as well as setting out the process for stock rotation and </w:t>
      </w:r>
      <w:r w:rsidR="00855F92" w:rsidRPr="00C03CC6">
        <w:rPr>
          <w:rFonts w:cs="Arial"/>
          <w:lang w:eastAsia="en-GB"/>
        </w:rPr>
        <w:t xml:space="preserve">shelf-life, for which </w:t>
      </w:r>
      <w:r w:rsidR="004C1830" w:rsidRPr="00C03CC6">
        <w:rPr>
          <w:rFonts w:cs="Arial"/>
          <w:lang w:eastAsia="en-GB"/>
        </w:rPr>
        <w:t xml:space="preserve">the standard position will be </w:t>
      </w:r>
      <w:r w:rsidR="004C1830" w:rsidRPr="00C03CC6">
        <w:t xml:space="preserve">FEFO for shelf </w:t>
      </w:r>
      <w:r w:rsidR="00855F92" w:rsidRPr="00C03CC6">
        <w:t>life</w:t>
      </w:r>
      <w:r w:rsidR="004C1830" w:rsidRPr="00C03CC6">
        <w:t xml:space="preserve"> </w:t>
      </w:r>
      <w:r w:rsidR="00855F92" w:rsidRPr="00C03CC6">
        <w:t>Goods</w:t>
      </w:r>
      <w:r w:rsidR="004C1830" w:rsidRPr="00C03CC6">
        <w:t xml:space="preserve">, or </w:t>
      </w:r>
      <w:r w:rsidR="00DC455B">
        <w:t xml:space="preserve">FIFO </w:t>
      </w:r>
      <w:r w:rsidR="004C1830" w:rsidRPr="00C03CC6">
        <w:t xml:space="preserve">for </w:t>
      </w:r>
      <w:r w:rsidR="00855F92" w:rsidRPr="00C03CC6">
        <w:t xml:space="preserve">Goods that don’t </w:t>
      </w:r>
      <w:r w:rsidR="004C1830" w:rsidRPr="00C03CC6">
        <w:t>have a shelf life e.g. equipment.</w:t>
      </w:r>
    </w:p>
    <w:p w14:paraId="1925FF94" w14:textId="77777777" w:rsidR="004C1830" w:rsidRPr="00C03CC6" w:rsidRDefault="004C1830" w:rsidP="004C1830">
      <w:pPr>
        <w:pStyle w:val="Heading2"/>
        <w:numPr>
          <w:ilvl w:val="0"/>
          <w:numId w:val="0"/>
        </w:numPr>
        <w:ind w:left="1440"/>
        <w:jc w:val="both"/>
        <w:rPr>
          <w:rFonts w:cs="Arial"/>
          <w:lang w:eastAsia="en-GB"/>
        </w:rPr>
      </w:pPr>
    </w:p>
    <w:p w14:paraId="2FEC4969" w14:textId="550E9D3C" w:rsidR="00B1326D" w:rsidRPr="00C03CC6" w:rsidRDefault="006D2D75" w:rsidP="00E504CE">
      <w:pPr>
        <w:pStyle w:val="Heading2"/>
        <w:numPr>
          <w:ilvl w:val="1"/>
          <w:numId w:val="7"/>
        </w:numPr>
        <w:jc w:val="both"/>
        <w:rPr>
          <w:rFonts w:cs="Arial"/>
          <w:lang w:eastAsia="en-GB"/>
        </w:rPr>
      </w:pPr>
      <w:r>
        <w:rPr>
          <w:rFonts w:cs="Arial"/>
          <w:lang w:eastAsia="en-GB"/>
        </w:rPr>
        <w:t>For all l</w:t>
      </w:r>
      <w:r w:rsidR="004C1830" w:rsidRPr="00C03CC6">
        <w:rPr>
          <w:rFonts w:cs="Arial"/>
          <w:lang w:eastAsia="en-GB"/>
        </w:rPr>
        <w:t>ots, the Supplier’s storage facilities</w:t>
      </w:r>
      <w:r w:rsidR="00B1326D" w:rsidRPr="00C03CC6">
        <w:rPr>
          <w:rFonts w:cs="Arial"/>
          <w:lang w:eastAsia="en-GB"/>
        </w:rPr>
        <w:t xml:space="preserve"> should be sufficient to allow the </w:t>
      </w:r>
      <w:r w:rsidR="004C1830" w:rsidRPr="00C03CC6">
        <w:rPr>
          <w:rFonts w:cs="Arial"/>
          <w:lang w:eastAsia="en-GB"/>
        </w:rPr>
        <w:t>G</w:t>
      </w:r>
      <w:r w:rsidR="00B1326D" w:rsidRPr="00C03CC6">
        <w:rPr>
          <w:rFonts w:cs="Arial"/>
          <w:lang w:eastAsia="en-GB"/>
        </w:rPr>
        <w:t xml:space="preserve">oods to be stored and managed in </w:t>
      </w:r>
      <w:r w:rsidR="00214C62" w:rsidRPr="00C03CC6">
        <w:rPr>
          <w:rFonts w:cs="Arial"/>
          <w:lang w:eastAsia="en-GB"/>
        </w:rPr>
        <w:t>accordance with</w:t>
      </w:r>
      <w:r w:rsidR="00B1326D" w:rsidRPr="00C03CC6">
        <w:rPr>
          <w:rFonts w:cs="Arial"/>
          <w:lang w:eastAsia="en-GB"/>
        </w:rPr>
        <w:t xml:space="preserve"> </w:t>
      </w:r>
      <w:r w:rsidR="004C1830" w:rsidRPr="00A8462B">
        <w:rPr>
          <w:rFonts w:cs="Arial"/>
          <w:lang w:eastAsia="en-GB"/>
        </w:rPr>
        <w:t>Good Distribution Practice</w:t>
      </w:r>
      <w:r w:rsidR="00132145" w:rsidRPr="00C03CC6">
        <w:rPr>
          <w:rFonts w:cs="Arial"/>
          <w:lang w:eastAsia="en-GB"/>
        </w:rPr>
        <w:t xml:space="preserve"> or equivalent</w:t>
      </w:r>
      <w:r w:rsidR="004C1830" w:rsidRPr="00C03CC6">
        <w:rPr>
          <w:rFonts w:cs="Arial"/>
          <w:lang w:eastAsia="en-GB"/>
        </w:rPr>
        <w:t xml:space="preserve"> including </w:t>
      </w:r>
      <w:r w:rsidR="00B1326D" w:rsidRPr="00C03CC6">
        <w:rPr>
          <w:rFonts w:cs="Arial"/>
          <w:lang w:eastAsia="en-GB"/>
        </w:rPr>
        <w:t>dedicated receipting and quality assurance spaces, sepa</w:t>
      </w:r>
      <w:r w:rsidR="004C1830" w:rsidRPr="00C03CC6">
        <w:rPr>
          <w:rFonts w:cs="Arial"/>
          <w:lang w:eastAsia="en-GB"/>
        </w:rPr>
        <w:t xml:space="preserve">ration of inbound and outbound Goods and </w:t>
      </w:r>
      <w:r w:rsidR="00B1326D" w:rsidRPr="00C03CC6">
        <w:rPr>
          <w:rFonts w:cs="Arial"/>
          <w:lang w:eastAsia="en-GB"/>
        </w:rPr>
        <w:t>adequate ventilation around pallets/packs to av</w:t>
      </w:r>
      <w:r w:rsidR="004C1830" w:rsidRPr="00C03CC6">
        <w:rPr>
          <w:rFonts w:cs="Arial"/>
          <w:lang w:eastAsia="en-GB"/>
        </w:rPr>
        <w:t xml:space="preserve">oid temperature hot/cold spots. </w:t>
      </w:r>
      <w:r w:rsidR="00B1326D" w:rsidRPr="00C03CC6">
        <w:rPr>
          <w:rFonts w:cs="Arial"/>
          <w:lang w:eastAsia="en-GB"/>
        </w:rPr>
        <w:t xml:space="preserve">Facilities should have access controls and temperature/humidity </w:t>
      </w:r>
      <w:r w:rsidR="00B1326D" w:rsidRPr="00C03CC6">
        <w:rPr>
          <w:rFonts w:cs="Arial"/>
          <w:lang w:eastAsia="en-GB"/>
        </w:rPr>
        <w:lastRenderedPageBreak/>
        <w:t xml:space="preserve">controls suitable for the </w:t>
      </w:r>
      <w:r w:rsidR="004C1830" w:rsidRPr="00C03CC6">
        <w:rPr>
          <w:rFonts w:cs="Arial"/>
          <w:lang w:eastAsia="en-GB"/>
        </w:rPr>
        <w:t>Goods</w:t>
      </w:r>
      <w:r w:rsidR="00B1326D" w:rsidRPr="00C03CC6">
        <w:rPr>
          <w:rFonts w:cs="Arial"/>
          <w:lang w:eastAsia="en-GB"/>
        </w:rPr>
        <w:t xml:space="preserve"> being stored there, as well as cleaning and infestation control arrangements as approved by </w:t>
      </w:r>
      <w:r w:rsidR="004C1830" w:rsidRPr="00C03CC6">
        <w:rPr>
          <w:rFonts w:cs="Arial"/>
          <w:lang w:eastAsia="en-GB"/>
        </w:rPr>
        <w:t xml:space="preserve">Good Distribution Practice. </w:t>
      </w:r>
    </w:p>
    <w:p w14:paraId="4605C1E9" w14:textId="77777777" w:rsidR="00B1326D" w:rsidRPr="00C03CC6" w:rsidRDefault="00B1326D" w:rsidP="00B1326D">
      <w:pPr>
        <w:pStyle w:val="Body2"/>
        <w:rPr>
          <w:highlight w:val="yellow"/>
          <w:lang w:eastAsia="en-GB"/>
        </w:rPr>
      </w:pPr>
    </w:p>
    <w:p w14:paraId="64BF7A51" w14:textId="21B2F898" w:rsidR="00097C4D" w:rsidRPr="00C03CC6" w:rsidRDefault="00097C4D" w:rsidP="00D05C22">
      <w:pPr>
        <w:pStyle w:val="Heading2"/>
        <w:jc w:val="both"/>
        <w:rPr>
          <w:lang w:eastAsia="en-GB"/>
        </w:rPr>
      </w:pPr>
      <w:r w:rsidRPr="00C03CC6">
        <w:rPr>
          <w:lang w:eastAsia="en-GB"/>
        </w:rPr>
        <w:t>The Supplier acknowledges that risk and responsibility in the Goods stays with the Supplier until delivery at the End-User</w:t>
      </w:r>
      <w:r w:rsidR="008C63C7" w:rsidRPr="00C03CC6">
        <w:rPr>
          <w:lang w:eastAsia="en-GB"/>
        </w:rPr>
        <w:t>’s designated premises</w:t>
      </w:r>
      <w:r w:rsidR="004C1830" w:rsidRPr="00C03CC6">
        <w:rPr>
          <w:lang w:eastAsia="en-GB"/>
        </w:rPr>
        <w:t xml:space="preserve"> or, in respect of the provision of long-term storage, until delivery at </w:t>
      </w:r>
      <w:r w:rsidR="00047374" w:rsidRPr="00C03CC6">
        <w:rPr>
          <w:lang w:eastAsia="en-GB"/>
        </w:rPr>
        <w:t xml:space="preserve">a </w:t>
      </w:r>
      <w:r w:rsidR="004C1830" w:rsidRPr="00C03CC6">
        <w:rPr>
          <w:lang w:eastAsia="en-GB"/>
        </w:rPr>
        <w:t>third-party supplier’s premises.</w:t>
      </w:r>
    </w:p>
    <w:p w14:paraId="20C4587C" w14:textId="77777777" w:rsidR="002E09D4" w:rsidRPr="00C03CC6" w:rsidRDefault="002E09D4" w:rsidP="00D05C22">
      <w:pPr>
        <w:pStyle w:val="Body1"/>
        <w:jc w:val="both"/>
        <w:rPr>
          <w:rFonts w:cs="Arial"/>
          <w:lang w:eastAsia="en-GB"/>
        </w:rPr>
      </w:pPr>
    </w:p>
    <w:p w14:paraId="27834578" w14:textId="77777777" w:rsidR="00DF6203" w:rsidRPr="00C03CC6" w:rsidRDefault="002E09D4" w:rsidP="00D05C22">
      <w:pPr>
        <w:pStyle w:val="Heading2"/>
        <w:jc w:val="both"/>
        <w:rPr>
          <w:rFonts w:cs="Arial"/>
          <w:lang w:eastAsia="en-GB"/>
        </w:rPr>
      </w:pPr>
      <w:r w:rsidRPr="00C03CC6">
        <w:rPr>
          <w:rFonts w:cs="Arial"/>
          <w:lang w:eastAsia="en-GB"/>
        </w:rPr>
        <w:t xml:space="preserve">The Supplier must have robust audit systems in place to ensure that the Goods are stored and treated separately to the Supplier’s own stock and </w:t>
      </w:r>
      <w:r w:rsidR="008C63C7" w:rsidRPr="00C03CC6">
        <w:rPr>
          <w:rFonts w:cs="Arial"/>
          <w:lang w:eastAsia="en-GB"/>
        </w:rPr>
        <w:t xml:space="preserve">must </w:t>
      </w:r>
      <w:r w:rsidRPr="00C03CC6">
        <w:rPr>
          <w:rFonts w:cs="Arial"/>
          <w:lang w:eastAsia="en-GB"/>
        </w:rPr>
        <w:t xml:space="preserve">be able to provide evidence of this to DHSC </w:t>
      </w:r>
      <w:r w:rsidR="00707AEC" w:rsidRPr="00C03CC6">
        <w:rPr>
          <w:rFonts w:cs="Arial"/>
          <w:lang w:eastAsia="en-GB"/>
        </w:rPr>
        <w:t>within three (3) Working Days of receipt of</w:t>
      </w:r>
      <w:r w:rsidRPr="00C03CC6">
        <w:rPr>
          <w:rFonts w:cs="Arial"/>
          <w:lang w:eastAsia="en-GB"/>
        </w:rPr>
        <w:t xml:space="preserve"> prior written notice. </w:t>
      </w:r>
    </w:p>
    <w:p w14:paraId="720CDDD0" w14:textId="77777777" w:rsidR="005245A9" w:rsidRPr="00C03CC6" w:rsidRDefault="005245A9" w:rsidP="00D05C22">
      <w:pPr>
        <w:pStyle w:val="Body2"/>
        <w:jc w:val="both"/>
        <w:rPr>
          <w:lang w:eastAsia="en-GB"/>
        </w:rPr>
      </w:pPr>
    </w:p>
    <w:p w14:paraId="72A670DE" w14:textId="77777777" w:rsidR="005245A9" w:rsidRPr="00C03CC6" w:rsidRDefault="005245A9" w:rsidP="00D05C22">
      <w:pPr>
        <w:pStyle w:val="Heading1"/>
        <w:jc w:val="both"/>
        <w:rPr>
          <w:rFonts w:cs="Arial"/>
          <w:b/>
          <w:lang w:eastAsia="en-GB"/>
        </w:rPr>
      </w:pPr>
      <w:r w:rsidRPr="00C03CC6">
        <w:rPr>
          <w:rFonts w:cs="Arial"/>
          <w:b/>
          <w:lang w:eastAsia="en-GB"/>
        </w:rPr>
        <w:t xml:space="preserve">Delivering and Turnaround Times </w:t>
      </w:r>
    </w:p>
    <w:p w14:paraId="7644DBAC" w14:textId="77777777" w:rsidR="005245A9" w:rsidRPr="00C03CC6" w:rsidRDefault="005245A9" w:rsidP="00D05C22">
      <w:pPr>
        <w:pStyle w:val="Body2"/>
        <w:jc w:val="both"/>
        <w:rPr>
          <w:lang w:eastAsia="en-GB"/>
        </w:rPr>
      </w:pPr>
    </w:p>
    <w:p w14:paraId="4AAC4C65" w14:textId="032A4550" w:rsidR="005245A9" w:rsidRPr="00C03CC6" w:rsidRDefault="005245A9" w:rsidP="00D05C22">
      <w:pPr>
        <w:pStyle w:val="Heading2"/>
        <w:jc w:val="both"/>
        <w:rPr>
          <w:lang w:eastAsia="en-GB"/>
        </w:rPr>
      </w:pPr>
      <w:r w:rsidRPr="00C03CC6">
        <w:t>The Supplier shall meet the range of</w:t>
      </w:r>
      <w:r w:rsidR="00047374" w:rsidRPr="00C03CC6">
        <w:t xml:space="preserve"> timescales</w:t>
      </w:r>
      <w:r w:rsidRPr="00C03CC6">
        <w:t xml:space="preserve"> specified by DHSC </w:t>
      </w:r>
      <w:r w:rsidR="00047374" w:rsidRPr="00C03CC6">
        <w:t>i</w:t>
      </w:r>
      <w:r w:rsidRPr="00C03CC6">
        <w:t xml:space="preserve">n the </w:t>
      </w:r>
      <w:r w:rsidR="006D2D75">
        <w:t>Statement of Requirements</w:t>
      </w:r>
      <w:r w:rsidR="00FE414E" w:rsidRPr="00C03CC6">
        <w:t xml:space="preserve"> which</w:t>
      </w:r>
      <w:r w:rsidRPr="00C03CC6">
        <w:t xml:space="preserve"> may include, but are not limited to: pick and despatch times, processing times and delivery and collection times.</w:t>
      </w:r>
      <w:r w:rsidR="00B7030D" w:rsidRPr="00C03CC6">
        <w:t xml:space="preserve"> </w:t>
      </w:r>
      <w:r w:rsidR="009F260E" w:rsidRPr="00C03CC6">
        <w:t xml:space="preserve">Although </w:t>
      </w:r>
      <w:r w:rsidR="00263BAE" w:rsidRPr="00C03CC6">
        <w:t xml:space="preserve">the exact timescales will be set out in the relevant Order Form, </w:t>
      </w:r>
      <w:r w:rsidR="009F260E" w:rsidRPr="00C03CC6">
        <w:t>for Lots</w:t>
      </w:r>
      <w:r w:rsidR="00263BAE" w:rsidRPr="00C03CC6">
        <w:t xml:space="preserve"> 1 to 5, the delivery time is likely to be next day to End-Users</w:t>
      </w:r>
      <w:r w:rsidR="009F260E" w:rsidRPr="00C03CC6">
        <w:t xml:space="preserve"> </w:t>
      </w:r>
      <w:r w:rsidR="006D2D75">
        <w:t xml:space="preserve"> (Pharmacies or Hospitals)</w:t>
      </w:r>
      <w:r w:rsidR="009F260E" w:rsidRPr="00C03CC6">
        <w:t xml:space="preserve"> if </w:t>
      </w:r>
      <w:r w:rsidR="00263BAE" w:rsidRPr="00C03CC6">
        <w:t xml:space="preserve">an End-User Order is </w:t>
      </w:r>
      <w:r w:rsidR="009F260E" w:rsidRPr="00C03CC6">
        <w:t>placed before a specified cut-off time. Longer time-frames (for example day 1 for day 3, or possibly longer) may be permitted for bulk movements (</w:t>
      </w:r>
      <w:r w:rsidR="00263BAE" w:rsidRPr="00C03CC6">
        <w:t>p</w:t>
      </w:r>
      <w:r w:rsidR="009F260E" w:rsidRPr="00C03CC6">
        <w:t xml:space="preserve">allet size and above) such as between </w:t>
      </w:r>
      <w:r w:rsidR="00263BAE" w:rsidRPr="00C03CC6">
        <w:t>Framework Suppliers or to a third-party supplier.</w:t>
      </w:r>
    </w:p>
    <w:p w14:paraId="71D824F5" w14:textId="77777777" w:rsidR="00047374" w:rsidRPr="00C03CC6" w:rsidDel="00047374" w:rsidRDefault="00047374" w:rsidP="00047374">
      <w:pPr>
        <w:pStyle w:val="Body2"/>
        <w:jc w:val="both"/>
        <w:rPr>
          <w:rFonts w:cs="Arial"/>
          <w:lang w:eastAsia="en-GB"/>
        </w:rPr>
      </w:pPr>
    </w:p>
    <w:p w14:paraId="3BF1F60C" w14:textId="1F9D1422" w:rsidR="00855F92" w:rsidRPr="00C03CC6" w:rsidRDefault="00855F92" w:rsidP="00855F92">
      <w:pPr>
        <w:pStyle w:val="Heading2"/>
        <w:jc w:val="both"/>
        <w:rPr>
          <w:lang w:eastAsia="en-GB"/>
        </w:rPr>
      </w:pPr>
      <w:r w:rsidRPr="00C03CC6">
        <w:rPr>
          <w:lang w:eastAsia="en-GB"/>
        </w:rPr>
        <w:t>In times of urgent clinical need</w:t>
      </w:r>
      <w:r w:rsidR="006B6231" w:rsidRPr="00C03CC6">
        <w:rPr>
          <w:lang w:eastAsia="en-GB"/>
        </w:rPr>
        <w:t xml:space="preserve"> or exceptional circumstances</w:t>
      </w:r>
      <w:r w:rsidRPr="00C03CC6">
        <w:rPr>
          <w:lang w:eastAsia="en-GB"/>
        </w:rPr>
        <w:t xml:space="preserve"> (e.g. </w:t>
      </w:r>
      <w:r w:rsidR="00B1726A" w:rsidRPr="00C03CC6">
        <w:rPr>
          <w:lang w:eastAsia="en-GB"/>
        </w:rPr>
        <w:t>when a failure to deliver Goods would be life-threatening to a patient</w:t>
      </w:r>
      <w:r w:rsidRPr="00C03CC6">
        <w:rPr>
          <w:lang w:eastAsia="en-GB"/>
        </w:rPr>
        <w:t>) a Statement of Requirement may require the Supplier to make deliveries outside of</w:t>
      </w:r>
      <w:r w:rsidR="006D2D75">
        <w:rPr>
          <w:lang w:eastAsia="en-GB"/>
        </w:rPr>
        <w:t xml:space="preserve"> the Supplier’s core delivery hours and delivery timescales</w:t>
      </w:r>
      <w:r w:rsidRPr="00C03CC6">
        <w:rPr>
          <w:lang w:eastAsia="en-GB"/>
        </w:rPr>
        <w:t xml:space="preserve">. </w:t>
      </w:r>
      <w:r w:rsidR="00263BAE" w:rsidRPr="00C03CC6">
        <w:rPr>
          <w:lang w:eastAsia="en-GB"/>
        </w:rPr>
        <w:t xml:space="preserve">This </w:t>
      </w:r>
      <w:r w:rsidR="009F260E" w:rsidRPr="00C03CC6">
        <w:rPr>
          <w:lang w:eastAsia="en-GB"/>
        </w:rPr>
        <w:t xml:space="preserve">could, for example, involve the need to engage a courier to deliver within a matter of hours. </w:t>
      </w:r>
      <w:r w:rsidRPr="00C03CC6">
        <w:rPr>
          <w:lang w:eastAsia="en-GB"/>
        </w:rPr>
        <w:t>Except for Lot 4, t</w:t>
      </w:r>
      <w:r w:rsidR="00724DC9">
        <w:rPr>
          <w:lang w:eastAsia="en-GB"/>
        </w:rPr>
        <w:t xml:space="preserve">his will always be </w:t>
      </w:r>
      <w:r w:rsidRPr="00C03CC6">
        <w:rPr>
          <w:lang w:eastAsia="en-GB"/>
        </w:rPr>
        <w:t xml:space="preserve">by exception </w:t>
      </w:r>
      <w:r w:rsidR="00724DC9">
        <w:rPr>
          <w:lang w:eastAsia="en-GB"/>
        </w:rPr>
        <w:t xml:space="preserve">and will not be business-as-usual and DHSC does not expect this to always be within </w:t>
      </w:r>
      <w:r w:rsidRPr="00C03CC6">
        <w:rPr>
          <w:lang w:eastAsia="en-GB"/>
        </w:rPr>
        <w:t>capability of the Supplier. In the case of Lot 4, this will still be by exception but DHSC expects that the Supplier will have provisions in place for such deliveries 24/7 if required.  In either case, any</w:t>
      </w:r>
      <w:r w:rsidR="00EC489E" w:rsidRPr="00C03CC6">
        <w:rPr>
          <w:lang w:eastAsia="en-GB"/>
        </w:rPr>
        <w:t xml:space="preserve"> reasonable</w:t>
      </w:r>
      <w:r w:rsidRPr="00C03CC6">
        <w:rPr>
          <w:lang w:eastAsia="en-GB"/>
        </w:rPr>
        <w:t xml:space="preserve"> additional Costs incurred by the Supplier as a result of deliveries made outside of the core hours will fall to DHSC to pay in addition to the agreed Charges</w:t>
      </w:r>
      <w:r w:rsidR="00047374" w:rsidRPr="00C03CC6">
        <w:rPr>
          <w:lang w:eastAsia="en-GB"/>
        </w:rPr>
        <w:t xml:space="preserve">. </w:t>
      </w:r>
    </w:p>
    <w:p w14:paraId="3D2B77E2" w14:textId="77777777" w:rsidR="00855F92" w:rsidRPr="00C03CC6" w:rsidRDefault="00855F92" w:rsidP="00855F92">
      <w:pPr>
        <w:pStyle w:val="Body2"/>
        <w:rPr>
          <w:lang w:eastAsia="en-GB"/>
        </w:rPr>
      </w:pPr>
    </w:p>
    <w:p w14:paraId="1AAA557F" w14:textId="5DD5CB8C" w:rsidR="00707592" w:rsidRPr="00C03CC6" w:rsidRDefault="00707592" w:rsidP="00D05C22">
      <w:pPr>
        <w:pStyle w:val="Heading2"/>
        <w:jc w:val="both"/>
        <w:rPr>
          <w:lang w:eastAsia="en-GB"/>
        </w:rPr>
      </w:pPr>
      <w:r w:rsidRPr="00C03CC6">
        <w:rPr>
          <w:lang w:eastAsia="en-GB"/>
        </w:rPr>
        <w:t>The specific delivery times</w:t>
      </w:r>
      <w:r w:rsidR="008C63C7" w:rsidRPr="00C03CC6">
        <w:rPr>
          <w:lang w:eastAsia="en-GB"/>
        </w:rPr>
        <w:t xml:space="preserve"> and turnaround times</w:t>
      </w:r>
      <w:r w:rsidRPr="00C03CC6">
        <w:rPr>
          <w:lang w:eastAsia="en-GB"/>
        </w:rPr>
        <w:t xml:space="preserve"> will be specified in each </w:t>
      </w:r>
      <w:r w:rsidR="00855F92" w:rsidRPr="00C03CC6">
        <w:rPr>
          <w:lang w:eastAsia="en-GB"/>
        </w:rPr>
        <w:t xml:space="preserve">Statement of Requirement and/or </w:t>
      </w:r>
      <w:r w:rsidRPr="00C03CC6">
        <w:rPr>
          <w:lang w:eastAsia="en-GB"/>
        </w:rPr>
        <w:t>Order Form</w:t>
      </w:r>
      <w:r w:rsidR="00855F92" w:rsidRPr="00C03CC6">
        <w:rPr>
          <w:lang w:eastAsia="en-GB"/>
        </w:rPr>
        <w:t xml:space="preserve"> and/or End-User Order.</w:t>
      </w:r>
      <w:r w:rsidRPr="00C03CC6">
        <w:rPr>
          <w:lang w:eastAsia="en-GB"/>
        </w:rPr>
        <w:t xml:space="preserve"> </w:t>
      </w:r>
    </w:p>
    <w:p w14:paraId="139EA828" w14:textId="77777777" w:rsidR="002E09D4" w:rsidRPr="00C03CC6" w:rsidRDefault="002E09D4" w:rsidP="00D05C22">
      <w:pPr>
        <w:pStyle w:val="Body2"/>
        <w:jc w:val="both"/>
        <w:rPr>
          <w:rFonts w:cs="Arial"/>
          <w:lang w:eastAsia="en-GB"/>
        </w:rPr>
      </w:pPr>
    </w:p>
    <w:p w14:paraId="274BC64B" w14:textId="77777777" w:rsidR="005245A9" w:rsidRPr="00C03CC6" w:rsidRDefault="005245A9" w:rsidP="00D05C22">
      <w:pPr>
        <w:pStyle w:val="Heading1"/>
        <w:jc w:val="both"/>
        <w:rPr>
          <w:b/>
          <w:lang w:eastAsia="en-GB"/>
        </w:rPr>
      </w:pPr>
      <w:r w:rsidRPr="00C03CC6">
        <w:rPr>
          <w:b/>
          <w:lang w:eastAsia="en-GB"/>
        </w:rPr>
        <w:t xml:space="preserve">Supplier Staff </w:t>
      </w:r>
    </w:p>
    <w:p w14:paraId="210303F7" w14:textId="77777777" w:rsidR="005245A9" w:rsidRPr="00C03CC6" w:rsidRDefault="005245A9" w:rsidP="00D05C22">
      <w:pPr>
        <w:pStyle w:val="Body1"/>
        <w:jc w:val="both"/>
        <w:rPr>
          <w:lang w:eastAsia="en-GB"/>
        </w:rPr>
      </w:pPr>
    </w:p>
    <w:p w14:paraId="0BBBD09C" w14:textId="77777777" w:rsidR="005245A9" w:rsidRPr="00C03CC6" w:rsidRDefault="005245A9" w:rsidP="00D05C22">
      <w:pPr>
        <w:pStyle w:val="Heading2"/>
        <w:jc w:val="both"/>
        <w:rPr>
          <w:lang w:eastAsia="en-GB"/>
        </w:rPr>
      </w:pPr>
      <w:r w:rsidRPr="00C03CC6">
        <w:rPr>
          <w:lang w:eastAsia="en-GB"/>
        </w:rPr>
        <w:t xml:space="preserve">The Supplier shall ensure that all Supplier Staff possess the qualifications, experience and competence for the tasks for which they are employed or engaged. </w:t>
      </w:r>
    </w:p>
    <w:p w14:paraId="3F3E94CA" w14:textId="77777777" w:rsidR="005245A9" w:rsidRPr="00C03CC6" w:rsidRDefault="005245A9" w:rsidP="00D05C22">
      <w:pPr>
        <w:pStyle w:val="Body1"/>
        <w:jc w:val="both"/>
        <w:rPr>
          <w:lang w:eastAsia="en-GB"/>
        </w:rPr>
      </w:pPr>
    </w:p>
    <w:p w14:paraId="5EDED1FD" w14:textId="77777777" w:rsidR="005245A9" w:rsidRPr="00C03CC6" w:rsidRDefault="005245A9" w:rsidP="00D05C22">
      <w:pPr>
        <w:pStyle w:val="Heading2"/>
        <w:jc w:val="both"/>
      </w:pPr>
      <w:r w:rsidRPr="00C03CC6">
        <w:t xml:space="preserve">The Supplier shall ensure that the appropriate number of resources with relevant experience and skills are allocated to each Call-Off Contract and this shall be reviewed and managed throughout the duration of the Call-Off Contract in order to ensure DHSC’s </w:t>
      </w:r>
      <w:r w:rsidR="008C63C7" w:rsidRPr="00C03CC6">
        <w:t xml:space="preserve">and each End-User’s </w:t>
      </w:r>
      <w:r w:rsidRPr="00C03CC6">
        <w:t>requirements and timescales are met.</w:t>
      </w:r>
    </w:p>
    <w:p w14:paraId="252AB120" w14:textId="77777777" w:rsidR="005245A9" w:rsidRPr="00C03CC6" w:rsidRDefault="005245A9" w:rsidP="00D05C22">
      <w:pPr>
        <w:pStyle w:val="Body2"/>
        <w:jc w:val="both"/>
      </w:pPr>
    </w:p>
    <w:p w14:paraId="71D9E6C6" w14:textId="77777777" w:rsidR="005245A9" w:rsidRPr="00C03CC6" w:rsidRDefault="005245A9" w:rsidP="00D05C22">
      <w:pPr>
        <w:pStyle w:val="Heading2"/>
        <w:jc w:val="both"/>
      </w:pPr>
      <w:r w:rsidRPr="00C03CC6">
        <w:t>The Supplier shall ensure that all Supplier Staff comply with security controls, procedures and policies as specified by D</w:t>
      </w:r>
      <w:r w:rsidR="008C63C7" w:rsidRPr="00C03CC6">
        <w:t xml:space="preserve">HSC and any specific End-User policies. </w:t>
      </w:r>
    </w:p>
    <w:p w14:paraId="4F772514" w14:textId="77777777" w:rsidR="005245A9" w:rsidRPr="00C03CC6" w:rsidRDefault="005245A9" w:rsidP="00D05C22">
      <w:pPr>
        <w:pStyle w:val="Body1"/>
        <w:jc w:val="both"/>
      </w:pPr>
    </w:p>
    <w:p w14:paraId="5794D8E0" w14:textId="77777777" w:rsidR="00B1726A" w:rsidRPr="00C03CC6" w:rsidRDefault="00B1726A">
      <w:pPr>
        <w:spacing w:line="240" w:lineRule="auto"/>
        <w:rPr>
          <w:rFonts w:cs="Arial"/>
          <w:b/>
          <w:u w:val="single"/>
          <w:lang w:eastAsia="en-GB"/>
        </w:rPr>
      </w:pPr>
      <w:r w:rsidRPr="00C03CC6">
        <w:rPr>
          <w:rFonts w:cs="Arial"/>
          <w:b/>
          <w:u w:val="single"/>
          <w:lang w:eastAsia="en-GB"/>
        </w:rPr>
        <w:br w:type="page"/>
      </w:r>
    </w:p>
    <w:p w14:paraId="28D64084" w14:textId="753E4D93" w:rsidR="00856481" w:rsidRPr="00C03CC6" w:rsidRDefault="00856481" w:rsidP="00B1726A">
      <w:pPr>
        <w:pStyle w:val="Heading1"/>
        <w:numPr>
          <w:ilvl w:val="0"/>
          <w:numId w:val="0"/>
        </w:numPr>
        <w:ind w:left="720" w:hanging="708"/>
        <w:jc w:val="center"/>
        <w:rPr>
          <w:rFonts w:cs="Arial"/>
          <w:b/>
          <w:u w:val="single"/>
          <w:lang w:eastAsia="en-GB"/>
        </w:rPr>
      </w:pPr>
      <w:r w:rsidRPr="00C03CC6">
        <w:rPr>
          <w:rFonts w:cs="Arial"/>
          <w:b/>
          <w:u w:val="single"/>
          <w:lang w:eastAsia="en-GB"/>
        </w:rPr>
        <w:lastRenderedPageBreak/>
        <w:t>Lot-</w:t>
      </w:r>
      <w:r w:rsidR="00461466">
        <w:rPr>
          <w:rFonts w:cs="Arial"/>
          <w:b/>
          <w:u w:val="single"/>
          <w:lang w:eastAsia="en-GB"/>
        </w:rPr>
        <w:t>S</w:t>
      </w:r>
      <w:r w:rsidRPr="00C03CC6">
        <w:rPr>
          <w:rFonts w:cs="Arial"/>
          <w:b/>
          <w:u w:val="single"/>
          <w:lang w:eastAsia="en-GB"/>
        </w:rPr>
        <w:t xml:space="preserve">pecific </w:t>
      </w:r>
      <w:r w:rsidR="0049322B" w:rsidRPr="00C03CC6">
        <w:rPr>
          <w:rFonts w:cs="Arial"/>
          <w:b/>
          <w:u w:val="single"/>
          <w:lang w:eastAsia="en-GB"/>
        </w:rPr>
        <w:t>R</w:t>
      </w:r>
      <w:r w:rsidRPr="00C03CC6">
        <w:rPr>
          <w:rFonts w:cs="Arial"/>
          <w:b/>
          <w:u w:val="single"/>
          <w:lang w:eastAsia="en-GB"/>
        </w:rPr>
        <w:t>equirements</w:t>
      </w:r>
    </w:p>
    <w:p w14:paraId="3E75D009" w14:textId="77777777" w:rsidR="004810D0" w:rsidRPr="00C03CC6" w:rsidRDefault="004810D0" w:rsidP="00D05C22">
      <w:pPr>
        <w:pStyle w:val="Body1"/>
        <w:jc w:val="both"/>
        <w:rPr>
          <w:lang w:eastAsia="en-GB"/>
        </w:rPr>
      </w:pPr>
    </w:p>
    <w:p w14:paraId="48BAB911" w14:textId="77777777" w:rsidR="00856481" w:rsidRPr="00C03CC6" w:rsidRDefault="0049322B" w:rsidP="00D05C22">
      <w:pPr>
        <w:pStyle w:val="Heading1"/>
        <w:jc w:val="both"/>
        <w:rPr>
          <w:b/>
        </w:rPr>
      </w:pPr>
      <w:r w:rsidRPr="00C03CC6">
        <w:rPr>
          <w:b/>
        </w:rPr>
        <w:t xml:space="preserve">Lot 1: </w:t>
      </w:r>
      <w:r w:rsidR="004810D0" w:rsidRPr="00C03CC6">
        <w:rPr>
          <w:b/>
        </w:rPr>
        <w:t>Pharmaceuticals</w:t>
      </w:r>
      <w:r w:rsidR="00856481" w:rsidRPr="00C03CC6">
        <w:rPr>
          <w:b/>
        </w:rPr>
        <w:t xml:space="preserve"> </w:t>
      </w:r>
      <w:r w:rsidRPr="00C03CC6">
        <w:rPr>
          <w:b/>
        </w:rPr>
        <w:t xml:space="preserve">– Primary Care </w:t>
      </w:r>
    </w:p>
    <w:p w14:paraId="3E5AAC2C" w14:textId="77777777" w:rsidR="00856481" w:rsidRPr="00C03CC6" w:rsidRDefault="00856481" w:rsidP="00D05C22">
      <w:pPr>
        <w:pStyle w:val="Heading2"/>
        <w:numPr>
          <w:ilvl w:val="0"/>
          <w:numId w:val="0"/>
        </w:numPr>
        <w:ind w:left="1440"/>
        <w:jc w:val="both"/>
      </w:pPr>
    </w:p>
    <w:p w14:paraId="378BFC83" w14:textId="4F4CC6A0" w:rsidR="00856481" w:rsidRPr="00C03CC6" w:rsidRDefault="00856481" w:rsidP="00D05C22">
      <w:pPr>
        <w:pStyle w:val="Heading2"/>
        <w:jc w:val="both"/>
      </w:pPr>
      <w:r w:rsidRPr="00C03CC6">
        <w:t xml:space="preserve">The Supplier will </w:t>
      </w:r>
      <w:r w:rsidR="0049322B" w:rsidRPr="00C03CC6">
        <w:t xml:space="preserve">store and/or distribute </w:t>
      </w:r>
      <w:r w:rsidR="00AC5BDC" w:rsidRPr="00C03CC6">
        <w:t xml:space="preserve">Medicinal Products </w:t>
      </w:r>
      <w:r w:rsidR="0049322B" w:rsidRPr="00C03CC6">
        <w:t xml:space="preserve">to </w:t>
      </w:r>
      <w:r w:rsidR="004810D0" w:rsidRPr="00C03CC6">
        <w:t xml:space="preserve">End-Users in primary care including general practice, pharmacy, dentists, opticians and care homes. </w:t>
      </w:r>
      <w:r w:rsidRPr="00C03CC6">
        <w:t xml:space="preserve"> </w:t>
      </w:r>
    </w:p>
    <w:p w14:paraId="1062EFFB" w14:textId="77777777" w:rsidR="00856481" w:rsidRPr="00C03CC6" w:rsidRDefault="00856481" w:rsidP="00D05C22">
      <w:pPr>
        <w:pStyle w:val="Heading2"/>
        <w:numPr>
          <w:ilvl w:val="0"/>
          <w:numId w:val="0"/>
        </w:numPr>
        <w:ind w:left="1440"/>
        <w:jc w:val="both"/>
      </w:pPr>
    </w:p>
    <w:p w14:paraId="3E9D211D" w14:textId="4F6CCCC1" w:rsidR="00856481" w:rsidRPr="00C03CC6" w:rsidRDefault="004810D0" w:rsidP="00D05C22">
      <w:pPr>
        <w:pStyle w:val="Heading2"/>
        <w:jc w:val="both"/>
      </w:pPr>
      <w:r w:rsidRPr="00C03CC6">
        <w:t>The Supplier will</w:t>
      </w:r>
      <w:r w:rsidR="0049322B" w:rsidRPr="00C03CC6">
        <w:t xml:space="preserve"> store and/or</w:t>
      </w:r>
      <w:r w:rsidRPr="00C03CC6">
        <w:t xml:space="preserve"> </w:t>
      </w:r>
      <w:r w:rsidR="0049322B" w:rsidRPr="00C03CC6">
        <w:t xml:space="preserve">distribute </w:t>
      </w:r>
      <w:r w:rsidR="00856481" w:rsidRPr="00C03CC6">
        <w:t>solid or liquid dose for</w:t>
      </w:r>
      <w:r w:rsidRPr="00C03CC6">
        <w:t xml:space="preserve">ms of </w:t>
      </w:r>
      <w:r w:rsidR="00A00B1F" w:rsidRPr="00C03CC6">
        <w:t>Medicinal Products</w:t>
      </w:r>
      <w:r w:rsidR="0049322B" w:rsidRPr="00C03CC6">
        <w:t>,</w:t>
      </w:r>
      <w:r w:rsidRPr="00C03CC6">
        <w:t xml:space="preserve"> which </w:t>
      </w:r>
      <w:r w:rsidR="0049322B" w:rsidRPr="00C03CC6">
        <w:t>may include</w:t>
      </w:r>
      <w:r w:rsidRPr="00C03CC6">
        <w:t xml:space="preserve"> large volume</w:t>
      </w:r>
      <w:r w:rsidR="00856481" w:rsidRPr="00C03CC6">
        <w:t xml:space="preserve"> parenteral</w:t>
      </w:r>
      <w:r w:rsidR="0049322B" w:rsidRPr="00C03CC6">
        <w:t xml:space="preserve"> fluids,</w:t>
      </w:r>
      <w:r w:rsidRPr="00C03CC6">
        <w:t xml:space="preserve"> as well as the following: </w:t>
      </w:r>
    </w:p>
    <w:p w14:paraId="2D0C2077" w14:textId="77777777" w:rsidR="00856481" w:rsidRPr="00C03CC6" w:rsidRDefault="00856481" w:rsidP="00D05C22">
      <w:pPr>
        <w:pStyle w:val="Heading3"/>
        <w:numPr>
          <w:ilvl w:val="0"/>
          <w:numId w:val="0"/>
        </w:numPr>
        <w:ind w:left="2404"/>
        <w:jc w:val="both"/>
      </w:pPr>
    </w:p>
    <w:p w14:paraId="45464148" w14:textId="0B87E83A" w:rsidR="00856481" w:rsidRPr="00C03CC6" w:rsidRDefault="00856481" w:rsidP="00D05C22">
      <w:pPr>
        <w:pStyle w:val="Heading3"/>
        <w:jc w:val="both"/>
      </w:pPr>
      <w:r w:rsidRPr="00C03CC6">
        <w:t>GSL</w:t>
      </w:r>
      <w:r w:rsidR="00A00B1F" w:rsidRPr="00C03CC6">
        <w:t xml:space="preserve"> Medicines</w:t>
      </w:r>
      <w:r w:rsidR="001A1689" w:rsidRPr="00C03CC6">
        <w:t>;</w:t>
      </w:r>
    </w:p>
    <w:p w14:paraId="33434F02" w14:textId="77777777" w:rsidR="00856481" w:rsidRPr="00C03CC6" w:rsidRDefault="00856481" w:rsidP="00D05C22">
      <w:pPr>
        <w:pStyle w:val="Heading3"/>
        <w:numPr>
          <w:ilvl w:val="0"/>
          <w:numId w:val="0"/>
        </w:numPr>
        <w:ind w:left="2404"/>
        <w:jc w:val="both"/>
      </w:pPr>
    </w:p>
    <w:p w14:paraId="383AD020" w14:textId="6717332E" w:rsidR="00856481" w:rsidRPr="00C03CC6" w:rsidRDefault="00856481" w:rsidP="00D05C22">
      <w:pPr>
        <w:pStyle w:val="Heading3"/>
        <w:jc w:val="both"/>
      </w:pPr>
      <w:r w:rsidRPr="00C03CC6">
        <w:t>POM</w:t>
      </w:r>
      <w:r w:rsidR="00A00B1F" w:rsidRPr="00C03CC6">
        <w:t>s</w:t>
      </w:r>
      <w:r w:rsidR="001A1689" w:rsidRPr="00C03CC6">
        <w:t>;</w:t>
      </w:r>
    </w:p>
    <w:p w14:paraId="434F31A5" w14:textId="77777777" w:rsidR="00856481" w:rsidRPr="00C03CC6" w:rsidRDefault="00856481" w:rsidP="00D05C22">
      <w:pPr>
        <w:pStyle w:val="Heading3"/>
        <w:numPr>
          <w:ilvl w:val="0"/>
          <w:numId w:val="0"/>
        </w:numPr>
        <w:ind w:left="2404"/>
        <w:jc w:val="both"/>
      </w:pPr>
    </w:p>
    <w:p w14:paraId="50304E7F" w14:textId="768B247A" w:rsidR="00867E1B" w:rsidRPr="00C03CC6" w:rsidRDefault="00856481" w:rsidP="00D05C22">
      <w:pPr>
        <w:pStyle w:val="Heading3"/>
        <w:jc w:val="both"/>
      </w:pPr>
      <w:r w:rsidRPr="00C03CC6">
        <w:t>P</w:t>
      </w:r>
      <w:r w:rsidR="00EC03A2" w:rsidRPr="00C03CC6">
        <w:t xml:space="preserve"> </w:t>
      </w:r>
      <w:r w:rsidR="00A00B1F" w:rsidRPr="00C03CC6">
        <w:t>M</w:t>
      </w:r>
      <w:r w:rsidR="00EC03A2" w:rsidRPr="00C03CC6">
        <w:t>edicines</w:t>
      </w:r>
      <w:r w:rsidR="001A1689" w:rsidRPr="00C03CC6">
        <w:t>;</w:t>
      </w:r>
    </w:p>
    <w:p w14:paraId="684049E2" w14:textId="77777777" w:rsidR="00856481" w:rsidRPr="00C03CC6" w:rsidRDefault="00856481" w:rsidP="00D05C22">
      <w:pPr>
        <w:pStyle w:val="Heading3"/>
        <w:numPr>
          <w:ilvl w:val="0"/>
          <w:numId w:val="0"/>
        </w:numPr>
        <w:ind w:left="2404"/>
        <w:jc w:val="both"/>
      </w:pPr>
    </w:p>
    <w:p w14:paraId="055F4496" w14:textId="083781A8" w:rsidR="00D343A3" w:rsidRPr="00C03CC6" w:rsidRDefault="00D343A3" w:rsidP="00D05C22">
      <w:pPr>
        <w:pStyle w:val="Heading3"/>
        <w:jc w:val="both"/>
      </w:pPr>
      <w:r w:rsidRPr="00C03CC6">
        <w:t>Investigational Medicinal Products</w:t>
      </w:r>
      <w:r w:rsidR="00EC03A2" w:rsidRPr="00C03CC6">
        <w:t xml:space="preserve"> (IMP)</w:t>
      </w:r>
      <w:r w:rsidR="001A1689" w:rsidRPr="00C03CC6">
        <w:t>; and</w:t>
      </w:r>
    </w:p>
    <w:p w14:paraId="32D6EE08" w14:textId="77777777" w:rsidR="00D343A3" w:rsidRPr="00C03CC6" w:rsidRDefault="00D343A3" w:rsidP="00D05C22">
      <w:pPr>
        <w:pStyle w:val="Body3"/>
        <w:jc w:val="both"/>
      </w:pPr>
    </w:p>
    <w:p w14:paraId="7A7683F1" w14:textId="4AD4CB30" w:rsidR="00856481" w:rsidRPr="00C03CC6" w:rsidRDefault="00856481" w:rsidP="00D05C22">
      <w:pPr>
        <w:pStyle w:val="Heading3"/>
        <w:jc w:val="both"/>
      </w:pPr>
      <w:r w:rsidRPr="00C03CC6">
        <w:t>Sche</w:t>
      </w:r>
      <w:r w:rsidR="00D05C22" w:rsidRPr="00C03CC6">
        <w:t>dules 2, 3, 4 Controlled Drugs</w:t>
      </w:r>
      <w:r w:rsidR="001A1689" w:rsidRPr="00C03CC6">
        <w:t>.</w:t>
      </w:r>
    </w:p>
    <w:p w14:paraId="2FB0A8FE" w14:textId="77777777" w:rsidR="00856481" w:rsidRPr="00C03CC6" w:rsidRDefault="00856481" w:rsidP="00D05C22">
      <w:pPr>
        <w:pStyle w:val="ListParagraph"/>
        <w:jc w:val="both"/>
        <w:rPr>
          <w:rFonts w:cs="Arial"/>
          <w:b w:val="0"/>
          <w:sz w:val="20"/>
        </w:rPr>
      </w:pPr>
    </w:p>
    <w:p w14:paraId="274FD63E" w14:textId="77777777" w:rsidR="004810D0" w:rsidRPr="00C03CC6" w:rsidRDefault="004810D0" w:rsidP="00D05C22">
      <w:pPr>
        <w:pStyle w:val="Heading2"/>
        <w:jc w:val="both"/>
        <w:rPr>
          <w:b/>
        </w:rPr>
      </w:pPr>
      <w:r w:rsidRPr="00C03CC6">
        <w:t>The Goods must be stored as appropriate using the following temperature guide</w:t>
      </w:r>
      <w:r w:rsidR="00904FBD" w:rsidRPr="00C03CC6">
        <w:t xml:space="preserve"> or as otherwise described in any Medicinal Product’s Summary of the Product Characteristics</w:t>
      </w:r>
      <w:r w:rsidRPr="00C03CC6">
        <w:t xml:space="preserve">: </w:t>
      </w:r>
    </w:p>
    <w:p w14:paraId="3CDAC451" w14:textId="77777777" w:rsidR="004810D0" w:rsidRPr="00C03CC6" w:rsidRDefault="004810D0" w:rsidP="00D05C22">
      <w:pPr>
        <w:pStyle w:val="ListParagraph"/>
        <w:ind w:left="2268"/>
        <w:jc w:val="both"/>
        <w:rPr>
          <w:rFonts w:cs="Arial"/>
          <w:b w:val="0"/>
          <w:sz w:val="20"/>
        </w:rPr>
      </w:pPr>
    </w:p>
    <w:p w14:paraId="2FAA2F51" w14:textId="77777777" w:rsidR="00856481" w:rsidRPr="00C03CC6" w:rsidRDefault="00856481" w:rsidP="00D05C22">
      <w:pPr>
        <w:pStyle w:val="Heading3"/>
        <w:jc w:val="both"/>
      </w:pPr>
      <w:r w:rsidRPr="00C03CC6">
        <w:t>Ambient temperature between 8°</w:t>
      </w:r>
      <w:r w:rsidR="004810D0" w:rsidRPr="00C03CC6">
        <w:t>c</w:t>
      </w:r>
      <w:r w:rsidRPr="00C03CC6">
        <w:t xml:space="preserve"> and less than 25</w:t>
      </w:r>
      <w:r w:rsidR="004810D0" w:rsidRPr="00C03CC6">
        <w:t xml:space="preserve">°c; </w:t>
      </w:r>
    </w:p>
    <w:p w14:paraId="2EE612BD" w14:textId="77777777" w:rsidR="004810D0" w:rsidRPr="00C03CC6" w:rsidRDefault="004810D0" w:rsidP="00D05C22">
      <w:pPr>
        <w:pStyle w:val="Heading3"/>
        <w:numPr>
          <w:ilvl w:val="0"/>
          <w:numId w:val="0"/>
        </w:numPr>
        <w:ind w:left="2404"/>
        <w:jc w:val="both"/>
      </w:pPr>
    </w:p>
    <w:p w14:paraId="4B69AE1B" w14:textId="77777777" w:rsidR="00856481" w:rsidRPr="00C03CC6" w:rsidRDefault="00856481" w:rsidP="00D05C22">
      <w:pPr>
        <w:pStyle w:val="Heading3"/>
        <w:jc w:val="both"/>
      </w:pPr>
      <w:r w:rsidRPr="00C03CC6">
        <w:t>Refrigerated temperature between 2</w:t>
      </w:r>
      <w:r w:rsidR="004810D0" w:rsidRPr="00C03CC6">
        <w:t>°c</w:t>
      </w:r>
      <w:r w:rsidRPr="00C03CC6">
        <w:t xml:space="preserve"> and 8</w:t>
      </w:r>
      <w:r w:rsidR="004810D0" w:rsidRPr="00C03CC6">
        <w:t xml:space="preserve">°c; and </w:t>
      </w:r>
    </w:p>
    <w:p w14:paraId="30492CA8" w14:textId="77777777" w:rsidR="004810D0" w:rsidRPr="00C03CC6" w:rsidRDefault="004810D0" w:rsidP="00D05C22">
      <w:pPr>
        <w:pStyle w:val="Heading3"/>
        <w:numPr>
          <w:ilvl w:val="0"/>
          <w:numId w:val="0"/>
        </w:numPr>
        <w:ind w:left="2404"/>
        <w:jc w:val="both"/>
      </w:pPr>
    </w:p>
    <w:p w14:paraId="024303A0" w14:textId="77777777" w:rsidR="00856481" w:rsidRPr="00C03CC6" w:rsidRDefault="00856481" w:rsidP="00D05C22">
      <w:pPr>
        <w:pStyle w:val="Heading3"/>
        <w:jc w:val="both"/>
      </w:pPr>
      <w:r w:rsidRPr="00C03CC6">
        <w:t xml:space="preserve">Freezer less than </w:t>
      </w:r>
      <w:r w:rsidR="004810D0" w:rsidRPr="00C03CC6">
        <w:t xml:space="preserve">0°c. </w:t>
      </w:r>
    </w:p>
    <w:p w14:paraId="5FEEB564" w14:textId="77777777" w:rsidR="0049322B" w:rsidRPr="00C03CC6" w:rsidRDefault="0049322B" w:rsidP="00D05C22">
      <w:pPr>
        <w:pStyle w:val="Body3"/>
        <w:jc w:val="both"/>
      </w:pPr>
    </w:p>
    <w:p w14:paraId="63B193DF" w14:textId="6848252A" w:rsidR="00856481" w:rsidRPr="00C03CC6" w:rsidRDefault="00856481" w:rsidP="00D05C22">
      <w:pPr>
        <w:pStyle w:val="Heading2"/>
        <w:jc w:val="both"/>
      </w:pPr>
      <w:r w:rsidRPr="00C03CC6">
        <w:rPr>
          <w:bCs/>
        </w:rPr>
        <w:t>The</w:t>
      </w:r>
      <w:r w:rsidRPr="00C03CC6">
        <w:t xml:space="preserve"> </w:t>
      </w:r>
      <w:r w:rsidR="004810D0" w:rsidRPr="00C03CC6">
        <w:t>Supplier</w:t>
      </w:r>
      <w:r w:rsidRPr="00C03CC6">
        <w:t xml:space="preserve"> will hold the following licences</w:t>
      </w:r>
      <w:r w:rsidR="006C2704" w:rsidRPr="00C03CC6">
        <w:t>/certification</w:t>
      </w:r>
      <w:r w:rsidR="004810D0" w:rsidRPr="00C03CC6">
        <w:t xml:space="preserve">: </w:t>
      </w:r>
    </w:p>
    <w:p w14:paraId="2E82BAFD" w14:textId="77777777" w:rsidR="004810D0" w:rsidRPr="00C03CC6" w:rsidRDefault="004810D0" w:rsidP="00D05C22">
      <w:pPr>
        <w:pStyle w:val="Body3"/>
        <w:jc w:val="both"/>
      </w:pPr>
    </w:p>
    <w:p w14:paraId="684C41BE" w14:textId="111A6566" w:rsidR="00856481" w:rsidRPr="00C03CC6" w:rsidRDefault="00EA7265" w:rsidP="00D05C22">
      <w:pPr>
        <w:pStyle w:val="Heading3"/>
        <w:jc w:val="both"/>
      </w:pPr>
      <w:r w:rsidRPr="00C03CC6">
        <w:t>Whole</w:t>
      </w:r>
      <w:r w:rsidR="00EF783F" w:rsidRPr="00C03CC6">
        <w:t>sale</w:t>
      </w:r>
      <w:r w:rsidRPr="00C03CC6">
        <w:t xml:space="preserve"> Dealer</w:t>
      </w:r>
      <w:r w:rsidR="00EF783F" w:rsidRPr="00C03CC6">
        <w:t>’</w:t>
      </w:r>
      <w:r w:rsidRPr="00C03CC6">
        <w:t>s Licence</w:t>
      </w:r>
      <w:r w:rsidR="00B95C9D" w:rsidRPr="00C03CC6">
        <w:t xml:space="preserve"> specifying all premises used for the distribution of Medicinal Products under this Lot 1</w:t>
      </w:r>
      <w:r w:rsidR="00047374" w:rsidRPr="00C03CC6">
        <w:t>;</w:t>
      </w:r>
    </w:p>
    <w:p w14:paraId="5082FAF3" w14:textId="77777777" w:rsidR="00856481" w:rsidRPr="00C03CC6" w:rsidRDefault="00856481" w:rsidP="00D05C22">
      <w:pPr>
        <w:pStyle w:val="Heading3"/>
        <w:numPr>
          <w:ilvl w:val="0"/>
          <w:numId w:val="0"/>
        </w:numPr>
        <w:ind w:left="2404"/>
        <w:jc w:val="both"/>
      </w:pPr>
    </w:p>
    <w:p w14:paraId="4BE22FD1" w14:textId="0D12BEAC" w:rsidR="00856481" w:rsidRPr="00C03CC6" w:rsidRDefault="00856481" w:rsidP="00D05C22">
      <w:pPr>
        <w:pStyle w:val="Heading3"/>
        <w:jc w:val="both"/>
      </w:pPr>
      <w:r w:rsidRPr="00C03CC6">
        <w:t>Home Office Controlled Drugs</w:t>
      </w:r>
      <w:r w:rsidR="00EA7265" w:rsidRPr="00C03CC6">
        <w:t xml:space="preserve"> licence</w:t>
      </w:r>
      <w:r w:rsidR="00047374" w:rsidRPr="00C03CC6">
        <w:t>; and</w:t>
      </w:r>
    </w:p>
    <w:p w14:paraId="3F514236" w14:textId="77777777" w:rsidR="00856481" w:rsidRPr="00C03CC6" w:rsidRDefault="00856481" w:rsidP="00D05C22">
      <w:pPr>
        <w:pStyle w:val="Heading3"/>
        <w:numPr>
          <w:ilvl w:val="0"/>
          <w:numId w:val="0"/>
        </w:numPr>
        <w:ind w:left="2404"/>
        <w:jc w:val="both"/>
      </w:pPr>
    </w:p>
    <w:p w14:paraId="2B65F0ED" w14:textId="108803E4" w:rsidR="00856481" w:rsidRPr="00C03CC6" w:rsidRDefault="00856481" w:rsidP="00D05C22">
      <w:pPr>
        <w:pStyle w:val="Heading3"/>
        <w:jc w:val="both"/>
      </w:pPr>
      <w:r w:rsidRPr="00C03CC6">
        <w:t>Good Distribution Practice (GDP) certification</w:t>
      </w:r>
      <w:r w:rsidR="00047374" w:rsidRPr="00C03CC6">
        <w:t>.</w:t>
      </w:r>
    </w:p>
    <w:p w14:paraId="00D88FBD" w14:textId="77777777" w:rsidR="00856481" w:rsidRPr="00C03CC6" w:rsidRDefault="00856481" w:rsidP="00D05C22">
      <w:pPr>
        <w:pStyle w:val="ListParagraph"/>
        <w:spacing w:after="160" w:line="259" w:lineRule="auto"/>
        <w:ind w:left="1080"/>
        <w:jc w:val="both"/>
        <w:rPr>
          <w:rFonts w:cs="Arial"/>
          <w:b w:val="0"/>
          <w:sz w:val="20"/>
        </w:rPr>
      </w:pPr>
    </w:p>
    <w:p w14:paraId="0F0EFEC2" w14:textId="1D086B6A" w:rsidR="00856481" w:rsidRPr="00C03CC6" w:rsidRDefault="00856481" w:rsidP="00D05C22">
      <w:pPr>
        <w:pStyle w:val="Heading1"/>
        <w:jc w:val="both"/>
        <w:rPr>
          <w:b/>
        </w:rPr>
      </w:pPr>
      <w:r w:rsidRPr="00C03CC6">
        <w:rPr>
          <w:b/>
        </w:rPr>
        <w:t xml:space="preserve"> Lot 2</w:t>
      </w:r>
      <w:r w:rsidR="0049322B" w:rsidRPr="00C03CC6">
        <w:rPr>
          <w:b/>
        </w:rPr>
        <w:t>:</w:t>
      </w:r>
      <w:r w:rsidR="004810D0" w:rsidRPr="00C03CC6">
        <w:rPr>
          <w:b/>
        </w:rPr>
        <w:t xml:space="preserve"> Pharmaceuticals </w:t>
      </w:r>
      <w:r w:rsidR="0049322B" w:rsidRPr="00C03CC6">
        <w:rPr>
          <w:b/>
        </w:rPr>
        <w:t xml:space="preserve">– Secondary Care </w:t>
      </w:r>
    </w:p>
    <w:p w14:paraId="670D797A" w14:textId="77777777" w:rsidR="00B1726A" w:rsidRPr="00C03CC6" w:rsidRDefault="00B1726A" w:rsidP="00B1726A">
      <w:pPr>
        <w:pStyle w:val="Body1"/>
      </w:pPr>
    </w:p>
    <w:p w14:paraId="154311A9" w14:textId="181A9A4B" w:rsidR="0032401E" w:rsidRPr="00C03CC6" w:rsidRDefault="0032401E" w:rsidP="00D05C22">
      <w:pPr>
        <w:pStyle w:val="Heading2"/>
        <w:jc w:val="both"/>
        <w:rPr>
          <w:rFonts w:cs="Arial"/>
          <w:lang w:eastAsia="en-GB"/>
        </w:rPr>
      </w:pPr>
      <w:r w:rsidRPr="00C03CC6">
        <w:t>The Supplier will</w:t>
      </w:r>
      <w:r w:rsidR="0049322B" w:rsidRPr="00C03CC6">
        <w:t xml:space="preserve"> store and/or distribute </w:t>
      </w:r>
      <w:r w:rsidR="00AC5BDC" w:rsidRPr="00C03CC6">
        <w:t xml:space="preserve">Medicinal Products </w:t>
      </w:r>
      <w:r w:rsidR="0049322B" w:rsidRPr="00C03CC6">
        <w:t>to End-Users</w:t>
      </w:r>
      <w:r w:rsidRPr="00C03CC6">
        <w:t xml:space="preserve"> in secondary care including NHS </w:t>
      </w:r>
      <w:r w:rsidR="00047374" w:rsidRPr="00C03CC6">
        <w:rPr>
          <w:rFonts w:cs="Arial"/>
          <w:lang w:eastAsia="en-GB"/>
        </w:rPr>
        <w:t>T</w:t>
      </w:r>
      <w:r w:rsidRPr="00C03CC6">
        <w:rPr>
          <w:rFonts w:cs="Arial"/>
          <w:lang w:eastAsia="en-GB"/>
        </w:rPr>
        <w:t>rusts,</w:t>
      </w:r>
      <w:r w:rsidR="00AC5BDC" w:rsidRPr="00C03CC6">
        <w:rPr>
          <w:rFonts w:cs="Arial"/>
          <w:lang w:eastAsia="en-GB"/>
        </w:rPr>
        <w:t xml:space="preserve"> NHS Foundation Trusts,</w:t>
      </w:r>
      <w:r w:rsidRPr="00C03CC6">
        <w:rPr>
          <w:rFonts w:cs="Arial"/>
          <w:lang w:eastAsia="en-GB"/>
        </w:rPr>
        <w:t xml:space="preserve"> hospital outreach</w:t>
      </w:r>
      <w:r w:rsidR="00097C4D" w:rsidRPr="00C03CC6">
        <w:rPr>
          <w:rFonts w:cs="Arial"/>
          <w:lang w:eastAsia="en-GB"/>
        </w:rPr>
        <w:t xml:space="preserve"> (healthcare organisations, not patients)</w:t>
      </w:r>
      <w:r w:rsidR="0049322B" w:rsidRPr="00C03CC6">
        <w:rPr>
          <w:rFonts w:cs="Arial"/>
          <w:lang w:eastAsia="en-GB"/>
        </w:rPr>
        <w:t xml:space="preserve"> and </w:t>
      </w:r>
      <w:r w:rsidRPr="00C03CC6">
        <w:rPr>
          <w:rFonts w:cs="Arial"/>
          <w:lang w:eastAsia="en-GB"/>
        </w:rPr>
        <w:t>Children and Adolescent Mental Health Services (CAMHS)</w:t>
      </w:r>
      <w:r w:rsidR="003A7DE6">
        <w:rPr>
          <w:rFonts w:cs="Arial"/>
          <w:lang w:eastAsia="en-GB"/>
        </w:rPr>
        <w:t>.</w:t>
      </w:r>
    </w:p>
    <w:p w14:paraId="49092C9A" w14:textId="77777777" w:rsidR="00097C4D" w:rsidRPr="00C03CC6" w:rsidRDefault="00097C4D" w:rsidP="00D05C22">
      <w:pPr>
        <w:pStyle w:val="Body2"/>
        <w:jc w:val="both"/>
        <w:rPr>
          <w:lang w:eastAsia="en-GB"/>
        </w:rPr>
      </w:pPr>
    </w:p>
    <w:p w14:paraId="0000F03B" w14:textId="44D87EBD" w:rsidR="00856481" w:rsidRPr="00C03CC6" w:rsidRDefault="0032401E" w:rsidP="00D05C22">
      <w:pPr>
        <w:pStyle w:val="Heading2"/>
        <w:jc w:val="both"/>
      </w:pPr>
      <w:r w:rsidRPr="00C03CC6">
        <w:t xml:space="preserve">The Supplier will </w:t>
      </w:r>
      <w:r w:rsidR="0049322B" w:rsidRPr="00C03CC6">
        <w:t>store and/or distribute</w:t>
      </w:r>
      <w:r w:rsidRPr="00C03CC6">
        <w:t xml:space="preserve"> </w:t>
      </w:r>
      <w:r w:rsidR="00856481" w:rsidRPr="00C03CC6">
        <w:t xml:space="preserve">solid or liquid dose forms of </w:t>
      </w:r>
      <w:r w:rsidR="00D343A3" w:rsidRPr="00C03CC6">
        <w:t xml:space="preserve"> </w:t>
      </w:r>
      <w:r w:rsidR="00AC5BDC" w:rsidRPr="00C03CC6">
        <w:t>Medicinal Products</w:t>
      </w:r>
      <w:r w:rsidR="0049322B" w:rsidRPr="00C03CC6">
        <w:t xml:space="preserve">, which may include large volume parenteral fluids, </w:t>
      </w:r>
      <w:r w:rsidRPr="00C03CC6">
        <w:t xml:space="preserve">as well as the following: </w:t>
      </w:r>
    </w:p>
    <w:p w14:paraId="3F0CCA92" w14:textId="77777777" w:rsidR="00856481" w:rsidRPr="00C03CC6" w:rsidRDefault="00856481" w:rsidP="00D05C22">
      <w:pPr>
        <w:pStyle w:val="Heading3"/>
        <w:numPr>
          <w:ilvl w:val="0"/>
          <w:numId w:val="0"/>
        </w:numPr>
        <w:ind w:left="2404"/>
        <w:jc w:val="both"/>
      </w:pPr>
    </w:p>
    <w:p w14:paraId="68C41349" w14:textId="55C88ABF" w:rsidR="00856481" w:rsidRPr="00C03CC6" w:rsidRDefault="00856481" w:rsidP="00D05C22">
      <w:pPr>
        <w:pStyle w:val="Heading3"/>
        <w:jc w:val="both"/>
      </w:pPr>
      <w:r w:rsidRPr="00C03CC6">
        <w:lastRenderedPageBreak/>
        <w:t>GSL</w:t>
      </w:r>
      <w:r w:rsidR="00A030BC" w:rsidRPr="00C03CC6">
        <w:t xml:space="preserve"> Medicines</w:t>
      </w:r>
      <w:r w:rsidR="001A1689" w:rsidRPr="00C03CC6">
        <w:t>;</w:t>
      </w:r>
    </w:p>
    <w:p w14:paraId="4524D3C0" w14:textId="77777777" w:rsidR="00856481" w:rsidRPr="00C03CC6" w:rsidRDefault="00856481" w:rsidP="00D05C22">
      <w:pPr>
        <w:pStyle w:val="Heading3"/>
        <w:numPr>
          <w:ilvl w:val="0"/>
          <w:numId w:val="0"/>
        </w:numPr>
        <w:ind w:left="2404"/>
        <w:jc w:val="both"/>
      </w:pPr>
    </w:p>
    <w:p w14:paraId="30DC4CBC" w14:textId="0602AD8F" w:rsidR="00856481" w:rsidRPr="00C03CC6" w:rsidRDefault="00856481" w:rsidP="00D05C22">
      <w:pPr>
        <w:pStyle w:val="Heading3"/>
        <w:jc w:val="both"/>
      </w:pPr>
      <w:r w:rsidRPr="00C03CC6">
        <w:t>POM</w:t>
      </w:r>
      <w:r w:rsidR="00A030BC" w:rsidRPr="00C03CC6">
        <w:t>s</w:t>
      </w:r>
      <w:r w:rsidR="001A1689" w:rsidRPr="00C03CC6">
        <w:t>;</w:t>
      </w:r>
      <w:r w:rsidRPr="00C03CC6">
        <w:t xml:space="preserve"> </w:t>
      </w:r>
    </w:p>
    <w:p w14:paraId="0E7895ED" w14:textId="77777777" w:rsidR="00856481" w:rsidRPr="00C03CC6" w:rsidRDefault="00856481" w:rsidP="00D05C22">
      <w:pPr>
        <w:pStyle w:val="Heading3"/>
        <w:numPr>
          <w:ilvl w:val="0"/>
          <w:numId w:val="0"/>
        </w:numPr>
        <w:ind w:left="2404"/>
        <w:jc w:val="both"/>
      </w:pPr>
    </w:p>
    <w:p w14:paraId="431C5F78" w14:textId="4EDDFC6C" w:rsidR="00856481" w:rsidRPr="00C03CC6" w:rsidRDefault="00856481" w:rsidP="00D05C22">
      <w:pPr>
        <w:pStyle w:val="Heading3"/>
        <w:jc w:val="both"/>
      </w:pPr>
      <w:r w:rsidRPr="00C03CC6">
        <w:t>P</w:t>
      </w:r>
      <w:r w:rsidR="00724DC9">
        <w:t xml:space="preserve"> Medicine</w:t>
      </w:r>
      <w:r w:rsidR="00A030BC" w:rsidRPr="00C03CC6">
        <w:t>s</w:t>
      </w:r>
      <w:r w:rsidR="001A1689" w:rsidRPr="00C03CC6">
        <w:t>;</w:t>
      </w:r>
      <w:r w:rsidRPr="00C03CC6">
        <w:t xml:space="preserve"> </w:t>
      </w:r>
    </w:p>
    <w:p w14:paraId="3287452D" w14:textId="77777777" w:rsidR="00856481" w:rsidRPr="00C03CC6" w:rsidRDefault="00856481" w:rsidP="00D05C22">
      <w:pPr>
        <w:pStyle w:val="Heading3"/>
        <w:numPr>
          <w:ilvl w:val="0"/>
          <w:numId w:val="0"/>
        </w:numPr>
        <w:ind w:left="2404"/>
        <w:jc w:val="both"/>
      </w:pPr>
    </w:p>
    <w:p w14:paraId="0A75AD3D" w14:textId="4C60BF67" w:rsidR="00D343A3" w:rsidRPr="00C03CC6" w:rsidRDefault="00D343A3" w:rsidP="00D05C22">
      <w:pPr>
        <w:pStyle w:val="Heading3"/>
        <w:jc w:val="both"/>
      </w:pPr>
      <w:r w:rsidRPr="00C03CC6">
        <w:t>Investigational Medicinal Products</w:t>
      </w:r>
      <w:r w:rsidR="001A1689" w:rsidRPr="00C03CC6">
        <w:t xml:space="preserve">; and </w:t>
      </w:r>
    </w:p>
    <w:p w14:paraId="5F83A120" w14:textId="77777777" w:rsidR="00D343A3" w:rsidRPr="00C03CC6" w:rsidRDefault="00D343A3" w:rsidP="00D05C22">
      <w:pPr>
        <w:pStyle w:val="Heading3"/>
        <w:numPr>
          <w:ilvl w:val="0"/>
          <w:numId w:val="0"/>
        </w:numPr>
        <w:ind w:left="2404"/>
        <w:jc w:val="both"/>
      </w:pPr>
    </w:p>
    <w:p w14:paraId="57C929A8" w14:textId="77777777" w:rsidR="00856481" w:rsidRPr="00C03CC6" w:rsidRDefault="00856481" w:rsidP="00D05C22">
      <w:pPr>
        <w:pStyle w:val="Heading3"/>
        <w:jc w:val="both"/>
      </w:pPr>
      <w:r w:rsidRPr="00C03CC6">
        <w:t xml:space="preserve">Schedules 2, 3, 4 Controlled Drugs. </w:t>
      </w:r>
    </w:p>
    <w:p w14:paraId="5B4FF47C" w14:textId="77777777" w:rsidR="0032401E" w:rsidRPr="00C03CC6" w:rsidRDefault="0032401E" w:rsidP="00D05C22">
      <w:pPr>
        <w:pStyle w:val="Body3"/>
        <w:jc w:val="both"/>
      </w:pPr>
    </w:p>
    <w:p w14:paraId="25632CD0" w14:textId="77777777" w:rsidR="00EF783F" w:rsidRPr="00C03CC6" w:rsidRDefault="0032401E" w:rsidP="00D05C22">
      <w:pPr>
        <w:pStyle w:val="Heading2"/>
        <w:jc w:val="both"/>
        <w:rPr>
          <w:b/>
        </w:rPr>
      </w:pPr>
      <w:r w:rsidRPr="00C03CC6">
        <w:rPr>
          <w:bCs/>
        </w:rPr>
        <w:t>The Goods must be stored as appropriate using the following temperature guide</w:t>
      </w:r>
      <w:r w:rsidR="00EF783F" w:rsidRPr="00C03CC6">
        <w:rPr>
          <w:bCs/>
        </w:rPr>
        <w:t xml:space="preserve"> </w:t>
      </w:r>
      <w:r w:rsidR="00EF783F" w:rsidRPr="00C03CC6">
        <w:t xml:space="preserve">or as otherwise described in any Medicinal Product’s Summary of the Product Characteristics: </w:t>
      </w:r>
    </w:p>
    <w:p w14:paraId="67181646" w14:textId="77777777" w:rsidR="0032401E" w:rsidRPr="00C03CC6" w:rsidRDefault="0032401E" w:rsidP="00D05C22">
      <w:pPr>
        <w:pStyle w:val="ListParagraph"/>
        <w:ind w:left="2268"/>
        <w:jc w:val="both"/>
        <w:rPr>
          <w:rFonts w:cs="Arial"/>
          <w:b w:val="0"/>
          <w:sz w:val="20"/>
        </w:rPr>
      </w:pPr>
    </w:p>
    <w:p w14:paraId="221B5831" w14:textId="77777777" w:rsidR="0032401E" w:rsidRPr="00C03CC6" w:rsidRDefault="0032401E" w:rsidP="00D05C22">
      <w:pPr>
        <w:pStyle w:val="Heading3"/>
        <w:jc w:val="both"/>
      </w:pPr>
      <w:r w:rsidRPr="00C03CC6">
        <w:t xml:space="preserve">Ambient temperature between 8°c and less than 25°c; </w:t>
      </w:r>
    </w:p>
    <w:p w14:paraId="0E1324B3" w14:textId="77777777" w:rsidR="0032401E" w:rsidRPr="00C03CC6" w:rsidRDefault="0032401E" w:rsidP="00D05C22">
      <w:pPr>
        <w:pStyle w:val="Heading3"/>
        <w:numPr>
          <w:ilvl w:val="0"/>
          <w:numId w:val="0"/>
        </w:numPr>
        <w:ind w:left="2404"/>
        <w:jc w:val="both"/>
      </w:pPr>
    </w:p>
    <w:p w14:paraId="0F7392CA" w14:textId="77777777" w:rsidR="0032401E" w:rsidRPr="00C03CC6" w:rsidRDefault="0032401E" w:rsidP="00D05C22">
      <w:pPr>
        <w:pStyle w:val="Heading3"/>
        <w:jc w:val="both"/>
      </w:pPr>
      <w:r w:rsidRPr="00C03CC6">
        <w:t xml:space="preserve">Refrigerated temperature between 2°c and 8°c; and </w:t>
      </w:r>
    </w:p>
    <w:p w14:paraId="5FD305DB" w14:textId="77777777" w:rsidR="0032401E" w:rsidRPr="00C03CC6" w:rsidRDefault="0032401E" w:rsidP="00D05C22">
      <w:pPr>
        <w:pStyle w:val="Heading3"/>
        <w:numPr>
          <w:ilvl w:val="0"/>
          <w:numId w:val="0"/>
        </w:numPr>
        <w:ind w:left="2404"/>
        <w:jc w:val="both"/>
      </w:pPr>
    </w:p>
    <w:p w14:paraId="3D947E6C" w14:textId="77777777" w:rsidR="0032401E" w:rsidRPr="00C03CC6" w:rsidRDefault="0032401E" w:rsidP="00D05C22">
      <w:pPr>
        <w:pStyle w:val="Heading3"/>
        <w:jc w:val="both"/>
      </w:pPr>
      <w:r w:rsidRPr="00C03CC6">
        <w:t xml:space="preserve">Freezer less than 0°c. </w:t>
      </w:r>
    </w:p>
    <w:p w14:paraId="0047B834" w14:textId="77777777" w:rsidR="00D05C22" w:rsidRPr="00C03CC6" w:rsidRDefault="00D05C22" w:rsidP="00D05C22">
      <w:pPr>
        <w:pStyle w:val="Heading2"/>
        <w:numPr>
          <w:ilvl w:val="0"/>
          <w:numId w:val="0"/>
        </w:numPr>
        <w:ind w:left="1440"/>
        <w:jc w:val="both"/>
      </w:pPr>
    </w:p>
    <w:p w14:paraId="3EC8B202" w14:textId="25029CF6" w:rsidR="0032401E" w:rsidRPr="00C03CC6" w:rsidRDefault="0032401E" w:rsidP="00D05C22">
      <w:pPr>
        <w:pStyle w:val="Heading2"/>
        <w:jc w:val="both"/>
      </w:pPr>
      <w:r w:rsidRPr="00C03CC6">
        <w:rPr>
          <w:bCs/>
        </w:rPr>
        <w:t>The</w:t>
      </w:r>
      <w:r w:rsidRPr="00C03CC6">
        <w:t xml:space="preserve"> Supplier will hold the following licences</w:t>
      </w:r>
      <w:r w:rsidR="006C2704" w:rsidRPr="00C03CC6">
        <w:t>/certification</w:t>
      </w:r>
      <w:r w:rsidRPr="00C03CC6">
        <w:t xml:space="preserve">: </w:t>
      </w:r>
    </w:p>
    <w:p w14:paraId="3461CF11" w14:textId="77777777" w:rsidR="0032401E" w:rsidRPr="00C03CC6" w:rsidRDefault="0032401E" w:rsidP="00D05C22">
      <w:pPr>
        <w:pStyle w:val="Body3"/>
        <w:jc w:val="both"/>
      </w:pPr>
    </w:p>
    <w:p w14:paraId="27519EF0" w14:textId="44857E66" w:rsidR="0032401E" w:rsidRPr="00C03CC6" w:rsidRDefault="00EF783F" w:rsidP="00D05C22">
      <w:pPr>
        <w:pStyle w:val="Heading3"/>
        <w:jc w:val="both"/>
      </w:pPr>
      <w:r w:rsidRPr="00C03CC6">
        <w:t>Wholesale Dealer’s Licence</w:t>
      </w:r>
      <w:r w:rsidR="00B95C9D" w:rsidRPr="00C03CC6">
        <w:t xml:space="preserve"> specifying all premises used for the distribution of Medicinal Products under this Lot 2</w:t>
      </w:r>
      <w:r w:rsidR="00047374" w:rsidRPr="00C03CC6">
        <w:t>;</w:t>
      </w:r>
    </w:p>
    <w:p w14:paraId="014B15EA" w14:textId="77777777" w:rsidR="0032401E" w:rsidRPr="00C03CC6" w:rsidRDefault="0032401E" w:rsidP="00D05C22">
      <w:pPr>
        <w:pStyle w:val="Heading3"/>
        <w:numPr>
          <w:ilvl w:val="0"/>
          <w:numId w:val="0"/>
        </w:numPr>
        <w:ind w:left="2404"/>
        <w:jc w:val="both"/>
      </w:pPr>
    </w:p>
    <w:p w14:paraId="38945261" w14:textId="714D0FB4" w:rsidR="0032401E" w:rsidRPr="00C03CC6" w:rsidRDefault="0032401E" w:rsidP="00D05C22">
      <w:pPr>
        <w:pStyle w:val="Heading3"/>
        <w:jc w:val="both"/>
      </w:pPr>
      <w:r w:rsidRPr="00C03CC6">
        <w:t>Home Office Controlled Drugs</w:t>
      </w:r>
      <w:r w:rsidR="00EF783F" w:rsidRPr="00C03CC6">
        <w:t xml:space="preserve"> licence</w:t>
      </w:r>
      <w:r w:rsidR="00047374" w:rsidRPr="00C03CC6">
        <w:t>; and</w:t>
      </w:r>
    </w:p>
    <w:p w14:paraId="2D2918B3" w14:textId="77777777" w:rsidR="0032401E" w:rsidRPr="00C03CC6" w:rsidRDefault="0032401E" w:rsidP="00D05C22">
      <w:pPr>
        <w:pStyle w:val="Heading3"/>
        <w:numPr>
          <w:ilvl w:val="0"/>
          <w:numId w:val="0"/>
        </w:numPr>
        <w:ind w:left="2404"/>
        <w:jc w:val="both"/>
      </w:pPr>
    </w:p>
    <w:p w14:paraId="1CA55895" w14:textId="0083A754" w:rsidR="0032401E" w:rsidRPr="00C03CC6" w:rsidRDefault="0032401E" w:rsidP="00D05C22">
      <w:pPr>
        <w:pStyle w:val="Heading3"/>
        <w:jc w:val="both"/>
      </w:pPr>
      <w:r w:rsidRPr="00C03CC6">
        <w:t>Good Distribution Practice (GDP) certification</w:t>
      </w:r>
      <w:r w:rsidR="00047374" w:rsidRPr="00C03CC6">
        <w:t>.</w:t>
      </w:r>
    </w:p>
    <w:p w14:paraId="0E43FF88" w14:textId="77777777" w:rsidR="00856481" w:rsidRPr="00C03CC6" w:rsidRDefault="00856481" w:rsidP="00D05C22">
      <w:pPr>
        <w:pStyle w:val="ListParagraph"/>
        <w:jc w:val="both"/>
        <w:rPr>
          <w:rFonts w:cs="Arial"/>
          <w:b w:val="0"/>
          <w:sz w:val="20"/>
        </w:rPr>
      </w:pPr>
    </w:p>
    <w:p w14:paraId="0A4C42B0" w14:textId="77777777" w:rsidR="00856481" w:rsidRPr="00C03CC6" w:rsidRDefault="00856481" w:rsidP="00D05C22">
      <w:pPr>
        <w:pStyle w:val="Heading1"/>
        <w:jc w:val="both"/>
        <w:rPr>
          <w:b/>
        </w:rPr>
      </w:pPr>
      <w:r w:rsidRPr="00C03CC6">
        <w:rPr>
          <w:b/>
        </w:rPr>
        <w:t xml:space="preserve">Lot 3 </w:t>
      </w:r>
      <w:r w:rsidR="0032401E" w:rsidRPr="00C03CC6">
        <w:rPr>
          <w:b/>
        </w:rPr>
        <w:t>- National V</w:t>
      </w:r>
      <w:r w:rsidRPr="00C03CC6">
        <w:rPr>
          <w:b/>
        </w:rPr>
        <w:t>accine Programme Products</w:t>
      </w:r>
    </w:p>
    <w:p w14:paraId="2AA7016D" w14:textId="77777777" w:rsidR="0032401E" w:rsidRPr="00C03CC6" w:rsidRDefault="0032401E" w:rsidP="00D05C22">
      <w:pPr>
        <w:pStyle w:val="Body1"/>
        <w:jc w:val="both"/>
      </w:pPr>
    </w:p>
    <w:p w14:paraId="63EE81DF" w14:textId="503248AA" w:rsidR="00F9620B" w:rsidRPr="00C03CC6" w:rsidRDefault="00F9620B" w:rsidP="00D05C22">
      <w:pPr>
        <w:pStyle w:val="Heading2"/>
        <w:jc w:val="both"/>
      </w:pPr>
      <w:r w:rsidRPr="00C03CC6">
        <w:t xml:space="preserve">The Supplier will </w:t>
      </w:r>
      <w:r w:rsidR="0049322B" w:rsidRPr="00C03CC6">
        <w:t>store and/or distribute</w:t>
      </w:r>
      <w:r w:rsidRPr="00C03CC6">
        <w:t xml:space="preserve"> single pack and bulk orders to NHS </w:t>
      </w:r>
      <w:r w:rsidR="00C877DB" w:rsidRPr="00C03CC6">
        <w:t xml:space="preserve">vaccination </w:t>
      </w:r>
      <w:r w:rsidRPr="00C03CC6">
        <w:t>centres</w:t>
      </w:r>
      <w:r w:rsidR="00C877DB" w:rsidRPr="00C03CC6">
        <w:t xml:space="preserve"> (</w:t>
      </w:r>
      <w:r w:rsidR="00FD1930" w:rsidRPr="00C03CC6">
        <w:t xml:space="preserve">which may be in a community, </w:t>
      </w:r>
      <w:r w:rsidR="00C877DB" w:rsidRPr="00C03CC6">
        <w:t>primary or secondary care setting or in a pharmacy)</w:t>
      </w:r>
      <w:r w:rsidRPr="00C03CC6">
        <w:t xml:space="preserve">, hospitals, GP surgeries and United Kingdom Health Security Agency (UKHSA) teams. </w:t>
      </w:r>
    </w:p>
    <w:p w14:paraId="4FF92898" w14:textId="77777777" w:rsidR="00F9620B" w:rsidRPr="00C03CC6" w:rsidRDefault="00F9620B" w:rsidP="00D05C22">
      <w:pPr>
        <w:pStyle w:val="Heading2"/>
        <w:numPr>
          <w:ilvl w:val="0"/>
          <w:numId w:val="0"/>
        </w:numPr>
        <w:ind w:left="1440"/>
        <w:jc w:val="both"/>
      </w:pPr>
    </w:p>
    <w:p w14:paraId="24972E3B" w14:textId="34C9B565" w:rsidR="00856481" w:rsidRPr="00C03CC6" w:rsidRDefault="00856481" w:rsidP="00D05C22">
      <w:pPr>
        <w:pStyle w:val="Heading2"/>
        <w:jc w:val="both"/>
      </w:pPr>
      <w:r w:rsidRPr="00C03CC6">
        <w:t xml:space="preserve">The </w:t>
      </w:r>
      <w:r w:rsidR="0032401E" w:rsidRPr="00C03CC6">
        <w:t>Supplier will</w:t>
      </w:r>
      <w:r w:rsidRPr="00C03CC6">
        <w:t xml:space="preserve"> store and</w:t>
      </w:r>
      <w:r w:rsidR="0049322B" w:rsidRPr="00C03CC6">
        <w:t>/or</w:t>
      </w:r>
      <w:r w:rsidRPr="00C03CC6">
        <w:t xml:space="preserve"> distribute small volume, individually packed presentations. </w:t>
      </w:r>
    </w:p>
    <w:p w14:paraId="7F5772A4" w14:textId="77777777" w:rsidR="00856481" w:rsidRPr="00C03CC6" w:rsidRDefault="00856481" w:rsidP="00D05C22">
      <w:pPr>
        <w:pStyle w:val="ListParagraph"/>
        <w:jc w:val="both"/>
        <w:rPr>
          <w:rFonts w:cs="Arial"/>
          <w:b w:val="0"/>
          <w:sz w:val="20"/>
        </w:rPr>
      </w:pPr>
    </w:p>
    <w:p w14:paraId="58D5F7C9" w14:textId="3940A27B" w:rsidR="008B3DDA" w:rsidRPr="00C03CC6" w:rsidRDefault="00856481" w:rsidP="00D05C22">
      <w:pPr>
        <w:pStyle w:val="Heading2"/>
        <w:jc w:val="both"/>
        <w:rPr>
          <w:lang w:eastAsia="en-GB"/>
        </w:rPr>
      </w:pPr>
      <w:r w:rsidRPr="00C03CC6">
        <w:t xml:space="preserve">The </w:t>
      </w:r>
      <w:r w:rsidR="00F9620B" w:rsidRPr="00C03CC6">
        <w:t>Supplier will</w:t>
      </w:r>
      <w:r w:rsidRPr="00C03CC6">
        <w:t xml:space="preserve"> distribute and s</w:t>
      </w:r>
      <w:r w:rsidRPr="00C03CC6">
        <w:rPr>
          <w:lang w:eastAsia="en-GB"/>
        </w:rPr>
        <w:t>upply</w:t>
      </w:r>
      <w:r w:rsidR="00F9620B" w:rsidRPr="00C03CC6">
        <w:rPr>
          <w:lang w:eastAsia="en-GB"/>
        </w:rPr>
        <w:t xml:space="preserve"> </w:t>
      </w:r>
      <w:r w:rsidR="00B95C9D" w:rsidRPr="00C03CC6">
        <w:rPr>
          <w:lang w:eastAsia="en-GB"/>
        </w:rPr>
        <w:t>V</w:t>
      </w:r>
      <w:r w:rsidR="00F9620B" w:rsidRPr="00C03CC6">
        <w:rPr>
          <w:lang w:eastAsia="en-GB"/>
        </w:rPr>
        <w:t>accines</w:t>
      </w:r>
      <w:r w:rsidR="008B3DDA" w:rsidRPr="00C03CC6">
        <w:rPr>
          <w:lang w:eastAsia="en-GB"/>
        </w:rPr>
        <w:t>:</w:t>
      </w:r>
    </w:p>
    <w:p w14:paraId="7336E9FB" w14:textId="77777777" w:rsidR="00277102" w:rsidRPr="00C03CC6" w:rsidRDefault="00277102" w:rsidP="00D05C22">
      <w:pPr>
        <w:pStyle w:val="Body2"/>
        <w:jc w:val="both"/>
        <w:rPr>
          <w:lang w:eastAsia="en-GB"/>
        </w:rPr>
      </w:pPr>
    </w:p>
    <w:p w14:paraId="238FBDC0" w14:textId="25B677A3" w:rsidR="008B3DDA" w:rsidRPr="00C03CC6" w:rsidRDefault="008B3DDA" w:rsidP="00D05C22">
      <w:pPr>
        <w:pStyle w:val="Heading3"/>
        <w:jc w:val="both"/>
        <w:rPr>
          <w:lang w:eastAsia="en-GB"/>
        </w:rPr>
      </w:pPr>
      <w:r w:rsidRPr="00C03CC6">
        <w:rPr>
          <w:lang w:eastAsia="en-GB"/>
        </w:rPr>
        <w:t>which are Authorised Medicinal Products;</w:t>
      </w:r>
    </w:p>
    <w:p w14:paraId="641865E1" w14:textId="77777777" w:rsidR="00277102" w:rsidRPr="00C03CC6" w:rsidRDefault="00277102" w:rsidP="00D05C22">
      <w:pPr>
        <w:pStyle w:val="Body3"/>
        <w:jc w:val="both"/>
        <w:rPr>
          <w:lang w:eastAsia="en-GB"/>
        </w:rPr>
      </w:pPr>
    </w:p>
    <w:p w14:paraId="5C6F3F85" w14:textId="4E9075A2" w:rsidR="00D343A3" w:rsidRPr="00C03CC6" w:rsidRDefault="00D343A3" w:rsidP="00D05C22">
      <w:pPr>
        <w:pStyle w:val="Heading3"/>
        <w:jc w:val="both"/>
        <w:rPr>
          <w:lang w:eastAsia="en-GB"/>
        </w:rPr>
      </w:pPr>
      <w:r w:rsidRPr="00C03CC6">
        <w:rPr>
          <w:lang w:eastAsia="en-GB"/>
        </w:rPr>
        <w:t>which are Investigational Medicinal Products;</w:t>
      </w:r>
      <w:r w:rsidR="00856481" w:rsidRPr="00C03CC6">
        <w:rPr>
          <w:lang w:eastAsia="en-GB"/>
        </w:rPr>
        <w:t xml:space="preserve"> </w:t>
      </w:r>
    </w:p>
    <w:p w14:paraId="16FD9A47" w14:textId="77777777" w:rsidR="00277102" w:rsidRPr="00C03CC6" w:rsidRDefault="00277102" w:rsidP="00D05C22">
      <w:pPr>
        <w:pStyle w:val="Body3"/>
        <w:jc w:val="both"/>
        <w:rPr>
          <w:lang w:eastAsia="en-GB"/>
        </w:rPr>
      </w:pPr>
    </w:p>
    <w:p w14:paraId="32E4CA2D" w14:textId="7EB07425" w:rsidR="00D515C0" w:rsidRPr="00C03CC6" w:rsidRDefault="00D515C0" w:rsidP="00D05C22">
      <w:pPr>
        <w:pStyle w:val="Heading3"/>
        <w:jc w:val="both"/>
        <w:rPr>
          <w:lang w:eastAsia="en-GB"/>
        </w:rPr>
      </w:pPr>
      <w:r w:rsidRPr="00C03CC6">
        <w:rPr>
          <w:lang w:eastAsia="en-GB"/>
        </w:rPr>
        <w:t>which have been authorised for sale or supply by the MHRA pursuant to Regulation 174 of the HMR;</w:t>
      </w:r>
      <w:r w:rsidR="00047374" w:rsidRPr="00C03CC6">
        <w:rPr>
          <w:lang w:eastAsia="en-GB"/>
        </w:rPr>
        <w:t xml:space="preserve"> and </w:t>
      </w:r>
    </w:p>
    <w:p w14:paraId="50F0A117" w14:textId="77777777" w:rsidR="00277102" w:rsidRPr="00C03CC6" w:rsidRDefault="00277102" w:rsidP="00D05C22">
      <w:pPr>
        <w:pStyle w:val="Body3"/>
        <w:jc w:val="both"/>
        <w:rPr>
          <w:lang w:eastAsia="en-GB"/>
        </w:rPr>
      </w:pPr>
    </w:p>
    <w:p w14:paraId="0E2CF9AA" w14:textId="747623FB" w:rsidR="00856481" w:rsidRPr="00C03CC6" w:rsidRDefault="00D515C0" w:rsidP="00D05C22">
      <w:pPr>
        <w:pStyle w:val="Heading3"/>
        <w:jc w:val="both"/>
        <w:rPr>
          <w:lang w:eastAsia="en-GB"/>
        </w:rPr>
      </w:pPr>
      <w:r w:rsidRPr="00C03CC6">
        <w:rPr>
          <w:lang w:eastAsia="en-GB"/>
        </w:rPr>
        <w:t>which can otherwise be lawfully sold or supplied.</w:t>
      </w:r>
      <w:r w:rsidRPr="00C03CC6" w:rsidDel="00D515C0">
        <w:rPr>
          <w:lang w:eastAsia="en-GB"/>
        </w:rPr>
        <w:t xml:space="preserve"> </w:t>
      </w:r>
    </w:p>
    <w:p w14:paraId="734F3A9C" w14:textId="77777777" w:rsidR="00D05C22" w:rsidRPr="00C03CC6" w:rsidRDefault="00D05C22" w:rsidP="00D05C22">
      <w:pPr>
        <w:pStyle w:val="Body3"/>
        <w:rPr>
          <w:lang w:eastAsia="en-GB"/>
        </w:rPr>
      </w:pPr>
    </w:p>
    <w:p w14:paraId="7685DAE9" w14:textId="77777777" w:rsidR="00D05C22" w:rsidRPr="00C03CC6" w:rsidRDefault="00D05C22" w:rsidP="00D05C22">
      <w:pPr>
        <w:pStyle w:val="Heading2"/>
        <w:jc w:val="both"/>
        <w:rPr>
          <w:b/>
        </w:rPr>
      </w:pPr>
      <w:r w:rsidRPr="00C03CC6">
        <w:t xml:space="preserve">The Goods must be stored as appropriate using the following temperature guide or as otherwise described in any Medicinal Product’s Summary of the Product Characteristics: </w:t>
      </w:r>
    </w:p>
    <w:p w14:paraId="082C235F" w14:textId="77777777" w:rsidR="00D05C22" w:rsidRPr="00C03CC6" w:rsidRDefault="00D05C22" w:rsidP="00D05C22">
      <w:pPr>
        <w:pStyle w:val="Heading2"/>
        <w:numPr>
          <w:ilvl w:val="0"/>
          <w:numId w:val="0"/>
        </w:numPr>
        <w:ind w:left="1440"/>
        <w:jc w:val="both"/>
      </w:pPr>
      <w:r w:rsidRPr="00C03CC6">
        <w:t xml:space="preserve"> </w:t>
      </w:r>
    </w:p>
    <w:p w14:paraId="20559768" w14:textId="77777777" w:rsidR="00D05C22" w:rsidRPr="00C03CC6" w:rsidRDefault="00D05C22" w:rsidP="00D05C22">
      <w:pPr>
        <w:pStyle w:val="Heading3"/>
        <w:jc w:val="both"/>
      </w:pPr>
      <w:r w:rsidRPr="00C03CC6">
        <w:t xml:space="preserve">Ambient temperature controlled between 8°c and less than 25°c; </w:t>
      </w:r>
    </w:p>
    <w:p w14:paraId="0E9E247C" w14:textId="77777777" w:rsidR="00D05C22" w:rsidRPr="00C03CC6" w:rsidRDefault="00D05C22" w:rsidP="00D05C22">
      <w:pPr>
        <w:pStyle w:val="Heading3"/>
        <w:numPr>
          <w:ilvl w:val="0"/>
          <w:numId w:val="0"/>
        </w:numPr>
        <w:ind w:left="2404"/>
        <w:jc w:val="both"/>
      </w:pPr>
    </w:p>
    <w:p w14:paraId="63EA6942" w14:textId="77777777" w:rsidR="00D05C22" w:rsidRPr="00C03CC6" w:rsidRDefault="00D05C22" w:rsidP="00D05C22">
      <w:pPr>
        <w:pStyle w:val="Heading3"/>
        <w:jc w:val="both"/>
      </w:pPr>
      <w:r w:rsidRPr="00C03CC6">
        <w:t xml:space="preserve">Refrigerated temperature between 2°c and 8°c; and </w:t>
      </w:r>
    </w:p>
    <w:p w14:paraId="32D4FC5E" w14:textId="77777777" w:rsidR="00D05C22" w:rsidRPr="00C03CC6" w:rsidRDefault="00D05C22" w:rsidP="00D05C22">
      <w:pPr>
        <w:pStyle w:val="Heading3"/>
        <w:numPr>
          <w:ilvl w:val="0"/>
          <w:numId w:val="0"/>
        </w:numPr>
        <w:ind w:left="2404"/>
        <w:jc w:val="both"/>
      </w:pPr>
    </w:p>
    <w:p w14:paraId="2FE27180" w14:textId="18AA2619" w:rsidR="00D05C22" w:rsidRPr="00C03CC6" w:rsidRDefault="00D05C22" w:rsidP="00D05C22">
      <w:pPr>
        <w:pStyle w:val="Heading3"/>
        <w:jc w:val="both"/>
      </w:pPr>
      <w:r w:rsidRPr="00C03CC6">
        <w:t xml:space="preserve">Freezer down to -80°c.  </w:t>
      </w:r>
    </w:p>
    <w:p w14:paraId="5284522A" w14:textId="77777777" w:rsidR="00D05C22" w:rsidRPr="00C03CC6" w:rsidRDefault="00D05C22" w:rsidP="00D05C22">
      <w:pPr>
        <w:pStyle w:val="Body3"/>
      </w:pPr>
    </w:p>
    <w:p w14:paraId="336A4745" w14:textId="495F421F" w:rsidR="00D05C22" w:rsidRPr="00C03CC6" w:rsidRDefault="00D05C22" w:rsidP="00D05C22">
      <w:pPr>
        <w:pStyle w:val="Heading2"/>
        <w:jc w:val="both"/>
      </w:pPr>
      <w:r w:rsidRPr="00C03CC6">
        <w:t>The Supplier will hold the following licences</w:t>
      </w:r>
      <w:r w:rsidR="006C2704" w:rsidRPr="00C03CC6">
        <w:t>/certification</w:t>
      </w:r>
      <w:r w:rsidRPr="00C03CC6">
        <w:t>:</w:t>
      </w:r>
    </w:p>
    <w:p w14:paraId="0F3CF251" w14:textId="77777777" w:rsidR="00D05C22" w:rsidRPr="00C03CC6" w:rsidRDefault="00D05C22" w:rsidP="00D05C22">
      <w:pPr>
        <w:pStyle w:val="ListParagraph"/>
        <w:jc w:val="both"/>
        <w:rPr>
          <w:rFonts w:cs="Arial"/>
          <w:b w:val="0"/>
          <w:sz w:val="20"/>
        </w:rPr>
      </w:pPr>
    </w:p>
    <w:p w14:paraId="3028D582" w14:textId="0C58EB7D" w:rsidR="00D05C22" w:rsidRPr="00C03CC6" w:rsidRDefault="00D05C22" w:rsidP="00D05C22">
      <w:pPr>
        <w:pStyle w:val="Heading3"/>
        <w:jc w:val="both"/>
      </w:pPr>
      <w:r w:rsidRPr="00C03CC6">
        <w:t>Wholesale Dealer’s Licence</w:t>
      </w:r>
      <w:r w:rsidR="00047374" w:rsidRPr="00C03CC6">
        <w:t>;</w:t>
      </w:r>
    </w:p>
    <w:p w14:paraId="2993AC07" w14:textId="77777777" w:rsidR="00D05C22" w:rsidRPr="00C03CC6" w:rsidRDefault="00D05C22" w:rsidP="00D05C22">
      <w:pPr>
        <w:pStyle w:val="Heading3"/>
        <w:numPr>
          <w:ilvl w:val="0"/>
          <w:numId w:val="0"/>
        </w:numPr>
        <w:ind w:left="2404"/>
        <w:jc w:val="both"/>
      </w:pPr>
    </w:p>
    <w:p w14:paraId="213B4D2E" w14:textId="2D9B84EB" w:rsidR="00D05C22" w:rsidRPr="00C03CC6" w:rsidRDefault="00D05C22" w:rsidP="00D05C22">
      <w:pPr>
        <w:pStyle w:val="Heading3"/>
        <w:jc w:val="both"/>
      </w:pPr>
      <w:r w:rsidRPr="00C03CC6">
        <w:t>Home Office Controlled Drugs</w:t>
      </w:r>
      <w:r w:rsidR="00047374" w:rsidRPr="00C03CC6">
        <w:t xml:space="preserve">; and </w:t>
      </w:r>
    </w:p>
    <w:p w14:paraId="7B0C9FDF" w14:textId="77777777" w:rsidR="00D05C22" w:rsidRPr="00C03CC6" w:rsidRDefault="00D05C22" w:rsidP="00D05C22">
      <w:pPr>
        <w:pStyle w:val="Body3"/>
        <w:jc w:val="both"/>
      </w:pPr>
    </w:p>
    <w:p w14:paraId="2E5E16C3" w14:textId="40853A5B" w:rsidR="00D05C22" w:rsidRPr="00C03CC6" w:rsidRDefault="00D05C22" w:rsidP="00D05C22">
      <w:pPr>
        <w:pStyle w:val="Heading3"/>
        <w:jc w:val="both"/>
      </w:pPr>
      <w:r w:rsidRPr="00C03CC6">
        <w:t>Good Distribution Practice (GDP) certification</w:t>
      </w:r>
      <w:r w:rsidR="00047374" w:rsidRPr="00C03CC6">
        <w:t>.</w:t>
      </w:r>
    </w:p>
    <w:p w14:paraId="159FB142" w14:textId="77777777" w:rsidR="00D05C22" w:rsidRPr="00C03CC6" w:rsidRDefault="00D05C22" w:rsidP="00D05C22">
      <w:pPr>
        <w:pStyle w:val="Body3"/>
        <w:rPr>
          <w:lang w:eastAsia="en-GB"/>
        </w:rPr>
      </w:pPr>
    </w:p>
    <w:p w14:paraId="41BD8754" w14:textId="77777777" w:rsidR="00856481" w:rsidRPr="00C03CC6" w:rsidRDefault="00856481" w:rsidP="00D05C22">
      <w:pPr>
        <w:pStyle w:val="Heading1"/>
        <w:jc w:val="both"/>
        <w:rPr>
          <w:b/>
        </w:rPr>
      </w:pPr>
      <w:r w:rsidRPr="00C03CC6">
        <w:rPr>
          <w:b/>
        </w:rPr>
        <w:t xml:space="preserve">Lot 4 </w:t>
      </w:r>
      <w:r w:rsidR="00F9620B" w:rsidRPr="00C03CC6">
        <w:rPr>
          <w:b/>
        </w:rPr>
        <w:t xml:space="preserve">- </w:t>
      </w:r>
      <w:r w:rsidRPr="00C03CC6">
        <w:rPr>
          <w:b/>
        </w:rPr>
        <w:t>High Consequence Infectious Dise</w:t>
      </w:r>
      <w:r w:rsidR="00F9620B" w:rsidRPr="00C03CC6">
        <w:rPr>
          <w:b/>
        </w:rPr>
        <w:t>ase (HCID) Vaccine Distribution</w:t>
      </w:r>
    </w:p>
    <w:p w14:paraId="1EFD6D45" w14:textId="77777777" w:rsidR="00856481" w:rsidRPr="00C03CC6" w:rsidRDefault="00856481" w:rsidP="00D05C22">
      <w:pPr>
        <w:pStyle w:val="Heading2"/>
        <w:numPr>
          <w:ilvl w:val="0"/>
          <w:numId w:val="0"/>
        </w:numPr>
        <w:ind w:left="1440"/>
        <w:jc w:val="both"/>
      </w:pPr>
    </w:p>
    <w:p w14:paraId="7B55BC0A" w14:textId="2E82FB3F" w:rsidR="00856481" w:rsidRPr="00C03CC6" w:rsidRDefault="00F9620B" w:rsidP="00D05C22">
      <w:pPr>
        <w:pStyle w:val="Heading2"/>
        <w:jc w:val="both"/>
      </w:pPr>
      <w:r w:rsidRPr="00C03CC6">
        <w:t>The Supplier will</w:t>
      </w:r>
      <w:r w:rsidR="00707592" w:rsidRPr="00C03CC6">
        <w:t xml:space="preserve"> be able to</w:t>
      </w:r>
      <w:r w:rsidRPr="00C03CC6">
        <w:t xml:space="preserve"> store</w:t>
      </w:r>
      <w:r w:rsidR="00707592" w:rsidRPr="00C03CC6">
        <w:t xml:space="preserve"> and/or distribute</w:t>
      </w:r>
      <w:r w:rsidRPr="00C03CC6">
        <w:t xml:space="preserve"> s</w:t>
      </w:r>
      <w:r w:rsidR="00856481" w:rsidRPr="00C03CC6">
        <w:t>mall volume, individually packed injectable presentations</w:t>
      </w:r>
      <w:r w:rsidR="00D515C0" w:rsidRPr="00C03CC6">
        <w:t xml:space="preserve"> of Vaccines</w:t>
      </w:r>
      <w:r w:rsidR="00856481" w:rsidRPr="00C03CC6">
        <w:t>.</w:t>
      </w:r>
      <w:r w:rsidRPr="00C03CC6">
        <w:t xml:space="preserve"> The Supplier will deliver single pack and bulk orders to NHS </w:t>
      </w:r>
      <w:r w:rsidR="00C877DB" w:rsidRPr="00C03CC6">
        <w:t xml:space="preserve">vaccination centres (which may be in </w:t>
      </w:r>
      <w:r w:rsidR="00214C62" w:rsidRPr="00C03CC6">
        <w:t>a community,</w:t>
      </w:r>
      <w:r w:rsidR="00C877DB" w:rsidRPr="00C03CC6">
        <w:t xml:space="preserve"> primary or secondary care setting or in a pharmacy)</w:t>
      </w:r>
      <w:r w:rsidRPr="00C03CC6">
        <w:t xml:space="preserve">, GP surgeries and </w:t>
      </w:r>
      <w:r w:rsidR="00BE0D43" w:rsidRPr="00C03CC6">
        <w:t>United Kingdom Health Security Agency (</w:t>
      </w:r>
      <w:r w:rsidRPr="00C03CC6">
        <w:t>UKHSA</w:t>
      </w:r>
      <w:r w:rsidR="00BE0D43" w:rsidRPr="00C03CC6">
        <w:t>)</w:t>
      </w:r>
      <w:r w:rsidRPr="00C03CC6">
        <w:t xml:space="preserve"> teams. </w:t>
      </w:r>
    </w:p>
    <w:p w14:paraId="231BD2E1" w14:textId="77777777" w:rsidR="00856481" w:rsidRPr="00C03CC6" w:rsidRDefault="00856481" w:rsidP="00D05C22">
      <w:pPr>
        <w:pStyle w:val="Heading2"/>
        <w:numPr>
          <w:ilvl w:val="0"/>
          <w:numId w:val="0"/>
        </w:numPr>
        <w:ind w:left="1440"/>
        <w:jc w:val="both"/>
      </w:pPr>
    </w:p>
    <w:p w14:paraId="2D375C92" w14:textId="77777777" w:rsidR="00D05C22" w:rsidRPr="00C03CC6" w:rsidRDefault="00D05C22" w:rsidP="00D05C22">
      <w:pPr>
        <w:pStyle w:val="Heading2"/>
        <w:jc w:val="both"/>
      </w:pPr>
      <w:r w:rsidRPr="00C03CC6">
        <w:t>The Supplier will store and/or distribute medicines that are classed as POMs or Investigational Medicinal Products.</w:t>
      </w:r>
    </w:p>
    <w:p w14:paraId="5141ADAC" w14:textId="77777777" w:rsidR="00D05C22" w:rsidRPr="00C03CC6" w:rsidRDefault="00D05C22" w:rsidP="00D05C22">
      <w:pPr>
        <w:pStyle w:val="Heading2"/>
        <w:numPr>
          <w:ilvl w:val="0"/>
          <w:numId w:val="0"/>
        </w:numPr>
        <w:ind w:left="1440"/>
        <w:jc w:val="both"/>
        <w:rPr>
          <w:bCs/>
        </w:rPr>
      </w:pPr>
    </w:p>
    <w:p w14:paraId="5F7BE6A7" w14:textId="01AC7CF0" w:rsidR="00F9620B" w:rsidRPr="00C03CC6" w:rsidRDefault="00F9620B" w:rsidP="00D05C22">
      <w:pPr>
        <w:pStyle w:val="Heading2"/>
        <w:jc w:val="both"/>
        <w:rPr>
          <w:bCs/>
        </w:rPr>
      </w:pPr>
      <w:r w:rsidRPr="00C03CC6">
        <w:rPr>
          <w:bCs/>
        </w:rPr>
        <w:t>The Goods must be stored as appropriate using the following temperature guide</w:t>
      </w:r>
      <w:r w:rsidR="00D515C0" w:rsidRPr="00C03CC6">
        <w:rPr>
          <w:bCs/>
        </w:rPr>
        <w:t xml:space="preserve"> </w:t>
      </w:r>
      <w:r w:rsidR="00D515C0" w:rsidRPr="00C03CC6">
        <w:t>or as otherwise described in any Medicinal Product’s Summary of the Product Characteristics</w:t>
      </w:r>
      <w:r w:rsidRPr="00C03CC6">
        <w:rPr>
          <w:bCs/>
        </w:rPr>
        <w:t xml:space="preserve">: </w:t>
      </w:r>
    </w:p>
    <w:p w14:paraId="2F4C82BD" w14:textId="77777777" w:rsidR="00F9620B" w:rsidRPr="00C03CC6" w:rsidRDefault="00F9620B" w:rsidP="00D05C22">
      <w:pPr>
        <w:pStyle w:val="ListParagraph"/>
        <w:ind w:left="2268"/>
        <w:jc w:val="both"/>
        <w:rPr>
          <w:rFonts w:cs="Arial"/>
          <w:b w:val="0"/>
          <w:sz w:val="20"/>
        </w:rPr>
      </w:pPr>
    </w:p>
    <w:p w14:paraId="25405FFB" w14:textId="77777777" w:rsidR="00F9620B" w:rsidRPr="00C03CC6" w:rsidRDefault="00F9620B" w:rsidP="00D05C22">
      <w:pPr>
        <w:pStyle w:val="Heading3"/>
        <w:jc w:val="both"/>
      </w:pPr>
      <w:r w:rsidRPr="00C03CC6">
        <w:t xml:space="preserve">Ambient temperature controlled between 8°c and less than 25°c; </w:t>
      </w:r>
    </w:p>
    <w:p w14:paraId="31AEF96D" w14:textId="77777777" w:rsidR="00F9620B" w:rsidRPr="00C03CC6" w:rsidRDefault="00F9620B" w:rsidP="00D05C22">
      <w:pPr>
        <w:pStyle w:val="Heading3"/>
        <w:numPr>
          <w:ilvl w:val="0"/>
          <w:numId w:val="0"/>
        </w:numPr>
        <w:ind w:left="2404"/>
        <w:jc w:val="both"/>
      </w:pPr>
    </w:p>
    <w:p w14:paraId="20A38AE3" w14:textId="77777777" w:rsidR="00F9620B" w:rsidRPr="00C03CC6" w:rsidRDefault="00F9620B" w:rsidP="00D05C22">
      <w:pPr>
        <w:pStyle w:val="Heading3"/>
        <w:jc w:val="both"/>
      </w:pPr>
      <w:r w:rsidRPr="00C03CC6">
        <w:t xml:space="preserve">Refrigerated temperature between 2°c and 8°c; and </w:t>
      </w:r>
    </w:p>
    <w:p w14:paraId="3D13FA76" w14:textId="77777777" w:rsidR="00F9620B" w:rsidRPr="00C03CC6" w:rsidRDefault="00F9620B" w:rsidP="00D05C22">
      <w:pPr>
        <w:pStyle w:val="Heading3"/>
        <w:numPr>
          <w:ilvl w:val="0"/>
          <w:numId w:val="0"/>
        </w:numPr>
        <w:ind w:left="2404"/>
        <w:jc w:val="both"/>
      </w:pPr>
    </w:p>
    <w:p w14:paraId="591ED499" w14:textId="39058A49" w:rsidR="00D05C22" w:rsidRDefault="00461466" w:rsidP="00461466">
      <w:pPr>
        <w:pStyle w:val="Heading3"/>
        <w:ind w:left="2404"/>
        <w:jc w:val="both"/>
      </w:pPr>
      <w:r w:rsidRPr="00C03CC6">
        <w:t>Freezer down to -80°c</w:t>
      </w:r>
      <w:r>
        <w:t>.</w:t>
      </w:r>
    </w:p>
    <w:p w14:paraId="3E46B28A" w14:textId="77777777" w:rsidR="00461466" w:rsidRPr="00C03CC6" w:rsidRDefault="00461466" w:rsidP="00D05C22">
      <w:pPr>
        <w:pStyle w:val="Body3"/>
      </w:pPr>
    </w:p>
    <w:p w14:paraId="43937386" w14:textId="54A212E0" w:rsidR="00D05C22" w:rsidRPr="00C03CC6" w:rsidRDefault="00D05C22" w:rsidP="00D05C22">
      <w:pPr>
        <w:pStyle w:val="Heading2"/>
        <w:jc w:val="both"/>
      </w:pPr>
      <w:r w:rsidRPr="00C03CC6">
        <w:rPr>
          <w:bCs/>
        </w:rPr>
        <w:t>The</w:t>
      </w:r>
      <w:r w:rsidRPr="00C03CC6">
        <w:t xml:space="preserve"> Supplier will hold the following licences</w:t>
      </w:r>
      <w:r w:rsidR="006C2704" w:rsidRPr="00C03CC6">
        <w:t>/certification</w:t>
      </w:r>
      <w:r w:rsidRPr="00C03CC6">
        <w:t xml:space="preserve">: </w:t>
      </w:r>
    </w:p>
    <w:p w14:paraId="0AC3A591" w14:textId="77777777" w:rsidR="00D05C22" w:rsidRPr="00C03CC6" w:rsidRDefault="00D05C22" w:rsidP="00D05C22">
      <w:pPr>
        <w:pStyle w:val="Heading3"/>
        <w:numPr>
          <w:ilvl w:val="0"/>
          <w:numId w:val="0"/>
        </w:numPr>
        <w:ind w:left="2404"/>
        <w:jc w:val="both"/>
      </w:pPr>
    </w:p>
    <w:p w14:paraId="0EB3538A" w14:textId="14F46277" w:rsidR="00D05C22" w:rsidRPr="00C03CC6" w:rsidRDefault="003A7DE6" w:rsidP="007E5121">
      <w:pPr>
        <w:pStyle w:val="Heading3"/>
        <w:jc w:val="both"/>
      </w:pPr>
      <w:r w:rsidRPr="00C03CC6">
        <w:t>Wholesale Dealer’s Licence;</w:t>
      </w:r>
      <w:r w:rsidR="00047374" w:rsidRPr="00C03CC6">
        <w:t xml:space="preserve"> and </w:t>
      </w:r>
    </w:p>
    <w:p w14:paraId="1098A0E3" w14:textId="77777777" w:rsidR="00D05C22" w:rsidRPr="00C03CC6" w:rsidRDefault="00D05C22" w:rsidP="00D05C22">
      <w:pPr>
        <w:pStyle w:val="Heading3"/>
        <w:numPr>
          <w:ilvl w:val="0"/>
          <w:numId w:val="0"/>
        </w:numPr>
        <w:ind w:left="2404"/>
        <w:jc w:val="both"/>
      </w:pPr>
    </w:p>
    <w:p w14:paraId="4A60F071" w14:textId="487922BD" w:rsidR="00D05C22" w:rsidRPr="00C03CC6" w:rsidRDefault="00D05C22" w:rsidP="00D05C22">
      <w:pPr>
        <w:pStyle w:val="Heading3"/>
        <w:jc w:val="both"/>
      </w:pPr>
      <w:r w:rsidRPr="00C03CC6">
        <w:t>Good Distribution Practice (GDP) certification</w:t>
      </w:r>
      <w:r w:rsidR="00047374" w:rsidRPr="00C03CC6">
        <w:t>.</w:t>
      </w:r>
    </w:p>
    <w:p w14:paraId="074D52AB" w14:textId="77777777" w:rsidR="00856481" w:rsidRPr="00C03CC6" w:rsidRDefault="00856481" w:rsidP="00D05C22">
      <w:pPr>
        <w:pStyle w:val="Heading2"/>
        <w:numPr>
          <w:ilvl w:val="0"/>
          <w:numId w:val="0"/>
        </w:numPr>
        <w:ind w:left="1440"/>
        <w:jc w:val="both"/>
      </w:pPr>
    </w:p>
    <w:p w14:paraId="3C6927CA" w14:textId="77777777" w:rsidR="00856481" w:rsidRPr="00C03CC6" w:rsidRDefault="00856481" w:rsidP="00D05C22">
      <w:pPr>
        <w:pStyle w:val="Heading1"/>
        <w:jc w:val="both"/>
        <w:rPr>
          <w:b/>
        </w:rPr>
      </w:pPr>
      <w:r w:rsidRPr="00C03CC6">
        <w:rPr>
          <w:b/>
        </w:rPr>
        <w:t xml:space="preserve"> Lot 5</w:t>
      </w:r>
      <w:r w:rsidR="00BE0D43" w:rsidRPr="00C03CC6">
        <w:rPr>
          <w:b/>
        </w:rPr>
        <w:t xml:space="preserve"> –</w:t>
      </w:r>
      <w:r w:rsidRPr="00C03CC6">
        <w:rPr>
          <w:b/>
        </w:rPr>
        <w:t xml:space="preserve"> R</w:t>
      </w:r>
      <w:r w:rsidR="00BE0D43" w:rsidRPr="00C03CC6">
        <w:rPr>
          <w:b/>
        </w:rPr>
        <w:t>epacked and Relabelled P</w:t>
      </w:r>
      <w:r w:rsidRPr="00C03CC6">
        <w:rPr>
          <w:b/>
        </w:rPr>
        <w:t>roducts</w:t>
      </w:r>
    </w:p>
    <w:p w14:paraId="292836AB" w14:textId="77777777" w:rsidR="00BE0D43" w:rsidRPr="00C03CC6" w:rsidRDefault="00BE0D43" w:rsidP="00D05C22">
      <w:pPr>
        <w:pStyle w:val="Body1"/>
        <w:jc w:val="both"/>
      </w:pPr>
    </w:p>
    <w:p w14:paraId="06C60023" w14:textId="06899ECE" w:rsidR="00856481" w:rsidRPr="00C03CC6" w:rsidRDefault="00BE0D43" w:rsidP="00D05C22">
      <w:pPr>
        <w:pStyle w:val="Heading2"/>
        <w:jc w:val="both"/>
        <w:rPr>
          <w:b/>
        </w:rPr>
      </w:pPr>
      <w:r w:rsidRPr="00C03CC6">
        <w:lastRenderedPageBreak/>
        <w:t>The Supplier</w:t>
      </w:r>
      <w:r w:rsidR="00856481" w:rsidRPr="00C03CC6">
        <w:t xml:space="preserve"> </w:t>
      </w:r>
      <w:r w:rsidRPr="00C03CC6">
        <w:t xml:space="preserve">will </w:t>
      </w:r>
      <w:r w:rsidR="008C4B09" w:rsidRPr="00C03CC6">
        <w:t>store and/or d</w:t>
      </w:r>
      <w:r w:rsidRPr="00C03CC6">
        <w:t>istribute</w:t>
      </w:r>
      <w:r w:rsidR="008C4B09" w:rsidRPr="00C03CC6">
        <w:t xml:space="preserve"> </w:t>
      </w:r>
      <w:r w:rsidR="00374F4C" w:rsidRPr="00C03CC6">
        <w:t xml:space="preserve">oral, liquid or injectable presentations of </w:t>
      </w:r>
      <w:r w:rsidR="00D515C0" w:rsidRPr="00C03CC6">
        <w:t xml:space="preserve">Medicinal Products that have been </w:t>
      </w:r>
      <w:r w:rsidR="008C4B09" w:rsidRPr="00C03CC6">
        <w:t xml:space="preserve">repackaged and relabelled </w:t>
      </w:r>
      <w:r w:rsidR="00D515C0" w:rsidRPr="00C03CC6">
        <w:t>by third parties</w:t>
      </w:r>
      <w:r w:rsidR="00856481" w:rsidRPr="00C03CC6">
        <w:t>.</w:t>
      </w:r>
    </w:p>
    <w:p w14:paraId="33BD1869" w14:textId="77777777" w:rsidR="00BE0D43" w:rsidRPr="00C03CC6" w:rsidRDefault="00BE0D43" w:rsidP="00D05C22">
      <w:pPr>
        <w:pStyle w:val="Body3"/>
        <w:jc w:val="both"/>
      </w:pPr>
    </w:p>
    <w:p w14:paraId="59F8BDC7" w14:textId="77777777" w:rsidR="00856481" w:rsidRPr="00C03CC6" w:rsidRDefault="00856481" w:rsidP="00D05C22">
      <w:pPr>
        <w:pStyle w:val="Heading1"/>
        <w:jc w:val="both"/>
        <w:rPr>
          <w:b/>
        </w:rPr>
      </w:pPr>
      <w:r w:rsidRPr="00C03CC6">
        <w:rPr>
          <w:b/>
        </w:rPr>
        <w:t>Lot 6</w:t>
      </w:r>
      <w:r w:rsidR="00BE0D43" w:rsidRPr="00C03CC6">
        <w:rPr>
          <w:b/>
        </w:rPr>
        <w:t xml:space="preserve"> – </w:t>
      </w:r>
      <w:r w:rsidRPr="00C03CC6">
        <w:rPr>
          <w:b/>
        </w:rPr>
        <w:t>Medical Devices, Consumables, Reagents and Equipment</w:t>
      </w:r>
    </w:p>
    <w:p w14:paraId="36956EAF" w14:textId="77777777" w:rsidR="00856481" w:rsidRPr="00C03CC6" w:rsidRDefault="00856481" w:rsidP="00D05C22">
      <w:pPr>
        <w:pStyle w:val="Heading1"/>
        <w:numPr>
          <w:ilvl w:val="0"/>
          <w:numId w:val="0"/>
        </w:numPr>
        <w:ind w:left="720"/>
        <w:jc w:val="both"/>
        <w:rPr>
          <w:b/>
        </w:rPr>
      </w:pPr>
    </w:p>
    <w:p w14:paraId="1DC3FEED" w14:textId="77777777" w:rsidR="00856481" w:rsidRPr="00C03CC6" w:rsidRDefault="00BE0D43" w:rsidP="00D05C22">
      <w:pPr>
        <w:pStyle w:val="Heading2"/>
        <w:jc w:val="both"/>
        <w:rPr>
          <w:b/>
        </w:rPr>
      </w:pPr>
      <w:r w:rsidRPr="00C03CC6">
        <w:t xml:space="preserve">The Supplier will distribute </w:t>
      </w:r>
      <w:r w:rsidR="00D343A3" w:rsidRPr="00C03CC6">
        <w:t>Medical Devices</w:t>
      </w:r>
      <w:r w:rsidR="00856481" w:rsidRPr="00C03CC6">
        <w:t xml:space="preserve"> </w:t>
      </w:r>
      <w:r w:rsidR="00D343A3" w:rsidRPr="00C03CC6">
        <w:t xml:space="preserve">including </w:t>
      </w:r>
      <w:r w:rsidRPr="00C03CC6">
        <w:t>e</w:t>
      </w:r>
      <w:r w:rsidR="00856481" w:rsidRPr="00C03CC6">
        <w:t>lectrical, non-electrical, plastics, chemical substances, small and large equipment, potentially bulky items</w:t>
      </w:r>
      <w:r w:rsidR="00690D37" w:rsidRPr="00C03CC6">
        <w:t>, accessories, consumables and reagents</w:t>
      </w:r>
      <w:r w:rsidR="00856481" w:rsidRPr="00C03CC6">
        <w:t>.</w:t>
      </w:r>
    </w:p>
    <w:p w14:paraId="03178B4A" w14:textId="77777777" w:rsidR="00856481" w:rsidRPr="00C03CC6" w:rsidRDefault="00856481" w:rsidP="00D05C22">
      <w:pPr>
        <w:pStyle w:val="Heading2"/>
        <w:numPr>
          <w:ilvl w:val="0"/>
          <w:numId w:val="0"/>
        </w:numPr>
        <w:ind w:left="1440"/>
        <w:jc w:val="both"/>
        <w:rPr>
          <w:b/>
        </w:rPr>
      </w:pPr>
    </w:p>
    <w:p w14:paraId="39474A69" w14:textId="1B1E9874" w:rsidR="00856481" w:rsidRPr="00C03CC6" w:rsidRDefault="00BE0D43" w:rsidP="00D05C22">
      <w:pPr>
        <w:pStyle w:val="Heading2"/>
        <w:jc w:val="both"/>
        <w:rPr>
          <w:b/>
        </w:rPr>
      </w:pPr>
      <w:r w:rsidRPr="00C03CC6">
        <w:t xml:space="preserve">The Supplier will </w:t>
      </w:r>
      <w:r w:rsidR="00856481" w:rsidRPr="00C03CC6">
        <w:t>hold the following relevant certification:</w:t>
      </w:r>
    </w:p>
    <w:p w14:paraId="7EFE5E48" w14:textId="77777777" w:rsidR="00856481" w:rsidRPr="00C03CC6" w:rsidRDefault="00856481" w:rsidP="00D05C22">
      <w:pPr>
        <w:ind w:left="1701" w:hanging="708"/>
        <w:jc w:val="both"/>
        <w:rPr>
          <w:rFonts w:cs="Arial"/>
          <w:b/>
        </w:rPr>
      </w:pPr>
    </w:p>
    <w:p w14:paraId="7F73F394" w14:textId="66D2A77A" w:rsidR="00856481" w:rsidRPr="00C03CC6" w:rsidRDefault="00856481" w:rsidP="00D05C22">
      <w:pPr>
        <w:pStyle w:val="Heading3"/>
        <w:jc w:val="both"/>
        <w:rPr>
          <w:b/>
        </w:rPr>
      </w:pPr>
      <w:r w:rsidRPr="00C03CC6">
        <w:t>International Standards Organisation certification</w:t>
      </w:r>
      <w:r w:rsidR="00C877DB" w:rsidRPr="00C03CC6">
        <w:t xml:space="preserve"> (ISO9000 for warehousing and ISO 9001 for provision of customer-focused activity</w:t>
      </w:r>
      <w:r w:rsidR="006D2D75">
        <w:t>(or equivalent)</w:t>
      </w:r>
      <w:r w:rsidR="00C877DB" w:rsidRPr="00C03CC6">
        <w:t xml:space="preserve">); and </w:t>
      </w:r>
    </w:p>
    <w:p w14:paraId="1E5465AF" w14:textId="77777777" w:rsidR="00856481" w:rsidRPr="00C03CC6" w:rsidRDefault="00856481" w:rsidP="00D05C22">
      <w:pPr>
        <w:pStyle w:val="Heading3"/>
        <w:numPr>
          <w:ilvl w:val="0"/>
          <w:numId w:val="0"/>
        </w:numPr>
        <w:ind w:left="2404"/>
        <w:jc w:val="both"/>
        <w:rPr>
          <w:b/>
        </w:rPr>
      </w:pPr>
    </w:p>
    <w:p w14:paraId="26CDBA3A" w14:textId="6D020EB9" w:rsidR="00856481" w:rsidRPr="00C03CC6" w:rsidRDefault="00690D37" w:rsidP="00D05C22">
      <w:pPr>
        <w:pStyle w:val="Heading3"/>
        <w:jc w:val="both"/>
        <w:rPr>
          <w:b/>
        </w:rPr>
      </w:pPr>
      <w:r w:rsidRPr="00C03CC6">
        <w:t>Control of</w:t>
      </w:r>
      <w:r w:rsidR="00856481" w:rsidRPr="00C03CC6">
        <w:t xml:space="preserve"> Substances Hazardous to Health (COSHH)</w:t>
      </w:r>
      <w:r w:rsidR="00047374" w:rsidRPr="00C03CC6">
        <w:t>.</w:t>
      </w:r>
    </w:p>
    <w:p w14:paraId="74784617" w14:textId="77777777" w:rsidR="00856481" w:rsidRPr="00C03CC6" w:rsidRDefault="00856481" w:rsidP="00D05C22">
      <w:pPr>
        <w:ind w:left="2268" w:hanging="850"/>
        <w:jc w:val="both"/>
        <w:rPr>
          <w:rFonts w:cs="Arial"/>
          <w:b/>
        </w:rPr>
      </w:pPr>
    </w:p>
    <w:p w14:paraId="1F1BA094" w14:textId="7EA7DC05" w:rsidR="00C877DB" w:rsidRPr="00C03CC6" w:rsidRDefault="00C877DB" w:rsidP="00D05C22">
      <w:pPr>
        <w:pStyle w:val="Heading2"/>
        <w:jc w:val="both"/>
      </w:pPr>
      <w:r w:rsidRPr="00C03CC6">
        <w:t xml:space="preserve">The Supplier will comply with the international regulations on the transportation of dangerous goods by air, sea, road, rail or inland waterway - </w:t>
      </w:r>
      <w:hyperlink r:id="rId9" w:history="1">
        <w:r w:rsidR="006D2D75" w:rsidRPr="00423B27">
          <w:rPr>
            <w:rStyle w:val="Hyperlink"/>
          </w:rPr>
          <w:t>https://www.gov.uk/guidance/moving-dangerous-goods</w:t>
        </w:r>
      </w:hyperlink>
      <w:r w:rsidR="006D2D75">
        <w:rPr>
          <w:rStyle w:val="Hyperlink"/>
          <w:color w:val="auto"/>
        </w:rPr>
        <w:t xml:space="preserve"> </w:t>
      </w:r>
      <w:r w:rsidRPr="00C03CC6">
        <w:t xml:space="preserve"> </w:t>
      </w:r>
    </w:p>
    <w:p w14:paraId="2F587BB6" w14:textId="77777777" w:rsidR="00C877DB" w:rsidRPr="00C03CC6" w:rsidRDefault="00C877DB" w:rsidP="00C877DB">
      <w:pPr>
        <w:pStyle w:val="Body2"/>
      </w:pPr>
    </w:p>
    <w:p w14:paraId="4525E50E" w14:textId="34BF047B" w:rsidR="00856481" w:rsidRPr="00C03CC6" w:rsidRDefault="00856481" w:rsidP="00D05C22">
      <w:pPr>
        <w:pStyle w:val="Heading2"/>
        <w:jc w:val="both"/>
      </w:pPr>
      <w:r w:rsidRPr="00C03CC6">
        <w:t xml:space="preserve">The </w:t>
      </w:r>
      <w:r w:rsidR="00BE0D43" w:rsidRPr="00C03CC6">
        <w:t xml:space="preserve">Supplier will be able to </w:t>
      </w:r>
      <w:r w:rsidR="00707592" w:rsidRPr="00C03CC6">
        <w:t>distribute</w:t>
      </w:r>
      <w:r w:rsidRPr="00C03CC6">
        <w:t xml:space="preserve"> single pack and bulk orders to NHS centres; for example but not limited to;  Hospitals, GP surgeries, UKHSA teams.</w:t>
      </w:r>
    </w:p>
    <w:p w14:paraId="3FB207F6" w14:textId="74F09433" w:rsidR="00D874A8" w:rsidRPr="00C03CC6" w:rsidRDefault="00D874A8" w:rsidP="00D05C22">
      <w:pPr>
        <w:spacing w:line="240" w:lineRule="auto"/>
        <w:jc w:val="both"/>
        <w:rPr>
          <w:rFonts w:cs="Arial"/>
          <w:lang w:eastAsia="en-GB"/>
        </w:rPr>
      </w:pPr>
    </w:p>
    <w:p w14:paraId="2BE84D4C" w14:textId="0AD9CEDF" w:rsidR="00277102" w:rsidRPr="00C03CC6" w:rsidRDefault="00277102" w:rsidP="00D05C22">
      <w:pPr>
        <w:spacing w:line="240" w:lineRule="auto"/>
        <w:jc w:val="both"/>
        <w:rPr>
          <w:rFonts w:cs="Arial"/>
          <w:lang w:eastAsia="en-GB"/>
        </w:rPr>
      </w:pPr>
      <w:r w:rsidRPr="00C03CC6">
        <w:rPr>
          <w:rFonts w:cs="Arial"/>
          <w:lang w:eastAsia="en-GB"/>
        </w:rPr>
        <w:br w:type="page"/>
      </w:r>
    </w:p>
    <w:p w14:paraId="60E1F8FB" w14:textId="55208231" w:rsidR="00C9569D" w:rsidRPr="00C03CC6" w:rsidRDefault="000B5A3A" w:rsidP="000B5A3A">
      <w:pPr>
        <w:pStyle w:val="Body1"/>
        <w:jc w:val="center"/>
        <w:rPr>
          <w:rFonts w:cs="Arial"/>
          <w:b/>
          <w:lang w:eastAsia="en-GB"/>
        </w:rPr>
      </w:pPr>
      <w:r w:rsidRPr="00C03CC6">
        <w:rPr>
          <w:rFonts w:cs="Arial"/>
          <w:b/>
          <w:lang w:eastAsia="en-GB"/>
        </w:rPr>
        <w:lastRenderedPageBreak/>
        <w:t xml:space="preserve">Annex: </w:t>
      </w:r>
      <w:r w:rsidR="00277102" w:rsidRPr="00C03CC6">
        <w:rPr>
          <w:rFonts w:cs="Arial"/>
          <w:b/>
          <w:lang w:eastAsia="en-GB"/>
        </w:rPr>
        <w:t>Glossary</w:t>
      </w:r>
    </w:p>
    <w:p w14:paraId="5D44CACC" w14:textId="77777777" w:rsidR="00277102" w:rsidRPr="00C03CC6" w:rsidRDefault="00277102" w:rsidP="00D05C22">
      <w:pPr>
        <w:pStyle w:val="Body1"/>
        <w:jc w:val="both"/>
        <w:rPr>
          <w:rFonts w:cs="Arial"/>
          <w:lang w:eastAsia="en-GB"/>
        </w:rPr>
      </w:pPr>
    </w:p>
    <w:p w14:paraId="09EA29CA" w14:textId="77777777" w:rsidR="00A030BC" w:rsidRPr="00C03CC6" w:rsidRDefault="00A030BC" w:rsidP="00CD5BDE">
      <w:pPr>
        <w:pStyle w:val="Body1"/>
        <w:ind w:left="0"/>
        <w:jc w:val="both"/>
        <w:rPr>
          <w:rFonts w:cs="Arial"/>
          <w:shd w:val="clear" w:color="auto" w:fill="FFFFFF"/>
        </w:rPr>
      </w:pPr>
      <w:r w:rsidRPr="00C03CC6">
        <w:rPr>
          <w:rFonts w:cs="Arial"/>
          <w:b/>
          <w:shd w:val="clear" w:color="auto" w:fill="FFFFFF"/>
        </w:rPr>
        <w:t>2001 Directive</w:t>
      </w:r>
      <w:r w:rsidRPr="00C03CC6">
        <w:rPr>
          <w:rFonts w:cs="Arial"/>
          <w:i/>
          <w:iCs/>
          <w:bdr w:val="none" w:sz="0" w:space="0" w:color="auto" w:frame="1"/>
        </w:rPr>
        <w:t> </w:t>
      </w:r>
      <w:r w:rsidRPr="00C03CC6">
        <w:rPr>
          <w:rFonts w:cs="Arial"/>
          <w:shd w:val="clear" w:color="auto" w:fill="FFFFFF"/>
        </w:rPr>
        <w:t>means Directive 2001/83/EC of the European Parliament and of the Council on the Community Code relating to m</w:t>
      </w:r>
      <w:r w:rsidR="00D343A3" w:rsidRPr="00C03CC6">
        <w:rPr>
          <w:rFonts w:cs="Arial"/>
          <w:shd w:val="clear" w:color="auto" w:fill="FFFFFF"/>
        </w:rPr>
        <w:t>edicinal products for human use</w:t>
      </w:r>
    </w:p>
    <w:p w14:paraId="7751E14D" w14:textId="77777777" w:rsidR="00D343A3" w:rsidRPr="00C03CC6" w:rsidRDefault="00D343A3" w:rsidP="00CD5BDE">
      <w:pPr>
        <w:pStyle w:val="Body1"/>
        <w:ind w:left="0"/>
        <w:jc w:val="both"/>
        <w:rPr>
          <w:rFonts w:cs="Arial"/>
          <w:shd w:val="clear" w:color="auto" w:fill="FFFFFF"/>
        </w:rPr>
      </w:pPr>
    </w:p>
    <w:p w14:paraId="14C48266" w14:textId="77777777" w:rsidR="00D05C22" w:rsidRPr="00C03CC6" w:rsidRDefault="00D05C22" w:rsidP="00CD5BDE">
      <w:pPr>
        <w:pStyle w:val="Body1"/>
        <w:ind w:left="0"/>
        <w:jc w:val="both"/>
        <w:rPr>
          <w:rFonts w:cs="Arial"/>
          <w:lang w:eastAsia="en-GB"/>
        </w:rPr>
      </w:pPr>
      <w:r w:rsidRPr="00C03CC6">
        <w:rPr>
          <w:rFonts w:cs="Arial"/>
          <w:b/>
          <w:lang w:eastAsia="en-GB"/>
        </w:rPr>
        <w:t>Authorised Medicinal Product</w:t>
      </w:r>
      <w:r w:rsidRPr="00C03CC6">
        <w:rPr>
          <w:rFonts w:cs="Arial"/>
          <w:lang w:eastAsia="en-GB"/>
        </w:rPr>
        <w:t xml:space="preserve"> means a Medicinal Product covered by a UK Marketing Authorisation, an EU Marketing Authorisation, a Certificate of Registration, a Traditional Herbal Registration or, in the case of a Medicinal Product for sale or supply in Northern Ireland, an Article 126a Authorisation</w:t>
      </w:r>
    </w:p>
    <w:p w14:paraId="20D22164" w14:textId="77777777" w:rsidR="00D05C22" w:rsidRPr="00C03CC6" w:rsidRDefault="00D05C22" w:rsidP="00CD5BDE">
      <w:pPr>
        <w:pStyle w:val="Body1"/>
        <w:ind w:left="0"/>
        <w:jc w:val="both"/>
        <w:rPr>
          <w:rFonts w:cs="Arial"/>
          <w:b/>
          <w:shd w:val="clear" w:color="auto" w:fill="FFFFFF"/>
        </w:rPr>
      </w:pPr>
    </w:p>
    <w:p w14:paraId="5FF4B612" w14:textId="77777777" w:rsidR="00D05C22" w:rsidRPr="00C03CC6" w:rsidRDefault="00D05C22" w:rsidP="00CD5BDE">
      <w:pPr>
        <w:pStyle w:val="Body1"/>
        <w:ind w:left="0"/>
        <w:jc w:val="both"/>
        <w:rPr>
          <w:rFonts w:cs="Arial"/>
          <w:lang w:eastAsia="en-GB"/>
        </w:rPr>
      </w:pPr>
      <w:r w:rsidRPr="00C03CC6">
        <w:rPr>
          <w:rFonts w:cs="Arial"/>
          <w:b/>
          <w:lang w:eastAsia="en-GB"/>
        </w:rPr>
        <w:t>Certificate of Registration</w:t>
      </w:r>
      <w:r w:rsidRPr="00C03CC6">
        <w:rPr>
          <w:rFonts w:cs="Arial"/>
          <w:lang w:eastAsia="en-GB"/>
        </w:rPr>
        <w:t xml:space="preserve"> means a certificate of registration granted by the MHRA under Part 6 of the HMR</w:t>
      </w:r>
    </w:p>
    <w:p w14:paraId="59716CB1" w14:textId="77777777" w:rsidR="00D05C22" w:rsidRPr="00C03CC6" w:rsidRDefault="00D05C22" w:rsidP="00CD5BDE">
      <w:pPr>
        <w:pStyle w:val="Body1"/>
        <w:ind w:left="0"/>
        <w:jc w:val="both"/>
        <w:rPr>
          <w:rFonts w:cs="Arial"/>
          <w:b/>
          <w:shd w:val="clear" w:color="auto" w:fill="FFFFFF"/>
        </w:rPr>
      </w:pPr>
    </w:p>
    <w:p w14:paraId="1B3D4CA6" w14:textId="4A4BE594" w:rsidR="00D343A3" w:rsidRPr="00C03CC6" w:rsidRDefault="00D343A3" w:rsidP="00CD5BDE">
      <w:pPr>
        <w:pStyle w:val="Body1"/>
        <w:ind w:left="0"/>
        <w:jc w:val="both"/>
        <w:rPr>
          <w:rFonts w:cs="Arial"/>
          <w:shd w:val="clear" w:color="auto" w:fill="FFFFFF"/>
        </w:rPr>
      </w:pPr>
      <w:r w:rsidRPr="00C03CC6">
        <w:rPr>
          <w:rFonts w:cs="Arial"/>
          <w:b/>
          <w:shd w:val="clear" w:color="auto" w:fill="FFFFFF"/>
        </w:rPr>
        <w:t>Clinical Trial Regulations</w:t>
      </w:r>
      <w:r w:rsidRPr="00C03CC6">
        <w:rPr>
          <w:rFonts w:cs="Arial"/>
          <w:shd w:val="clear" w:color="auto" w:fill="FFFFFF"/>
        </w:rPr>
        <w:t xml:space="preserve"> means the Medicines for Human Use (Clinical Trials) Regulations 2004</w:t>
      </w:r>
    </w:p>
    <w:p w14:paraId="5CB32DAA" w14:textId="39A70A71" w:rsidR="00D05C22" w:rsidRPr="00C03CC6" w:rsidRDefault="00D05C22" w:rsidP="00CD5BDE">
      <w:pPr>
        <w:pStyle w:val="Body1"/>
        <w:ind w:left="0"/>
        <w:jc w:val="both"/>
        <w:rPr>
          <w:rFonts w:cs="Arial"/>
          <w:shd w:val="clear" w:color="auto" w:fill="FFFFFF"/>
        </w:rPr>
      </w:pPr>
    </w:p>
    <w:p w14:paraId="258CED4A" w14:textId="37F97129" w:rsidR="00D05C22" w:rsidRPr="00C03CC6" w:rsidRDefault="00D05C22" w:rsidP="00CD5BDE">
      <w:pPr>
        <w:pStyle w:val="Body1"/>
        <w:ind w:left="0"/>
        <w:jc w:val="both"/>
        <w:rPr>
          <w:rFonts w:cs="Arial"/>
          <w:lang w:eastAsia="en-GB"/>
        </w:rPr>
      </w:pPr>
      <w:r w:rsidRPr="00C03CC6">
        <w:rPr>
          <w:rFonts w:cs="Arial"/>
          <w:b/>
          <w:lang w:eastAsia="en-GB"/>
        </w:rPr>
        <w:t>Controlled Drug</w:t>
      </w:r>
      <w:r w:rsidRPr="00C03CC6">
        <w:rPr>
          <w:rFonts w:cs="Arial"/>
          <w:lang w:eastAsia="en-GB"/>
        </w:rPr>
        <w:t xml:space="preserve"> has the meaning given to it in s.2 Misuse of Drugs Act 1971 and a reference to a schedule in respect of a Controlled Drug means the relevant schedule of the Misuse of Drugs Regulations 2001</w:t>
      </w:r>
    </w:p>
    <w:p w14:paraId="440B4DBA" w14:textId="2D37EF68" w:rsidR="00D05C22" w:rsidRPr="00C03CC6" w:rsidRDefault="00D05C22" w:rsidP="00CD5BDE">
      <w:pPr>
        <w:pStyle w:val="Body1"/>
        <w:ind w:left="0"/>
        <w:jc w:val="both"/>
        <w:rPr>
          <w:rFonts w:cs="Arial"/>
          <w:lang w:eastAsia="en-GB"/>
        </w:rPr>
      </w:pPr>
    </w:p>
    <w:p w14:paraId="743B3AFB" w14:textId="77777777" w:rsidR="00D05C22" w:rsidRPr="00C03CC6" w:rsidRDefault="00D05C22" w:rsidP="00CD5BDE">
      <w:pPr>
        <w:pStyle w:val="Body1"/>
        <w:ind w:left="0"/>
        <w:jc w:val="both"/>
        <w:rPr>
          <w:rFonts w:cs="Arial"/>
          <w:lang w:eastAsia="en-GB"/>
        </w:rPr>
      </w:pPr>
      <w:r w:rsidRPr="00C03CC6">
        <w:rPr>
          <w:rFonts w:cs="Arial"/>
          <w:b/>
          <w:lang w:eastAsia="en-GB"/>
        </w:rPr>
        <w:t>EU Marketing Authorisation</w:t>
      </w:r>
      <w:r w:rsidRPr="00C03CC6">
        <w:rPr>
          <w:rFonts w:cs="Arial"/>
          <w:lang w:eastAsia="en-GB"/>
        </w:rPr>
        <w:t>  means a Marketing Authorisation granted or renewed by the European Commission under Regulation (EC) No 726/2004</w:t>
      </w:r>
    </w:p>
    <w:p w14:paraId="19B23195" w14:textId="77777777" w:rsidR="00A030BC" w:rsidRPr="00C03CC6" w:rsidRDefault="00A030BC" w:rsidP="00CD5BDE">
      <w:pPr>
        <w:pStyle w:val="Body1"/>
        <w:ind w:left="0"/>
        <w:jc w:val="both"/>
        <w:rPr>
          <w:rFonts w:cs="Arial"/>
          <w:lang w:eastAsia="en-GB"/>
        </w:rPr>
      </w:pPr>
    </w:p>
    <w:p w14:paraId="6CC40276" w14:textId="3BB44185" w:rsidR="00DC455B" w:rsidRDefault="00DC455B" w:rsidP="00CD5BDE">
      <w:pPr>
        <w:pStyle w:val="Body1"/>
        <w:ind w:left="0"/>
        <w:jc w:val="both"/>
      </w:pPr>
      <w:r>
        <w:rPr>
          <w:rFonts w:cs="Arial"/>
          <w:b/>
          <w:lang w:eastAsia="en-GB"/>
        </w:rPr>
        <w:t xml:space="preserve">FEFO </w:t>
      </w:r>
      <w:r w:rsidRPr="00C03CC6">
        <w:t>first-expiry-first-out</w:t>
      </w:r>
    </w:p>
    <w:p w14:paraId="0D4256EC" w14:textId="77DE17B2" w:rsidR="00DC455B" w:rsidRDefault="00DC455B" w:rsidP="00CD5BDE">
      <w:pPr>
        <w:pStyle w:val="Body1"/>
        <w:ind w:left="0"/>
        <w:jc w:val="both"/>
      </w:pPr>
    </w:p>
    <w:p w14:paraId="1E4011FC" w14:textId="51CEDB98" w:rsidR="00DC455B" w:rsidRDefault="00DC455B" w:rsidP="00CD5BDE">
      <w:pPr>
        <w:pStyle w:val="Body1"/>
        <w:ind w:left="0"/>
        <w:jc w:val="both"/>
      </w:pPr>
      <w:r w:rsidRPr="00DC455B">
        <w:rPr>
          <w:b/>
        </w:rPr>
        <w:t xml:space="preserve">FIFO </w:t>
      </w:r>
      <w:r w:rsidRPr="00C03CC6">
        <w:t>first-in-first-out</w:t>
      </w:r>
    </w:p>
    <w:p w14:paraId="49E05CAF" w14:textId="77777777" w:rsidR="00DC455B" w:rsidRDefault="00DC455B" w:rsidP="00CD5BDE">
      <w:pPr>
        <w:pStyle w:val="Body1"/>
        <w:ind w:left="0"/>
        <w:jc w:val="both"/>
        <w:rPr>
          <w:rFonts w:cs="Arial"/>
          <w:b/>
          <w:lang w:eastAsia="en-GB"/>
        </w:rPr>
      </w:pPr>
    </w:p>
    <w:p w14:paraId="6424DA39" w14:textId="19B26B1D" w:rsidR="00914CC5" w:rsidRPr="00C03CC6" w:rsidRDefault="00914CC5" w:rsidP="00CD5BDE">
      <w:pPr>
        <w:pStyle w:val="Body1"/>
        <w:ind w:left="0"/>
        <w:jc w:val="both"/>
        <w:rPr>
          <w:rFonts w:cs="Arial"/>
          <w:lang w:eastAsia="en-GB"/>
        </w:rPr>
      </w:pPr>
      <w:r w:rsidRPr="00C03CC6">
        <w:rPr>
          <w:rFonts w:cs="Arial"/>
          <w:b/>
          <w:lang w:eastAsia="en-GB"/>
        </w:rPr>
        <w:t>Good Distribution Practice</w:t>
      </w:r>
      <w:r w:rsidRPr="00C03CC6">
        <w:rPr>
          <w:rFonts w:cs="Arial"/>
          <w:lang w:eastAsia="en-GB"/>
        </w:rPr>
        <w:t xml:space="preserve"> principles and guidelines of good distribution practice published und</w:t>
      </w:r>
      <w:r w:rsidR="00C33DCB" w:rsidRPr="00C03CC6">
        <w:rPr>
          <w:rFonts w:cs="Arial"/>
          <w:lang w:eastAsia="en-GB"/>
        </w:rPr>
        <w:t>er, or that apply by virtue of,</w:t>
      </w:r>
      <w:r w:rsidRPr="00C03CC6">
        <w:rPr>
          <w:rFonts w:cs="Arial"/>
          <w:lang w:eastAsia="en-GB"/>
        </w:rPr>
        <w:t xml:space="preserve"> Regulation C17(1)(c) of the HMR </w:t>
      </w:r>
    </w:p>
    <w:p w14:paraId="644A2DA2" w14:textId="3F014F80" w:rsidR="00D05C22" w:rsidRPr="00C03CC6" w:rsidRDefault="00D05C22" w:rsidP="00CD5BDE">
      <w:pPr>
        <w:pStyle w:val="Body1"/>
        <w:ind w:left="0"/>
        <w:jc w:val="both"/>
        <w:rPr>
          <w:rFonts w:cs="Arial"/>
          <w:lang w:eastAsia="en-GB"/>
        </w:rPr>
      </w:pPr>
    </w:p>
    <w:p w14:paraId="5179F7F1" w14:textId="77777777" w:rsidR="00D05C22" w:rsidRPr="00C03CC6" w:rsidRDefault="00D05C22" w:rsidP="00CD5BDE">
      <w:pPr>
        <w:pStyle w:val="Body1"/>
        <w:ind w:left="0"/>
        <w:jc w:val="both"/>
        <w:rPr>
          <w:rFonts w:cs="Arial"/>
          <w:lang w:eastAsia="en-GB"/>
        </w:rPr>
      </w:pPr>
      <w:r w:rsidRPr="00C03CC6">
        <w:rPr>
          <w:rFonts w:cs="Arial"/>
          <w:b/>
          <w:lang w:eastAsia="en-GB"/>
        </w:rPr>
        <w:t>GSL Medicine</w:t>
      </w:r>
      <w:r w:rsidRPr="00C03CC6">
        <w:rPr>
          <w:rFonts w:cs="Arial"/>
          <w:lang w:eastAsia="en-GB"/>
        </w:rPr>
        <w:t xml:space="preserve"> means a Medicinal Product Subject to General Sale</w:t>
      </w:r>
    </w:p>
    <w:p w14:paraId="74D4A647" w14:textId="77777777" w:rsidR="00914CC5" w:rsidRPr="00C03CC6" w:rsidRDefault="00914CC5" w:rsidP="00CD5BDE">
      <w:pPr>
        <w:pStyle w:val="Body1"/>
        <w:ind w:left="0"/>
        <w:jc w:val="both"/>
        <w:rPr>
          <w:rFonts w:cs="Arial"/>
          <w:lang w:eastAsia="en-GB"/>
        </w:rPr>
      </w:pPr>
    </w:p>
    <w:p w14:paraId="1CFBEF60" w14:textId="6E47F678" w:rsidR="00914CC5" w:rsidRPr="00C03CC6" w:rsidRDefault="00914CC5" w:rsidP="00CD5BDE">
      <w:pPr>
        <w:pStyle w:val="Body1"/>
        <w:ind w:left="0"/>
        <w:jc w:val="both"/>
        <w:rPr>
          <w:rFonts w:cs="Arial"/>
          <w:lang w:eastAsia="en-GB"/>
        </w:rPr>
      </w:pPr>
      <w:r w:rsidRPr="00C03CC6">
        <w:rPr>
          <w:rFonts w:cs="Arial"/>
          <w:b/>
          <w:lang w:eastAsia="en-GB"/>
        </w:rPr>
        <w:t>HMR</w:t>
      </w:r>
      <w:r w:rsidRPr="00C03CC6">
        <w:rPr>
          <w:rFonts w:cs="Arial"/>
          <w:lang w:eastAsia="en-GB"/>
        </w:rPr>
        <w:t xml:space="preserve"> the Human Medicines Regulations 2012 (S.I. 2012/1916)</w:t>
      </w:r>
    </w:p>
    <w:p w14:paraId="59C745A4" w14:textId="463E3AB2" w:rsidR="00D05C22" w:rsidRPr="00C03CC6" w:rsidRDefault="00D05C22" w:rsidP="00CD5BDE">
      <w:pPr>
        <w:pStyle w:val="Body1"/>
        <w:ind w:left="0"/>
        <w:jc w:val="both"/>
        <w:rPr>
          <w:rFonts w:cs="Arial"/>
          <w:lang w:eastAsia="en-GB"/>
        </w:rPr>
      </w:pPr>
    </w:p>
    <w:p w14:paraId="789E3337" w14:textId="77777777" w:rsidR="00D05C22" w:rsidRPr="00C03CC6" w:rsidRDefault="00D05C22" w:rsidP="00CD5BDE">
      <w:pPr>
        <w:pStyle w:val="Body1"/>
        <w:ind w:left="0"/>
        <w:jc w:val="both"/>
        <w:rPr>
          <w:rFonts w:cs="Arial"/>
          <w:lang w:eastAsia="en-GB"/>
        </w:rPr>
      </w:pPr>
      <w:r w:rsidRPr="00C03CC6">
        <w:rPr>
          <w:rFonts w:cs="Arial"/>
          <w:b/>
          <w:lang w:eastAsia="en-GB"/>
        </w:rPr>
        <w:t>Investigational Medicinal Product</w:t>
      </w:r>
      <w:r w:rsidRPr="00C03CC6">
        <w:rPr>
          <w:rFonts w:cs="Arial"/>
          <w:lang w:eastAsia="en-GB"/>
        </w:rPr>
        <w:t xml:space="preserve"> has the meaning given to it in the Clinical Trials Regulations</w:t>
      </w:r>
    </w:p>
    <w:p w14:paraId="0AF2DED2" w14:textId="77777777" w:rsidR="00D05C22" w:rsidRPr="00C03CC6" w:rsidRDefault="00D05C22" w:rsidP="00CD5BDE">
      <w:pPr>
        <w:pStyle w:val="Body1"/>
        <w:ind w:left="0"/>
        <w:jc w:val="both"/>
        <w:rPr>
          <w:rFonts w:cs="Arial"/>
          <w:lang w:eastAsia="en-GB"/>
        </w:rPr>
      </w:pPr>
    </w:p>
    <w:p w14:paraId="3A2C5EEF" w14:textId="74DBA1FA" w:rsidR="00D05C22" w:rsidRPr="00C03CC6" w:rsidRDefault="00D05C22" w:rsidP="00CD5BDE">
      <w:pPr>
        <w:pStyle w:val="Body1"/>
        <w:ind w:left="0"/>
        <w:jc w:val="both"/>
        <w:rPr>
          <w:rFonts w:cs="Arial"/>
          <w:lang w:eastAsia="en-GB"/>
        </w:rPr>
      </w:pPr>
      <w:r w:rsidRPr="00C03CC6">
        <w:rPr>
          <w:rFonts w:cs="Arial"/>
          <w:b/>
          <w:lang w:eastAsia="en-GB"/>
        </w:rPr>
        <w:t>Medical Device</w:t>
      </w:r>
      <w:r w:rsidRPr="00C03CC6">
        <w:rPr>
          <w:rFonts w:cs="Arial"/>
          <w:lang w:eastAsia="en-GB"/>
        </w:rPr>
        <w:t xml:space="preserve"> has the meaning given in </w:t>
      </w:r>
      <w:r w:rsidR="003F2475">
        <w:rPr>
          <w:rFonts w:cs="Arial"/>
          <w:lang w:eastAsia="en-GB"/>
        </w:rPr>
        <w:t>R</w:t>
      </w:r>
      <w:r w:rsidRPr="00C03CC6">
        <w:rPr>
          <w:rFonts w:cs="Arial"/>
          <w:lang w:eastAsia="en-GB"/>
        </w:rPr>
        <w:t>egulation 2 of the Medical Devices Regulations</w:t>
      </w:r>
      <w:r w:rsidR="00CD5BDE">
        <w:rPr>
          <w:rFonts w:cs="Arial"/>
          <w:lang w:eastAsia="en-GB"/>
        </w:rPr>
        <w:t xml:space="preserve"> 2022</w:t>
      </w:r>
      <w:r w:rsidRPr="00C03CC6">
        <w:rPr>
          <w:rFonts w:cs="Arial"/>
          <w:lang w:eastAsia="en-GB"/>
        </w:rPr>
        <w:t xml:space="preserve"> </w:t>
      </w:r>
    </w:p>
    <w:p w14:paraId="5342C619" w14:textId="77777777" w:rsidR="00D05C22" w:rsidRPr="00C03CC6" w:rsidRDefault="00D05C22" w:rsidP="00CD5BDE">
      <w:pPr>
        <w:pStyle w:val="Body1"/>
        <w:ind w:left="0"/>
        <w:jc w:val="both"/>
        <w:rPr>
          <w:rFonts w:cs="Arial"/>
          <w:b/>
          <w:lang w:eastAsia="en-GB"/>
        </w:rPr>
      </w:pPr>
    </w:p>
    <w:p w14:paraId="0DEF56EB" w14:textId="153133E3" w:rsidR="00914CC5" w:rsidRPr="00C03CC6" w:rsidRDefault="00914CC5" w:rsidP="00CD5BDE">
      <w:pPr>
        <w:pStyle w:val="Body1"/>
        <w:ind w:left="0"/>
        <w:jc w:val="both"/>
        <w:rPr>
          <w:rFonts w:cs="Arial"/>
          <w:lang w:eastAsia="en-GB"/>
        </w:rPr>
      </w:pPr>
      <w:r w:rsidRPr="00C03CC6">
        <w:rPr>
          <w:rFonts w:cs="Arial"/>
          <w:b/>
          <w:lang w:eastAsia="en-GB"/>
        </w:rPr>
        <w:t>Medicinal Product</w:t>
      </w:r>
      <w:r w:rsidRPr="00C03CC6">
        <w:rPr>
          <w:rFonts w:cs="Arial"/>
          <w:lang w:eastAsia="en-GB"/>
        </w:rPr>
        <w:t xml:space="preserve"> has the meaning given to it in the HMR</w:t>
      </w:r>
      <w:r w:rsidRPr="00C03CC6">
        <w:rPr>
          <w:rStyle w:val="FootnoteReference"/>
          <w:rFonts w:cs="Arial"/>
          <w:lang w:eastAsia="en-GB"/>
        </w:rPr>
        <w:footnoteReference w:id="1"/>
      </w:r>
    </w:p>
    <w:p w14:paraId="31E6367C" w14:textId="48E96D47" w:rsidR="00914CC5" w:rsidRPr="00C03CC6" w:rsidRDefault="00914CC5" w:rsidP="00CD5BDE">
      <w:pPr>
        <w:pStyle w:val="Body1"/>
        <w:ind w:left="0"/>
        <w:jc w:val="both"/>
        <w:rPr>
          <w:rFonts w:cs="Arial"/>
          <w:lang w:eastAsia="en-GB"/>
        </w:rPr>
      </w:pPr>
    </w:p>
    <w:p w14:paraId="3C569741" w14:textId="034D8FC8" w:rsidR="00D05C22" w:rsidRPr="00C03CC6" w:rsidRDefault="00D05C22" w:rsidP="00CD5BDE">
      <w:pPr>
        <w:pStyle w:val="Body1"/>
        <w:ind w:left="0"/>
        <w:jc w:val="both"/>
        <w:rPr>
          <w:rFonts w:cs="Arial"/>
          <w:lang w:eastAsia="en-GB"/>
        </w:rPr>
      </w:pPr>
      <w:r w:rsidRPr="00C03CC6">
        <w:rPr>
          <w:rFonts w:cs="Arial"/>
          <w:b/>
          <w:lang w:eastAsia="en-GB"/>
        </w:rPr>
        <w:t>Medicinal Product Subject to General Sale</w:t>
      </w:r>
      <w:r w:rsidRPr="00C03CC6">
        <w:rPr>
          <w:rFonts w:cs="Arial"/>
          <w:lang w:eastAsia="en-GB"/>
        </w:rPr>
        <w:t xml:space="preserve"> has the meaning give</w:t>
      </w:r>
      <w:r w:rsidR="00382F24">
        <w:rPr>
          <w:rFonts w:cs="Arial"/>
          <w:lang w:eastAsia="en-GB"/>
        </w:rPr>
        <w:t>n</w:t>
      </w:r>
      <w:r w:rsidRPr="00C03CC6">
        <w:rPr>
          <w:rFonts w:cs="Arial"/>
          <w:lang w:eastAsia="en-GB"/>
        </w:rPr>
        <w:t xml:space="preserve"> to it in the HMR</w:t>
      </w:r>
      <w:r w:rsidRPr="00C03CC6">
        <w:rPr>
          <w:rStyle w:val="FootnoteReference"/>
          <w:rFonts w:cs="Arial"/>
          <w:lang w:eastAsia="en-GB"/>
        </w:rPr>
        <w:footnoteReference w:id="2"/>
      </w:r>
    </w:p>
    <w:p w14:paraId="557E164B" w14:textId="77777777" w:rsidR="00D05C22" w:rsidRPr="00C03CC6" w:rsidRDefault="00D05C22" w:rsidP="00CD5BDE">
      <w:pPr>
        <w:pStyle w:val="Body1"/>
        <w:ind w:left="0"/>
        <w:jc w:val="both"/>
        <w:rPr>
          <w:rFonts w:cs="Arial"/>
          <w:b/>
          <w:lang w:eastAsia="en-GB"/>
        </w:rPr>
      </w:pPr>
    </w:p>
    <w:p w14:paraId="3280EB83" w14:textId="3D3C8318" w:rsidR="00D05C22" w:rsidRPr="00C03CC6" w:rsidRDefault="00D05C22" w:rsidP="00CD5BDE">
      <w:pPr>
        <w:pStyle w:val="Body1"/>
        <w:ind w:left="0"/>
        <w:jc w:val="both"/>
        <w:rPr>
          <w:rFonts w:cs="Arial"/>
          <w:lang w:eastAsia="en-GB"/>
        </w:rPr>
      </w:pPr>
      <w:r w:rsidRPr="00C03CC6">
        <w:rPr>
          <w:rFonts w:cs="Arial"/>
          <w:b/>
          <w:lang w:eastAsia="en-GB"/>
        </w:rPr>
        <w:t>MHRA</w:t>
      </w:r>
      <w:r w:rsidRPr="00C03CC6">
        <w:rPr>
          <w:rFonts w:cs="Arial"/>
          <w:lang w:eastAsia="en-GB"/>
        </w:rPr>
        <w:t xml:space="preserve"> means the Medicines and Healthcare Products Regulatory Agency</w:t>
      </w:r>
    </w:p>
    <w:p w14:paraId="76932F47" w14:textId="77777777" w:rsidR="00D05C22" w:rsidRPr="00C03CC6" w:rsidRDefault="00D05C22" w:rsidP="00CD5BDE">
      <w:pPr>
        <w:pStyle w:val="Body1"/>
        <w:ind w:left="0"/>
        <w:jc w:val="both"/>
        <w:rPr>
          <w:rFonts w:cs="Arial"/>
          <w:lang w:eastAsia="en-GB"/>
        </w:rPr>
      </w:pPr>
    </w:p>
    <w:p w14:paraId="11623BC7" w14:textId="77777777" w:rsidR="00D05C22" w:rsidRPr="00C03CC6" w:rsidRDefault="00D05C22" w:rsidP="00CD5BDE">
      <w:pPr>
        <w:pStyle w:val="Body1"/>
        <w:ind w:left="0"/>
        <w:jc w:val="both"/>
        <w:rPr>
          <w:rFonts w:cs="Arial"/>
          <w:lang w:eastAsia="en-GB"/>
        </w:rPr>
      </w:pPr>
      <w:r w:rsidRPr="00C03CC6">
        <w:rPr>
          <w:rFonts w:cs="Arial"/>
          <w:b/>
          <w:lang w:eastAsia="en-GB"/>
        </w:rPr>
        <w:t>Pharmacy Medicine</w:t>
      </w:r>
      <w:r w:rsidRPr="00C03CC6">
        <w:rPr>
          <w:rFonts w:cs="Arial"/>
          <w:lang w:eastAsia="en-GB"/>
        </w:rPr>
        <w:t xml:space="preserve"> has the meaning given to it in the HMR</w:t>
      </w:r>
      <w:r w:rsidRPr="00C03CC6">
        <w:rPr>
          <w:rStyle w:val="FootnoteReference"/>
          <w:rFonts w:cs="Arial"/>
          <w:lang w:eastAsia="en-GB"/>
        </w:rPr>
        <w:footnoteReference w:id="3"/>
      </w:r>
    </w:p>
    <w:p w14:paraId="3F2A0AFC" w14:textId="77777777" w:rsidR="00D05C22" w:rsidRPr="00C03CC6" w:rsidRDefault="00D05C22" w:rsidP="00CD5BDE">
      <w:pPr>
        <w:pStyle w:val="Body1"/>
        <w:ind w:left="0"/>
        <w:jc w:val="both"/>
        <w:rPr>
          <w:rFonts w:cs="Arial"/>
          <w:b/>
          <w:lang w:eastAsia="en-GB"/>
        </w:rPr>
      </w:pPr>
    </w:p>
    <w:p w14:paraId="4214A16A" w14:textId="69435A65" w:rsidR="00D05C22" w:rsidRPr="00C03CC6" w:rsidRDefault="00D05C22" w:rsidP="00CD5BDE">
      <w:pPr>
        <w:pStyle w:val="Body1"/>
        <w:ind w:left="0"/>
        <w:jc w:val="both"/>
        <w:rPr>
          <w:rFonts w:cs="Arial"/>
          <w:lang w:eastAsia="en-GB"/>
        </w:rPr>
      </w:pPr>
      <w:r w:rsidRPr="00C03CC6">
        <w:rPr>
          <w:rFonts w:cs="Arial"/>
          <w:b/>
          <w:lang w:eastAsia="en-GB"/>
        </w:rPr>
        <w:t>P</w:t>
      </w:r>
      <w:r w:rsidR="00B51588" w:rsidRPr="00C03CC6">
        <w:rPr>
          <w:rFonts w:cs="Arial"/>
          <w:b/>
          <w:lang w:eastAsia="en-GB"/>
        </w:rPr>
        <w:t xml:space="preserve"> Medicine </w:t>
      </w:r>
      <w:r w:rsidRPr="00C03CC6">
        <w:rPr>
          <w:rFonts w:cs="Arial"/>
          <w:b/>
          <w:lang w:eastAsia="en-GB"/>
        </w:rPr>
        <w:t xml:space="preserve"> </w:t>
      </w:r>
      <w:r w:rsidRPr="00C03CC6">
        <w:rPr>
          <w:rFonts w:cs="Arial"/>
          <w:lang w:eastAsia="en-GB"/>
        </w:rPr>
        <w:t>means a Pharmacy Medicine</w:t>
      </w:r>
    </w:p>
    <w:p w14:paraId="2E60BBFC" w14:textId="77777777" w:rsidR="00D05C22" w:rsidRPr="00C03CC6" w:rsidRDefault="00D05C22" w:rsidP="00D05C22">
      <w:pPr>
        <w:pStyle w:val="Body1"/>
        <w:ind w:left="0" w:firstLine="720"/>
        <w:jc w:val="both"/>
        <w:rPr>
          <w:rFonts w:cs="Arial"/>
          <w:b/>
          <w:lang w:eastAsia="en-GB"/>
        </w:rPr>
      </w:pPr>
    </w:p>
    <w:p w14:paraId="1FE9FA43" w14:textId="622B336D" w:rsidR="00D05C22" w:rsidRPr="00C03CC6" w:rsidRDefault="00D05C22" w:rsidP="00CD5BDE">
      <w:pPr>
        <w:pStyle w:val="Body1"/>
        <w:ind w:left="0"/>
        <w:jc w:val="both"/>
        <w:rPr>
          <w:rFonts w:cs="Arial"/>
          <w:lang w:eastAsia="en-GB"/>
        </w:rPr>
      </w:pPr>
      <w:r w:rsidRPr="00C03CC6">
        <w:rPr>
          <w:rFonts w:cs="Arial"/>
          <w:b/>
          <w:lang w:eastAsia="en-GB"/>
        </w:rPr>
        <w:t xml:space="preserve">POM </w:t>
      </w:r>
      <w:r w:rsidRPr="00C03CC6">
        <w:rPr>
          <w:rFonts w:cs="Arial"/>
          <w:lang w:eastAsia="en-GB"/>
        </w:rPr>
        <w:t>means a Prescription Only Medicine</w:t>
      </w:r>
    </w:p>
    <w:p w14:paraId="3627C991" w14:textId="77777777" w:rsidR="00D05C22" w:rsidRPr="00C03CC6" w:rsidRDefault="00D05C22" w:rsidP="00D05C22">
      <w:pPr>
        <w:pStyle w:val="Body1"/>
        <w:jc w:val="both"/>
        <w:rPr>
          <w:rFonts w:cs="Arial"/>
          <w:b/>
          <w:lang w:eastAsia="en-GB"/>
        </w:rPr>
      </w:pPr>
    </w:p>
    <w:p w14:paraId="5F029E67" w14:textId="77777777" w:rsidR="00D05C22" w:rsidRPr="00C03CC6" w:rsidRDefault="00D05C22" w:rsidP="00CD5BDE">
      <w:pPr>
        <w:pStyle w:val="Body1"/>
        <w:ind w:left="284"/>
        <w:jc w:val="both"/>
        <w:rPr>
          <w:rFonts w:cs="Arial"/>
          <w:lang w:eastAsia="en-GB"/>
        </w:rPr>
      </w:pPr>
      <w:r w:rsidRPr="00C03CC6">
        <w:rPr>
          <w:rFonts w:cs="Arial"/>
          <w:b/>
          <w:lang w:eastAsia="en-GB"/>
        </w:rPr>
        <w:t>Prescription Only Medicine</w:t>
      </w:r>
      <w:r w:rsidRPr="00C03CC6">
        <w:rPr>
          <w:rFonts w:cs="Arial"/>
          <w:lang w:eastAsia="en-GB"/>
        </w:rPr>
        <w:t xml:space="preserve"> has the meaning given to it in the HMR</w:t>
      </w:r>
      <w:r w:rsidRPr="00C03CC6">
        <w:rPr>
          <w:rStyle w:val="FootnoteReference"/>
          <w:rFonts w:cs="Arial"/>
          <w:lang w:eastAsia="en-GB"/>
        </w:rPr>
        <w:footnoteReference w:id="4"/>
      </w:r>
    </w:p>
    <w:p w14:paraId="2C21D69E" w14:textId="77777777" w:rsidR="00D05C22" w:rsidRPr="00C03CC6" w:rsidRDefault="00D05C22" w:rsidP="00CD5BDE">
      <w:pPr>
        <w:pStyle w:val="Body1"/>
        <w:ind w:left="284"/>
        <w:jc w:val="both"/>
        <w:rPr>
          <w:rFonts w:cs="Arial"/>
          <w:b/>
          <w:lang w:eastAsia="en-GB"/>
        </w:rPr>
      </w:pPr>
    </w:p>
    <w:p w14:paraId="42DCADB4" w14:textId="77777777" w:rsidR="00D05C22" w:rsidRPr="00C03CC6" w:rsidRDefault="00D05C22" w:rsidP="00CD5BDE">
      <w:pPr>
        <w:pStyle w:val="Body1"/>
        <w:ind w:left="284"/>
        <w:jc w:val="both"/>
        <w:rPr>
          <w:rFonts w:cs="Arial"/>
          <w:lang w:eastAsia="en-GB"/>
        </w:rPr>
      </w:pPr>
      <w:r w:rsidRPr="00C03CC6">
        <w:rPr>
          <w:rFonts w:cs="Arial"/>
          <w:b/>
          <w:lang w:eastAsia="en-GB"/>
        </w:rPr>
        <w:t>Summary of the Product Characteristics</w:t>
      </w:r>
      <w:r w:rsidRPr="00C03CC6">
        <w:rPr>
          <w:rFonts w:cs="Arial"/>
          <w:lang w:eastAsia="en-GB"/>
        </w:rPr>
        <w:t xml:space="preserve"> has the meaning given to it in the HMR</w:t>
      </w:r>
      <w:r w:rsidRPr="00C03CC6">
        <w:rPr>
          <w:rStyle w:val="FootnoteReference"/>
          <w:rFonts w:cs="Arial"/>
          <w:lang w:eastAsia="en-GB"/>
        </w:rPr>
        <w:footnoteReference w:id="5"/>
      </w:r>
    </w:p>
    <w:p w14:paraId="7C2229A0" w14:textId="77777777" w:rsidR="00D05C22" w:rsidRPr="00C03CC6" w:rsidRDefault="00D05C22" w:rsidP="00CD5BDE">
      <w:pPr>
        <w:pStyle w:val="Body1"/>
        <w:ind w:left="284"/>
        <w:jc w:val="both"/>
        <w:rPr>
          <w:rFonts w:cs="Arial"/>
          <w:b/>
          <w:lang w:eastAsia="en-GB"/>
        </w:rPr>
      </w:pPr>
    </w:p>
    <w:p w14:paraId="0789BC52" w14:textId="263937E6" w:rsidR="00D05C22" w:rsidRPr="00C03CC6" w:rsidRDefault="00D05C22" w:rsidP="00CD5BDE">
      <w:pPr>
        <w:pStyle w:val="Body1"/>
        <w:ind w:left="284"/>
        <w:jc w:val="both"/>
        <w:rPr>
          <w:rFonts w:cs="Arial"/>
          <w:lang w:eastAsia="en-GB"/>
        </w:rPr>
      </w:pPr>
      <w:r w:rsidRPr="00C03CC6">
        <w:rPr>
          <w:rFonts w:cs="Arial"/>
          <w:b/>
          <w:lang w:eastAsia="en-GB"/>
        </w:rPr>
        <w:t>Traditional Herbal Registration</w:t>
      </w:r>
      <w:r w:rsidRPr="00C03CC6">
        <w:rPr>
          <w:rFonts w:cs="Arial"/>
          <w:lang w:eastAsia="en-GB"/>
        </w:rPr>
        <w:t xml:space="preserve"> means a traditional herbal registration granted by the MHRA under the HMR</w:t>
      </w:r>
    </w:p>
    <w:p w14:paraId="0039673F" w14:textId="77777777" w:rsidR="00D05C22" w:rsidRPr="00C03CC6" w:rsidRDefault="00D05C22" w:rsidP="00CD5BDE">
      <w:pPr>
        <w:pStyle w:val="Body1"/>
        <w:ind w:left="284"/>
        <w:jc w:val="both"/>
        <w:rPr>
          <w:rFonts w:cs="Arial"/>
          <w:b/>
          <w:lang w:eastAsia="en-GB"/>
        </w:rPr>
      </w:pPr>
    </w:p>
    <w:p w14:paraId="67177D28" w14:textId="1CB2D816" w:rsidR="00A030BC" w:rsidRPr="00C03CC6" w:rsidRDefault="00A030BC" w:rsidP="00CD5BDE">
      <w:pPr>
        <w:pStyle w:val="Body1"/>
        <w:ind w:left="284"/>
        <w:jc w:val="both"/>
        <w:rPr>
          <w:rFonts w:cs="Arial"/>
          <w:lang w:eastAsia="en-GB"/>
        </w:rPr>
      </w:pPr>
      <w:r w:rsidRPr="00C03CC6">
        <w:rPr>
          <w:rFonts w:cs="Arial"/>
          <w:b/>
          <w:lang w:eastAsia="en-GB"/>
        </w:rPr>
        <w:t>UK Marketing Authorisation</w:t>
      </w:r>
      <w:r w:rsidRPr="00C03CC6">
        <w:rPr>
          <w:rFonts w:cs="Arial"/>
          <w:lang w:eastAsia="en-GB"/>
        </w:rPr>
        <w:t xml:space="preserve"> means a Marketing Authorisation granted by the MHRA under Part 5 of the HMR or Chapter 4 of Title III to the 2001 Directive</w:t>
      </w:r>
    </w:p>
    <w:p w14:paraId="14187C57" w14:textId="77777777" w:rsidR="00D05C22" w:rsidRPr="00C03CC6" w:rsidRDefault="00D05C22" w:rsidP="00CD5BDE">
      <w:pPr>
        <w:pStyle w:val="Body1"/>
        <w:ind w:left="284"/>
        <w:jc w:val="both"/>
        <w:rPr>
          <w:rFonts w:cs="Arial"/>
          <w:lang w:eastAsia="en-GB"/>
        </w:rPr>
      </w:pPr>
    </w:p>
    <w:p w14:paraId="4BD6A550" w14:textId="77777777" w:rsidR="00D05C22" w:rsidRPr="00C03CC6" w:rsidRDefault="00D05C22" w:rsidP="00CD5BDE">
      <w:pPr>
        <w:pStyle w:val="Body1"/>
        <w:ind w:left="284"/>
        <w:jc w:val="both"/>
        <w:rPr>
          <w:rFonts w:cs="Arial"/>
          <w:lang w:eastAsia="en-GB"/>
        </w:rPr>
      </w:pPr>
      <w:r w:rsidRPr="00C03CC6">
        <w:rPr>
          <w:rFonts w:cs="Arial"/>
          <w:b/>
          <w:lang w:eastAsia="en-GB"/>
        </w:rPr>
        <w:t xml:space="preserve">Vaccine </w:t>
      </w:r>
      <w:r w:rsidRPr="00C03CC6">
        <w:rPr>
          <w:rFonts w:cs="Arial"/>
          <w:lang w:eastAsia="en-GB"/>
        </w:rPr>
        <w:t>means an antigenic substance which consists wholly or partly of –</w:t>
      </w:r>
    </w:p>
    <w:p w14:paraId="0490C85B" w14:textId="77777777" w:rsidR="00D05C22" w:rsidRPr="00C03CC6" w:rsidRDefault="00D05C22" w:rsidP="00CD5BDE">
      <w:pPr>
        <w:pStyle w:val="Body1"/>
        <w:ind w:left="284"/>
        <w:jc w:val="both"/>
        <w:rPr>
          <w:rFonts w:cs="Arial"/>
          <w:lang w:eastAsia="en-GB"/>
        </w:rPr>
      </w:pPr>
    </w:p>
    <w:p w14:paraId="4162F9D0" w14:textId="77777777" w:rsidR="00D05C22" w:rsidRPr="00C03CC6" w:rsidRDefault="00D05C22" w:rsidP="00CD5BDE">
      <w:pPr>
        <w:pStyle w:val="Body1"/>
        <w:ind w:left="284"/>
        <w:jc w:val="both"/>
        <w:rPr>
          <w:rFonts w:cs="Arial"/>
          <w:lang w:eastAsia="en-GB"/>
        </w:rPr>
      </w:pPr>
      <w:r w:rsidRPr="00C03CC6">
        <w:rPr>
          <w:rFonts w:cs="Arial"/>
          <w:lang w:eastAsia="en-GB"/>
        </w:rPr>
        <w:t>(a) any micro-organisms, viruses or other organisms in any state;</w:t>
      </w:r>
    </w:p>
    <w:p w14:paraId="0D168798" w14:textId="77777777" w:rsidR="00D05C22" w:rsidRPr="00C03CC6" w:rsidRDefault="00D05C22" w:rsidP="00CD5BDE">
      <w:pPr>
        <w:pStyle w:val="Body1"/>
        <w:ind w:left="284"/>
        <w:jc w:val="both"/>
        <w:rPr>
          <w:rFonts w:cs="Arial"/>
          <w:lang w:eastAsia="en-GB"/>
        </w:rPr>
      </w:pPr>
      <w:r w:rsidRPr="00C03CC6">
        <w:rPr>
          <w:rFonts w:cs="Arial"/>
          <w:lang w:eastAsia="en-GB"/>
        </w:rPr>
        <w:t>(b) any toxins or microbial origin which have been detoxified (toxoids);</w:t>
      </w:r>
    </w:p>
    <w:p w14:paraId="345C7C54" w14:textId="77777777" w:rsidR="00D05C22" w:rsidRPr="00C03CC6" w:rsidRDefault="00D05C22" w:rsidP="00CD5BDE">
      <w:pPr>
        <w:pStyle w:val="Body1"/>
        <w:ind w:left="284"/>
        <w:jc w:val="both"/>
        <w:rPr>
          <w:rFonts w:cs="Arial"/>
          <w:lang w:eastAsia="en-GB"/>
        </w:rPr>
      </w:pPr>
      <w:r w:rsidRPr="00C03CC6">
        <w:rPr>
          <w:rFonts w:cs="Arial"/>
          <w:lang w:eastAsia="en-GB"/>
        </w:rPr>
        <w:t>(c) any extracts or derivatives of any micro-organisms or of any viruses, being substances which, when administered to human beings, are used for the prevention of specific diseases;</w:t>
      </w:r>
    </w:p>
    <w:p w14:paraId="1ADE6C77" w14:textId="77777777" w:rsidR="00D05C22" w:rsidRPr="00C03CC6" w:rsidRDefault="00D05C22" w:rsidP="00CD5BDE">
      <w:pPr>
        <w:pStyle w:val="Body1"/>
        <w:ind w:left="284"/>
        <w:jc w:val="both"/>
        <w:rPr>
          <w:rFonts w:cs="Arial"/>
          <w:b/>
          <w:lang w:eastAsia="en-GB"/>
        </w:rPr>
      </w:pPr>
    </w:p>
    <w:p w14:paraId="67430DB0" w14:textId="6E966646" w:rsidR="00B46086" w:rsidRPr="00C03CC6" w:rsidRDefault="00B46086" w:rsidP="00CD5BDE">
      <w:pPr>
        <w:pStyle w:val="Body1"/>
        <w:ind w:left="284"/>
        <w:jc w:val="both"/>
        <w:rPr>
          <w:rFonts w:cs="Arial"/>
          <w:lang w:eastAsia="en-GB"/>
        </w:rPr>
      </w:pPr>
      <w:r w:rsidRPr="00C03CC6">
        <w:rPr>
          <w:rFonts w:cs="Arial"/>
          <w:b/>
          <w:lang w:eastAsia="en-GB"/>
        </w:rPr>
        <w:t>Wholesale Dealer’s Licence</w:t>
      </w:r>
      <w:r w:rsidRPr="00C03CC6">
        <w:rPr>
          <w:rFonts w:cs="Arial"/>
          <w:lang w:eastAsia="en-GB"/>
        </w:rPr>
        <w:t xml:space="preserve"> has the meaning given to it in Regulation 18(1) of the HMR</w:t>
      </w:r>
    </w:p>
    <w:p w14:paraId="12710DD4" w14:textId="77777777" w:rsidR="00A00B1F" w:rsidRPr="00C03CC6" w:rsidRDefault="00A00B1F" w:rsidP="00D05C22">
      <w:pPr>
        <w:pStyle w:val="Body1"/>
        <w:jc w:val="both"/>
        <w:rPr>
          <w:rFonts w:cs="Arial"/>
          <w:lang w:eastAsia="en-GB"/>
        </w:rPr>
      </w:pPr>
    </w:p>
    <w:p w14:paraId="51FA46AD" w14:textId="77777777" w:rsidR="00904FBD" w:rsidRPr="00C03CC6" w:rsidRDefault="00904FBD" w:rsidP="00D05C22">
      <w:pPr>
        <w:pStyle w:val="Body1"/>
        <w:jc w:val="both"/>
        <w:rPr>
          <w:rFonts w:cs="Arial"/>
          <w:lang w:eastAsia="en-GB"/>
        </w:rPr>
      </w:pPr>
    </w:p>
    <w:p w14:paraId="09762AA6" w14:textId="77777777" w:rsidR="00904FBD" w:rsidRPr="00C03CC6" w:rsidRDefault="00904FBD" w:rsidP="00D05C22">
      <w:pPr>
        <w:pStyle w:val="Body1"/>
        <w:ind w:left="1080"/>
        <w:jc w:val="both"/>
        <w:rPr>
          <w:rFonts w:cs="Arial"/>
          <w:lang w:eastAsia="en-GB"/>
        </w:rPr>
      </w:pPr>
    </w:p>
    <w:sectPr w:rsidR="00904FBD" w:rsidRPr="00C03CC6" w:rsidSect="0049668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814" w:right="1418" w:bottom="1440" w:left="1418" w:header="720" w:footer="72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4920C" w14:textId="77777777" w:rsidR="00AD2880" w:rsidRDefault="00AD2880">
      <w:r>
        <w:separator/>
      </w:r>
    </w:p>
  </w:endnote>
  <w:endnote w:type="continuationSeparator" w:id="0">
    <w:p w14:paraId="5A585AD1" w14:textId="77777777" w:rsidR="00AD2880" w:rsidRDefault="00AD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992F" w14:textId="77777777" w:rsidR="00461466" w:rsidRDefault="00461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7C36" w14:textId="25018930" w:rsidR="00797EA7" w:rsidRPr="00BB1F83" w:rsidRDefault="00797EA7" w:rsidP="00BB1F83">
    <w:pPr>
      <w:pStyle w:val="Footer"/>
      <w:tabs>
        <w:tab w:val="clear" w:pos="8306"/>
        <w:tab w:val="left" w:pos="0"/>
        <w:tab w:val="right" w:pos="8931"/>
        <w:tab w:val="right" w:pos="9071"/>
      </w:tabs>
      <w:rPr>
        <w:rFonts w:cs="Arial"/>
        <w:snapToGrid w:val="0"/>
        <w:sz w:val="18"/>
        <w:szCs w:val="18"/>
      </w:rPr>
    </w:pPr>
    <w:r w:rsidRPr="00BB1F83">
      <w:rPr>
        <w:rFonts w:cs="Arial"/>
        <w:sz w:val="18"/>
        <w:szCs w:val="18"/>
      </w:rPr>
      <w:fldChar w:fldCharType="begin"/>
    </w:r>
    <w:r w:rsidRPr="00BB1F83">
      <w:rPr>
        <w:rFonts w:cs="Arial"/>
        <w:sz w:val="18"/>
        <w:szCs w:val="18"/>
      </w:rPr>
      <w:instrText xml:space="preserve"> FILENAME  \* Upper  \* MERGEFORMAT </w:instrText>
    </w:r>
    <w:r w:rsidRPr="00BB1F83">
      <w:rPr>
        <w:rFonts w:cs="Arial"/>
        <w:sz w:val="18"/>
        <w:szCs w:val="18"/>
      </w:rPr>
      <w:fldChar w:fldCharType="separate"/>
    </w:r>
    <w:r w:rsidR="00461466">
      <w:rPr>
        <w:rFonts w:cs="Arial"/>
        <w:noProof/>
        <w:sz w:val="18"/>
        <w:szCs w:val="18"/>
      </w:rPr>
      <w:t>3496492_1</w:t>
    </w:r>
    <w:r w:rsidRPr="00BB1F83">
      <w:rPr>
        <w:rFonts w:cs="Arial"/>
        <w:sz w:val="18"/>
        <w:szCs w:val="18"/>
      </w:rPr>
      <w:fldChar w:fldCharType="end"/>
    </w:r>
    <w:r w:rsidRPr="00BB1F83">
      <w:rPr>
        <w:rFonts w:cs="Arial"/>
        <w:sz w:val="18"/>
        <w:szCs w:val="18"/>
      </w:rPr>
      <w:tab/>
    </w:r>
    <w:r w:rsidRPr="00BB1F83">
      <w:rPr>
        <w:rFonts w:cs="Arial"/>
        <w:sz w:val="18"/>
        <w:szCs w:val="18"/>
      </w:rPr>
      <w:tab/>
    </w:r>
    <w:r w:rsidRPr="00BB1F83">
      <w:rPr>
        <w:rFonts w:cs="Arial"/>
        <w:snapToGrid w:val="0"/>
        <w:sz w:val="18"/>
        <w:szCs w:val="18"/>
      </w:rPr>
      <w:t xml:space="preserve">Page </w:t>
    </w:r>
    <w:r w:rsidRPr="00BB1F83">
      <w:rPr>
        <w:rFonts w:cs="Arial"/>
        <w:snapToGrid w:val="0"/>
        <w:sz w:val="18"/>
        <w:szCs w:val="18"/>
      </w:rPr>
      <w:fldChar w:fldCharType="begin"/>
    </w:r>
    <w:r w:rsidRPr="00BB1F83">
      <w:rPr>
        <w:rFonts w:cs="Arial"/>
        <w:snapToGrid w:val="0"/>
        <w:sz w:val="18"/>
        <w:szCs w:val="18"/>
      </w:rPr>
      <w:instrText xml:space="preserve"> PAGE </w:instrText>
    </w:r>
    <w:r w:rsidRPr="00BB1F83">
      <w:rPr>
        <w:rFonts w:cs="Arial"/>
        <w:snapToGrid w:val="0"/>
        <w:sz w:val="18"/>
        <w:szCs w:val="18"/>
      </w:rPr>
      <w:fldChar w:fldCharType="separate"/>
    </w:r>
    <w:r w:rsidR="00461466">
      <w:rPr>
        <w:rFonts w:cs="Arial"/>
        <w:noProof/>
        <w:snapToGrid w:val="0"/>
        <w:sz w:val="18"/>
        <w:szCs w:val="18"/>
      </w:rPr>
      <w:t>8</w:t>
    </w:r>
    <w:r w:rsidRPr="00BB1F83">
      <w:rPr>
        <w:rFonts w:cs="Arial"/>
        <w:snapToGrid w:val="0"/>
        <w:sz w:val="18"/>
        <w:szCs w:val="18"/>
      </w:rPr>
      <w:fldChar w:fldCharType="end"/>
    </w:r>
    <w:r w:rsidRPr="00BB1F83">
      <w:rPr>
        <w:rFonts w:cs="Arial"/>
        <w:snapToGrid w:val="0"/>
        <w:sz w:val="18"/>
        <w:szCs w:val="18"/>
      </w:rPr>
      <w:t xml:space="preserve"> of </w:t>
    </w:r>
    <w:r w:rsidRPr="00BB1F83">
      <w:rPr>
        <w:rFonts w:cs="Arial"/>
        <w:snapToGrid w:val="0"/>
        <w:sz w:val="18"/>
        <w:szCs w:val="18"/>
      </w:rPr>
      <w:fldChar w:fldCharType="begin"/>
    </w:r>
    <w:r w:rsidRPr="00BB1F83">
      <w:rPr>
        <w:rFonts w:cs="Arial"/>
        <w:snapToGrid w:val="0"/>
        <w:sz w:val="18"/>
        <w:szCs w:val="18"/>
      </w:rPr>
      <w:instrText xml:space="preserve"> SECTIONPAGES </w:instrText>
    </w:r>
    <w:r w:rsidRPr="00BB1F83">
      <w:rPr>
        <w:rFonts w:cs="Arial"/>
        <w:snapToGrid w:val="0"/>
        <w:sz w:val="18"/>
        <w:szCs w:val="18"/>
      </w:rPr>
      <w:fldChar w:fldCharType="separate"/>
    </w:r>
    <w:r w:rsidR="00DC6E38">
      <w:rPr>
        <w:rFonts w:cs="Arial"/>
        <w:noProof/>
        <w:snapToGrid w:val="0"/>
        <w:sz w:val="18"/>
        <w:szCs w:val="18"/>
      </w:rPr>
      <w:t>12</w:t>
    </w:r>
    <w:r w:rsidRPr="00BB1F83">
      <w:rPr>
        <w:rFonts w:cs="Arial"/>
        <w:snapToGrid w:val="0"/>
        <w:sz w:val="18"/>
        <w:szCs w:val="18"/>
      </w:rPr>
      <w:fldChar w:fldCharType="end"/>
    </w:r>
  </w:p>
  <w:p w14:paraId="2BE96A67" w14:textId="646F091E" w:rsidR="00797EA7" w:rsidRPr="00BB1F83" w:rsidRDefault="00797EA7" w:rsidP="00496689">
    <w:pPr>
      <w:pStyle w:val="Footer"/>
      <w:tabs>
        <w:tab w:val="left" w:pos="0"/>
        <w:tab w:val="center" w:pos="4536"/>
        <w:tab w:val="right" w:pos="9072"/>
      </w:tabs>
      <w:rPr>
        <w:rFonts w:cs="Arial"/>
        <w:sz w:val="18"/>
        <w:szCs w:val="18"/>
      </w:rPr>
    </w:pPr>
    <w:r w:rsidRPr="00BB1F83">
      <w:rPr>
        <w:rFonts w:cs="Arial"/>
        <w:snapToGrid w:val="0"/>
        <w:sz w:val="18"/>
        <w:szCs w:val="18"/>
      </w:rPr>
      <w:t xml:space="preserve">ITT </w:t>
    </w:r>
    <w:r>
      <w:rPr>
        <w:rFonts w:cs="Arial"/>
        <w:snapToGrid w:val="0"/>
        <w:sz w:val="18"/>
        <w:szCs w:val="18"/>
      </w:rPr>
      <w:t>Schedule 8 - Specification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CC4A4" w14:textId="2E4CC172" w:rsidR="00797EA7" w:rsidRPr="00546083" w:rsidRDefault="00797EA7" w:rsidP="006B6F2F">
    <w:pPr>
      <w:pStyle w:val="Footer"/>
      <w:tabs>
        <w:tab w:val="clear" w:pos="4153"/>
        <w:tab w:val="clear" w:pos="8306"/>
        <w:tab w:val="left" w:pos="0"/>
        <w:tab w:val="left" w:pos="2268"/>
        <w:tab w:val="center" w:pos="4536"/>
        <w:tab w:val="right" w:pos="9071"/>
      </w:tabs>
      <w:spacing w:line="240" w:lineRule="auto"/>
      <w:jc w:val="both"/>
      <w:rPr>
        <w:color w:val="3D3935"/>
        <w:sz w:val="18"/>
        <w:szCs w:val="18"/>
      </w:rPr>
    </w:pPr>
    <w:r>
      <w:rPr>
        <w:snapToGrid w:val="0"/>
        <w:color w:val="808080"/>
        <w:sz w:val="18"/>
        <w:szCs w:val="18"/>
      </w:rPr>
      <w:t xml:space="preserve">ITT Schedule 8 – Specification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DC45D" w14:textId="77777777" w:rsidR="00AD2880" w:rsidRDefault="00AD2880">
      <w:r>
        <w:separator/>
      </w:r>
    </w:p>
  </w:footnote>
  <w:footnote w:type="continuationSeparator" w:id="0">
    <w:p w14:paraId="2F5E4908" w14:textId="77777777" w:rsidR="00AD2880" w:rsidRDefault="00AD2880">
      <w:r>
        <w:continuationSeparator/>
      </w:r>
    </w:p>
  </w:footnote>
  <w:footnote w:id="1">
    <w:p w14:paraId="2E01D24A" w14:textId="1E672E8F" w:rsidR="00797EA7" w:rsidRDefault="00797EA7" w:rsidP="00914CC5">
      <w:pPr>
        <w:pStyle w:val="FootnoteText"/>
      </w:pPr>
      <w:r>
        <w:rPr>
          <w:rStyle w:val="FootnoteReference"/>
        </w:rPr>
        <w:footnoteRef/>
      </w:r>
      <w:r>
        <w:t xml:space="preserve"> Regulation 2 </w:t>
      </w:r>
    </w:p>
  </w:footnote>
  <w:footnote w:id="2">
    <w:p w14:paraId="60F55ED2" w14:textId="20F194B9" w:rsidR="00797EA7" w:rsidRDefault="00797EA7" w:rsidP="00D05C22">
      <w:pPr>
        <w:pStyle w:val="FootnoteText"/>
      </w:pPr>
      <w:r>
        <w:rPr>
          <w:rStyle w:val="FootnoteReference"/>
        </w:rPr>
        <w:footnoteRef/>
      </w:r>
      <w:r>
        <w:t xml:space="preserve"> Regulation 5(1)  </w:t>
      </w:r>
    </w:p>
  </w:footnote>
  <w:footnote w:id="3">
    <w:p w14:paraId="009BF29A" w14:textId="17627B97" w:rsidR="00797EA7" w:rsidRDefault="00797EA7" w:rsidP="00D05C22">
      <w:pPr>
        <w:pStyle w:val="FootnoteText"/>
      </w:pPr>
      <w:r>
        <w:rPr>
          <w:rStyle w:val="FootnoteReference"/>
        </w:rPr>
        <w:footnoteRef/>
      </w:r>
      <w:r>
        <w:t xml:space="preserve"> Regulation 5(5) </w:t>
      </w:r>
    </w:p>
  </w:footnote>
  <w:footnote w:id="4">
    <w:p w14:paraId="0283B39B" w14:textId="77777777" w:rsidR="00797EA7" w:rsidRDefault="00797EA7" w:rsidP="00D05C22">
      <w:pPr>
        <w:pStyle w:val="FootnoteText"/>
      </w:pPr>
      <w:r>
        <w:rPr>
          <w:rStyle w:val="FootnoteReference"/>
        </w:rPr>
        <w:footnoteRef/>
      </w:r>
      <w:r>
        <w:t xml:space="preserve"> Regulation 5(3)</w:t>
      </w:r>
    </w:p>
  </w:footnote>
  <w:footnote w:id="5">
    <w:p w14:paraId="2700AEB4" w14:textId="77777777" w:rsidR="00797EA7" w:rsidRDefault="00797EA7" w:rsidP="00D05C22">
      <w:pPr>
        <w:pStyle w:val="FootnoteText"/>
      </w:pPr>
      <w:r>
        <w:rPr>
          <w:rStyle w:val="FootnoteReference"/>
        </w:rPr>
        <w:footnoteRef/>
      </w:r>
      <w:r>
        <w:t xml:space="preserve"> Regulation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46F7E" w14:textId="77777777" w:rsidR="00461466" w:rsidRDefault="00461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60EC8" w14:textId="77777777" w:rsidR="00797EA7" w:rsidRDefault="00797EA7" w:rsidP="00613C68">
    <w:pPr>
      <w:pStyle w:val="Header"/>
      <w:tabs>
        <w:tab w:val="clear" w:pos="4153"/>
        <w:tab w:val="clear" w:pos="8306"/>
        <w:tab w:val="center" w:pos="4536"/>
        <w:tab w:val="right" w:pos="9071"/>
      </w:tabs>
      <w:rPr>
        <w:rStyle w:val="PageNumbe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BB2C9" w14:textId="77777777" w:rsidR="00797EA7" w:rsidRDefault="00797EA7" w:rsidP="005715E6">
    <w:pPr>
      <w:pStyle w:val="Header"/>
      <w:tabs>
        <w:tab w:val="clear" w:pos="4153"/>
        <w:tab w:val="clear" w:pos="8306"/>
        <w:tab w:val="center" w:pos="4536"/>
        <w:tab w:val="right" w:pos="9071"/>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06A2218"/>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rPr>
        <w:b w:val="0"/>
      </w:rPr>
    </w:lvl>
    <w:lvl w:ilvl="2">
      <w:start w:val="1"/>
      <w:numFmt w:val="decimal"/>
      <w:pStyle w:val="Heading3"/>
      <w:lvlText w:val="%1.%2.%3."/>
      <w:legacy w:legacy="1" w:legacySpace="0" w:legacyIndent="708"/>
      <w:lvlJc w:val="left"/>
      <w:pPr>
        <w:ind w:left="2410"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1" w15:restartNumberingAfterBreak="0">
    <w:nsid w:val="082365D3"/>
    <w:multiLevelType w:val="hybridMultilevel"/>
    <w:tmpl w:val="86CA76D2"/>
    <w:lvl w:ilvl="0" w:tplc="78B8C37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7153DA8"/>
    <w:multiLevelType w:val="hybridMultilevel"/>
    <w:tmpl w:val="0672C13C"/>
    <w:lvl w:ilvl="0" w:tplc="B09CCCFA">
      <w:start w:val="1"/>
      <w:numFmt w:val="lowerRoman"/>
      <w:lvlText w:val="(%1)"/>
      <w:lvlJc w:val="left"/>
      <w:pPr>
        <w:ind w:left="2422" w:hanging="72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 w15:restartNumberingAfterBreak="0">
    <w:nsid w:val="1E931EF6"/>
    <w:multiLevelType w:val="hybridMultilevel"/>
    <w:tmpl w:val="5EE63330"/>
    <w:lvl w:ilvl="0" w:tplc="EB9681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469FE"/>
    <w:multiLevelType w:val="hybridMultilevel"/>
    <w:tmpl w:val="4BA68BE6"/>
    <w:lvl w:ilvl="0" w:tplc="B6A2D9A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9D2EB6"/>
    <w:multiLevelType w:val="hybridMultilevel"/>
    <w:tmpl w:val="C7386256"/>
    <w:lvl w:ilvl="0" w:tplc="F07C51F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0A5E3A"/>
    <w:multiLevelType w:val="hybridMultilevel"/>
    <w:tmpl w:val="94C00404"/>
    <w:lvl w:ilvl="0" w:tplc="4BC409E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7967D6"/>
    <w:multiLevelType w:val="hybridMultilevel"/>
    <w:tmpl w:val="5FB29062"/>
    <w:lvl w:ilvl="0" w:tplc="884AFBE6">
      <w:start w:val="1"/>
      <w:numFmt w:val="lowerRoman"/>
      <w:lvlText w:val="(%1)"/>
      <w:lvlJc w:val="left"/>
      <w:pPr>
        <w:ind w:left="270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379F5"/>
    <w:multiLevelType w:val="hybridMultilevel"/>
    <w:tmpl w:val="7AB00EF2"/>
    <w:lvl w:ilvl="0" w:tplc="385A2DD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498A7DAA"/>
    <w:multiLevelType w:val="multilevel"/>
    <w:tmpl w:val="244CE2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E820897"/>
    <w:multiLevelType w:val="hybridMultilevel"/>
    <w:tmpl w:val="ECFC190A"/>
    <w:lvl w:ilvl="0" w:tplc="E278A62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9096E59"/>
    <w:multiLevelType w:val="hybridMultilevel"/>
    <w:tmpl w:val="2FCE4F72"/>
    <w:lvl w:ilvl="0" w:tplc="566CDEF0">
      <w:start w:val="1"/>
      <w:numFmt w:val="lowerRoman"/>
      <w:lvlText w:val="(%1)"/>
      <w:lvlJc w:val="left"/>
      <w:pPr>
        <w:ind w:left="2280" w:hanging="720"/>
      </w:pPr>
      <w:rPr>
        <w:rFonts w:ascii="Arial" w:eastAsia="Times New Roman" w:hAnsi="Arial"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C991319"/>
    <w:multiLevelType w:val="hybridMultilevel"/>
    <w:tmpl w:val="B562E8D8"/>
    <w:lvl w:ilvl="0" w:tplc="C4A43C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34BCB"/>
    <w:multiLevelType w:val="hybridMultilevel"/>
    <w:tmpl w:val="83EA2A32"/>
    <w:lvl w:ilvl="0" w:tplc="13D64A04">
      <w:start w:val="1"/>
      <w:numFmt w:val="lowerRoman"/>
      <w:lvlText w:val="(%1)"/>
      <w:lvlJc w:val="left"/>
      <w:pPr>
        <w:ind w:left="1800" w:hanging="360"/>
      </w:pPr>
      <w:rPr>
        <w:rFonts w:asciiTheme="minorHAnsi" w:eastAsia="Times New Roman" w:hAnsiTheme="minorHAnsi" w:cstheme="minorHAns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6980A2A"/>
    <w:multiLevelType w:val="hybridMultilevel"/>
    <w:tmpl w:val="0C70694C"/>
    <w:lvl w:ilvl="0" w:tplc="2354CD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9"/>
  </w:num>
  <w:num w:numId="3">
    <w:abstractNumId w:val="0"/>
  </w:num>
  <w:num w:numId="4">
    <w:abstractNumId w:val="0"/>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2"/>
  </w:num>
  <w:num w:numId="11">
    <w:abstractNumId w:val="1"/>
  </w:num>
  <w:num w:numId="12">
    <w:abstractNumId w:val="11"/>
  </w:num>
  <w:num w:numId="13">
    <w:abstractNumId w:val="13"/>
  </w:num>
  <w:num w:numId="14">
    <w:abstractNumId w:val="10"/>
  </w:num>
  <w:num w:numId="15">
    <w:abstractNumId w:val="6"/>
  </w:num>
  <w:num w:numId="16">
    <w:abstractNumId w:val="7"/>
  </w:num>
  <w:num w:numId="17">
    <w:abstractNumId w:val="12"/>
  </w:num>
  <w:num w:numId="18">
    <w:abstractNumId w:val="3"/>
  </w:num>
  <w:num w:numId="19">
    <w:abstractNumId w:val="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4"/>
  </w:num>
  <w:num w:numId="34">
    <w:abstractNumId w:val="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num>
  <w:num w:numId="38">
    <w:abstractNumId w:val="0"/>
  </w:num>
  <w:num w:numId="39">
    <w:abstractNumId w:val="0"/>
  </w:num>
  <w:num w:numId="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00"/>
  <w:displayHorizontalDrawingGridEvery w:val="0"/>
  <w:displayVerticalDrawingGridEvery w:val="0"/>
  <w:doNotShadeFormData/>
  <w:noPunctuationKerning/>
  <w:characterSpacingControl w:val="doNotCompress"/>
  <w:hdrShapeDefaults>
    <o:shapedefaults v:ext="edit" spidmax="4097" style="mso-position-vertical-relative:page" fillcolor="#9cf" stroke="f">
      <v:fill color="#9cf"/>
      <v:stroke on="f"/>
      <o:colormru v:ext="edit" colors="#003,#f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9D"/>
    <w:rsid w:val="000100A5"/>
    <w:rsid w:val="00013312"/>
    <w:rsid w:val="000169EA"/>
    <w:rsid w:val="00023A31"/>
    <w:rsid w:val="000242C4"/>
    <w:rsid w:val="00025BDD"/>
    <w:rsid w:val="00032016"/>
    <w:rsid w:val="000357E9"/>
    <w:rsid w:val="000367A1"/>
    <w:rsid w:val="00043AB4"/>
    <w:rsid w:val="00047374"/>
    <w:rsid w:val="00047B65"/>
    <w:rsid w:val="00050667"/>
    <w:rsid w:val="00051AE1"/>
    <w:rsid w:val="000534BA"/>
    <w:rsid w:val="00054A93"/>
    <w:rsid w:val="00070288"/>
    <w:rsid w:val="00077274"/>
    <w:rsid w:val="00077E34"/>
    <w:rsid w:val="00084776"/>
    <w:rsid w:val="00084AA3"/>
    <w:rsid w:val="00090524"/>
    <w:rsid w:val="0009163F"/>
    <w:rsid w:val="000960D8"/>
    <w:rsid w:val="00097C4D"/>
    <w:rsid w:val="000B0542"/>
    <w:rsid w:val="000B5A3A"/>
    <w:rsid w:val="000B6D46"/>
    <w:rsid w:val="000D249A"/>
    <w:rsid w:val="000E422A"/>
    <w:rsid w:val="000F22CF"/>
    <w:rsid w:val="000F4CFF"/>
    <w:rsid w:val="00107646"/>
    <w:rsid w:val="00107F0E"/>
    <w:rsid w:val="00115A0D"/>
    <w:rsid w:val="00115AEA"/>
    <w:rsid w:val="0011601E"/>
    <w:rsid w:val="00116F11"/>
    <w:rsid w:val="00122FB2"/>
    <w:rsid w:val="001252F9"/>
    <w:rsid w:val="00132145"/>
    <w:rsid w:val="0013324A"/>
    <w:rsid w:val="00152CE0"/>
    <w:rsid w:val="00180875"/>
    <w:rsid w:val="00180DD5"/>
    <w:rsid w:val="0018273E"/>
    <w:rsid w:val="00186366"/>
    <w:rsid w:val="00196542"/>
    <w:rsid w:val="001A1689"/>
    <w:rsid w:val="001A3FDA"/>
    <w:rsid w:val="001A5992"/>
    <w:rsid w:val="001B1A0A"/>
    <w:rsid w:val="001B6CBF"/>
    <w:rsid w:val="001C4E81"/>
    <w:rsid w:val="001C73C8"/>
    <w:rsid w:val="001C7EF6"/>
    <w:rsid w:val="001D4E09"/>
    <w:rsid w:val="001D7297"/>
    <w:rsid w:val="001D744C"/>
    <w:rsid w:val="001D7BCC"/>
    <w:rsid w:val="001E3EF0"/>
    <w:rsid w:val="001F0A0C"/>
    <w:rsid w:val="00201218"/>
    <w:rsid w:val="00214128"/>
    <w:rsid w:val="00214C62"/>
    <w:rsid w:val="002166A6"/>
    <w:rsid w:val="00225D62"/>
    <w:rsid w:val="00226395"/>
    <w:rsid w:val="0023550D"/>
    <w:rsid w:val="002404C0"/>
    <w:rsid w:val="002407C5"/>
    <w:rsid w:val="00242480"/>
    <w:rsid w:val="00243D27"/>
    <w:rsid w:val="00257EBC"/>
    <w:rsid w:val="00263BAE"/>
    <w:rsid w:val="0026660E"/>
    <w:rsid w:val="00267209"/>
    <w:rsid w:val="00271F95"/>
    <w:rsid w:val="00272EE8"/>
    <w:rsid w:val="002731F3"/>
    <w:rsid w:val="00274E78"/>
    <w:rsid w:val="00277102"/>
    <w:rsid w:val="002A2D30"/>
    <w:rsid w:val="002A3C4C"/>
    <w:rsid w:val="002A6E90"/>
    <w:rsid w:val="002B3DA3"/>
    <w:rsid w:val="002B57AA"/>
    <w:rsid w:val="002C02EB"/>
    <w:rsid w:val="002C1979"/>
    <w:rsid w:val="002C4FD0"/>
    <w:rsid w:val="002C54DA"/>
    <w:rsid w:val="002D1DA8"/>
    <w:rsid w:val="002D56E6"/>
    <w:rsid w:val="002E09D4"/>
    <w:rsid w:val="002F1904"/>
    <w:rsid w:val="002F4502"/>
    <w:rsid w:val="002F6A03"/>
    <w:rsid w:val="002F6F44"/>
    <w:rsid w:val="003004FB"/>
    <w:rsid w:val="003063AF"/>
    <w:rsid w:val="00312D2D"/>
    <w:rsid w:val="0032401E"/>
    <w:rsid w:val="003258ED"/>
    <w:rsid w:val="003303DB"/>
    <w:rsid w:val="003310B6"/>
    <w:rsid w:val="003352E8"/>
    <w:rsid w:val="003363DF"/>
    <w:rsid w:val="003375B2"/>
    <w:rsid w:val="003463BB"/>
    <w:rsid w:val="00350DA4"/>
    <w:rsid w:val="00352AEC"/>
    <w:rsid w:val="003577EC"/>
    <w:rsid w:val="00361289"/>
    <w:rsid w:val="0036306F"/>
    <w:rsid w:val="0036799A"/>
    <w:rsid w:val="003744E3"/>
    <w:rsid w:val="00374C06"/>
    <w:rsid w:val="00374F4C"/>
    <w:rsid w:val="0038045C"/>
    <w:rsid w:val="00382F24"/>
    <w:rsid w:val="00391765"/>
    <w:rsid w:val="003A12AD"/>
    <w:rsid w:val="003A3AF7"/>
    <w:rsid w:val="003A4C42"/>
    <w:rsid w:val="003A6A90"/>
    <w:rsid w:val="003A6C38"/>
    <w:rsid w:val="003A7DE6"/>
    <w:rsid w:val="003B75A3"/>
    <w:rsid w:val="003C7C45"/>
    <w:rsid w:val="003D6B3A"/>
    <w:rsid w:val="003E1949"/>
    <w:rsid w:val="003F2475"/>
    <w:rsid w:val="0040083F"/>
    <w:rsid w:val="00410EB3"/>
    <w:rsid w:val="00410FC0"/>
    <w:rsid w:val="004134F3"/>
    <w:rsid w:val="00424F65"/>
    <w:rsid w:val="00426A61"/>
    <w:rsid w:val="00447BC1"/>
    <w:rsid w:val="004555CA"/>
    <w:rsid w:val="004600EC"/>
    <w:rsid w:val="004604F2"/>
    <w:rsid w:val="00461466"/>
    <w:rsid w:val="00463AEB"/>
    <w:rsid w:val="0047040D"/>
    <w:rsid w:val="004737FD"/>
    <w:rsid w:val="00480568"/>
    <w:rsid w:val="004810D0"/>
    <w:rsid w:val="0049322B"/>
    <w:rsid w:val="00496689"/>
    <w:rsid w:val="004A20E1"/>
    <w:rsid w:val="004A7D41"/>
    <w:rsid w:val="004B3988"/>
    <w:rsid w:val="004B4BF6"/>
    <w:rsid w:val="004B7F0C"/>
    <w:rsid w:val="004C1830"/>
    <w:rsid w:val="004C24AD"/>
    <w:rsid w:val="004C4C78"/>
    <w:rsid w:val="004D3F95"/>
    <w:rsid w:val="004D5779"/>
    <w:rsid w:val="004D75F4"/>
    <w:rsid w:val="004E2C11"/>
    <w:rsid w:val="004F1090"/>
    <w:rsid w:val="004F14B3"/>
    <w:rsid w:val="004F275E"/>
    <w:rsid w:val="005033BC"/>
    <w:rsid w:val="00507B36"/>
    <w:rsid w:val="00507DC6"/>
    <w:rsid w:val="00513979"/>
    <w:rsid w:val="00514A3E"/>
    <w:rsid w:val="005231B1"/>
    <w:rsid w:val="005245A9"/>
    <w:rsid w:val="00524AF9"/>
    <w:rsid w:val="0053610F"/>
    <w:rsid w:val="00536789"/>
    <w:rsid w:val="005420CD"/>
    <w:rsid w:val="00546083"/>
    <w:rsid w:val="005530AF"/>
    <w:rsid w:val="00560C86"/>
    <w:rsid w:val="00566660"/>
    <w:rsid w:val="005715E6"/>
    <w:rsid w:val="00576594"/>
    <w:rsid w:val="00577894"/>
    <w:rsid w:val="00577CCE"/>
    <w:rsid w:val="005803D3"/>
    <w:rsid w:val="00585CA4"/>
    <w:rsid w:val="005928BF"/>
    <w:rsid w:val="00596437"/>
    <w:rsid w:val="005965D6"/>
    <w:rsid w:val="005A0380"/>
    <w:rsid w:val="005B17E9"/>
    <w:rsid w:val="005B6B50"/>
    <w:rsid w:val="005C3941"/>
    <w:rsid w:val="005D2DAA"/>
    <w:rsid w:val="005D30BB"/>
    <w:rsid w:val="005D5113"/>
    <w:rsid w:val="005D5532"/>
    <w:rsid w:val="005E0395"/>
    <w:rsid w:val="005E1B9D"/>
    <w:rsid w:val="005E387E"/>
    <w:rsid w:val="005E5768"/>
    <w:rsid w:val="005E5F85"/>
    <w:rsid w:val="005E70B9"/>
    <w:rsid w:val="005E7647"/>
    <w:rsid w:val="005F0BF3"/>
    <w:rsid w:val="005F5840"/>
    <w:rsid w:val="005F64B7"/>
    <w:rsid w:val="00600DCD"/>
    <w:rsid w:val="00605E11"/>
    <w:rsid w:val="0060670D"/>
    <w:rsid w:val="00606722"/>
    <w:rsid w:val="00610904"/>
    <w:rsid w:val="00613C68"/>
    <w:rsid w:val="0061441B"/>
    <w:rsid w:val="00626D84"/>
    <w:rsid w:val="00630371"/>
    <w:rsid w:val="0064031D"/>
    <w:rsid w:val="00641818"/>
    <w:rsid w:val="00660622"/>
    <w:rsid w:val="00661F58"/>
    <w:rsid w:val="00664733"/>
    <w:rsid w:val="00671E1F"/>
    <w:rsid w:val="00690532"/>
    <w:rsid w:val="00690D37"/>
    <w:rsid w:val="00692394"/>
    <w:rsid w:val="006978E1"/>
    <w:rsid w:val="006A37AA"/>
    <w:rsid w:val="006B6231"/>
    <w:rsid w:val="006B6F2F"/>
    <w:rsid w:val="006B74AD"/>
    <w:rsid w:val="006C2704"/>
    <w:rsid w:val="006C70A7"/>
    <w:rsid w:val="006D11BE"/>
    <w:rsid w:val="006D1EC4"/>
    <w:rsid w:val="006D2D75"/>
    <w:rsid w:val="006D2F27"/>
    <w:rsid w:val="006D3F21"/>
    <w:rsid w:val="006D577B"/>
    <w:rsid w:val="006E09FC"/>
    <w:rsid w:val="006E6B04"/>
    <w:rsid w:val="006F7832"/>
    <w:rsid w:val="0070375E"/>
    <w:rsid w:val="00707592"/>
    <w:rsid w:val="00707AEC"/>
    <w:rsid w:val="007102B9"/>
    <w:rsid w:val="00712EAD"/>
    <w:rsid w:val="0071779A"/>
    <w:rsid w:val="00721364"/>
    <w:rsid w:val="00723140"/>
    <w:rsid w:val="0072327F"/>
    <w:rsid w:val="00724DC9"/>
    <w:rsid w:val="00740EF9"/>
    <w:rsid w:val="0075232D"/>
    <w:rsid w:val="00752B8C"/>
    <w:rsid w:val="00752B99"/>
    <w:rsid w:val="0075686F"/>
    <w:rsid w:val="00766135"/>
    <w:rsid w:val="007674C2"/>
    <w:rsid w:val="007722C3"/>
    <w:rsid w:val="00774F06"/>
    <w:rsid w:val="00776820"/>
    <w:rsid w:val="00781E9F"/>
    <w:rsid w:val="0078636E"/>
    <w:rsid w:val="007879F7"/>
    <w:rsid w:val="00790246"/>
    <w:rsid w:val="00790FBA"/>
    <w:rsid w:val="00790FBC"/>
    <w:rsid w:val="00792917"/>
    <w:rsid w:val="00797EA7"/>
    <w:rsid w:val="007A4AE0"/>
    <w:rsid w:val="007B127B"/>
    <w:rsid w:val="007C04C5"/>
    <w:rsid w:val="007C4510"/>
    <w:rsid w:val="007C54BA"/>
    <w:rsid w:val="007D7B99"/>
    <w:rsid w:val="007E5121"/>
    <w:rsid w:val="007E6957"/>
    <w:rsid w:val="007F17C1"/>
    <w:rsid w:val="007F5546"/>
    <w:rsid w:val="007F64E7"/>
    <w:rsid w:val="008051E7"/>
    <w:rsid w:val="00805CEC"/>
    <w:rsid w:val="00806A1F"/>
    <w:rsid w:val="00812C58"/>
    <w:rsid w:val="0081349D"/>
    <w:rsid w:val="00814173"/>
    <w:rsid w:val="008170D7"/>
    <w:rsid w:val="008225E3"/>
    <w:rsid w:val="00825057"/>
    <w:rsid w:val="0083246F"/>
    <w:rsid w:val="00835772"/>
    <w:rsid w:val="00840CDA"/>
    <w:rsid w:val="00844BE3"/>
    <w:rsid w:val="008471FB"/>
    <w:rsid w:val="00847D48"/>
    <w:rsid w:val="00851B70"/>
    <w:rsid w:val="00855F92"/>
    <w:rsid w:val="00856481"/>
    <w:rsid w:val="008579D4"/>
    <w:rsid w:val="0086603B"/>
    <w:rsid w:val="0086667D"/>
    <w:rsid w:val="00867E1B"/>
    <w:rsid w:val="008709F9"/>
    <w:rsid w:val="008756E6"/>
    <w:rsid w:val="008A3F59"/>
    <w:rsid w:val="008B3DDA"/>
    <w:rsid w:val="008B59EB"/>
    <w:rsid w:val="008C1942"/>
    <w:rsid w:val="008C3DB2"/>
    <w:rsid w:val="008C4897"/>
    <w:rsid w:val="008C4B09"/>
    <w:rsid w:val="008C63C7"/>
    <w:rsid w:val="008D2A81"/>
    <w:rsid w:val="008D7CE8"/>
    <w:rsid w:val="008E73BD"/>
    <w:rsid w:val="008F22D5"/>
    <w:rsid w:val="008F373A"/>
    <w:rsid w:val="008F701B"/>
    <w:rsid w:val="00904AD2"/>
    <w:rsid w:val="00904FBD"/>
    <w:rsid w:val="0091470D"/>
    <w:rsid w:val="00914CC5"/>
    <w:rsid w:val="009230F0"/>
    <w:rsid w:val="0093226B"/>
    <w:rsid w:val="009335E2"/>
    <w:rsid w:val="00934B7E"/>
    <w:rsid w:val="00937C7E"/>
    <w:rsid w:val="009409FD"/>
    <w:rsid w:val="009472DB"/>
    <w:rsid w:val="00951B4F"/>
    <w:rsid w:val="009534E8"/>
    <w:rsid w:val="009549A5"/>
    <w:rsid w:val="009627B5"/>
    <w:rsid w:val="009815CA"/>
    <w:rsid w:val="0098219D"/>
    <w:rsid w:val="00982D69"/>
    <w:rsid w:val="00984159"/>
    <w:rsid w:val="00984B31"/>
    <w:rsid w:val="00985109"/>
    <w:rsid w:val="00990EC5"/>
    <w:rsid w:val="009B613B"/>
    <w:rsid w:val="009B7F24"/>
    <w:rsid w:val="009C3C60"/>
    <w:rsid w:val="009C5795"/>
    <w:rsid w:val="009D33F4"/>
    <w:rsid w:val="009E351D"/>
    <w:rsid w:val="009E3C59"/>
    <w:rsid w:val="009E4A55"/>
    <w:rsid w:val="009F260E"/>
    <w:rsid w:val="00A00B1F"/>
    <w:rsid w:val="00A030BC"/>
    <w:rsid w:val="00A10502"/>
    <w:rsid w:val="00A2224A"/>
    <w:rsid w:val="00A23C7F"/>
    <w:rsid w:val="00A27F17"/>
    <w:rsid w:val="00A36D6E"/>
    <w:rsid w:val="00A45F62"/>
    <w:rsid w:val="00A475F1"/>
    <w:rsid w:val="00A61ED2"/>
    <w:rsid w:val="00A635C7"/>
    <w:rsid w:val="00A71794"/>
    <w:rsid w:val="00A763DE"/>
    <w:rsid w:val="00A77373"/>
    <w:rsid w:val="00A773C3"/>
    <w:rsid w:val="00A8280F"/>
    <w:rsid w:val="00A83771"/>
    <w:rsid w:val="00A8462B"/>
    <w:rsid w:val="00A86326"/>
    <w:rsid w:val="00A91535"/>
    <w:rsid w:val="00A92110"/>
    <w:rsid w:val="00A9347A"/>
    <w:rsid w:val="00A97683"/>
    <w:rsid w:val="00AA3F92"/>
    <w:rsid w:val="00AB332B"/>
    <w:rsid w:val="00AB74D6"/>
    <w:rsid w:val="00AC4F80"/>
    <w:rsid w:val="00AC5BDC"/>
    <w:rsid w:val="00AD2880"/>
    <w:rsid w:val="00AD468A"/>
    <w:rsid w:val="00AD7892"/>
    <w:rsid w:val="00AE013B"/>
    <w:rsid w:val="00AE11D4"/>
    <w:rsid w:val="00AE5AB7"/>
    <w:rsid w:val="00AF39D9"/>
    <w:rsid w:val="00AF4D6E"/>
    <w:rsid w:val="00AF75F4"/>
    <w:rsid w:val="00B0137E"/>
    <w:rsid w:val="00B06B21"/>
    <w:rsid w:val="00B10483"/>
    <w:rsid w:val="00B12A3B"/>
    <w:rsid w:val="00B1326D"/>
    <w:rsid w:val="00B17053"/>
    <w:rsid w:val="00B1726A"/>
    <w:rsid w:val="00B22D9B"/>
    <w:rsid w:val="00B26FFC"/>
    <w:rsid w:val="00B3654C"/>
    <w:rsid w:val="00B431EC"/>
    <w:rsid w:val="00B46086"/>
    <w:rsid w:val="00B51588"/>
    <w:rsid w:val="00B557B1"/>
    <w:rsid w:val="00B64734"/>
    <w:rsid w:val="00B671C5"/>
    <w:rsid w:val="00B67AE1"/>
    <w:rsid w:val="00B7030D"/>
    <w:rsid w:val="00B7658B"/>
    <w:rsid w:val="00B8724E"/>
    <w:rsid w:val="00B95C9D"/>
    <w:rsid w:val="00BA3927"/>
    <w:rsid w:val="00BB0179"/>
    <w:rsid w:val="00BB112C"/>
    <w:rsid w:val="00BB1367"/>
    <w:rsid w:val="00BB1F83"/>
    <w:rsid w:val="00BB41BB"/>
    <w:rsid w:val="00BC1BD3"/>
    <w:rsid w:val="00BC64D4"/>
    <w:rsid w:val="00BC6D72"/>
    <w:rsid w:val="00BC76D1"/>
    <w:rsid w:val="00BE0D43"/>
    <w:rsid w:val="00BE3550"/>
    <w:rsid w:val="00BF0774"/>
    <w:rsid w:val="00BF70E4"/>
    <w:rsid w:val="00BF7562"/>
    <w:rsid w:val="00C01D1D"/>
    <w:rsid w:val="00C02BAA"/>
    <w:rsid w:val="00C03CC6"/>
    <w:rsid w:val="00C064A2"/>
    <w:rsid w:val="00C1063C"/>
    <w:rsid w:val="00C13699"/>
    <w:rsid w:val="00C21DBF"/>
    <w:rsid w:val="00C231B1"/>
    <w:rsid w:val="00C24256"/>
    <w:rsid w:val="00C33049"/>
    <w:rsid w:val="00C33DCB"/>
    <w:rsid w:val="00C501B3"/>
    <w:rsid w:val="00C55E83"/>
    <w:rsid w:val="00C64DD7"/>
    <w:rsid w:val="00C7046A"/>
    <w:rsid w:val="00C83809"/>
    <w:rsid w:val="00C86D27"/>
    <w:rsid w:val="00C877DB"/>
    <w:rsid w:val="00C9569D"/>
    <w:rsid w:val="00C96590"/>
    <w:rsid w:val="00CA1948"/>
    <w:rsid w:val="00CA5821"/>
    <w:rsid w:val="00CB13B5"/>
    <w:rsid w:val="00CB18BC"/>
    <w:rsid w:val="00CB6116"/>
    <w:rsid w:val="00CB6C82"/>
    <w:rsid w:val="00CB7CA1"/>
    <w:rsid w:val="00CC3F61"/>
    <w:rsid w:val="00CC47AE"/>
    <w:rsid w:val="00CC655B"/>
    <w:rsid w:val="00CC7AF7"/>
    <w:rsid w:val="00CD20A9"/>
    <w:rsid w:val="00CD281A"/>
    <w:rsid w:val="00CD3411"/>
    <w:rsid w:val="00CD3D16"/>
    <w:rsid w:val="00CD4229"/>
    <w:rsid w:val="00CD4DDF"/>
    <w:rsid w:val="00CD5BDE"/>
    <w:rsid w:val="00CE53B9"/>
    <w:rsid w:val="00CF2824"/>
    <w:rsid w:val="00CF57F1"/>
    <w:rsid w:val="00D05C22"/>
    <w:rsid w:val="00D1605A"/>
    <w:rsid w:val="00D23ACA"/>
    <w:rsid w:val="00D3033E"/>
    <w:rsid w:val="00D315BC"/>
    <w:rsid w:val="00D343A3"/>
    <w:rsid w:val="00D34CCB"/>
    <w:rsid w:val="00D35C1D"/>
    <w:rsid w:val="00D3618E"/>
    <w:rsid w:val="00D46E76"/>
    <w:rsid w:val="00D50848"/>
    <w:rsid w:val="00D515C0"/>
    <w:rsid w:val="00D63756"/>
    <w:rsid w:val="00D67984"/>
    <w:rsid w:val="00D70456"/>
    <w:rsid w:val="00D70FBB"/>
    <w:rsid w:val="00D80671"/>
    <w:rsid w:val="00D85CBF"/>
    <w:rsid w:val="00D874A8"/>
    <w:rsid w:val="00D9665F"/>
    <w:rsid w:val="00DA4D89"/>
    <w:rsid w:val="00DB5480"/>
    <w:rsid w:val="00DC40AF"/>
    <w:rsid w:val="00DC455B"/>
    <w:rsid w:val="00DC6E38"/>
    <w:rsid w:val="00DD3F6E"/>
    <w:rsid w:val="00DD669B"/>
    <w:rsid w:val="00DD6BDC"/>
    <w:rsid w:val="00DE2F40"/>
    <w:rsid w:val="00DE2F8F"/>
    <w:rsid w:val="00DE54D4"/>
    <w:rsid w:val="00DF05A7"/>
    <w:rsid w:val="00DF6203"/>
    <w:rsid w:val="00E04F90"/>
    <w:rsid w:val="00E1151C"/>
    <w:rsid w:val="00E258F7"/>
    <w:rsid w:val="00E275FF"/>
    <w:rsid w:val="00E31BBD"/>
    <w:rsid w:val="00E3279E"/>
    <w:rsid w:val="00E427CF"/>
    <w:rsid w:val="00E45D0C"/>
    <w:rsid w:val="00E45FBB"/>
    <w:rsid w:val="00E504CE"/>
    <w:rsid w:val="00E57480"/>
    <w:rsid w:val="00E6134C"/>
    <w:rsid w:val="00E61FAB"/>
    <w:rsid w:val="00E72A83"/>
    <w:rsid w:val="00E74609"/>
    <w:rsid w:val="00E75207"/>
    <w:rsid w:val="00E8259E"/>
    <w:rsid w:val="00E868FA"/>
    <w:rsid w:val="00E87706"/>
    <w:rsid w:val="00E87E60"/>
    <w:rsid w:val="00EA1C7B"/>
    <w:rsid w:val="00EA70C7"/>
    <w:rsid w:val="00EA7265"/>
    <w:rsid w:val="00EB3065"/>
    <w:rsid w:val="00EC03A2"/>
    <w:rsid w:val="00EC489E"/>
    <w:rsid w:val="00EC71AB"/>
    <w:rsid w:val="00ED7DE3"/>
    <w:rsid w:val="00EE5E3D"/>
    <w:rsid w:val="00EF2E8C"/>
    <w:rsid w:val="00EF783F"/>
    <w:rsid w:val="00F07825"/>
    <w:rsid w:val="00F13EEA"/>
    <w:rsid w:val="00F2129C"/>
    <w:rsid w:val="00F22F05"/>
    <w:rsid w:val="00F2364B"/>
    <w:rsid w:val="00F320FA"/>
    <w:rsid w:val="00F434CB"/>
    <w:rsid w:val="00F44430"/>
    <w:rsid w:val="00F51C6D"/>
    <w:rsid w:val="00F60766"/>
    <w:rsid w:val="00F65309"/>
    <w:rsid w:val="00F716AD"/>
    <w:rsid w:val="00F73C0D"/>
    <w:rsid w:val="00F74C54"/>
    <w:rsid w:val="00F75619"/>
    <w:rsid w:val="00F80D30"/>
    <w:rsid w:val="00F858C6"/>
    <w:rsid w:val="00F878E2"/>
    <w:rsid w:val="00F90CAA"/>
    <w:rsid w:val="00F9620B"/>
    <w:rsid w:val="00F96B92"/>
    <w:rsid w:val="00FA4F48"/>
    <w:rsid w:val="00FA6202"/>
    <w:rsid w:val="00FB0B09"/>
    <w:rsid w:val="00FB2C44"/>
    <w:rsid w:val="00FC05B9"/>
    <w:rsid w:val="00FC59BE"/>
    <w:rsid w:val="00FD1930"/>
    <w:rsid w:val="00FD3368"/>
    <w:rsid w:val="00FD725C"/>
    <w:rsid w:val="00FE2BA6"/>
    <w:rsid w:val="00FE3D8B"/>
    <w:rsid w:val="00FE414E"/>
    <w:rsid w:val="00FF5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page" fillcolor="#9cf" stroke="f">
      <v:fill color="#9cf"/>
      <v:stroke on="f"/>
      <o:colormru v:ext="edit" colors="#003,#fc3"/>
    </o:shapedefaults>
    <o:shapelayout v:ext="edit">
      <o:idmap v:ext="edit" data="1"/>
    </o:shapelayout>
  </w:shapeDefaults>
  <w:decimalSymbol w:val="."/>
  <w:listSeparator w:val=","/>
  <w14:docId w14:val="6F400D83"/>
  <w15:docId w15:val="{075AFC5B-FFFC-48D1-935A-B3C8208A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671"/>
    <w:pPr>
      <w:spacing w:line="288" w:lineRule="auto"/>
    </w:pPr>
    <w:rPr>
      <w:rFonts w:ascii="Arial" w:hAnsi="Arial"/>
      <w:lang w:eastAsia="en-US"/>
    </w:rPr>
  </w:style>
  <w:style w:type="paragraph" w:styleId="Heading1">
    <w:name w:val="heading 1"/>
    <w:basedOn w:val="Normal"/>
    <w:next w:val="Body1"/>
    <w:qFormat/>
    <w:rsid w:val="00D80671"/>
    <w:pPr>
      <w:numPr>
        <w:numId w:val="1"/>
      </w:numPr>
      <w:outlineLvl w:val="0"/>
    </w:pPr>
  </w:style>
  <w:style w:type="paragraph" w:styleId="Heading2">
    <w:name w:val="heading 2"/>
    <w:basedOn w:val="Normal"/>
    <w:next w:val="Body2"/>
    <w:qFormat/>
    <w:rsid w:val="00D80671"/>
    <w:pPr>
      <w:numPr>
        <w:ilvl w:val="1"/>
        <w:numId w:val="1"/>
      </w:numPr>
      <w:outlineLvl w:val="1"/>
    </w:pPr>
  </w:style>
  <w:style w:type="paragraph" w:styleId="Heading3">
    <w:name w:val="heading 3"/>
    <w:basedOn w:val="Normal"/>
    <w:next w:val="Body3"/>
    <w:qFormat/>
    <w:rsid w:val="002D56E6"/>
    <w:pPr>
      <w:numPr>
        <w:ilvl w:val="2"/>
        <w:numId w:val="1"/>
      </w:numPr>
      <w:outlineLvl w:val="2"/>
    </w:pPr>
  </w:style>
  <w:style w:type="paragraph" w:styleId="Heading4">
    <w:name w:val="heading 4"/>
    <w:basedOn w:val="Normal"/>
    <w:next w:val="Body4"/>
    <w:qFormat/>
    <w:rsid w:val="002D56E6"/>
    <w:pPr>
      <w:numPr>
        <w:ilvl w:val="3"/>
        <w:numId w:val="1"/>
      </w:numPr>
      <w:outlineLvl w:val="3"/>
    </w:pPr>
  </w:style>
  <w:style w:type="paragraph" w:styleId="Heading5">
    <w:name w:val="heading 5"/>
    <w:basedOn w:val="Normal"/>
    <w:next w:val="Body5"/>
    <w:qFormat/>
    <w:rsid w:val="00350DA4"/>
    <w:pPr>
      <w:numPr>
        <w:ilvl w:val="4"/>
        <w:numId w:val="1"/>
      </w:numPr>
      <w:ind w:left="4360" w:hanging="720"/>
      <w:outlineLvl w:val="4"/>
    </w:pPr>
  </w:style>
  <w:style w:type="paragraph" w:styleId="Heading6">
    <w:name w:val="heading 6"/>
    <w:basedOn w:val="Normal"/>
    <w:next w:val="Body6"/>
    <w:qFormat/>
    <w:rsid w:val="00350DA4"/>
    <w:pPr>
      <w:numPr>
        <w:ilvl w:val="5"/>
        <w:numId w:val="1"/>
      </w:numPr>
      <w:ind w:left="5069" w:hanging="720"/>
      <w:outlineLvl w:val="5"/>
    </w:pPr>
  </w:style>
  <w:style w:type="paragraph" w:styleId="Heading7">
    <w:name w:val="heading 7"/>
    <w:basedOn w:val="Normal"/>
    <w:next w:val="Body7"/>
    <w:qFormat/>
    <w:rsid w:val="00350DA4"/>
    <w:pPr>
      <w:numPr>
        <w:ilvl w:val="6"/>
        <w:numId w:val="1"/>
      </w:numPr>
      <w:ind w:left="5772" w:hanging="720"/>
      <w:outlineLvl w:val="6"/>
    </w:pPr>
  </w:style>
  <w:style w:type="paragraph" w:styleId="Heading8">
    <w:name w:val="heading 8"/>
    <w:basedOn w:val="Normal"/>
    <w:next w:val="Body8"/>
    <w:qFormat/>
    <w:rsid w:val="00350DA4"/>
    <w:pPr>
      <w:numPr>
        <w:ilvl w:val="7"/>
        <w:numId w:val="1"/>
      </w:numPr>
      <w:ind w:left="6458" w:hanging="720"/>
      <w:outlineLvl w:val="7"/>
    </w:pPr>
  </w:style>
  <w:style w:type="paragraph" w:styleId="Heading9">
    <w:name w:val="heading 9"/>
    <w:basedOn w:val="Normal"/>
    <w:next w:val="Body9"/>
    <w:qFormat/>
    <w:rsid w:val="00350DA4"/>
    <w:pPr>
      <w:numPr>
        <w:ilvl w:val="8"/>
        <w:numId w:val="1"/>
      </w:numPr>
      <w:ind w:left="7167"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671"/>
    <w:pPr>
      <w:tabs>
        <w:tab w:val="center" w:pos="4153"/>
        <w:tab w:val="right" w:pos="8306"/>
      </w:tabs>
    </w:pPr>
  </w:style>
  <w:style w:type="paragraph" w:styleId="Footer">
    <w:name w:val="footer"/>
    <w:basedOn w:val="Normal"/>
    <w:link w:val="FooterChar"/>
    <w:rsid w:val="00D80671"/>
    <w:pPr>
      <w:tabs>
        <w:tab w:val="center" w:pos="4153"/>
        <w:tab w:val="right" w:pos="8306"/>
      </w:tabs>
    </w:pPr>
  </w:style>
  <w:style w:type="character" w:styleId="PageNumber">
    <w:name w:val="page number"/>
    <w:basedOn w:val="DefaultParagraphFont"/>
    <w:rsid w:val="00D80671"/>
    <w:rPr>
      <w:rFonts w:ascii="Arial" w:hAnsi="Arial"/>
      <w:sz w:val="18"/>
    </w:rPr>
  </w:style>
  <w:style w:type="paragraph" w:customStyle="1" w:styleId="Body1">
    <w:name w:val="Body1"/>
    <w:basedOn w:val="Normal"/>
    <w:rsid w:val="00D80671"/>
    <w:pPr>
      <w:ind w:left="720"/>
    </w:pPr>
  </w:style>
  <w:style w:type="paragraph" w:customStyle="1" w:styleId="Body2">
    <w:name w:val="Body2"/>
    <w:basedOn w:val="Normal"/>
    <w:rsid w:val="00D80671"/>
    <w:pPr>
      <w:ind w:left="1440"/>
    </w:pPr>
  </w:style>
  <w:style w:type="paragraph" w:customStyle="1" w:styleId="Body3">
    <w:name w:val="Body3"/>
    <w:basedOn w:val="Normal"/>
    <w:rsid w:val="00D80671"/>
    <w:pPr>
      <w:ind w:left="2404"/>
    </w:pPr>
  </w:style>
  <w:style w:type="paragraph" w:customStyle="1" w:styleId="Body4">
    <w:name w:val="Body4"/>
    <w:basedOn w:val="Normal"/>
    <w:rsid w:val="00D80671"/>
    <w:pPr>
      <w:ind w:left="3617"/>
    </w:pPr>
  </w:style>
  <w:style w:type="paragraph" w:customStyle="1" w:styleId="Body5">
    <w:name w:val="Body5"/>
    <w:basedOn w:val="Normal"/>
    <w:rsid w:val="00D80671"/>
    <w:pPr>
      <w:ind w:left="4349"/>
    </w:pPr>
  </w:style>
  <w:style w:type="paragraph" w:styleId="BodyTextIndent">
    <w:name w:val="Body Text Indent"/>
    <w:basedOn w:val="Normal"/>
    <w:rsid w:val="00D80671"/>
    <w:pPr>
      <w:ind w:left="709"/>
    </w:pPr>
  </w:style>
  <w:style w:type="paragraph" w:customStyle="1" w:styleId="Body6">
    <w:name w:val="Body6"/>
    <w:basedOn w:val="Normal"/>
    <w:rsid w:val="00D80671"/>
    <w:pPr>
      <w:ind w:left="5058"/>
    </w:pPr>
  </w:style>
  <w:style w:type="paragraph" w:customStyle="1" w:styleId="Body7">
    <w:name w:val="Body7"/>
    <w:basedOn w:val="Normal"/>
    <w:rsid w:val="00D80671"/>
    <w:pPr>
      <w:ind w:left="5761"/>
    </w:pPr>
  </w:style>
  <w:style w:type="paragraph" w:customStyle="1" w:styleId="Body8">
    <w:name w:val="Body8"/>
    <w:basedOn w:val="Normal"/>
    <w:rsid w:val="00D80671"/>
    <w:pPr>
      <w:ind w:left="6447"/>
    </w:pPr>
  </w:style>
  <w:style w:type="paragraph" w:customStyle="1" w:styleId="Body9">
    <w:name w:val="Body9"/>
    <w:basedOn w:val="Normal"/>
    <w:rsid w:val="00D80671"/>
    <w:pPr>
      <w:ind w:left="7156"/>
    </w:pPr>
  </w:style>
  <w:style w:type="paragraph" w:styleId="ListBullet">
    <w:name w:val="List Bullet"/>
    <w:basedOn w:val="Normal"/>
    <w:rsid w:val="00D80671"/>
    <w:pPr>
      <w:ind w:left="709" w:hanging="709"/>
    </w:pPr>
  </w:style>
  <w:style w:type="paragraph" w:styleId="ListBullet2">
    <w:name w:val="List Bullet 2"/>
    <w:basedOn w:val="Normal"/>
    <w:rsid w:val="00D80671"/>
    <w:pPr>
      <w:ind w:left="993" w:hanging="709"/>
    </w:pPr>
  </w:style>
  <w:style w:type="paragraph" w:styleId="ListBullet3">
    <w:name w:val="List Bullet 3"/>
    <w:basedOn w:val="Normal"/>
    <w:rsid w:val="00D80671"/>
    <w:pPr>
      <w:ind w:left="1276" w:hanging="709"/>
    </w:pPr>
  </w:style>
  <w:style w:type="paragraph" w:styleId="ListBullet4">
    <w:name w:val="List Bullet 4"/>
    <w:basedOn w:val="Normal"/>
    <w:rsid w:val="00D80671"/>
    <w:pPr>
      <w:ind w:left="1560" w:hanging="709"/>
    </w:pPr>
  </w:style>
  <w:style w:type="paragraph" w:styleId="ListBullet5">
    <w:name w:val="List Bullet 5"/>
    <w:basedOn w:val="Normal"/>
    <w:rsid w:val="00D80671"/>
    <w:pPr>
      <w:ind w:left="1843" w:hanging="709"/>
    </w:pPr>
  </w:style>
  <w:style w:type="paragraph" w:styleId="ListContinue">
    <w:name w:val="List Continue"/>
    <w:basedOn w:val="Normal"/>
    <w:rsid w:val="00D80671"/>
    <w:pPr>
      <w:ind w:left="709"/>
    </w:pPr>
  </w:style>
  <w:style w:type="paragraph" w:styleId="ListContinue2">
    <w:name w:val="List Continue 2"/>
    <w:basedOn w:val="Normal"/>
    <w:rsid w:val="00D80671"/>
    <w:pPr>
      <w:ind w:left="567"/>
    </w:pPr>
  </w:style>
  <w:style w:type="paragraph" w:styleId="ListNumber">
    <w:name w:val="List Number"/>
    <w:basedOn w:val="Normal"/>
    <w:rsid w:val="00D80671"/>
    <w:pPr>
      <w:ind w:left="709" w:hanging="709"/>
    </w:pPr>
  </w:style>
  <w:style w:type="paragraph" w:styleId="ListNumber2">
    <w:name w:val="List Number 2"/>
    <w:basedOn w:val="Normal"/>
    <w:rsid w:val="00D80671"/>
    <w:pPr>
      <w:ind w:left="993" w:hanging="709"/>
    </w:pPr>
  </w:style>
  <w:style w:type="paragraph" w:styleId="ListNumber3">
    <w:name w:val="List Number 3"/>
    <w:basedOn w:val="Normal"/>
    <w:rsid w:val="00D80671"/>
    <w:pPr>
      <w:ind w:left="1276" w:hanging="709"/>
    </w:pPr>
  </w:style>
  <w:style w:type="paragraph" w:styleId="ListNumber4">
    <w:name w:val="List Number 4"/>
    <w:basedOn w:val="Normal"/>
    <w:rsid w:val="00D80671"/>
    <w:pPr>
      <w:ind w:left="1560" w:hanging="709"/>
    </w:pPr>
  </w:style>
  <w:style w:type="paragraph" w:styleId="ListNumber5">
    <w:name w:val="List Number 5"/>
    <w:basedOn w:val="Normal"/>
    <w:rsid w:val="00D80671"/>
    <w:pPr>
      <w:ind w:left="1843" w:hanging="709"/>
    </w:pPr>
  </w:style>
  <w:style w:type="paragraph" w:styleId="BodyText">
    <w:name w:val="Body Text"/>
    <w:basedOn w:val="Normal"/>
    <w:rsid w:val="00D80671"/>
  </w:style>
  <w:style w:type="paragraph" w:customStyle="1" w:styleId="DocSpace">
    <w:name w:val="DocSpace"/>
    <w:basedOn w:val="Normal"/>
    <w:rsid w:val="00D80671"/>
  </w:style>
  <w:style w:type="paragraph" w:customStyle="1" w:styleId="SchTitle">
    <w:name w:val="Sch Title"/>
    <w:next w:val="Normal"/>
    <w:rsid w:val="00D80671"/>
    <w:pPr>
      <w:keepNext/>
      <w:spacing w:before="240" w:after="60"/>
      <w:jc w:val="center"/>
    </w:pPr>
    <w:rPr>
      <w:rFonts w:ascii="Arial" w:hAnsi="Arial"/>
      <w:b/>
      <w:noProof/>
      <w:lang w:eastAsia="en-US"/>
    </w:rPr>
  </w:style>
  <w:style w:type="paragraph" w:customStyle="1" w:styleId="SchedClauses">
    <w:name w:val="Sched Clauses"/>
    <w:basedOn w:val="Normal"/>
    <w:rsid w:val="00D80671"/>
  </w:style>
  <w:style w:type="paragraph" w:customStyle="1" w:styleId="STBody">
    <w:name w:val="STBody"/>
    <w:basedOn w:val="Normal"/>
    <w:rsid w:val="00D80671"/>
    <w:pPr>
      <w:keepNext/>
      <w:jc w:val="center"/>
    </w:pPr>
  </w:style>
  <w:style w:type="paragraph" w:styleId="BalloonText">
    <w:name w:val="Balloon Text"/>
    <w:basedOn w:val="Normal"/>
    <w:semiHidden/>
    <w:rsid w:val="00D80671"/>
    <w:rPr>
      <w:rFonts w:ascii="Tahoma" w:hAnsi="Tahoma" w:cs="Tahoma"/>
      <w:sz w:val="16"/>
      <w:szCs w:val="16"/>
    </w:rPr>
  </w:style>
  <w:style w:type="character" w:styleId="Hyperlink">
    <w:name w:val="Hyperlink"/>
    <w:basedOn w:val="DefaultParagraphFont"/>
    <w:uiPriority w:val="99"/>
    <w:rsid w:val="00D80671"/>
    <w:rPr>
      <w:color w:val="0000FF"/>
      <w:u w:val="single"/>
    </w:rPr>
  </w:style>
  <w:style w:type="paragraph" w:customStyle="1" w:styleId="SingleSpace">
    <w:name w:val="SingleSpace"/>
    <w:basedOn w:val="Normal"/>
    <w:rsid w:val="00D80671"/>
    <w:pPr>
      <w:tabs>
        <w:tab w:val="left" w:pos="993"/>
      </w:tabs>
      <w:spacing w:line="240" w:lineRule="auto"/>
    </w:pPr>
  </w:style>
  <w:style w:type="paragraph" w:styleId="NoSpacing">
    <w:name w:val="No Spacing"/>
    <w:uiPriority w:val="1"/>
    <w:qFormat/>
    <w:rsid w:val="00C956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9569D"/>
    <w:rPr>
      <w:sz w:val="16"/>
      <w:szCs w:val="16"/>
    </w:rPr>
  </w:style>
  <w:style w:type="paragraph" w:styleId="CommentText">
    <w:name w:val="annotation text"/>
    <w:basedOn w:val="Normal"/>
    <w:link w:val="CommentTextChar"/>
    <w:uiPriority w:val="99"/>
    <w:unhideWhenUsed/>
    <w:rsid w:val="00C9569D"/>
    <w:pPr>
      <w:spacing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9569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C9569D"/>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C9569D"/>
    <w:rPr>
      <w:rFonts w:ascii="Arial" w:eastAsiaTheme="minorHAnsi" w:hAnsi="Arial" w:cstheme="minorBidi"/>
      <w:b/>
      <w:bCs/>
      <w:lang w:eastAsia="en-US"/>
    </w:rPr>
  </w:style>
  <w:style w:type="paragraph" w:styleId="ListParagraph">
    <w:name w:val="List Paragraph"/>
    <w:basedOn w:val="Normal"/>
    <w:uiPriority w:val="34"/>
    <w:qFormat/>
    <w:rsid w:val="00856481"/>
    <w:pPr>
      <w:spacing w:line="240" w:lineRule="auto"/>
      <w:ind w:left="720"/>
      <w:contextualSpacing/>
    </w:pPr>
    <w:rPr>
      <w:b/>
      <w:sz w:val="22"/>
    </w:rPr>
  </w:style>
  <w:style w:type="table" w:styleId="TableGrid">
    <w:name w:val="Table Grid"/>
    <w:basedOn w:val="TableNormal"/>
    <w:rsid w:val="00D8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D744C"/>
    <w:pPr>
      <w:spacing w:line="240" w:lineRule="auto"/>
    </w:pPr>
  </w:style>
  <w:style w:type="character" w:customStyle="1" w:styleId="FootnoteTextChar">
    <w:name w:val="Footnote Text Char"/>
    <w:basedOn w:val="DefaultParagraphFont"/>
    <w:link w:val="FootnoteText"/>
    <w:semiHidden/>
    <w:rsid w:val="001D744C"/>
    <w:rPr>
      <w:rFonts w:ascii="Arial" w:hAnsi="Arial"/>
      <w:lang w:eastAsia="en-US"/>
    </w:rPr>
  </w:style>
  <w:style w:type="character" w:styleId="FootnoteReference">
    <w:name w:val="footnote reference"/>
    <w:basedOn w:val="DefaultParagraphFont"/>
    <w:semiHidden/>
    <w:unhideWhenUsed/>
    <w:rsid w:val="001D744C"/>
    <w:rPr>
      <w:vertAlign w:val="superscript"/>
    </w:rPr>
  </w:style>
  <w:style w:type="paragraph" w:styleId="Revision">
    <w:name w:val="Revision"/>
    <w:hidden/>
    <w:uiPriority w:val="99"/>
    <w:semiHidden/>
    <w:rsid w:val="00047374"/>
    <w:rPr>
      <w:rFonts w:ascii="Arial" w:hAnsi="Arial"/>
      <w:lang w:eastAsia="en-US"/>
    </w:rPr>
  </w:style>
  <w:style w:type="character" w:customStyle="1" w:styleId="FooterChar">
    <w:name w:val="Footer Char"/>
    <w:basedOn w:val="DefaultParagraphFont"/>
    <w:link w:val="Footer"/>
    <w:rsid w:val="0001331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82773">
      <w:bodyDiv w:val="1"/>
      <w:marLeft w:val="0"/>
      <w:marRight w:val="0"/>
      <w:marTop w:val="0"/>
      <w:marBottom w:val="0"/>
      <w:divBdr>
        <w:top w:val="none" w:sz="0" w:space="0" w:color="auto"/>
        <w:left w:val="none" w:sz="0" w:space="0" w:color="auto"/>
        <w:bottom w:val="none" w:sz="0" w:space="0" w:color="auto"/>
        <w:right w:val="none" w:sz="0" w:space="0" w:color="auto"/>
      </w:divBdr>
    </w:div>
    <w:div w:id="469399531">
      <w:bodyDiv w:val="1"/>
      <w:marLeft w:val="0"/>
      <w:marRight w:val="0"/>
      <w:marTop w:val="0"/>
      <w:marBottom w:val="0"/>
      <w:divBdr>
        <w:top w:val="none" w:sz="0" w:space="0" w:color="auto"/>
        <w:left w:val="none" w:sz="0" w:space="0" w:color="auto"/>
        <w:bottom w:val="none" w:sz="0" w:space="0" w:color="auto"/>
        <w:right w:val="none" w:sz="0" w:space="0" w:color="auto"/>
      </w:divBdr>
    </w:div>
    <w:div w:id="642849207">
      <w:bodyDiv w:val="1"/>
      <w:marLeft w:val="0"/>
      <w:marRight w:val="0"/>
      <w:marTop w:val="0"/>
      <w:marBottom w:val="0"/>
      <w:divBdr>
        <w:top w:val="none" w:sz="0" w:space="0" w:color="auto"/>
        <w:left w:val="none" w:sz="0" w:space="0" w:color="auto"/>
        <w:bottom w:val="none" w:sz="0" w:space="0" w:color="auto"/>
        <w:right w:val="none" w:sz="0" w:space="0" w:color="auto"/>
      </w:divBdr>
    </w:div>
    <w:div w:id="881862084">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4805917">
      <w:bodyDiv w:val="1"/>
      <w:marLeft w:val="0"/>
      <w:marRight w:val="0"/>
      <w:marTop w:val="0"/>
      <w:marBottom w:val="0"/>
      <w:divBdr>
        <w:top w:val="none" w:sz="0" w:space="0" w:color="auto"/>
        <w:left w:val="none" w:sz="0" w:space="0" w:color="auto"/>
        <w:bottom w:val="none" w:sz="0" w:space="0" w:color="auto"/>
        <w:right w:val="none" w:sz="0" w:space="0" w:color="auto"/>
      </w:divBdr>
      <w:divsChild>
        <w:div w:id="351417468">
          <w:marLeft w:val="0"/>
          <w:marRight w:val="0"/>
          <w:marTop w:val="0"/>
          <w:marBottom w:val="0"/>
          <w:divBdr>
            <w:top w:val="none" w:sz="0" w:space="0" w:color="auto"/>
            <w:left w:val="none" w:sz="0" w:space="0" w:color="auto"/>
            <w:bottom w:val="none" w:sz="0" w:space="0" w:color="auto"/>
            <w:right w:val="none" w:sz="0" w:space="0" w:color="auto"/>
          </w:divBdr>
        </w:div>
        <w:div w:id="32194900">
          <w:marLeft w:val="0"/>
          <w:marRight w:val="0"/>
          <w:marTop w:val="0"/>
          <w:marBottom w:val="0"/>
          <w:divBdr>
            <w:top w:val="none" w:sz="0" w:space="0" w:color="auto"/>
            <w:left w:val="none" w:sz="0" w:space="0" w:color="auto"/>
            <w:bottom w:val="none" w:sz="0" w:space="0" w:color="auto"/>
            <w:right w:val="none" w:sz="0" w:space="0" w:color="auto"/>
          </w:divBdr>
        </w:div>
      </w:divsChild>
    </w:div>
    <w:div w:id="1221285939">
      <w:bodyDiv w:val="1"/>
      <w:marLeft w:val="0"/>
      <w:marRight w:val="0"/>
      <w:marTop w:val="0"/>
      <w:marBottom w:val="0"/>
      <w:divBdr>
        <w:top w:val="none" w:sz="0" w:space="0" w:color="auto"/>
        <w:left w:val="none" w:sz="0" w:space="0" w:color="auto"/>
        <w:bottom w:val="none" w:sz="0" w:space="0" w:color="auto"/>
        <w:right w:val="none" w:sz="0" w:space="0" w:color="auto"/>
      </w:divBdr>
      <w:divsChild>
        <w:div w:id="2045672762">
          <w:marLeft w:val="0"/>
          <w:marRight w:val="0"/>
          <w:marTop w:val="0"/>
          <w:marBottom w:val="0"/>
          <w:divBdr>
            <w:top w:val="none" w:sz="0" w:space="0" w:color="auto"/>
            <w:left w:val="none" w:sz="0" w:space="0" w:color="auto"/>
            <w:bottom w:val="none" w:sz="0" w:space="0" w:color="auto"/>
            <w:right w:val="none" w:sz="0" w:space="0" w:color="auto"/>
          </w:divBdr>
        </w:div>
      </w:divsChild>
    </w:div>
    <w:div w:id="167727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moving-dangerous-good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ACB%20Office\Templates\stdhead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51075-7B85-4177-87EF-D36759B8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stdheader.dotm</Template>
  <TotalTime>0</TotalTime>
  <Pages>12</Pages>
  <Words>3269</Words>
  <Characters>18637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Beachcroft LLP</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Sarah</dc:creator>
  <cp:keywords>DAC Beachcroft Standard Header</cp:keywords>
  <cp:lastModifiedBy>Helen Lawrence</cp:lastModifiedBy>
  <cp:revision>2</cp:revision>
  <cp:lastPrinted>2009-09-17T07:32:00Z</cp:lastPrinted>
  <dcterms:created xsi:type="dcterms:W3CDTF">2022-04-11T15:04:00Z</dcterms:created>
  <dcterms:modified xsi:type="dcterms:W3CDTF">2022-04-11T15:04:00Z</dcterms:modified>
</cp:coreProperties>
</file>