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930BD7" w14:textId="1CF2A5A6" w:rsidR="0002272C" w:rsidRDefault="00594D02" w:rsidP="0033764D">
      <w:pPr>
        <w:jc w:val="both"/>
        <w:rPr>
          <w:rFonts w:ascii="Arial" w:hAnsi="Arial" w:cs="Arial"/>
          <w:sz w:val="20"/>
          <w:szCs w:val="20"/>
        </w:rPr>
      </w:pPr>
      <w:bookmarkStart w:id="0" w:name="_GoBack"/>
      <w:bookmarkEnd w:id="0"/>
      <w:r>
        <w:rPr>
          <w:rFonts w:ascii="Arial" w:hAnsi="Arial" w:cs="Arial"/>
          <w:sz w:val="20"/>
          <w:szCs w:val="20"/>
        </w:rPr>
        <w:t>+</w:t>
      </w:r>
    </w:p>
    <w:p w14:paraId="7339E7BB" w14:textId="77777777" w:rsidR="0002272C" w:rsidRDefault="0002272C" w:rsidP="003538F0">
      <w:pPr>
        <w:jc w:val="both"/>
        <w:rPr>
          <w:rFonts w:ascii="Arial" w:hAnsi="Arial" w:cs="Arial"/>
          <w:sz w:val="20"/>
          <w:szCs w:val="20"/>
        </w:rPr>
      </w:pPr>
      <w:r w:rsidRPr="003538F0">
        <w:rPr>
          <w:rFonts w:ascii="Arial" w:hAnsi="Arial" w:cs="Arial"/>
          <w:noProof/>
          <w:sz w:val="20"/>
          <w:szCs w:val="20"/>
        </w:rPr>
        <w:drawing>
          <wp:inline distT="0" distB="0" distL="0" distR="0" wp14:anchorId="2C51120C" wp14:editId="3D2E21AA">
            <wp:extent cx="876300" cy="723900"/>
            <wp:effectExtent l="19050" t="0" r="0" b="0"/>
            <wp:docPr id="1"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1" cstate="print"/>
                    <a:stretch>
                      <a:fillRect/>
                    </a:stretch>
                  </pic:blipFill>
                  <pic:spPr bwMode="auto">
                    <a:xfrm>
                      <a:off x="0" y="0"/>
                      <a:ext cx="876300" cy="723900"/>
                    </a:xfrm>
                    <a:prstGeom prst="rect">
                      <a:avLst/>
                    </a:prstGeom>
                    <a:noFill/>
                    <a:ln w="9525">
                      <a:noFill/>
                      <a:miter lim="800000"/>
                      <a:headEnd/>
                      <a:tailEnd/>
                    </a:ln>
                  </pic:spPr>
                </pic:pic>
              </a:graphicData>
            </a:graphic>
          </wp:inline>
        </w:drawing>
      </w:r>
    </w:p>
    <w:p w14:paraId="0F7BECB8" w14:textId="77777777" w:rsidR="00AE4296" w:rsidRPr="009B1283" w:rsidRDefault="00AE4296" w:rsidP="003538F0">
      <w:pPr>
        <w:jc w:val="both"/>
        <w:rPr>
          <w:rFonts w:cs="Arial"/>
          <w:b/>
        </w:rPr>
      </w:pPr>
    </w:p>
    <w:p w14:paraId="20350505" w14:textId="77777777" w:rsidR="00AE4296" w:rsidRPr="009B1283" w:rsidRDefault="00AE4296" w:rsidP="003538F0">
      <w:pPr>
        <w:pStyle w:val="BodyText"/>
        <w:spacing w:before="120" w:line="276" w:lineRule="auto"/>
        <w:rPr>
          <w:rFonts w:cs="Arial"/>
          <w:b/>
        </w:rPr>
      </w:pPr>
    </w:p>
    <w:p w14:paraId="2D0E50CF" w14:textId="77777777" w:rsidR="00AE4296" w:rsidRPr="009B1283" w:rsidRDefault="00AE4296" w:rsidP="003538F0">
      <w:pPr>
        <w:pStyle w:val="MarginText"/>
        <w:spacing w:line="276" w:lineRule="auto"/>
        <w:rPr>
          <w:rFonts w:cs="Arial"/>
          <w:b/>
        </w:rPr>
      </w:pPr>
    </w:p>
    <w:p w14:paraId="193ECD53" w14:textId="77777777" w:rsidR="00AE4296" w:rsidRPr="009B1283" w:rsidRDefault="00331C7E" w:rsidP="003538F0">
      <w:pPr>
        <w:pStyle w:val="MarginText"/>
        <w:spacing w:line="276" w:lineRule="auto"/>
        <w:jc w:val="center"/>
        <w:rPr>
          <w:rFonts w:cs="Arial"/>
          <w:b/>
        </w:rPr>
      </w:pPr>
      <w:r w:rsidRPr="00331C7E">
        <w:rPr>
          <w:rFonts w:cs="Arial"/>
          <w:b/>
        </w:rPr>
        <w:t>FM ASSURANCE SERVICES (HELPDESK AND CAFM) FRAMEWORK AGREEMENT</w:t>
      </w:r>
    </w:p>
    <w:p w14:paraId="19579E81" w14:textId="77777777" w:rsidR="00AE4296" w:rsidRPr="009B1283" w:rsidRDefault="00331C7E" w:rsidP="003538F0">
      <w:pPr>
        <w:pStyle w:val="MarginText"/>
        <w:spacing w:line="276" w:lineRule="auto"/>
        <w:jc w:val="center"/>
        <w:rPr>
          <w:rFonts w:cs="Arial"/>
          <w:b/>
        </w:rPr>
      </w:pPr>
      <w:r w:rsidRPr="00331C7E">
        <w:rPr>
          <w:rFonts w:cs="Arial"/>
          <w:b/>
        </w:rPr>
        <w:t>REFERENCE NUMBER</w:t>
      </w:r>
    </w:p>
    <w:p w14:paraId="51687AED" w14:textId="77777777" w:rsidR="00AE4296" w:rsidRPr="009B1283" w:rsidRDefault="00AE4296" w:rsidP="003538F0">
      <w:pPr>
        <w:pStyle w:val="MarginText"/>
        <w:spacing w:line="276" w:lineRule="auto"/>
        <w:jc w:val="center"/>
        <w:rPr>
          <w:rFonts w:cs="Arial"/>
          <w:b/>
        </w:rPr>
      </w:pPr>
    </w:p>
    <w:p w14:paraId="3040BB8D" w14:textId="77777777" w:rsidR="00AE4296" w:rsidRPr="009B1283" w:rsidRDefault="00331C7E" w:rsidP="003538F0">
      <w:pPr>
        <w:pStyle w:val="MarginText"/>
        <w:spacing w:line="276" w:lineRule="auto"/>
        <w:jc w:val="center"/>
        <w:rPr>
          <w:rFonts w:cs="Arial"/>
          <w:b/>
        </w:rPr>
      </w:pPr>
      <w:r w:rsidRPr="00331C7E">
        <w:rPr>
          <w:rFonts w:cs="Arial"/>
          <w:b/>
        </w:rPr>
        <w:t>RM 3720</w:t>
      </w:r>
    </w:p>
    <w:p w14:paraId="3E67E7D0" w14:textId="77777777" w:rsidR="00AE4296" w:rsidRPr="009B1283" w:rsidRDefault="00AE4296" w:rsidP="003538F0">
      <w:pPr>
        <w:pStyle w:val="MarginText"/>
        <w:spacing w:line="276" w:lineRule="auto"/>
        <w:jc w:val="center"/>
        <w:rPr>
          <w:rFonts w:cs="Arial"/>
          <w:b/>
        </w:rPr>
      </w:pPr>
    </w:p>
    <w:p w14:paraId="3334FD5D" w14:textId="77777777" w:rsidR="00AE4296" w:rsidRPr="009B1283" w:rsidRDefault="00331C7E" w:rsidP="003538F0">
      <w:pPr>
        <w:pStyle w:val="MarginText"/>
        <w:spacing w:line="276" w:lineRule="auto"/>
        <w:jc w:val="center"/>
        <w:rPr>
          <w:rFonts w:cs="Arial"/>
          <w:b/>
        </w:rPr>
      </w:pPr>
      <w:r w:rsidRPr="00331C7E">
        <w:rPr>
          <w:rFonts w:cs="Arial"/>
          <w:b/>
        </w:rPr>
        <w:t>ATTACHMENT 9</w:t>
      </w:r>
    </w:p>
    <w:p w14:paraId="12E8BAB8" w14:textId="77777777" w:rsidR="00D16D91" w:rsidRPr="009B1283" w:rsidRDefault="00D16D91" w:rsidP="003538F0">
      <w:pPr>
        <w:pStyle w:val="MarginText"/>
        <w:spacing w:line="276" w:lineRule="auto"/>
        <w:jc w:val="center"/>
        <w:rPr>
          <w:rFonts w:cs="Arial"/>
          <w:b/>
        </w:rPr>
      </w:pPr>
    </w:p>
    <w:p w14:paraId="054FE7D5" w14:textId="77777777" w:rsidR="00D16D91" w:rsidRPr="009B1283" w:rsidRDefault="00D16D91" w:rsidP="003538F0">
      <w:pPr>
        <w:pStyle w:val="MarginText"/>
        <w:spacing w:line="276" w:lineRule="auto"/>
        <w:jc w:val="center"/>
        <w:rPr>
          <w:rFonts w:cs="Arial"/>
          <w:b/>
        </w:rPr>
      </w:pPr>
    </w:p>
    <w:p w14:paraId="657D98B0" w14:textId="77777777" w:rsidR="007C0077" w:rsidRPr="009B1283" w:rsidRDefault="00331C7E" w:rsidP="003538F0">
      <w:pPr>
        <w:pStyle w:val="MarginText"/>
        <w:spacing w:line="276" w:lineRule="auto"/>
        <w:jc w:val="center"/>
        <w:rPr>
          <w:rFonts w:cs="Arial"/>
          <w:b/>
        </w:rPr>
      </w:pPr>
      <w:r w:rsidRPr="00331C7E">
        <w:rPr>
          <w:rFonts w:cs="Arial"/>
          <w:b/>
        </w:rPr>
        <w:t>GUIDANCE FOR COMPLETING ATTACHMENT 8 - COST MODEL</w:t>
      </w:r>
    </w:p>
    <w:p w14:paraId="1E578EA0" w14:textId="77777777" w:rsidR="0053409B" w:rsidRPr="009B1283" w:rsidRDefault="0053409B" w:rsidP="003538F0">
      <w:pPr>
        <w:pStyle w:val="Heading1"/>
        <w:numPr>
          <w:ilvl w:val="0"/>
          <w:numId w:val="0"/>
        </w:numPr>
        <w:spacing w:line="276" w:lineRule="auto"/>
        <w:rPr>
          <w:rFonts w:cs="Arial"/>
        </w:rPr>
      </w:pPr>
    </w:p>
    <w:p w14:paraId="55DB0D06" w14:textId="77777777" w:rsidR="007C0077" w:rsidRPr="009B1283" w:rsidRDefault="007C0077" w:rsidP="003538F0">
      <w:pPr>
        <w:pStyle w:val="Heading1"/>
        <w:numPr>
          <w:ilvl w:val="0"/>
          <w:numId w:val="0"/>
        </w:numPr>
        <w:spacing w:line="276" w:lineRule="auto"/>
        <w:rPr>
          <w:rFonts w:cs="Arial"/>
        </w:rPr>
      </w:pPr>
    </w:p>
    <w:p w14:paraId="4F8F8A8D" w14:textId="77777777" w:rsidR="007C0077" w:rsidRPr="009B1283" w:rsidRDefault="007C0077" w:rsidP="003538F0">
      <w:pPr>
        <w:pStyle w:val="Heading1"/>
        <w:numPr>
          <w:ilvl w:val="0"/>
          <w:numId w:val="0"/>
        </w:numPr>
        <w:spacing w:line="276" w:lineRule="auto"/>
        <w:rPr>
          <w:rFonts w:cs="Arial"/>
        </w:rPr>
      </w:pPr>
    </w:p>
    <w:p w14:paraId="50C3283A" w14:textId="77777777" w:rsidR="007C0077" w:rsidRPr="009B1283" w:rsidRDefault="007C0077" w:rsidP="003538F0">
      <w:pPr>
        <w:pStyle w:val="Heading1"/>
        <w:numPr>
          <w:ilvl w:val="0"/>
          <w:numId w:val="0"/>
        </w:numPr>
        <w:spacing w:line="276" w:lineRule="auto"/>
        <w:rPr>
          <w:rFonts w:cs="Arial"/>
        </w:rPr>
      </w:pPr>
    </w:p>
    <w:p w14:paraId="69EB0D36" w14:textId="77777777" w:rsidR="007C0077" w:rsidRPr="009B1283" w:rsidRDefault="007C0077" w:rsidP="003538F0">
      <w:pPr>
        <w:pStyle w:val="Heading1"/>
        <w:numPr>
          <w:ilvl w:val="0"/>
          <w:numId w:val="0"/>
        </w:numPr>
        <w:spacing w:line="276" w:lineRule="auto"/>
        <w:rPr>
          <w:rFonts w:cs="Arial"/>
        </w:rPr>
      </w:pPr>
    </w:p>
    <w:p w14:paraId="7966D024" w14:textId="77777777" w:rsidR="007C0077" w:rsidRPr="009B1283" w:rsidRDefault="007C0077" w:rsidP="003538F0">
      <w:pPr>
        <w:pStyle w:val="Heading1"/>
        <w:numPr>
          <w:ilvl w:val="0"/>
          <w:numId w:val="0"/>
        </w:numPr>
        <w:spacing w:line="276" w:lineRule="auto"/>
        <w:rPr>
          <w:rFonts w:cs="Arial"/>
        </w:rPr>
      </w:pPr>
    </w:p>
    <w:p w14:paraId="784BFB1F" w14:textId="77777777" w:rsidR="007C0077" w:rsidRPr="009B1283" w:rsidRDefault="007C0077" w:rsidP="003538F0">
      <w:pPr>
        <w:pStyle w:val="Heading1"/>
        <w:numPr>
          <w:ilvl w:val="0"/>
          <w:numId w:val="0"/>
        </w:numPr>
        <w:spacing w:line="276" w:lineRule="auto"/>
        <w:rPr>
          <w:rFonts w:cs="Arial"/>
        </w:rPr>
      </w:pPr>
    </w:p>
    <w:p w14:paraId="15EDD2D2" w14:textId="77777777" w:rsidR="007C0077" w:rsidRPr="009B1283" w:rsidRDefault="007C0077" w:rsidP="003538F0">
      <w:pPr>
        <w:pStyle w:val="Heading1"/>
        <w:numPr>
          <w:ilvl w:val="0"/>
          <w:numId w:val="0"/>
        </w:numPr>
        <w:spacing w:line="276" w:lineRule="auto"/>
        <w:rPr>
          <w:rFonts w:cs="Arial"/>
        </w:rPr>
      </w:pPr>
    </w:p>
    <w:p w14:paraId="5FBD6DD2" w14:textId="77777777" w:rsidR="007C0077" w:rsidRPr="009B1283" w:rsidRDefault="007C0077" w:rsidP="003538F0">
      <w:pPr>
        <w:pStyle w:val="Heading1"/>
        <w:numPr>
          <w:ilvl w:val="0"/>
          <w:numId w:val="0"/>
        </w:numPr>
        <w:spacing w:line="276" w:lineRule="auto"/>
        <w:rPr>
          <w:rFonts w:cs="Arial"/>
        </w:rPr>
      </w:pPr>
    </w:p>
    <w:p w14:paraId="012AFF96" w14:textId="77777777" w:rsidR="007C0077" w:rsidRPr="009B1283" w:rsidRDefault="007C0077" w:rsidP="003538F0">
      <w:pPr>
        <w:pStyle w:val="Heading1"/>
        <w:numPr>
          <w:ilvl w:val="0"/>
          <w:numId w:val="0"/>
        </w:numPr>
        <w:spacing w:line="276" w:lineRule="auto"/>
        <w:rPr>
          <w:rFonts w:cs="Arial"/>
        </w:rPr>
      </w:pPr>
    </w:p>
    <w:p w14:paraId="699BDF5A" w14:textId="77777777" w:rsidR="007C0077" w:rsidRPr="009B1283" w:rsidRDefault="007C0077" w:rsidP="003538F0">
      <w:pPr>
        <w:pStyle w:val="Heading1"/>
        <w:numPr>
          <w:ilvl w:val="0"/>
          <w:numId w:val="0"/>
        </w:numPr>
        <w:spacing w:line="276" w:lineRule="auto"/>
        <w:rPr>
          <w:rFonts w:cs="Arial"/>
        </w:rPr>
      </w:pPr>
    </w:p>
    <w:p w14:paraId="1BD472F0" w14:textId="77777777" w:rsidR="007C0077" w:rsidRPr="009B1283" w:rsidRDefault="007C0077" w:rsidP="003538F0">
      <w:pPr>
        <w:pStyle w:val="Heading1"/>
        <w:numPr>
          <w:ilvl w:val="0"/>
          <w:numId w:val="0"/>
        </w:numPr>
        <w:spacing w:line="276" w:lineRule="auto"/>
        <w:rPr>
          <w:rFonts w:cs="Arial"/>
        </w:rPr>
      </w:pPr>
    </w:p>
    <w:p w14:paraId="404A2E10" w14:textId="77777777" w:rsidR="007C0077" w:rsidRPr="009B1283" w:rsidRDefault="007C0077" w:rsidP="003538F0">
      <w:pPr>
        <w:pStyle w:val="Heading1"/>
        <w:numPr>
          <w:ilvl w:val="0"/>
          <w:numId w:val="0"/>
        </w:numPr>
        <w:spacing w:line="276" w:lineRule="auto"/>
        <w:rPr>
          <w:rFonts w:cs="Arial"/>
        </w:rPr>
      </w:pPr>
    </w:p>
    <w:p w14:paraId="78D60396" w14:textId="77777777" w:rsidR="007C0077" w:rsidRPr="009B1283" w:rsidRDefault="007C0077" w:rsidP="003538F0">
      <w:pPr>
        <w:pStyle w:val="Heading1"/>
        <w:numPr>
          <w:ilvl w:val="0"/>
          <w:numId w:val="0"/>
        </w:numPr>
        <w:spacing w:line="276" w:lineRule="auto"/>
        <w:rPr>
          <w:rFonts w:cs="Arial"/>
        </w:rPr>
      </w:pPr>
    </w:p>
    <w:p w14:paraId="45548149" w14:textId="77777777" w:rsidR="007C0077" w:rsidRPr="009B1283" w:rsidRDefault="007C0077" w:rsidP="003538F0">
      <w:pPr>
        <w:pStyle w:val="Heading1"/>
        <w:numPr>
          <w:ilvl w:val="0"/>
          <w:numId w:val="0"/>
        </w:numPr>
        <w:spacing w:line="276" w:lineRule="auto"/>
        <w:rPr>
          <w:rFonts w:cs="Arial"/>
        </w:rPr>
      </w:pPr>
    </w:p>
    <w:p w14:paraId="55F0A7A8" w14:textId="77777777" w:rsidR="007C0077" w:rsidRPr="009B1283" w:rsidRDefault="007C0077" w:rsidP="003538F0">
      <w:pPr>
        <w:pStyle w:val="Heading1"/>
        <w:numPr>
          <w:ilvl w:val="0"/>
          <w:numId w:val="0"/>
        </w:numPr>
        <w:spacing w:line="276" w:lineRule="auto"/>
        <w:rPr>
          <w:rFonts w:cs="Arial"/>
        </w:rPr>
      </w:pPr>
    </w:p>
    <w:p w14:paraId="0C5CC594" w14:textId="77777777" w:rsidR="007C0077" w:rsidRPr="009B1283" w:rsidRDefault="007C0077" w:rsidP="003538F0">
      <w:pPr>
        <w:pStyle w:val="Heading1"/>
        <w:numPr>
          <w:ilvl w:val="0"/>
          <w:numId w:val="0"/>
        </w:numPr>
        <w:spacing w:line="276" w:lineRule="auto"/>
        <w:rPr>
          <w:rFonts w:cs="Arial"/>
        </w:rPr>
      </w:pPr>
    </w:p>
    <w:p w14:paraId="5E1487AB" w14:textId="77777777" w:rsidR="007C0077" w:rsidRPr="009B1283" w:rsidRDefault="007C0077" w:rsidP="003538F0">
      <w:pPr>
        <w:pStyle w:val="Heading1"/>
        <w:numPr>
          <w:ilvl w:val="0"/>
          <w:numId w:val="0"/>
        </w:numPr>
        <w:spacing w:line="276" w:lineRule="auto"/>
        <w:rPr>
          <w:rFonts w:cs="Arial"/>
        </w:rPr>
      </w:pPr>
    </w:p>
    <w:p w14:paraId="54A5A135" w14:textId="77777777" w:rsidR="007C0077" w:rsidRPr="009B1283" w:rsidRDefault="007C0077" w:rsidP="003538F0">
      <w:pPr>
        <w:pStyle w:val="Heading1"/>
        <w:numPr>
          <w:ilvl w:val="0"/>
          <w:numId w:val="0"/>
        </w:numPr>
        <w:spacing w:line="276" w:lineRule="auto"/>
        <w:rPr>
          <w:rFonts w:cs="Arial"/>
        </w:rPr>
      </w:pPr>
    </w:p>
    <w:p w14:paraId="71265248" w14:textId="77777777" w:rsidR="007C0077" w:rsidRPr="009B1283" w:rsidRDefault="007C0077" w:rsidP="003538F0">
      <w:pPr>
        <w:pStyle w:val="Heading1"/>
        <w:numPr>
          <w:ilvl w:val="0"/>
          <w:numId w:val="0"/>
        </w:numPr>
        <w:spacing w:line="276" w:lineRule="auto"/>
        <w:rPr>
          <w:rFonts w:cs="Arial"/>
        </w:rPr>
      </w:pPr>
    </w:p>
    <w:p w14:paraId="662F80CD" w14:textId="77777777" w:rsidR="007C0077" w:rsidRPr="009B1283" w:rsidRDefault="007C0077" w:rsidP="003538F0">
      <w:pPr>
        <w:pStyle w:val="Heading1"/>
        <w:numPr>
          <w:ilvl w:val="0"/>
          <w:numId w:val="0"/>
        </w:numPr>
        <w:spacing w:line="276" w:lineRule="auto"/>
        <w:rPr>
          <w:rFonts w:cs="Arial"/>
        </w:rPr>
      </w:pPr>
    </w:p>
    <w:p w14:paraId="476D20FF" w14:textId="77777777" w:rsidR="007C0077" w:rsidRPr="009B1283" w:rsidRDefault="007C0077" w:rsidP="003538F0">
      <w:pPr>
        <w:pStyle w:val="Heading1"/>
        <w:numPr>
          <w:ilvl w:val="0"/>
          <w:numId w:val="0"/>
        </w:numPr>
        <w:spacing w:line="276" w:lineRule="auto"/>
        <w:rPr>
          <w:rFonts w:cs="Arial"/>
        </w:rPr>
      </w:pPr>
    </w:p>
    <w:p w14:paraId="4097BF63" w14:textId="77777777" w:rsidR="00B165D4" w:rsidRPr="009B1283" w:rsidRDefault="00331C7E" w:rsidP="003538F0">
      <w:pPr>
        <w:jc w:val="both"/>
        <w:rPr>
          <w:rFonts w:ascii="Arial" w:eastAsia="STZhongsong" w:hAnsi="Arial" w:cs="Arial"/>
          <w:b/>
          <w:caps/>
          <w:sz w:val="20"/>
          <w:szCs w:val="20"/>
          <w:lang w:eastAsia="zh-CN"/>
        </w:rPr>
      </w:pPr>
      <w:r w:rsidRPr="00331C7E">
        <w:rPr>
          <w:rFonts w:ascii="Arial" w:hAnsi="Arial" w:cs="Arial"/>
          <w:sz w:val="20"/>
          <w:szCs w:val="20"/>
        </w:rPr>
        <w:br w:type="page"/>
      </w:r>
    </w:p>
    <w:p w14:paraId="18961042" w14:textId="77777777" w:rsidR="007C0077" w:rsidRPr="009B1283" w:rsidRDefault="007C0077" w:rsidP="003538F0">
      <w:pPr>
        <w:pStyle w:val="Heading1"/>
        <w:numPr>
          <w:ilvl w:val="0"/>
          <w:numId w:val="0"/>
        </w:numPr>
        <w:spacing w:line="276" w:lineRule="auto"/>
        <w:rPr>
          <w:rFonts w:cs="Arial"/>
        </w:rPr>
      </w:pPr>
    </w:p>
    <w:p w14:paraId="4FFA7EE7" w14:textId="77777777" w:rsidR="0053409B" w:rsidRPr="009B1283" w:rsidRDefault="006C49C1" w:rsidP="000F4D3A">
      <w:pPr>
        <w:pStyle w:val="Heading1"/>
        <w:keepNext w:val="0"/>
        <w:numPr>
          <w:ilvl w:val="0"/>
          <w:numId w:val="59"/>
        </w:numPr>
        <w:spacing w:line="276" w:lineRule="auto"/>
        <w:rPr>
          <w:rFonts w:cs="Arial"/>
        </w:rPr>
      </w:pPr>
      <w:r w:rsidRPr="009B1283">
        <w:rPr>
          <w:rFonts w:cs="Arial"/>
          <w:caps w:val="0"/>
        </w:rPr>
        <w:t>COST MODEL</w:t>
      </w:r>
    </w:p>
    <w:p w14:paraId="57E35655" w14:textId="77777777" w:rsidR="0053409B" w:rsidRPr="009B1283" w:rsidRDefault="00FA00E8" w:rsidP="000F4D3A">
      <w:pPr>
        <w:pStyle w:val="Heading2"/>
        <w:numPr>
          <w:ilvl w:val="1"/>
          <w:numId w:val="59"/>
        </w:numPr>
        <w:spacing w:line="276" w:lineRule="auto"/>
        <w:rPr>
          <w:rFonts w:cs="Arial"/>
        </w:rPr>
      </w:pPr>
      <w:r w:rsidRPr="009B1283">
        <w:rPr>
          <w:rFonts w:cs="Arial"/>
        </w:rPr>
        <w:t>Potential Provider</w:t>
      </w:r>
      <w:r w:rsidR="0053409B" w:rsidRPr="009B1283">
        <w:rPr>
          <w:rFonts w:cs="Arial"/>
        </w:rPr>
        <w:t>s are required to populate prices into</w:t>
      </w:r>
      <w:r w:rsidR="00805BCC" w:rsidRPr="009B1283">
        <w:rPr>
          <w:rFonts w:cs="Arial"/>
        </w:rPr>
        <w:t xml:space="preserve"> the relevant</w:t>
      </w:r>
      <w:r w:rsidR="0089535B" w:rsidRPr="009B1283">
        <w:rPr>
          <w:rFonts w:cs="Arial"/>
        </w:rPr>
        <w:t xml:space="preserve"> </w:t>
      </w:r>
      <w:r w:rsidR="00F27D5A">
        <w:rPr>
          <w:rFonts w:cs="Arial"/>
        </w:rPr>
        <w:t xml:space="preserve">sections of </w:t>
      </w:r>
      <w:r w:rsidR="0089535B" w:rsidRPr="009B1283">
        <w:rPr>
          <w:rFonts w:cs="Arial"/>
        </w:rPr>
        <w:t>Attachment 8 – Cost Model</w:t>
      </w:r>
      <w:r w:rsidR="005E22E3" w:rsidRPr="009B1283">
        <w:rPr>
          <w:rFonts w:cs="Arial"/>
        </w:rPr>
        <w:t>,</w:t>
      </w:r>
      <w:r w:rsidR="00DB6EBD" w:rsidRPr="009B1283">
        <w:rPr>
          <w:rFonts w:cs="Arial"/>
        </w:rPr>
        <w:t xml:space="preserve"> </w:t>
      </w:r>
      <w:r w:rsidR="0053409B" w:rsidRPr="009B1283">
        <w:rPr>
          <w:rFonts w:cs="Arial"/>
        </w:rPr>
        <w:t>before entering a</w:t>
      </w:r>
      <w:r w:rsidR="00941DA2" w:rsidRPr="009B1283">
        <w:rPr>
          <w:rFonts w:cs="Arial"/>
        </w:rPr>
        <w:t>ny details into the Bid Field</w:t>
      </w:r>
      <w:r w:rsidR="0053409B" w:rsidRPr="009B1283">
        <w:rPr>
          <w:rFonts w:cs="Arial"/>
        </w:rPr>
        <w:t xml:space="preserve"> within the </w:t>
      </w:r>
      <w:proofErr w:type="spellStart"/>
      <w:r w:rsidR="0053409B" w:rsidRPr="009B1283">
        <w:rPr>
          <w:rFonts w:cs="Arial"/>
        </w:rPr>
        <w:t>eSourcing</w:t>
      </w:r>
      <w:proofErr w:type="spellEnd"/>
      <w:r w:rsidR="0053409B" w:rsidRPr="009B1283">
        <w:rPr>
          <w:rFonts w:cs="Arial"/>
        </w:rPr>
        <w:t xml:space="preserve"> Suite.</w:t>
      </w:r>
    </w:p>
    <w:p w14:paraId="4773E2BB" w14:textId="77777777" w:rsidR="008B76FA" w:rsidRDefault="0053409B" w:rsidP="000F4D3A">
      <w:pPr>
        <w:pStyle w:val="Heading2"/>
        <w:numPr>
          <w:ilvl w:val="1"/>
          <w:numId w:val="59"/>
        </w:numPr>
        <w:spacing w:line="276" w:lineRule="auto"/>
        <w:rPr>
          <w:rFonts w:cs="Arial"/>
        </w:rPr>
      </w:pPr>
      <w:r w:rsidRPr="0033764D">
        <w:rPr>
          <w:rFonts w:cs="Arial"/>
        </w:rPr>
        <w:t>The mai</w:t>
      </w:r>
      <w:r w:rsidR="000749A8" w:rsidRPr="0033764D">
        <w:rPr>
          <w:rFonts w:cs="Arial"/>
        </w:rPr>
        <w:t>n stages for completing</w:t>
      </w:r>
      <w:r w:rsidRPr="0033764D">
        <w:rPr>
          <w:rFonts w:cs="Arial"/>
        </w:rPr>
        <w:t xml:space="preserve"> the Cost Model are provided below. </w:t>
      </w:r>
      <w:r w:rsidR="00FA00E8" w:rsidRPr="0033764D">
        <w:rPr>
          <w:rFonts w:cs="Arial"/>
        </w:rPr>
        <w:t>Potential Provider</w:t>
      </w:r>
      <w:r w:rsidRPr="0033764D">
        <w:rPr>
          <w:rFonts w:cs="Arial"/>
        </w:rPr>
        <w:t>s should note that this is a high level overview of how to com</w:t>
      </w:r>
      <w:r w:rsidR="00037E5A" w:rsidRPr="0033764D">
        <w:rPr>
          <w:rFonts w:cs="Arial"/>
        </w:rPr>
        <w:t>plete the Cost Model. Detailed i</w:t>
      </w:r>
      <w:r w:rsidRPr="0033764D">
        <w:rPr>
          <w:rFonts w:cs="Arial"/>
        </w:rPr>
        <w:t>nst</w:t>
      </w:r>
      <w:r w:rsidR="00B11B64" w:rsidRPr="0033764D">
        <w:rPr>
          <w:rFonts w:cs="Arial"/>
        </w:rPr>
        <w:t>ructions are provided within</w:t>
      </w:r>
      <w:r w:rsidR="005002A1" w:rsidRPr="0033764D">
        <w:rPr>
          <w:rFonts w:cs="Arial"/>
        </w:rPr>
        <w:t xml:space="preserve"> each tab of</w:t>
      </w:r>
      <w:r w:rsidR="00B11B64" w:rsidRPr="0033764D">
        <w:rPr>
          <w:rFonts w:cs="Arial"/>
        </w:rPr>
        <w:t xml:space="preserve"> Attachment 8 -</w:t>
      </w:r>
      <w:r w:rsidR="005D54AC" w:rsidRPr="0033764D">
        <w:rPr>
          <w:rFonts w:cs="Arial"/>
        </w:rPr>
        <w:t xml:space="preserve"> Cost Model.</w:t>
      </w:r>
    </w:p>
    <w:p w14:paraId="43CDF055" w14:textId="7AC33F0C" w:rsidR="00B84A48" w:rsidRPr="0033764D" w:rsidRDefault="00B11B64" w:rsidP="0033764D">
      <w:pPr>
        <w:pStyle w:val="Heading2"/>
        <w:numPr>
          <w:ilvl w:val="1"/>
          <w:numId w:val="59"/>
        </w:numPr>
        <w:spacing w:line="276" w:lineRule="auto"/>
        <w:rPr>
          <w:rFonts w:cs="Arial"/>
        </w:rPr>
      </w:pPr>
      <w:r w:rsidRPr="0033764D">
        <w:rPr>
          <w:rFonts w:eastAsiaTheme="minorHAnsi" w:cs="Arial"/>
          <w:lang w:eastAsia="en-US"/>
        </w:rPr>
        <w:t>Attachment 8 – Cost Model has been developed by the Authority for the purpose of the Price Evaluation and to get a detailed build</w:t>
      </w:r>
      <w:r w:rsidR="00333464" w:rsidRPr="0033764D">
        <w:rPr>
          <w:rFonts w:eastAsiaTheme="minorHAnsi" w:cs="Arial"/>
          <w:lang w:eastAsia="en-US"/>
        </w:rPr>
        <w:t>-</w:t>
      </w:r>
      <w:r w:rsidRPr="0033764D">
        <w:rPr>
          <w:rFonts w:eastAsiaTheme="minorHAnsi" w:cs="Arial"/>
          <w:lang w:eastAsia="en-US"/>
        </w:rPr>
        <w:t xml:space="preserve">up of the </w:t>
      </w:r>
      <w:r w:rsidR="00FA00E8" w:rsidRPr="0033764D">
        <w:rPr>
          <w:rFonts w:eastAsiaTheme="minorHAnsi" w:cs="Arial"/>
          <w:lang w:eastAsia="en-US"/>
        </w:rPr>
        <w:t>Potential Provider</w:t>
      </w:r>
      <w:r w:rsidR="005002A1" w:rsidRPr="0033764D">
        <w:rPr>
          <w:rFonts w:eastAsiaTheme="minorHAnsi" w:cs="Arial"/>
          <w:lang w:eastAsia="en-US"/>
        </w:rPr>
        <w:t>’</w:t>
      </w:r>
      <w:r w:rsidRPr="0033764D">
        <w:rPr>
          <w:rFonts w:eastAsiaTheme="minorHAnsi" w:cs="Arial"/>
          <w:lang w:eastAsia="en-US"/>
        </w:rPr>
        <w:t>s cost</w:t>
      </w:r>
      <w:r w:rsidR="005002A1" w:rsidRPr="0033764D">
        <w:rPr>
          <w:rFonts w:eastAsiaTheme="minorHAnsi" w:cs="Arial"/>
          <w:lang w:eastAsia="en-US"/>
        </w:rPr>
        <w:t>s</w:t>
      </w:r>
      <w:r w:rsidRPr="0033764D">
        <w:rPr>
          <w:rFonts w:eastAsiaTheme="minorHAnsi" w:cs="Arial"/>
          <w:lang w:eastAsia="en-US"/>
        </w:rPr>
        <w:t xml:space="preserve">. </w:t>
      </w:r>
      <w:r w:rsidR="008B76FA" w:rsidRPr="0033764D">
        <w:rPr>
          <w:rFonts w:eastAsiaTheme="minorHAnsi" w:cs="Arial"/>
          <w:lang w:eastAsia="en-US"/>
        </w:rPr>
        <w:t>T</w:t>
      </w:r>
      <w:r w:rsidR="008B76FA" w:rsidRPr="0033764D">
        <w:rPr>
          <w:rFonts w:cs="Arial"/>
        </w:rPr>
        <w:t xml:space="preserve">he </w:t>
      </w:r>
      <w:r w:rsidR="005002A1" w:rsidRPr="0033764D">
        <w:rPr>
          <w:rFonts w:cs="Arial"/>
        </w:rPr>
        <w:t xml:space="preserve">Total </w:t>
      </w:r>
      <w:r w:rsidR="00DC1F9E" w:rsidRPr="0033764D">
        <w:rPr>
          <w:rFonts w:cs="Arial"/>
        </w:rPr>
        <w:t>Contract</w:t>
      </w:r>
      <w:r w:rsidR="002E073A" w:rsidRPr="0033764D">
        <w:rPr>
          <w:rFonts w:cs="Arial"/>
        </w:rPr>
        <w:t xml:space="preserve"> </w:t>
      </w:r>
      <w:r w:rsidR="00331C7E" w:rsidRPr="0033764D">
        <w:rPr>
          <w:rFonts w:cs="Arial"/>
        </w:rPr>
        <w:t xml:space="preserve">Cost </w:t>
      </w:r>
      <w:r w:rsidR="006B6332" w:rsidRPr="0033764D">
        <w:rPr>
          <w:rFonts w:cs="Arial"/>
        </w:rPr>
        <w:t>in Table 1</w:t>
      </w:r>
      <w:r w:rsidR="00DC1F9E" w:rsidRPr="0033764D">
        <w:rPr>
          <w:rFonts w:cs="Arial"/>
        </w:rPr>
        <w:t>F</w:t>
      </w:r>
      <w:r w:rsidR="00B511C3" w:rsidRPr="0033764D">
        <w:rPr>
          <w:rFonts w:cs="Arial"/>
        </w:rPr>
        <w:t xml:space="preserve"> of the Summary tab on the</w:t>
      </w:r>
      <w:r w:rsidR="00331C7E" w:rsidRPr="0033764D">
        <w:rPr>
          <w:rFonts w:cs="Arial"/>
        </w:rPr>
        <w:t xml:space="preserve"> Cost Model</w:t>
      </w:r>
      <w:r w:rsidR="00B35210" w:rsidRPr="0033764D">
        <w:rPr>
          <w:rFonts w:cs="Arial"/>
        </w:rPr>
        <w:t>, based on non TUPE pricing,</w:t>
      </w:r>
      <w:r w:rsidR="00331C7E" w:rsidRPr="0033764D">
        <w:rPr>
          <w:rFonts w:cs="Arial"/>
        </w:rPr>
        <w:t xml:space="preserve"> will be used to generate the Price Score during the Price Evaluation</w:t>
      </w:r>
      <w:r w:rsidR="002E073A" w:rsidRPr="0033764D">
        <w:rPr>
          <w:rFonts w:cs="Arial"/>
        </w:rPr>
        <w:t>.</w:t>
      </w:r>
    </w:p>
    <w:p w14:paraId="4E89C2E5" w14:textId="645DE77B" w:rsidR="00BD60BF" w:rsidRPr="006E1F25" w:rsidRDefault="00D31245" w:rsidP="000F4D3A">
      <w:pPr>
        <w:pStyle w:val="Heading2"/>
        <w:numPr>
          <w:ilvl w:val="1"/>
          <w:numId w:val="59"/>
        </w:numPr>
        <w:spacing w:line="276" w:lineRule="auto"/>
        <w:rPr>
          <w:rFonts w:cs="Arial"/>
        </w:rPr>
      </w:pPr>
      <w:r w:rsidRPr="006E1F25">
        <w:rPr>
          <w:rFonts w:cs="Arial"/>
        </w:rPr>
        <w:t>W</w:t>
      </w:r>
      <w:r w:rsidR="00BD60BF" w:rsidRPr="006E1F25">
        <w:rPr>
          <w:rFonts w:cs="Arial"/>
        </w:rPr>
        <w:t>hen uploading the populated Cost Model</w:t>
      </w:r>
      <w:r w:rsidR="00DC1F9E">
        <w:rPr>
          <w:rFonts w:cs="Arial"/>
        </w:rPr>
        <w:t>,</w:t>
      </w:r>
      <w:r w:rsidR="00BD60BF" w:rsidRPr="006E1F25">
        <w:rPr>
          <w:rFonts w:cs="Arial"/>
        </w:rPr>
        <w:t xml:space="preserve"> </w:t>
      </w:r>
      <w:r w:rsidRPr="006E1F25">
        <w:rPr>
          <w:rFonts w:cs="Arial"/>
        </w:rPr>
        <w:t xml:space="preserve">Potential Providers should </w:t>
      </w:r>
      <w:r w:rsidR="00BD60BF" w:rsidRPr="006E1F25">
        <w:rPr>
          <w:rFonts w:cs="Arial"/>
        </w:rPr>
        <w:t>ensure the name of your organisation is included in the file name for exam</w:t>
      </w:r>
      <w:r w:rsidR="0033764D">
        <w:rPr>
          <w:rFonts w:cs="Arial"/>
        </w:rPr>
        <w:t xml:space="preserve">ple “Attachment 8 – Cost Model </w:t>
      </w:r>
      <w:r w:rsidR="00BD60BF" w:rsidRPr="006E1F25">
        <w:rPr>
          <w:rFonts w:cs="Arial"/>
        </w:rPr>
        <w:t>L</w:t>
      </w:r>
      <w:r w:rsidRPr="006E1F25">
        <w:rPr>
          <w:rFonts w:cs="Arial"/>
        </w:rPr>
        <w:t>FM Assurance Services (Helpdesk and CAFM</w:t>
      </w:r>
      <w:proofErr w:type="gramStart"/>
      <w:r w:rsidR="00BD60BF" w:rsidRPr="006E1F25">
        <w:rPr>
          <w:rFonts w:cs="Arial"/>
        </w:rPr>
        <w:t>)_</w:t>
      </w:r>
      <w:proofErr w:type="gramEnd"/>
      <w:r w:rsidR="00BD60BF" w:rsidRPr="006E1F25">
        <w:rPr>
          <w:rFonts w:cs="Arial"/>
          <w:i/>
        </w:rPr>
        <w:t>Supplier 1 Ltd</w:t>
      </w:r>
      <w:r w:rsidR="00BD60BF" w:rsidRPr="006E1F25">
        <w:rPr>
          <w:rFonts w:cs="Arial"/>
        </w:rPr>
        <w:t>”</w:t>
      </w:r>
    </w:p>
    <w:p w14:paraId="1606B91D" w14:textId="77777777" w:rsidR="0053409B" w:rsidRPr="009B1283" w:rsidRDefault="0053409B" w:rsidP="000F4D3A">
      <w:pPr>
        <w:pStyle w:val="Heading1"/>
        <w:numPr>
          <w:ilvl w:val="0"/>
          <w:numId w:val="59"/>
        </w:numPr>
        <w:spacing w:line="276" w:lineRule="auto"/>
        <w:rPr>
          <w:rFonts w:cs="Arial"/>
        </w:rPr>
      </w:pPr>
      <w:r w:rsidRPr="009B1283">
        <w:rPr>
          <w:rFonts w:cs="Arial"/>
        </w:rPr>
        <w:t>Completion of the Cost Model</w:t>
      </w:r>
    </w:p>
    <w:p w14:paraId="1AF852EC" w14:textId="77777777" w:rsidR="00FB1368" w:rsidRPr="009B1283" w:rsidRDefault="00FB1368" w:rsidP="000F4D3A">
      <w:pPr>
        <w:pStyle w:val="Heading2"/>
        <w:numPr>
          <w:ilvl w:val="1"/>
          <w:numId w:val="59"/>
        </w:numPr>
        <w:spacing w:line="276" w:lineRule="auto"/>
        <w:rPr>
          <w:rFonts w:cs="Arial"/>
        </w:rPr>
      </w:pPr>
      <w:r w:rsidRPr="009B1283">
        <w:rPr>
          <w:rFonts w:cs="Arial"/>
        </w:rPr>
        <w:t>Tabs which requi</w:t>
      </w:r>
      <w:r w:rsidR="00731144" w:rsidRPr="009B1283">
        <w:rPr>
          <w:rFonts w:cs="Arial"/>
        </w:rPr>
        <w:t>re input are shaded green, and t</w:t>
      </w:r>
      <w:r w:rsidRPr="009B1283">
        <w:rPr>
          <w:rFonts w:cs="Arial"/>
        </w:rPr>
        <w:t>abs which don’t are shaded red.</w:t>
      </w:r>
    </w:p>
    <w:p w14:paraId="4391E2DA" w14:textId="77777777" w:rsidR="00CA0E62" w:rsidRPr="003538F0" w:rsidRDefault="0053409B" w:rsidP="000F4D3A">
      <w:pPr>
        <w:pStyle w:val="Heading2"/>
        <w:numPr>
          <w:ilvl w:val="1"/>
          <w:numId w:val="59"/>
        </w:numPr>
      </w:pPr>
      <w:r w:rsidRPr="00CA0E62">
        <w:rPr>
          <w:rFonts w:cs="Arial"/>
        </w:rPr>
        <w:t>Yellow shaded cells indicate that input is required</w:t>
      </w:r>
      <w:r w:rsidR="00CA0E62">
        <w:rPr>
          <w:rFonts w:cs="Arial"/>
        </w:rPr>
        <w:t xml:space="preserve">. </w:t>
      </w:r>
      <w:r w:rsidR="00CA0E62" w:rsidRPr="00CA0E62">
        <w:rPr>
          <w:rFonts w:cs="Arial"/>
        </w:rPr>
        <w:t>Only positive values will be accepted within yellow cells. Zero values will not be accepted.</w:t>
      </w:r>
      <w:r w:rsidR="00D07FA6">
        <w:rPr>
          <w:rFonts w:cs="Arial"/>
        </w:rPr>
        <w:t xml:space="preserve"> </w:t>
      </w:r>
      <w:r w:rsidR="00B511C3" w:rsidRPr="003538F0">
        <w:rPr>
          <w:rFonts w:cs="Arial"/>
        </w:rPr>
        <w:t xml:space="preserve">Light </w:t>
      </w:r>
      <w:r w:rsidR="00535F03">
        <w:rPr>
          <w:rFonts w:cs="Arial"/>
        </w:rPr>
        <w:t xml:space="preserve">blue </w:t>
      </w:r>
      <w:r w:rsidR="00252725" w:rsidRPr="003538F0">
        <w:rPr>
          <w:rFonts w:cs="Arial"/>
        </w:rPr>
        <w:t>cells are not applicable at Framework stage and should not be completed.</w:t>
      </w:r>
      <w:r w:rsidR="00331C7E" w:rsidRPr="003538F0">
        <w:rPr>
          <w:rFonts w:cs="Arial"/>
        </w:rPr>
        <w:t xml:space="preserve"> </w:t>
      </w:r>
      <w:r w:rsidR="00CA0E62">
        <w:t xml:space="preserve">Orange shaded cells require input. </w:t>
      </w:r>
      <w:r w:rsidR="00CA0E62" w:rsidRPr="00CA0E62">
        <w:t>Negative values will not be accepted within orange cells - only values from zero upwards will be accepted.</w:t>
      </w:r>
    </w:p>
    <w:p w14:paraId="4EB8AB19" w14:textId="77777777" w:rsidR="0053409B" w:rsidRPr="00252725" w:rsidRDefault="00FA00E8" w:rsidP="000F4D3A">
      <w:pPr>
        <w:pStyle w:val="Heading2"/>
        <w:numPr>
          <w:ilvl w:val="1"/>
          <w:numId w:val="59"/>
        </w:numPr>
        <w:spacing w:line="276" w:lineRule="auto"/>
        <w:rPr>
          <w:rFonts w:cs="Arial"/>
        </w:rPr>
      </w:pPr>
      <w:r w:rsidRPr="00252725">
        <w:rPr>
          <w:rFonts w:cs="Arial"/>
        </w:rPr>
        <w:t>Potential Provider</w:t>
      </w:r>
      <w:r w:rsidR="0053409B" w:rsidRPr="00252725">
        <w:rPr>
          <w:rFonts w:cs="Arial"/>
        </w:rPr>
        <w:t xml:space="preserve">s are not permitted to amend any cells </w:t>
      </w:r>
      <w:r w:rsidR="00DF37D3" w:rsidRPr="00252725">
        <w:rPr>
          <w:rFonts w:cs="Arial"/>
        </w:rPr>
        <w:t>that are not shaded yellow</w:t>
      </w:r>
      <w:r w:rsidR="00CA0E62">
        <w:rPr>
          <w:rFonts w:cs="Arial"/>
        </w:rPr>
        <w:t xml:space="preserve"> or orange</w:t>
      </w:r>
      <w:r w:rsidR="006B7471" w:rsidRPr="00252725">
        <w:rPr>
          <w:rFonts w:cs="Arial"/>
        </w:rPr>
        <w:t>.</w:t>
      </w:r>
    </w:p>
    <w:p w14:paraId="1D88B91F" w14:textId="77777777" w:rsidR="009B1283" w:rsidRPr="009B1283" w:rsidRDefault="0053409B" w:rsidP="000F4D3A">
      <w:pPr>
        <w:pStyle w:val="Heading2"/>
        <w:numPr>
          <w:ilvl w:val="1"/>
          <w:numId w:val="59"/>
        </w:numPr>
        <w:spacing w:line="276" w:lineRule="auto"/>
        <w:rPr>
          <w:rFonts w:cs="Arial"/>
        </w:rPr>
      </w:pPr>
      <w:r w:rsidRPr="003B6A97">
        <w:rPr>
          <w:rFonts w:cs="Arial"/>
        </w:rPr>
        <w:t>Instructions</w:t>
      </w:r>
      <w:r w:rsidR="00215D3C" w:rsidRPr="003B6A97">
        <w:rPr>
          <w:rFonts w:cs="Arial"/>
        </w:rPr>
        <w:t xml:space="preserve"> within the Cost Model</w:t>
      </w:r>
      <w:r w:rsidRPr="00A43E7C">
        <w:rPr>
          <w:rFonts w:cs="Arial"/>
        </w:rPr>
        <w:t xml:space="preserve"> are shown in italics and appear on the "</w:t>
      </w:r>
      <w:r w:rsidR="00B511C3" w:rsidRPr="00A43E7C">
        <w:rPr>
          <w:rFonts w:cs="Arial"/>
        </w:rPr>
        <w:t>In</w:t>
      </w:r>
      <w:r w:rsidR="00B511C3">
        <w:rPr>
          <w:rFonts w:cs="Arial"/>
        </w:rPr>
        <w:t>troduction</w:t>
      </w:r>
      <w:r w:rsidRPr="00A43E7C">
        <w:rPr>
          <w:rFonts w:cs="Arial"/>
        </w:rPr>
        <w:t>" tab</w:t>
      </w:r>
      <w:r w:rsidR="00B511C3">
        <w:rPr>
          <w:rFonts w:cs="Arial"/>
        </w:rPr>
        <w:t xml:space="preserve"> and </w:t>
      </w:r>
      <w:r w:rsidR="00FB007D">
        <w:rPr>
          <w:rFonts w:cs="Arial"/>
        </w:rPr>
        <w:t>throughout</w:t>
      </w:r>
      <w:r w:rsidR="00B511C3">
        <w:rPr>
          <w:rFonts w:cs="Arial"/>
        </w:rPr>
        <w:t xml:space="preserve"> each sheet.</w:t>
      </w:r>
    </w:p>
    <w:p w14:paraId="2132A857" w14:textId="05C994E4" w:rsidR="00C846C5" w:rsidRDefault="0053409B" w:rsidP="000F4D3A">
      <w:pPr>
        <w:pStyle w:val="Heading2"/>
        <w:numPr>
          <w:ilvl w:val="1"/>
          <w:numId w:val="59"/>
        </w:numPr>
        <w:spacing w:line="276" w:lineRule="auto"/>
        <w:rPr>
          <w:rFonts w:cs="Arial"/>
        </w:rPr>
      </w:pPr>
      <w:r w:rsidRPr="003B6A97">
        <w:rPr>
          <w:rFonts w:cs="Arial"/>
        </w:rPr>
        <w:t xml:space="preserve">The </w:t>
      </w:r>
      <w:r w:rsidR="00F44CF5" w:rsidRPr="003B6A97">
        <w:rPr>
          <w:rFonts w:cs="Arial"/>
        </w:rPr>
        <w:t xml:space="preserve">green </w:t>
      </w:r>
      <w:r w:rsidRPr="00A43E7C">
        <w:rPr>
          <w:rFonts w:cs="Arial"/>
        </w:rPr>
        <w:t xml:space="preserve">Cost Model tabs should be completed from left to right - starting with </w:t>
      </w:r>
      <w:r w:rsidR="00554D59" w:rsidRPr="00A43E7C">
        <w:rPr>
          <w:rFonts w:cs="Arial"/>
        </w:rPr>
        <w:t>"Summary", then "Staf</w:t>
      </w:r>
      <w:r w:rsidR="009B1283" w:rsidRPr="006E1F25">
        <w:rPr>
          <w:rFonts w:cs="Arial"/>
        </w:rPr>
        <w:t>f Rates</w:t>
      </w:r>
      <w:r w:rsidR="00EB7A54">
        <w:rPr>
          <w:rFonts w:cs="Arial"/>
        </w:rPr>
        <w:t xml:space="preserve"> – </w:t>
      </w:r>
      <w:r w:rsidR="00B35210">
        <w:rPr>
          <w:rFonts w:cs="Arial"/>
        </w:rPr>
        <w:t>non</w:t>
      </w:r>
      <w:r w:rsidR="00EB7A54">
        <w:rPr>
          <w:rFonts w:cs="Arial"/>
        </w:rPr>
        <w:t xml:space="preserve"> TUPE</w:t>
      </w:r>
      <w:r w:rsidR="009B1283" w:rsidRPr="006E1F25">
        <w:rPr>
          <w:rFonts w:cs="Arial"/>
        </w:rPr>
        <w:t>",</w:t>
      </w:r>
      <w:r w:rsidR="00EB7A54">
        <w:rPr>
          <w:rFonts w:cs="Arial"/>
        </w:rPr>
        <w:t xml:space="preserve"> ”Staff Rates – including TUPE”, </w:t>
      </w:r>
      <w:r w:rsidR="009B1283" w:rsidRPr="006E1F25">
        <w:rPr>
          <w:rFonts w:cs="Arial"/>
        </w:rPr>
        <w:t xml:space="preserve"> "</w:t>
      </w:r>
      <w:r w:rsidR="00B511C3">
        <w:rPr>
          <w:rFonts w:cs="Arial"/>
        </w:rPr>
        <w:t>Activity</w:t>
      </w:r>
      <w:r w:rsidR="009B1283" w:rsidRPr="006E1F25">
        <w:rPr>
          <w:rFonts w:cs="Arial"/>
        </w:rPr>
        <w:t xml:space="preserve"> Costs" and so </w:t>
      </w:r>
      <w:r w:rsidR="009B1283">
        <w:rPr>
          <w:rFonts w:cs="Arial"/>
        </w:rPr>
        <w:t>on</w:t>
      </w:r>
      <w:r w:rsidR="006B6332">
        <w:rPr>
          <w:rFonts w:cs="Arial"/>
        </w:rPr>
        <w:t>.</w:t>
      </w:r>
      <w:r w:rsidR="009B1283">
        <w:rPr>
          <w:rFonts w:cs="Arial"/>
        </w:rPr>
        <w:t xml:space="preserve"> </w:t>
      </w:r>
    </w:p>
    <w:p w14:paraId="2F70CF6C" w14:textId="77777777" w:rsidR="00C846C5" w:rsidRDefault="00813AB4" w:rsidP="000F4D3A">
      <w:pPr>
        <w:pStyle w:val="Heading2"/>
        <w:numPr>
          <w:ilvl w:val="1"/>
          <w:numId w:val="59"/>
        </w:numPr>
        <w:spacing w:line="276" w:lineRule="auto"/>
        <w:rPr>
          <w:rFonts w:cs="Arial"/>
        </w:rPr>
      </w:pPr>
      <w:r>
        <w:rPr>
          <w:rFonts w:cs="Arial"/>
        </w:rPr>
        <w:t>Potential Providers sho</w:t>
      </w:r>
      <w:r w:rsidR="00865AA2">
        <w:rPr>
          <w:rFonts w:cs="Arial"/>
        </w:rPr>
        <w:t xml:space="preserve">uld base their costs on the Services required within Schedule 2 (Services and Key Performance Indicators) and the information provided in Tab 2 – </w:t>
      </w:r>
      <w:proofErr w:type="spellStart"/>
      <w:r w:rsidR="00865AA2">
        <w:rPr>
          <w:rFonts w:cs="Arial"/>
        </w:rPr>
        <w:t>Datapack</w:t>
      </w:r>
      <w:proofErr w:type="spellEnd"/>
      <w:r w:rsidR="00865AA2">
        <w:rPr>
          <w:rFonts w:cs="Arial"/>
        </w:rPr>
        <w:t xml:space="preserve">. </w:t>
      </w:r>
    </w:p>
    <w:p w14:paraId="15D23675" w14:textId="77777777" w:rsidR="00A2481A" w:rsidRDefault="00B04917" w:rsidP="000F4D3A">
      <w:pPr>
        <w:pStyle w:val="Heading2"/>
        <w:numPr>
          <w:ilvl w:val="1"/>
          <w:numId w:val="59"/>
        </w:numPr>
        <w:spacing w:line="276" w:lineRule="auto"/>
      </w:pPr>
      <w:r w:rsidRPr="003538F0">
        <w:rPr>
          <w:rFonts w:cs="Arial"/>
        </w:rPr>
        <w:t xml:space="preserve">It should be noted that the Potential </w:t>
      </w:r>
      <w:r w:rsidR="00FA2FA1">
        <w:rPr>
          <w:rFonts w:cs="Arial"/>
        </w:rPr>
        <w:t>P</w:t>
      </w:r>
      <w:r w:rsidRPr="003538F0">
        <w:rPr>
          <w:rFonts w:cs="Arial"/>
        </w:rPr>
        <w:t>rovider must ensure</w:t>
      </w:r>
      <w:r w:rsidRPr="003538F0">
        <w:t xml:space="preserve"> that </w:t>
      </w:r>
      <w:r w:rsidR="00FA2FA1">
        <w:t>its</w:t>
      </w:r>
      <w:r w:rsidRPr="003538F0">
        <w:t xml:space="preserve"> rates are realistic and sustainable.</w:t>
      </w:r>
    </w:p>
    <w:p w14:paraId="3C7FE046" w14:textId="77777777" w:rsidR="00A2481A" w:rsidRDefault="00A2481A" w:rsidP="000F4D3A">
      <w:pPr>
        <w:pStyle w:val="Heading2"/>
        <w:numPr>
          <w:ilvl w:val="1"/>
          <w:numId w:val="59"/>
        </w:numPr>
        <w:spacing w:line="276" w:lineRule="auto"/>
      </w:pPr>
      <w:r>
        <w:t>A cost model checklist can be found on the Instructions tab. This checklist will help to indicate where sections have been completed, or have yet to be completed. It should be noted however, that this is only an indication that data has been input - it will not ensure whether or not the data is accurate or complete.</w:t>
      </w:r>
    </w:p>
    <w:p w14:paraId="10CBB8FF" w14:textId="77777777" w:rsidR="00D858A9" w:rsidRPr="006B6332" w:rsidRDefault="00D858A9" w:rsidP="003538F0">
      <w:pPr>
        <w:pStyle w:val="Heading2"/>
        <w:numPr>
          <w:ilvl w:val="0"/>
          <w:numId w:val="0"/>
        </w:numPr>
        <w:spacing w:line="276" w:lineRule="auto"/>
        <w:ind w:left="1446"/>
      </w:pPr>
    </w:p>
    <w:p w14:paraId="7284C0C3" w14:textId="77777777" w:rsidR="00813AB4" w:rsidRPr="000872CF" w:rsidRDefault="00813AB4" w:rsidP="000F4D3A">
      <w:pPr>
        <w:pStyle w:val="Heading1"/>
        <w:numPr>
          <w:ilvl w:val="0"/>
          <w:numId w:val="59"/>
        </w:numPr>
        <w:spacing w:line="276" w:lineRule="auto"/>
      </w:pPr>
      <w:r>
        <w:t>tabs in the cost model</w:t>
      </w:r>
    </w:p>
    <w:p w14:paraId="69E3E688" w14:textId="77777777" w:rsidR="00813AB4" w:rsidRPr="0091443B" w:rsidRDefault="00331C7E" w:rsidP="000F4D3A">
      <w:pPr>
        <w:pStyle w:val="Heading2"/>
        <w:numPr>
          <w:ilvl w:val="1"/>
          <w:numId w:val="59"/>
        </w:numPr>
        <w:spacing w:line="276" w:lineRule="auto"/>
        <w:rPr>
          <w:b/>
        </w:rPr>
      </w:pPr>
      <w:r w:rsidRPr="0091443B">
        <w:rPr>
          <w:b/>
        </w:rPr>
        <w:t>S</w:t>
      </w:r>
      <w:r w:rsidR="0091443B" w:rsidRPr="0091443B">
        <w:rPr>
          <w:b/>
        </w:rPr>
        <w:t>ummary</w:t>
      </w:r>
      <w:r w:rsidRPr="0091443B">
        <w:rPr>
          <w:b/>
        </w:rPr>
        <w:t xml:space="preserve"> </w:t>
      </w:r>
    </w:p>
    <w:p w14:paraId="670FEC9C" w14:textId="77777777" w:rsidR="00865AA2" w:rsidRDefault="00813AB4" w:rsidP="000F4D3A">
      <w:pPr>
        <w:pStyle w:val="Heading3"/>
        <w:numPr>
          <w:ilvl w:val="2"/>
          <w:numId w:val="59"/>
        </w:numPr>
      </w:pPr>
      <w:r w:rsidRPr="009B1283">
        <w:t xml:space="preserve">The summary tab collates and compiles the </w:t>
      </w:r>
      <w:r>
        <w:t>total</w:t>
      </w:r>
      <w:r w:rsidRPr="009B1283">
        <w:t xml:space="preserve"> cost information drawn from the tabs completed by the </w:t>
      </w:r>
      <w:r>
        <w:t>Potential Provider</w:t>
      </w:r>
      <w:r w:rsidRPr="009B1283">
        <w:t xml:space="preserve">. The Summary Tab is composed of </w:t>
      </w:r>
      <w:r w:rsidR="00865AA2">
        <w:t>s</w:t>
      </w:r>
      <w:r w:rsidR="00DC1F9E">
        <w:t>ix</w:t>
      </w:r>
      <w:r w:rsidR="00865AA2">
        <w:t xml:space="preserve"> (</w:t>
      </w:r>
      <w:r w:rsidR="00DC1F9E">
        <w:t>6</w:t>
      </w:r>
      <w:r w:rsidRPr="009B1283">
        <w:t xml:space="preserve">) </w:t>
      </w:r>
      <w:r w:rsidR="00865AA2">
        <w:t>sections</w:t>
      </w:r>
      <w:r w:rsidRPr="009B1283">
        <w:t>, each described below.</w:t>
      </w:r>
      <w:r>
        <w:t xml:space="preserve"> </w:t>
      </w:r>
    </w:p>
    <w:p w14:paraId="68F50A84" w14:textId="2161A7ED" w:rsidR="00C846C5" w:rsidRDefault="00331C7E" w:rsidP="000F4D3A">
      <w:pPr>
        <w:pStyle w:val="Heading3"/>
        <w:numPr>
          <w:ilvl w:val="2"/>
          <w:numId w:val="59"/>
        </w:numPr>
        <w:spacing w:line="276" w:lineRule="auto"/>
      </w:pPr>
      <w:r w:rsidRPr="00331C7E">
        <w:rPr>
          <w:b/>
        </w:rPr>
        <w:t>Service Delivery Cost Summary</w:t>
      </w:r>
      <w:r w:rsidR="004912AB" w:rsidRPr="00552A86">
        <w:t xml:space="preserve">: </w:t>
      </w:r>
      <w:r w:rsidR="004912AB">
        <w:t>provides</w:t>
      </w:r>
      <w:r w:rsidR="004912AB" w:rsidRPr="00552A86">
        <w:t xml:space="preserve"> a summary of the Potential Provider's costs associated with service delivery and is based on the input on tabs 3</w:t>
      </w:r>
      <w:r w:rsidR="00EB7A54">
        <w:t>a.</w:t>
      </w:r>
      <w:r w:rsidR="00DE088D">
        <w:t xml:space="preserve"> – Staff Rates</w:t>
      </w:r>
      <w:r w:rsidR="00EB7A54">
        <w:t xml:space="preserve"> – </w:t>
      </w:r>
      <w:r w:rsidR="00B35210">
        <w:t>non</w:t>
      </w:r>
      <w:r w:rsidR="00EB7A54">
        <w:t xml:space="preserve"> TUPE</w:t>
      </w:r>
      <w:r w:rsidR="004912AB" w:rsidRPr="00552A86">
        <w:t>, 4</w:t>
      </w:r>
      <w:r w:rsidR="00DE088D">
        <w:t xml:space="preserve"> – Activity Costs</w:t>
      </w:r>
      <w:r w:rsidR="004912AB" w:rsidRPr="00552A86">
        <w:t xml:space="preserve"> and 5</w:t>
      </w:r>
      <w:r w:rsidR="00DE088D">
        <w:t xml:space="preserve"> – Technology and Infrastructure</w:t>
      </w:r>
      <w:r w:rsidR="004912AB" w:rsidRPr="00552A86">
        <w:t xml:space="preserve">. </w:t>
      </w:r>
      <w:r w:rsidR="004912AB">
        <w:t>Table 1.A (</w:t>
      </w:r>
      <w:proofErr w:type="spellStart"/>
      <w:r w:rsidR="004912AB">
        <w:t>i</w:t>
      </w:r>
      <w:proofErr w:type="spellEnd"/>
      <w:r w:rsidR="004912AB">
        <w:t xml:space="preserve">) requires </w:t>
      </w:r>
      <w:r w:rsidR="0001158A">
        <w:t xml:space="preserve">the Potential Provider to </w:t>
      </w:r>
      <w:r w:rsidR="004912AB">
        <w:t xml:space="preserve">input </w:t>
      </w:r>
      <w:r w:rsidR="0020332D">
        <w:t>activity cost</w:t>
      </w:r>
      <w:r w:rsidR="006B6332">
        <w:t>s</w:t>
      </w:r>
      <w:r w:rsidR="00DC1F9E">
        <w:t>’</w:t>
      </w:r>
      <w:r w:rsidR="006B6332">
        <w:t xml:space="preserve"> </w:t>
      </w:r>
      <w:r w:rsidR="00BF15D3">
        <w:t xml:space="preserve">overhead and profit </w:t>
      </w:r>
      <w:r w:rsidR="004912AB">
        <w:t>percentages.</w:t>
      </w:r>
      <w:r w:rsidR="006B6332">
        <w:t xml:space="preserve"> </w:t>
      </w:r>
      <w:r w:rsidR="004912AB">
        <w:t xml:space="preserve"> Table 1</w:t>
      </w:r>
      <w:r w:rsidR="00F069FF">
        <w:t>.</w:t>
      </w:r>
      <w:r w:rsidR="004912AB">
        <w:t>A (ii)</w:t>
      </w:r>
      <w:r w:rsidR="00DE088D">
        <w:t xml:space="preserve"> </w:t>
      </w:r>
      <w:r w:rsidR="0001158A">
        <w:t xml:space="preserve">provides the Potential Provider </w:t>
      </w:r>
      <w:r w:rsidR="0001158A" w:rsidRPr="00B35210">
        <w:t xml:space="preserve">with the option to input </w:t>
      </w:r>
      <w:r w:rsidR="00BF15D3" w:rsidRPr="00B35210">
        <w:t>technology and infrastructure overhead and profit percentage</w:t>
      </w:r>
      <w:r w:rsidR="00DC1F9E" w:rsidRPr="00B35210">
        <w:t>s</w:t>
      </w:r>
      <w:r w:rsidR="004912AB" w:rsidRPr="00B35210">
        <w:t>.</w:t>
      </w:r>
      <w:r w:rsidR="0020332D" w:rsidRPr="00B35210">
        <w:t xml:space="preserve"> </w:t>
      </w:r>
      <w:r w:rsidR="0020332D" w:rsidRPr="0033764D">
        <w:t xml:space="preserve">Costs in Table 1 </w:t>
      </w:r>
      <w:proofErr w:type="gramStart"/>
      <w:r w:rsidR="0020332D" w:rsidRPr="0033764D">
        <w:t>A</w:t>
      </w:r>
      <w:proofErr w:type="gramEnd"/>
      <w:r w:rsidR="0020332D" w:rsidRPr="0033764D">
        <w:t xml:space="preserve"> (ii) are optional and if not </w:t>
      </w:r>
      <w:r w:rsidR="00DE088D" w:rsidRPr="0033764D">
        <w:t>applicable should be left blank</w:t>
      </w:r>
      <w:r w:rsidR="0020332D" w:rsidRPr="0033764D">
        <w:t>.</w:t>
      </w:r>
      <w:r w:rsidR="00F069FF" w:rsidRPr="00B35210">
        <w:rPr>
          <w:rFonts w:eastAsiaTheme="minorHAnsi" w:cs="Arial"/>
          <w:lang w:eastAsia="en-US"/>
        </w:rPr>
        <w:t xml:space="preserve"> Table 1.A</w:t>
      </w:r>
      <w:r w:rsidR="00F069FF">
        <w:rPr>
          <w:rFonts w:eastAsiaTheme="minorHAnsi" w:cs="Arial"/>
          <w:lang w:eastAsia="en-US"/>
        </w:rPr>
        <w:t xml:space="preserve"> (iii) does not require inpu</w:t>
      </w:r>
      <w:r w:rsidR="00BF15D3">
        <w:rPr>
          <w:rFonts w:eastAsiaTheme="minorHAnsi" w:cs="Arial"/>
          <w:lang w:eastAsia="en-US"/>
        </w:rPr>
        <w:t xml:space="preserve">t but </w:t>
      </w:r>
      <w:r w:rsidR="00DE088D">
        <w:rPr>
          <w:rFonts w:eastAsiaTheme="minorHAnsi" w:cs="Arial"/>
          <w:lang w:eastAsia="en-US"/>
        </w:rPr>
        <w:t>instead shows the total service delivery costs, including overhead and profit.</w:t>
      </w:r>
      <w:r w:rsidR="006B6332">
        <w:rPr>
          <w:rFonts w:eastAsiaTheme="minorHAnsi" w:cs="Arial"/>
          <w:lang w:eastAsia="en-US"/>
        </w:rPr>
        <w:t xml:space="preserve"> </w:t>
      </w:r>
    </w:p>
    <w:p w14:paraId="1BA14EBC" w14:textId="3A73F24F" w:rsidR="00C846C5" w:rsidRDefault="00331C7E" w:rsidP="000F4D3A">
      <w:pPr>
        <w:pStyle w:val="Heading3"/>
        <w:numPr>
          <w:ilvl w:val="2"/>
          <w:numId w:val="59"/>
        </w:numPr>
        <w:spacing w:line="276" w:lineRule="auto"/>
      </w:pPr>
      <w:r w:rsidRPr="00331C7E">
        <w:rPr>
          <w:b/>
        </w:rPr>
        <w:lastRenderedPageBreak/>
        <w:t>Mobilisation Cost Summary</w:t>
      </w:r>
      <w:r w:rsidR="004912AB" w:rsidRPr="00F17A15">
        <w:t xml:space="preserve">: </w:t>
      </w:r>
      <w:r w:rsidR="004912AB">
        <w:t>provides</w:t>
      </w:r>
      <w:r w:rsidR="004912AB" w:rsidRPr="00F17A15">
        <w:t xml:space="preserve"> a summary of the Potential Provider's costs associated </w:t>
      </w:r>
      <w:r w:rsidR="00DC1F9E">
        <w:t xml:space="preserve">with </w:t>
      </w:r>
      <w:r w:rsidR="004912AB" w:rsidRPr="00F17A15">
        <w:t xml:space="preserve">mobilisation and based on the input </w:t>
      </w:r>
      <w:r w:rsidR="000C1E6A">
        <w:t>i</w:t>
      </w:r>
      <w:r w:rsidR="004912AB" w:rsidRPr="00F17A15">
        <w:t>n tab 3</w:t>
      </w:r>
      <w:r w:rsidR="00B35210">
        <w:t>a</w:t>
      </w:r>
      <w:r w:rsidR="00DE088D">
        <w:t xml:space="preserve"> – Staff Rates</w:t>
      </w:r>
      <w:r w:rsidR="00425939">
        <w:t xml:space="preserve"> – </w:t>
      </w:r>
      <w:r w:rsidR="00B35210">
        <w:t>non</w:t>
      </w:r>
      <w:r w:rsidR="00425939">
        <w:t xml:space="preserve"> TUPE</w:t>
      </w:r>
      <w:r w:rsidR="00DC1F9E">
        <w:t>,</w:t>
      </w:r>
      <w:r w:rsidR="00DE088D">
        <w:t xml:space="preserve"> </w:t>
      </w:r>
      <w:r w:rsidR="004912AB" w:rsidRPr="00F17A15">
        <w:t>and 6</w:t>
      </w:r>
      <w:r w:rsidR="00DE088D">
        <w:t xml:space="preserve"> – Mobilisation Cost</w:t>
      </w:r>
      <w:r w:rsidR="004912AB" w:rsidRPr="00F17A15">
        <w:t xml:space="preserve">. </w:t>
      </w:r>
      <w:r w:rsidR="004912AB">
        <w:t>Table 1.B</w:t>
      </w:r>
      <w:r w:rsidR="00C939F8">
        <w:t xml:space="preserve"> </w:t>
      </w:r>
      <w:r w:rsidR="004912AB">
        <w:t>(</w:t>
      </w:r>
      <w:proofErr w:type="spellStart"/>
      <w:r w:rsidR="004912AB">
        <w:t>i</w:t>
      </w:r>
      <w:proofErr w:type="spellEnd"/>
      <w:r w:rsidR="004912AB">
        <w:t>) requires</w:t>
      </w:r>
      <w:r w:rsidR="0001158A">
        <w:t xml:space="preserve"> the </w:t>
      </w:r>
      <w:r w:rsidR="004912AB">
        <w:t>Potential Provider</w:t>
      </w:r>
      <w:r w:rsidR="0001158A">
        <w:t xml:space="preserve"> to input</w:t>
      </w:r>
      <w:r w:rsidR="004912AB">
        <w:t xml:space="preserve"> </w:t>
      </w:r>
      <w:r w:rsidR="00E703C6">
        <w:t xml:space="preserve">staff </w:t>
      </w:r>
      <w:r w:rsidR="00DE088D">
        <w:t>overhead and profit</w:t>
      </w:r>
      <w:r w:rsidR="004912AB">
        <w:t xml:space="preserve"> percentage</w:t>
      </w:r>
      <w:r w:rsidR="0001158A">
        <w:t>s</w:t>
      </w:r>
      <w:r w:rsidR="00C07496">
        <w:t xml:space="preserve">.  </w:t>
      </w:r>
      <w:r w:rsidR="004912AB">
        <w:t xml:space="preserve">Table 1.B (ii) requires </w:t>
      </w:r>
      <w:r w:rsidR="0001158A">
        <w:t>the Potential Provider to</w:t>
      </w:r>
      <w:r w:rsidR="004912AB">
        <w:t xml:space="preserve"> input </w:t>
      </w:r>
      <w:r w:rsidR="00E703C6">
        <w:t xml:space="preserve">technology and infrastructure </w:t>
      </w:r>
      <w:r w:rsidR="00DE088D">
        <w:t>overhead and profit</w:t>
      </w:r>
      <w:r w:rsidR="0001158A">
        <w:t xml:space="preserve"> percentages</w:t>
      </w:r>
      <w:r w:rsidR="00DE088D">
        <w:t xml:space="preserve">.  </w:t>
      </w:r>
      <w:r w:rsidR="00F069FF">
        <w:t>Table 1.B (iii) does not require input</w:t>
      </w:r>
      <w:r w:rsidR="00DE088D">
        <w:t xml:space="preserve"> but instead shows the total mobilisation costs including overhead and profit. </w:t>
      </w:r>
    </w:p>
    <w:p w14:paraId="1656418A" w14:textId="77777777" w:rsidR="00813AB4" w:rsidRPr="00120B31" w:rsidRDefault="00331C7E" w:rsidP="000F4D3A">
      <w:pPr>
        <w:pStyle w:val="Heading3"/>
        <w:numPr>
          <w:ilvl w:val="2"/>
          <w:numId w:val="59"/>
        </w:numPr>
        <w:spacing w:line="276" w:lineRule="auto"/>
      </w:pPr>
      <w:r w:rsidRPr="00331C7E">
        <w:rPr>
          <w:b/>
        </w:rPr>
        <w:t>Total Cost (</w:t>
      </w:r>
      <w:r w:rsidR="0091443B">
        <w:rPr>
          <w:b/>
        </w:rPr>
        <w:t xml:space="preserve">Service </w:t>
      </w:r>
      <w:r w:rsidRPr="0033764D">
        <w:rPr>
          <w:b/>
        </w:rPr>
        <w:t>Delivery</w:t>
      </w:r>
      <w:r w:rsidR="00E703C6" w:rsidRPr="00B35210">
        <w:rPr>
          <w:b/>
        </w:rPr>
        <w:t xml:space="preserve"> and Mobilisation</w:t>
      </w:r>
      <w:r w:rsidR="004912AB">
        <w:t>)</w:t>
      </w:r>
      <w:r w:rsidR="00813AB4" w:rsidRPr="00120B31">
        <w:t>:</w:t>
      </w:r>
      <w:r w:rsidR="0001158A">
        <w:t xml:space="preserve"> </w:t>
      </w:r>
      <w:r w:rsidR="00C939F8">
        <w:t xml:space="preserve">This section requires no input. </w:t>
      </w:r>
      <w:r w:rsidR="00DE088D">
        <w:t>Table 1</w:t>
      </w:r>
      <w:r w:rsidR="00400055">
        <w:t>.</w:t>
      </w:r>
      <w:r w:rsidR="00DE088D">
        <w:t>C (</w:t>
      </w:r>
      <w:proofErr w:type="spellStart"/>
      <w:r w:rsidR="00DE088D">
        <w:t>i</w:t>
      </w:r>
      <w:proofErr w:type="spellEnd"/>
      <w:r w:rsidR="00DE088D">
        <w:t>)</w:t>
      </w:r>
      <w:r w:rsidR="00813AB4" w:rsidRPr="00120B31">
        <w:t xml:space="preserve"> </w:t>
      </w:r>
      <w:r w:rsidR="004912AB">
        <w:t>provides</w:t>
      </w:r>
      <w:r w:rsidR="00813AB4" w:rsidRPr="00120B31">
        <w:t xml:space="preserve"> </w:t>
      </w:r>
      <w:r w:rsidR="004912AB">
        <w:t xml:space="preserve">a breakdown of cost components and </w:t>
      </w:r>
      <w:r w:rsidR="00813AB4" w:rsidRPr="00120B31">
        <w:t>total costs (i.e. the combination of the outputs in Tables 1.A</w:t>
      </w:r>
      <w:r w:rsidR="002F5158">
        <w:t xml:space="preserve"> (iii)</w:t>
      </w:r>
      <w:r w:rsidR="00341991">
        <w:t>, 1.</w:t>
      </w:r>
      <w:r w:rsidR="002F5158">
        <w:t>B (iii)</w:t>
      </w:r>
      <w:r w:rsidR="00DE088D">
        <w:t>.</w:t>
      </w:r>
      <w:r w:rsidR="00813AB4" w:rsidRPr="00120B31">
        <w:t xml:space="preserve"> </w:t>
      </w:r>
      <w:r w:rsidR="00DE088D">
        <w:t xml:space="preserve">  Table 1</w:t>
      </w:r>
      <w:r w:rsidR="00400055">
        <w:t>.</w:t>
      </w:r>
      <w:r w:rsidR="00DE088D">
        <w:t xml:space="preserve">C (ii) </w:t>
      </w:r>
      <w:r w:rsidR="00C939F8">
        <w:t>is based on input from Tab 7 – Efficiency savings</w:t>
      </w:r>
      <w:r w:rsidR="006F1E86">
        <w:t xml:space="preserve"> and provides a summary of the Potential Providers year on year efficiency percentages and cost saving</w:t>
      </w:r>
      <w:r w:rsidR="00C939F8">
        <w:t>.  Table 1</w:t>
      </w:r>
      <w:r w:rsidR="00400055">
        <w:t>.</w:t>
      </w:r>
      <w:r w:rsidR="00C939F8">
        <w:t>C (iii) provi</w:t>
      </w:r>
      <w:r w:rsidR="00C07496">
        <w:t>des a summary of the</w:t>
      </w:r>
      <w:r w:rsidR="00FA2FA1">
        <w:t xml:space="preserve"> 4-</w:t>
      </w:r>
      <w:r w:rsidR="00C07496">
        <w:t>year costs, inc</w:t>
      </w:r>
      <w:r w:rsidR="000C1E6A">
        <w:t>luding efficiency savings from y</w:t>
      </w:r>
      <w:r w:rsidR="00C07496">
        <w:t>ear</w:t>
      </w:r>
      <w:r w:rsidR="006F1E86">
        <w:t xml:space="preserve"> </w:t>
      </w:r>
      <w:r w:rsidR="00FA2FA1">
        <w:t xml:space="preserve">2 onwards, and </w:t>
      </w:r>
      <w:r w:rsidR="006F1E86">
        <w:t>mobilisation costs</w:t>
      </w:r>
      <w:r w:rsidR="00FA2FA1">
        <w:rPr>
          <w:rStyle w:val="CommentReference"/>
          <w:rFonts w:asciiTheme="minorHAnsi" w:eastAsiaTheme="minorEastAsia" w:hAnsiTheme="minorHAnsi" w:cstheme="minorBidi"/>
          <w:lang w:eastAsia="en-GB"/>
        </w:rPr>
        <w:t>.</w:t>
      </w:r>
    </w:p>
    <w:p w14:paraId="061D0A4D" w14:textId="77777777" w:rsidR="00813AB4" w:rsidRPr="00120B31" w:rsidRDefault="002F5158" w:rsidP="000F4D3A">
      <w:pPr>
        <w:pStyle w:val="Heading3"/>
        <w:numPr>
          <w:ilvl w:val="2"/>
          <w:numId w:val="59"/>
        </w:numPr>
        <w:spacing w:line="276" w:lineRule="auto"/>
      </w:pPr>
      <w:r>
        <w:rPr>
          <w:b/>
        </w:rPr>
        <w:t xml:space="preserve">Unit Rates for Pricing of </w:t>
      </w:r>
      <w:r w:rsidR="00DC1F9E">
        <w:rPr>
          <w:b/>
        </w:rPr>
        <w:t>Revised</w:t>
      </w:r>
      <w:r>
        <w:rPr>
          <w:b/>
        </w:rPr>
        <w:t xml:space="preserve"> Helpdesk</w:t>
      </w:r>
      <w:r w:rsidR="00DC1F9E">
        <w:rPr>
          <w:b/>
        </w:rPr>
        <w:t xml:space="preserve"> Cost</w:t>
      </w:r>
      <w:r w:rsidR="00331C7E" w:rsidRPr="00331C7E">
        <w:rPr>
          <w:b/>
        </w:rPr>
        <w:t>:</w:t>
      </w:r>
      <w:r w:rsidR="00066AA7" w:rsidRPr="00066AA7">
        <w:t xml:space="preserve"> Table</w:t>
      </w:r>
      <w:r w:rsidR="00354E3E">
        <w:t xml:space="preserve"> 1.D</w:t>
      </w:r>
      <w:r w:rsidR="00066AA7" w:rsidRPr="00066AA7">
        <w:t xml:space="preserve"> does not require any input but instead summarises the standard unit costs for each Helpdesk activity type.</w:t>
      </w:r>
      <w:r w:rsidR="00813AB4" w:rsidRPr="00120B31">
        <w:t xml:space="preserve"> </w:t>
      </w:r>
    </w:p>
    <w:p w14:paraId="2320E42C" w14:textId="77777777" w:rsidR="00066AA7" w:rsidRPr="003538F0" w:rsidRDefault="00331C7E" w:rsidP="000F4D3A">
      <w:pPr>
        <w:pStyle w:val="Heading3"/>
        <w:numPr>
          <w:ilvl w:val="2"/>
          <w:numId w:val="59"/>
        </w:numPr>
        <w:spacing w:line="276" w:lineRule="auto"/>
        <w:rPr>
          <w:b/>
          <w:caps/>
        </w:rPr>
      </w:pPr>
      <w:r w:rsidRPr="00331C7E">
        <w:rPr>
          <w:b/>
        </w:rPr>
        <w:t>Cost per m</w:t>
      </w:r>
      <w:r w:rsidRPr="00331C7E">
        <w:rPr>
          <w:rFonts w:ascii="Calibri" w:hAnsi="Calibri"/>
          <w:b/>
        </w:rPr>
        <w:t>²</w:t>
      </w:r>
      <w:r w:rsidRPr="00331C7E">
        <w:rPr>
          <w:b/>
        </w:rPr>
        <w:t>:</w:t>
      </w:r>
      <w:r w:rsidR="00066AA7">
        <w:t xml:space="preserve"> </w:t>
      </w:r>
      <w:r w:rsidR="00DC1F9E">
        <w:t>Table 1.E</w:t>
      </w:r>
      <w:r w:rsidR="00FA2FA1">
        <w:t xml:space="preserve"> </w:t>
      </w:r>
      <w:r w:rsidR="00066AA7">
        <w:t>requires no input but instead provides a summary of costs per m</w:t>
      </w:r>
      <w:r w:rsidR="00066AA7">
        <w:rPr>
          <w:rFonts w:ascii="Calibri" w:hAnsi="Calibri"/>
        </w:rPr>
        <w:t>²</w:t>
      </w:r>
      <w:r w:rsidR="00066AA7">
        <w:t xml:space="preserve"> based on the Total </w:t>
      </w:r>
      <w:r w:rsidR="00DC1F9E">
        <w:t>Year 1 Lump Sum Price</w:t>
      </w:r>
      <w:r w:rsidR="00066AA7">
        <w:t xml:space="preserve"> and the Gross Internal Area data provided in Tab 2 – </w:t>
      </w:r>
      <w:proofErr w:type="spellStart"/>
      <w:r w:rsidR="00066AA7">
        <w:t>Datapack</w:t>
      </w:r>
      <w:proofErr w:type="spellEnd"/>
      <w:r w:rsidR="00066AA7">
        <w:t>.</w:t>
      </w:r>
    </w:p>
    <w:p w14:paraId="3FDE284D" w14:textId="77777777" w:rsidR="006B6332" w:rsidRPr="003538F0" w:rsidRDefault="006B6332" w:rsidP="000F4D3A">
      <w:pPr>
        <w:pStyle w:val="Heading3"/>
        <w:numPr>
          <w:ilvl w:val="2"/>
          <w:numId w:val="59"/>
        </w:numPr>
        <w:spacing w:line="276" w:lineRule="auto"/>
        <w:rPr>
          <w:caps/>
        </w:rPr>
      </w:pPr>
      <w:r>
        <w:rPr>
          <w:b/>
        </w:rPr>
        <w:t xml:space="preserve">Pricing Evaluation: </w:t>
      </w:r>
      <w:r w:rsidRPr="003538F0">
        <w:t>Table 1</w:t>
      </w:r>
      <w:r w:rsidR="00400055">
        <w:t>.</w:t>
      </w:r>
      <w:r w:rsidR="00DC1F9E">
        <w:t>F</w:t>
      </w:r>
      <w:r w:rsidRPr="003538F0">
        <w:t xml:space="preserve"> does not require any input but instead summarises the Total </w:t>
      </w:r>
      <w:r w:rsidR="00DC1F9E">
        <w:t>Contract C</w:t>
      </w:r>
      <w:r w:rsidRPr="003538F0">
        <w:t>ost over 4 years including mobilisation</w:t>
      </w:r>
      <w:r w:rsidR="00390331">
        <w:t xml:space="preserve"> costs.</w:t>
      </w:r>
    </w:p>
    <w:p w14:paraId="48BCF447" w14:textId="77777777" w:rsidR="00813AB4" w:rsidRPr="00390331" w:rsidRDefault="00331C7E" w:rsidP="000F4D3A">
      <w:pPr>
        <w:pStyle w:val="Heading2"/>
        <w:numPr>
          <w:ilvl w:val="1"/>
          <w:numId w:val="59"/>
        </w:numPr>
        <w:spacing w:line="276" w:lineRule="auto"/>
        <w:rPr>
          <w:b/>
          <w:lang w:bidi="hi-IN"/>
        </w:rPr>
      </w:pPr>
      <w:proofErr w:type="spellStart"/>
      <w:r w:rsidRPr="00390331">
        <w:rPr>
          <w:b/>
          <w:lang w:bidi="hi-IN"/>
        </w:rPr>
        <w:t>Datapack</w:t>
      </w:r>
      <w:proofErr w:type="spellEnd"/>
    </w:p>
    <w:p w14:paraId="13F42DA0" w14:textId="77777777" w:rsidR="00813AB4" w:rsidRPr="00552A86" w:rsidRDefault="00813AB4" w:rsidP="000F4D3A">
      <w:pPr>
        <w:pStyle w:val="Heading3"/>
        <w:numPr>
          <w:ilvl w:val="2"/>
          <w:numId w:val="59"/>
        </w:numPr>
        <w:spacing w:line="276" w:lineRule="auto"/>
      </w:pPr>
      <w:r w:rsidRPr="009B1283">
        <w:rPr>
          <w:rFonts w:eastAsiaTheme="minorHAnsi" w:cs="Arial"/>
          <w:lang w:eastAsia="en-US"/>
        </w:rPr>
        <w:t xml:space="preserve">The </w:t>
      </w:r>
      <w:proofErr w:type="spellStart"/>
      <w:r w:rsidR="005E2BB7">
        <w:rPr>
          <w:rFonts w:eastAsiaTheme="minorHAnsi" w:cs="Arial"/>
          <w:lang w:eastAsia="en-US"/>
        </w:rPr>
        <w:t>Datapack</w:t>
      </w:r>
      <w:proofErr w:type="spellEnd"/>
      <w:r w:rsidRPr="009B1283">
        <w:rPr>
          <w:rFonts w:eastAsiaTheme="minorHAnsi" w:cs="Arial"/>
          <w:lang w:eastAsia="en-US"/>
        </w:rPr>
        <w:t xml:space="preserve"> Tab does not require any </w:t>
      </w:r>
      <w:r>
        <w:rPr>
          <w:rFonts w:eastAsiaTheme="minorHAnsi" w:cs="Arial"/>
          <w:lang w:eastAsia="en-US"/>
        </w:rPr>
        <w:t>Potential Provider</w:t>
      </w:r>
      <w:r w:rsidRPr="009B1283">
        <w:rPr>
          <w:rFonts w:eastAsiaTheme="minorHAnsi" w:cs="Arial"/>
          <w:lang w:eastAsia="en-US"/>
        </w:rPr>
        <w:t xml:space="preserve"> input</w:t>
      </w:r>
      <w:r w:rsidR="00C07496">
        <w:rPr>
          <w:rFonts w:eastAsiaTheme="minorHAnsi" w:cs="Arial"/>
          <w:lang w:eastAsia="en-US"/>
        </w:rPr>
        <w:t>.</w:t>
      </w:r>
    </w:p>
    <w:p w14:paraId="198700D5" w14:textId="77777777" w:rsidR="00813AB4" w:rsidRPr="00552A86" w:rsidRDefault="00813AB4" w:rsidP="000F4D3A">
      <w:pPr>
        <w:pStyle w:val="Heading3"/>
        <w:numPr>
          <w:ilvl w:val="2"/>
          <w:numId w:val="59"/>
        </w:numPr>
        <w:spacing w:line="276" w:lineRule="auto"/>
        <w:rPr>
          <w:b/>
          <w:caps/>
          <w:u w:val="single"/>
        </w:rPr>
      </w:pPr>
      <w:r w:rsidRPr="00F17A15">
        <w:t>This tab sets</w:t>
      </w:r>
      <w:r w:rsidR="005E2BB7">
        <w:t xml:space="preserve"> a scenario</w:t>
      </w:r>
      <w:r w:rsidRPr="00F17A15">
        <w:t xml:space="preserve"> based on actual Contracting Body data. </w:t>
      </w:r>
      <w:r w:rsidR="005E2BB7">
        <w:t xml:space="preserve">The </w:t>
      </w:r>
      <w:r w:rsidRPr="00F17A15">
        <w:t xml:space="preserve">scenario has a defined list of activities and estate data. The Potential Provider is to review </w:t>
      </w:r>
      <w:r w:rsidR="005E2BB7">
        <w:t xml:space="preserve">the </w:t>
      </w:r>
      <w:r w:rsidRPr="00F17A15">
        <w:t xml:space="preserve">scenario and base their workings and costs in accordance with the requirements and volumes of activities as </w:t>
      </w:r>
      <w:r w:rsidR="001025C0">
        <w:t>defined.</w:t>
      </w:r>
    </w:p>
    <w:p w14:paraId="6B37BD93" w14:textId="5B364B0D" w:rsidR="00813AB4" w:rsidRPr="005E2BB7" w:rsidRDefault="00331C7E" w:rsidP="000F4D3A">
      <w:pPr>
        <w:pStyle w:val="Heading2"/>
        <w:numPr>
          <w:ilvl w:val="1"/>
          <w:numId w:val="59"/>
        </w:numPr>
        <w:spacing w:line="276" w:lineRule="auto"/>
        <w:rPr>
          <w:b/>
          <w:lang w:bidi="hi-IN"/>
        </w:rPr>
      </w:pPr>
      <w:r w:rsidRPr="00331C7E">
        <w:rPr>
          <w:b/>
          <w:lang w:bidi="hi-IN"/>
        </w:rPr>
        <w:t xml:space="preserve">Staff </w:t>
      </w:r>
      <w:r w:rsidR="00425939">
        <w:rPr>
          <w:b/>
          <w:lang w:bidi="hi-IN"/>
        </w:rPr>
        <w:t>R</w:t>
      </w:r>
      <w:r w:rsidRPr="00331C7E">
        <w:rPr>
          <w:b/>
          <w:lang w:bidi="hi-IN"/>
        </w:rPr>
        <w:t>ates</w:t>
      </w:r>
      <w:r w:rsidR="00425939">
        <w:rPr>
          <w:b/>
          <w:lang w:bidi="hi-IN"/>
        </w:rPr>
        <w:t xml:space="preserve"> – two tabs</w:t>
      </w:r>
      <w:r w:rsidR="00CC6DA7">
        <w:rPr>
          <w:b/>
          <w:lang w:bidi="hi-IN"/>
        </w:rPr>
        <w:t xml:space="preserve"> for non TUPE</w:t>
      </w:r>
      <w:r w:rsidR="00425939">
        <w:rPr>
          <w:b/>
          <w:lang w:bidi="hi-IN"/>
        </w:rPr>
        <w:t xml:space="preserve"> and including TUPE costs</w:t>
      </w:r>
    </w:p>
    <w:p w14:paraId="67EC713B" w14:textId="4BD58D72" w:rsidR="00425939" w:rsidRPr="0033764D" w:rsidRDefault="00425939" w:rsidP="000F4D3A">
      <w:pPr>
        <w:pStyle w:val="Heading3"/>
        <w:numPr>
          <w:ilvl w:val="2"/>
          <w:numId w:val="59"/>
        </w:numPr>
        <w:spacing w:line="276" w:lineRule="auto"/>
        <w:rPr>
          <w:b/>
          <w:caps/>
        </w:rPr>
      </w:pPr>
      <w:r>
        <w:t xml:space="preserve">Both Staff Tabs 3a </w:t>
      </w:r>
      <w:r w:rsidR="00CC6DA7">
        <w:t>non</w:t>
      </w:r>
      <w:r>
        <w:t xml:space="preserve"> TUPE and 3b including TUPE must be completed. Note that 3a </w:t>
      </w:r>
      <w:r w:rsidR="00CC6DA7">
        <w:t xml:space="preserve">non </w:t>
      </w:r>
      <w:r>
        <w:t>TUPE will link to the Summary tab. 3b including TUPE will be provided for information only within the Cost Model, and will confirm the maximum rates applied by the Potential Provider in this space. The following instruction applies to both Staff Tabs.</w:t>
      </w:r>
      <w:r w:rsidRPr="009B1283">
        <w:t xml:space="preserve"> </w:t>
      </w:r>
    </w:p>
    <w:p w14:paraId="54709435" w14:textId="4FB8FA51" w:rsidR="00813AB4" w:rsidRPr="009B1283" w:rsidRDefault="00813AB4" w:rsidP="000F4D3A">
      <w:pPr>
        <w:pStyle w:val="Heading3"/>
        <w:numPr>
          <w:ilvl w:val="2"/>
          <w:numId w:val="59"/>
        </w:numPr>
        <w:spacing w:line="276" w:lineRule="auto"/>
        <w:rPr>
          <w:b/>
          <w:caps/>
        </w:rPr>
      </w:pPr>
      <w:r w:rsidRPr="009B1283">
        <w:t>The Staff Rate Tab</w:t>
      </w:r>
      <w:r w:rsidR="00425939">
        <w:t>s are</w:t>
      </w:r>
      <w:r w:rsidRPr="009B1283">
        <w:t xml:space="preserve"> composed of two tables: Table 3.A Service Delivery </w:t>
      </w:r>
      <w:r w:rsidR="00D705B4">
        <w:t xml:space="preserve">Team </w:t>
      </w:r>
      <w:r w:rsidRPr="009B1283">
        <w:t>and Table 3.B Mobilisation</w:t>
      </w:r>
      <w:r w:rsidR="00D705B4">
        <w:t xml:space="preserve"> Team</w:t>
      </w:r>
      <w:r w:rsidR="003C3618">
        <w:t>.</w:t>
      </w:r>
    </w:p>
    <w:p w14:paraId="7DF28CFE" w14:textId="77777777" w:rsidR="00813AB4" w:rsidRPr="009B1283" w:rsidRDefault="00813AB4" w:rsidP="000F4D3A">
      <w:pPr>
        <w:pStyle w:val="Heading3"/>
        <w:numPr>
          <w:ilvl w:val="2"/>
          <w:numId w:val="59"/>
        </w:numPr>
        <w:spacing w:line="276" w:lineRule="auto"/>
        <w:rPr>
          <w:b/>
          <w:caps/>
        </w:rPr>
      </w:pPr>
      <w:r w:rsidRPr="009B1283">
        <w:t>This allows for the build-up of the cost of labour.  Costs exclude corporate overheads and profit as these should be defined in t</w:t>
      </w:r>
      <w:r w:rsidR="001025C0">
        <w:t>he Tables 1.A(</w:t>
      </w:r>
      <w:proofErr w:type="spellStart"/>
      <w:r w:rsidR="001025C0">
        <w:t>i</w:t>
      </w:r>
      <w:proofErr w:type="spellEnd"/>
      <w:r w:rsidR="001025C0">
        <w:t>)</w:t>
      </w:r>
      <w:r w:rsidR="00D705B4">
        <w:t xml:space="preserve"> and (ii)</w:t>
      </w:r>
      <w:r w:rsidR="001025C0">
        <w:t xml:space="preserve"> and 1.B(</w:t>
      </w:r>
      <w:proofErr w:type="spellStart"/>
      <w:r w:rsidR="001025C0">
        <w:t>i</w:t>
      </w:r>
      <w:proofErr w:type="spellEnd"/>
      <w:r w:rsidR="001025C0">
        <w:t xml:space="preserve">) </w:t>
      </w:r>
      <w:r w:rsidR="00D705B4">
        <w:t xml:space="preserve">and (ii) </w:t>
      </w:r>
      <w:r w:rsidR="001025C0">
        <w:t xml:space="preserve">in the </w:t>
      </w:r>
      <w:r w:rsidRPr="009B1283">
        <w:t>Summary tab.</w:t>
      </w:r>
    </w:p>
    <w:p w14:paraId="5D17E103" w14:textId="77777777" w:rsidR="00085EC2" w:rsidRPr="00085EC2" w:rsidRDefault="00813AB4" w:rsidP="000F4D3A">
      <w:pPr>
        <w:pStyle w:val="Heading3"/>
        <w:numPr>
          <w:ilvl w:val="2"/>
          <w:numId w:val="59"/>
        </w:numPr>
        <w:spacing w:line="276" w:lineRule="auto"/>
        <w:rPr>
          <w:b/>
          <w:caps/>
        </w:rPr>
      </w:pPr>
      <w:r w:rsidRPr="009B1283">
        <w:t xml:space="preserve">The </w:t>
      </w:r>
      <w:r>
        <w:t>Potential Provider</w:t>
      </w:r>
      <w:r w:rsidRPr="009B1283">
        <w:t xml:space="preserve"> is to insert the role titles of the personnel they believe are required to deliver the service in Table 3.A</w:t>
      </w:r>
      <w:r w:rsidR="00085EC2">
        <w:t>. The Potential Provider should also include the role titles for r</w:t>
      </w:r>
      <w:r w:rsidR="00085EC2" w:rsidRPr="00085EC2">
        <w:t xml:space="preserve">oles not required for the routine delivery of the services </w:t>
      </w:r>
      <w:r w:rsidR="00085EC2">
        <w:t xml:space="preserve">but </w:t>
      </w:r>
      <w:r w:rsidR="00085EC2" w:rsidRPr="00085EC2">
        <w:t>which may be requested to deliver specialist and / or Ad-Hoc services to meet the</w:t>
      </w:r>
      <w:r w:rsidR="00085EC2">
        <w:t xml:space="preserve"> needs of the Contracting Body. </w:t>
      </w:r>
    </w:p>
    <w:p w14:paraId="782009ED" w14:textId="77777777" w:rsidR="00085EC2" w:rsidRPr="009B1283" w:rsidRDefault="00085EC2" w:rsidP="000F4D3A">
      <w:pPr>
        <w:pStyle w:val="Heading3"/>
        <w:numPr>
          <w:ilvl w:val="2"/>
          <w:numId w:val="59"/>
        </w:numPr>
        <w:spacing w:line="276" w:lineRule="auto"/>
        <w:rPr>
          <w:b/>
          <w:caps/>
        </w:rPr>
      </w:pPr>
      <w:r>
        <w:t>Potential Providers must</w:t>
      </w:r>
      <w:r w:rsidRPr="00085EC2">
        <w:t xml:space="preserve"> </w:t>
      </w:r>
      <w:r>
        <w:t>also</w:t>
      </w:r>
      <w:r w:rsidRPr="00085EC2">
        <w:t xml:space="preserve"> </w:t>
      </w:r>
      <w:r w:rsidRPr="009B1283">
        <w:t>populate the hourly direct cost</w:t>
      </w:r>
      <w:r>
        <w:t>s</w:t>
      </w:r>
      <w:r w:rsidRPr="009B1283">
        <w:t xml:space="preserve"> of employing each role </w:t>
      </w:r>
      <w:r>
        <w:t>and percentage pension contribution</w:t>
      </w:r>
      <w:r w:rsidR="000C1E6A">
        <w:t>.</w:t>
      </w:r>
    </w:p>
    <w:p w14:paraId="0029C123" w14:textId="77777777" w:rsidR="00813AB4" w:rsidRPr="00085EC2" w:rsidRDefault="00085EC2" w:rsidP="000F4D3A">
      <w:pPr>
        <w:pStyle w:val="Heading3"/>
        <w:numPr>
          <w:ilvl w:val="2"/>
          <w:numId w:val="59"/>
        </w:numPr>
        <w:spacing w:line="276" w:lineRule="auto"/>
        <w:rPr>
          <w:b/>
          <w:caps/>
        </w:rPr>
      </w:pPr>
      <w:r>
        <w:t xml:space="preserve">Potential Providers should insert </w:t>
      </w:r>
      <w:r w:rsidR="001025C0">
        <w:t>the role titles of the</w:t>
      </w:r>
      <w:r w:rsidR="00813AB4" w:rsidRPr="009B1283">
        <w:t xml:space="preserve"> personnel they </w:t>
      </w:r>
      <w:r w:rsidR="001025C0">
        <w:t>believe will be required</w:t>
      </w:r>
      <w:r w:rsidR="00813AB4" w:rsidRPr="009B1283">
        <w:t xml:space="preserve"> during mobilisation in Table 3.B</w:t>
      </w:r>
    </w:p>
    <w:p w14:paraId="5CE30EE4" w14:textId="77777777" w:rsidR="00813AB4" w:rsidRPr="009B1283" w:rsidRDefault="00813AB4" w:rsidP="000F4D3A">
      <w:pPr>
        <w:pStyle w:val="Heading3"/>
        <w:numPr>
          <w:ilvl w:val="2"/>
          <w:numId w:val="59"/>
        </w:numPr>
        <w:spacing w:line="276" w:lineRule="auto"/>
        <w:rPr>
          <w:b/>
          <w:caps/>
        </w:rPr>
      </w:pPr>
      <w:r>
        <w:t>Potential Provider</w:t>
      </w:r>
      <w:r w:rsidRPr="009B1283">
        <w:t xml:space="preserve">s must </w:t>
      </w:r>
      <w:r w:rsidR="001025C0">
        <w:t xml:space="preserve">also </w:t>
      </w:r>
      <w:r w:rsidRPr="009B1283">
        <w:t>populate the hourly direct cost</w:t>
      </w:r>
      <w:r w:rsidR="001025C0">
        <w:t>s</w:t>
      </w:r>
      <w:r w:rsidRPr="009B1283">
        <w:t xml:space="preserve"> of employing each role </w:t>
      </w:r>
      <w:r w:rsidR="001025C0">
        <w:t>and percentage pension contribution</w:t>
      </w:r>
      <w:r w:rsidR="000C1E6A">
        <w:t>.</w:t>
      </w:r>
    </w:p>
    <w:p w14:paraId="0DBF1CFF" w14:textId="77777777" w:rsidR="00813AB4" w:rsidRPr="005E2BB7" w:rsidRDefault="00331C7E" w:rsidP="000F4D3A">
      <w:pPr>
        <w:pStyle w:val="Heading2"/>
        <w:numPr>
          <w:ilvl w:val="1"/>
          <w:numId w:val="59"/>
        </w:numPr>
        <w:spacing w:line="276" w:lineRule="auto"/>
        <w:rPr>
          <w:b/>
          <w:lang w:bidi="hi-IN"/>
        </w:rPr>
      </w:pPr>
      <w:r w:rsidRPr="00331C7E">
        <w:rPr>
          <w:b/>
          <w:lang w:bidi="hi-IN"/>
        </w:rPr>
        <w:lastRenderedPageBreak/>
        <w:t>Activity Costs</w:t>
      </w:r>
    </w:p>
    <w:p w14:paraId="77C80E2B" w14:textId="77777777" w:rsidR="00813AB4" w:rsidRPr="009B1283" w:rsidRDefault="00813AB4" w:rsidP="000F4D3A">
      <w:pPr>
        <w:pStyle w:val="Heading3"/>
        <w:numPr>
          <w:ilvl w:val="2"/>
          <w:numId w:val="59"/>
        </w:numPr>
        <w:spacing w:line="276" w:lineRule="auto"/>
        <w:rPr>
          <w:b/>
          <w:caps/>
        </w:rPr>
      </w:pPr>
      <w:r w:rsidRPr="009B1283">
        <w:t xml:space="preserve">The key activities of the </w:t>
      </w:r>
      <w:r>
        <w:t>Schedule 2 (Services and Key Performance Indicators)</w:t>
      </w:r>
      <w:r w:rsidRPr="009B1283">
        <w:t xml:space="preserve"> have already been populated in this tab, however the</w:t>
      </w:r>
      <w:r w:rsidR="001A1C92">
        <w:t xml:space="preserve">se cells may be </w:t>
      </w:r>
      <w:r w:rsidR="00405AAD">
        <w:t xml:space="preserve">further </w:t>
      </w:r>
      <w:r w:rsidR="001A1C92">
        <w:t xml:space="preserve">populated at </w:t>
      </w:r>
      <w:r w:rsidR="00D705B4">
        <w:t>Call Off</w:t>
      </w:r>
      <w:r w:rsidR="001A1C92">
        <w:t xml:space="preserve"> </w:t>
      </w:r>
      <w:r w:rsidR="00D705B4">
        <w:t xml:space="preserve">stage </w:t>
      </w:r>
      <w:r w:rsidR="001A1C92">
        <w:t>to capture more detailed activities.</w:t>
      </w:r>
    </w:p>
    <w:p w14:paraId="50D475EA" w14:textId="77777777" w:rsidR="00813AB4" w:rsidRPr="009B1283" w:rsidRDefault="00813AB4" w:rsidP="000F4D3A">
      <w:pPr>
        <w:pStyle w:val="Heading3"/>
        <w:numPr>
          <w:ilvl w:val="2"/>
          <w:numId w:val="59"/>
        </w:numPr>
        <w:spacing w:line="276" w:lineRule="auto"/>
        <w:rPr>
          <w:b/>
          <w:caps/>
        </w:rPr>
      </w:pPr>
      <w:r w:rsidRPr="009B1283">
        <w:t xml:space="preserve">Using the drop down menu, the </w:t>
      </w:r>
      <w:r>
        <w:t>Potential Provider</w:t>
      </w:r>
      <w:r w:rsidRPr="009B1283">
        <w:t xml:space="preserve"> is to select the role they believe is required to achieve the defined activity. The drop down menu is linked back to the </w:t>
      </w:r>
      <w:r>
        <w:t>Potential Provider</w:t>
      </w:r>
      <w:r w:rsidRPr="009B1283">
        <w:t xml:space="preserve">'s own role titles as defined in tab 3, 'Staff Rates'. </w:t>
      </w:r>
    </w:p>
    <w:p w14:paraId="01BC7A3D" w14:textId="77777777" w:rsidR="00813AB4" w:rsidRPr="00085EC2" w:rsidRDefault="00813AB4" w:rsidP="000F4D3A">
      <w:pPr>
        <w:pStyle w:val="Heading3"/>
        <w:numPr>
          <w:ilvl w:val="2"/>
          <w:numId w:val="59"/>
        </w:numPr>
        <w:spacing w:line="276" w:lineRule="auto"/>
        <w:rPr>
          <w:b/>
          <w:caps/>
        </w:rPr>
      </w:pPr>
      <w:r w:rsidRPr="009B1283">
        <w:t xml:space="preserve">The </w:t>
      </w:r>
      <w:r>
        <w:t>Potential Provider</w:t>
      </w:r>
      <w:r w:rsidRPr="009B1283">
        <w:t xml:space="preserve"> must also insert the number of hours (per </w:t>
      </w:r>
      <w:r w:rsidR="00646F6D">
        <w:t>month) that</w:t>
      </w:r>
      <w:r w:rsidRPr="009B1283">
        <w:t xml:space="preserve"> is required against each role to achieve the defined activity, </w:t>
      </w:r>
      <w:r w:rsidR="006E1617">
        <w:t xml:space="preserve">based on the information contained within the </w:t>
      </w:r>
      <w:proofErr w:type="spellStart"/>
      <w:r w:rsidR="006E1617">
        <w:t>Datapack</w:t>
      </w:r>
      <w:proofErr w:type="spellEnd"/>
      <w:r w:rsidR="006E1617">
        <w:t>.</w:t>
      </w:r>
      <w:r w:rsidR="00405AAD">
        <w:t xml:space="preserve"> </w:t>
      </w:r>
      <w:r w:rsidR="00646F6D">
        <w:t>These hours are then automatically annualised within the Summary tab.</w:t>
      </w:r>
    </w:p>
    <w:p w14:paraId="36AA1CAD" w14:textId="77777777" w:rsidR="00085EC2" w:rsidRPr="00085EC2" w:rsidRDefault="00331C7E" w:rsidP="000F4D3A">
      <w:pPr>
        <w:pStyle w:val="Heading3"/>
        <w:numPr>
          <w:ilvl w:val="2"/>
          <w:numId w:val="59"/>
        </w:numPr>
        <w:spacing w:line="276" w:lineRule="auto"/>
        <w:rPr>
          <w:caps/>
        </w:rPr>
      </w:pPr>
      <w:r w:rsidRPr="00331C7E">
        <w:t xml:space="preserve">To avoid double counting, where </w:t>
      </w:r>
      <w:r w:rsidR="00085EC2">
        <w:t>PPM</w:t>
      </w:r>
      <w:r w:rsidRPr="00331C7E">
        <w:t xml:space="preserve"> works arising ge</w:t>
      </w:r>
      <w:r w:rsidR="00D903E4" w:rsidRPr="00D903E4">
        <w:t xml:space="preserve">nerates calls that result in a </w:t>
      </w:r>
      <w:r w:rsidR="00D903E4">
        <w:t>W</w:t>
      </w:r>
      <w:r w:rsidR="00D903E4" w:rsidRPr="00D903E4">
        <w:t xml:space="preserve">ork </w:t>
      </w:r>
      <w:r w:rsidR="00D903E4">
        <w:t>O</w:t>
      </w:r>
      <w:r w:rsidRPr="00331C7E">
        <w:t>rder, these should be recorded</w:t>
      </w:r>
      <w:r w:rsidR="00085EC2" w:rsidRPr="00D903E4">
        <w:t xml:space="preserve"> under </w:t>
      </w:r>
      <w:r w:rsidR="00085EC2">
        <w:t>C</w:t>
      </w:r>
      <w:r w:rsidR="00085EC2" w:rsidRPr="00D903E4">
        <w:t xml:space="preserve">all </w:t>
      </w:r>
      <w:r w:rsidR="00085EC2">
        <w:t>T</w:t>
      </w:r>
      <w:r w:rsidRPr="00331C7E">
        <w:t xml:space="preserve">ype 2.  All other </w:t>
      </w:r>
      <w:r w:rsidR="00085EC2">
        <w:t>PPM</w:t>
      </w:r>
      <w:r w:rsidRPr="00331C7E">
        <w:t xml:space="preserve"> related outbound </w:t>
      </w:r>
      <w:r w:rsidR="00D903E4" w:rsidRPr="00D903E4">
        <w:t xml:space="preserve">calls should be recorded under </w:t>
      </w:r>
      <w:r w:rsidR="00D903E4">
        <w:t>A</w:t>
      </w:r>
      <w:r w:rsidR="00D903E4" w:rsidRPr="00D903E4">
        <w:t xml:space="preserve">sset </w:t>
      </w:r>
      <w:r w:rsidR="00D903E4">
        <w:t>M</w:t>
      </w:r>
      <w:r w:rsidRPr="00331C7E">
        <w:t xml:space="preserve">anagement and </w:t>
      </w:r>
      <w:r w:rsidR="00085EC2">
        <w:t xml:space="preserve">PPM </w:t>
      </w:r>
      <w:r w:rsidRPr="00331C7E">
        <w:t>services.</w:t>
      </w:r>
    </w:p>
    <w:p w14:paraId="371ADA43" w14:textId="77777777" w:rsidR="00813AB4" w:rsidRPr="001025C0" w:rsidRDefault="00331C7E" w:rsidP="000F4D3A">
      <w:pPr>
        <w:pStyle w:val="Heading2"/>
        <w:numPr>
          <w:ilvl w:val="1"/>
          <w:numId w:val="59"/>
        </w:numPr>
        <w:spacing w:line="276" w:lineRule="auto"/>
        <w:rPr>
          <w:b/>
          <w:lang w:bidi="hi-IN"/>
        </w:rPr>
      </w:pPr>
      <w:r w:rsidRPr="00331C7E">
        <w:rPr>
          <w:b/>
          <w:lang w:bidi="hi-IN"/>
        </w:rPr>
        <w:t>Technology and Infrastructure Costs</w:t>
      </w:r>
    </w:p>
    <w:p w14:paraId="1C341CC6" w14:textId="77777777" w:rsidR="00813AB4" w:rsidRPr="00552A86" w:rsidRDefault="00813AB4" w:rsidP="000F4D3A">
      <w:pPr>
        <w:pStyle w:val="Heading3"/>
        <w:numPr>
          <w:ilvl w:val="2"/>
          <w:numId w:val="59"/>
        </w:numPr>
        <w:spacing w:line="276" w:lineRule="auto"/>
        <w:rPr>
          <w:b/>
          <w:caps/>
        </w:rPr>
      </w:pPr>
      <w:r w:rsidRPr="009B1283">
        <w:t xml:space="preserve">The key activities of the </w:t>
      </w:r>
      <w:r>
        <w:t>Schedule 2 (Services and Key Performance Indicators)</w:t>
      </w:r>
      <w:r w:rsidRPr="009B1283">
        <w:t xml:space="preserve"> have alrea</w:t>
      </w:r>
      <w:r w:rsidR="00D903E4">
        <w:t>dy been populated in this tab</w:t>
      </w:r>
      <w:r w:rsidR="00405AAD">
        <w:t>.</w:t>
      </w:r>
    </w:p>
    <w:p w14:paraId="1640A901" w14:textId="77777777" w:rsidR="00813AB4" w:rsidRPr="009B1283" w:rsidRDefault="00813AB4" w:rsidP="000F4D3A">
      <w:pPr>
        <w:pStyle w:val="Heading3"/>
        <w:numPr>
          <w:ilvl w:val="2"/>
          <w:numId w:val="59"/>
        </w:numPr>
        <w:spacing w:line="276" w:lineRule="auto"/>
        <w:rPr>
          <w:b/>
          <w:caps/>
        </w:rPr>
      </w:pPr>
      <w:r w:rsidRPr="009B1283">
        <w:t xml:space="preserve">The </w:t>
      </w:r>
      <w:r>
        <w:t>Potential Provider</w:t>
      </w:r>
      <w:r w:rsidRPr="009B1283">
        <w:t xml:space="preserve"> </w:t>
      </w:r>
      <w:r w:rsidR="004B1BF8">
        <w:t xml:space="preserve">is required to input the </w:t>
      </w:r>
      <w:r w:rsidRPr="009B1283">
        <w:t>quantity of each</w:t>
      </w:r>
      <w:r w:rsidR="004B1BF8">
        <w:t xml:space="preserve"> item they believe will be required</w:t>
      </w:r>
      <w:r w:rsidRPr="009B1283">
        <w:t xml:space="preserve"> with the associated unit costs</w:t>
      </w:r>
      <w:r w:rsidR="00D903E4">
        <w:t xml:space="preserve">, </w:t>
      </w:r>
      <w:r w:rsidR="006E1617">
        <w:t xml:space="preserve">based on the information contained within the </w:t>
      </w:r>
      <w:proofErr w:type="spellStart"/>
      <w:r w:rsidR="006E1617">
        <w:t>Datapack</w:t>
      </w:r>
      <w:proofErr w:type="spellEnd"/>
      <w:r w:rsidR="006E1617">
        <w:t>.</w:t>
      </w:r>
      <w:r w:rsidR="00D903E4">
        <w:t xml:space="preserve"> I</w:t>
      </w:r>
      <w:r w:rsidRPr="009B1283">
        <w:t xml:space="preserve">f certain items of hardware and software are able to deliver more than one of the defined activities, </w:t>
      </w:r>
      <w:r>
        <w:t>Potential Provider</w:t>
      </w:r>
      <w:r w:rsidRPr="009B1283">
        <w:t xml:space="preserve">s are not expected to proportion the cost. </w:t>
      </w:r>
      <w:r>
        <w:t>Potential Provider</w:t>
      </w:r>
      <w:r w:rsidRPr="009B1283">
        <w:t xml:space="preserve">s are able to attribute the cost of an item to the one activity should they prefer to do so. </w:t>
      </w:r>
    </w:p>
    <w:p w14:paraId="49A0535E" w14:textId="77777777" w:rsidR="00813AB4" w:rsidRPr="004B1BF8" w:rsidRDefault="00331C7E" w:rsidP="000F4D3A">
      <w:pPr>
        <w:pStyle w:val="Heading2"/>
        <w:numPr>
          <w:ilvl w:val="1"/>
          <w:numId w:val="59"/>
        </w:numPr>
        <w:spacing w:line="276" w:lineRule="auto"/>
        <w:rPr>
          <w:b/>
          <w:lang w:bidi="hi-IN"/>
        </w:rPr>
      </w:pPr>
      <w:r w:rsidRPr="00331C7E">
        <w:rPr>
          <w:b/>
          <w:lang w:bidi="hi-IN"/>
        </w:rPr>
        <w:t>Mobilisation Costs</w:t>
      </w:r>
    </w:p>
    <w:p w14:paraId="26AB2C58" w14:textId="1702CFDE" w:rsidR="00813AB4" w:rsidRPr="009B1283" w:rsidRDefault="0033764D" w:rsidP="000F4D3A">
      <w:pPr>
        <w:pStyle w:val="Heading3"/>
        <w:numPr>
          <w:ilvl w:val="2"/>
          <w:numId w:val="59"/>
        </w:numPr>
        <w:spacing w:line="276" w:lineRule="auto"/>
        <w:rPr>
          <w:b/>
          <w:caps/>
        </w:rPr>
      </w:pPr>
      <w:r>
        <w:t>The key M</w:t>
      </w:r>
      <w:r w:rsidR="00813AB4" w:rsidRPr="009B1283">
        <w:t xml:space="preserve">obilisation activities referred to in </w:t>
      </w:r>
      <w:r w:rsidR="00813AB4">
        <w:t>Schedule 2 (Services and Key Performance Indicators)</w:t>
      </w:r>
      <w:r w:rsidR="00813AB4" w:rsidRPr="009B1283">
        <w:t xml:space="preserve"> have already been populated in this tab</w:t>
      </w:r>
      <w:r w:rsidR="00D903E4">
        <w:t>.</w:t>
      </w:r>
    </w:p>
    <w:p w14:paraId="0FD0F4BA" w14:textId="0667CC6C" w:rsidR="00C846C5" w:rsidRDefault="00813AB4" w:rsidP="000F4D3A">
      <w:pPr>
        <w:pStyle w:val="Heading3"/>
        <w:numPr>
          <w:ilvl w:val="2"/>
          <w:numId w:val="59"/>
        </w:numPr>
        <w:spacing w:line="276" w:lineRule="auto"/>
        <w:rPr>
          <w:b/>
          <w:caps/>
        </w:rPr>
      </w:pPr>
      <w:r w:rsidRPr="009B1283">
        <w:t xml:space="preserve">Using the drop down menu, the </w:t>
      </w:r>
      <w:r>
        <w:t>Potential Provider</w:t>
      </w:r>
      <w:r w:rsidRPr="009B1283">
        <w:t xml:space="preserve"> is to select the role they believe is required to achieve the defined activity. The drop down menu is linked back to the </w:t>
      </w:r>
      <w:r>
        <w:t>Potential Provider</w:t>
      </w:r>
      <w:r w:rsidRPr="009B1283">
        <w:t>'s own role titles as defined in tab 3</w:t>
      </w:r>
      <w:r w:rsidR="00D71BC3">
        <w:t>a</w:t>
      </w:r>
      <w:r w:rsidRPr="009B1283">
        <w:t>, 'Staff Rates</w:t>
      </w:r>
      <w:r w:rsidR="00D71BC3">
        <w:t xml:space="preserve"> </w:t>
      </w:r>
      <w:r w:rsidR="00CC6DA7">
        <w:t>- non</w:t>
      </w:r>
      <w:r w:rsidR="00D71BC3">
        <w:t xml:space="preserve"> TUPE</w:t>
      </w:r>
      <w:r w:rsidRPr="009B1283">
        <w:t xml:space="preserve">'. The </w:t>
      </w:r>
      <w:r>
        <w:t>Potential Provider</w:t>
      </w:r>
      <w:r w:rsidRPr="009B1283">
        <w:t xml:space="preserve"> must also insert the number of hours they believe is required for each role to achieve the defined activity, </w:t>
      </w:r>
      <w:r w:rsidR="006E1617">
        <w:t xml:space="preserve">based on the information contained within the </w:t>
      </w:r>
      <w:proofErr w:type="spellStart"/>
      <w:r w:rsidR="006E1617">
        <w:t>Datapack</w:t>
      </w:r>
      <w:proofErr w:type="spellEnd"/>
      <w:r w:rsidR="006E1617">
        <w:t>.</w:t>
      </w:r>
    </w:p>
    <w:p w14:paraId="5E49455B" w14:textId="77777777" w:rsidR="00C846C5" w:rsidRDefault="006E1617" w:rsidP="000F4D3A">
      <w:pPr>
        <w:pStyle w:val="Heading2"/>
        <w:numPr>
          <w:ilvl w:val="1"/>
          <w:numId w:val="59"/>
        </w:numPr>
        <w:spacing w:line="276" w:lineRule="auto"/>
        <w:rPr>
          <w:b/>
        </w:rPr>
      </w:pPr>
      <w:r>
        <w:rPr>
          <w:b/>
        </w:rPr>
        <w:t>Efficiency Saving</w:t>
      </w:r>
    </w:p>
    <w:p w14:paraId="3BF6A055" w14:textId="77777777" w:rsidR="006E1617" w:rsidRPr="003538F0" w:rsidRDefault="006E1617" w:rsidP="000F4D3A">
      <w:pPr>
        <w:pStyle w:val="Heading3"/>
        <w:numPr>
          <w:ilvl w:val="2"/>
          <w:numId w:val="59"/>
        </w:numPr>
      </w:pPr>
      <w:r w:rsidRPr="003538F0">
        <w:t xml:space="preserve">The Potential Provider is required to insert the percentage </w:t>
      </w:r>
      <w:r w:rsidR="00AF2BCD">
        <w:t>E</w:t>
      </w:r>
      <w:r w:rsidRPr="003538F0">
        <w:t xml:space="preserve">fficiency </w:t>
      </w:r>
      <w:r w:rsidR="00AF2BCD">
        <w:t>Factor</w:t>
      </w:r>
      <w:r w:rsidRPr="003538F0">
        <w:t>s that they will make to the Year 1 price</w:t>
      </w:r>
      <w:r w:rsidR="00AF2BCD">
        <w:t>s</w:t>
      </w:r>
      <w:r w:rsidRPr="003538F0">
        <w:t>. These percentages will be included for evaluation purposes in this procurement via the Summary tab Tables 1</w:t>
      </w:r>
      <w:r w:rsidR="00405AAD">
        <w:t>.</w:t>
      </w:r>
      <w:r w:rsidRPr="003538F0">
        <w:t xml:space="preserve">C </w:t>
      </w:r>
      <w:r w:rsidR="00405AAD">
        <w:t>(</w:t>
      </w:r>
      <w:r w:rsidRPr="003538F0">
        <w:t>ii</w:t>
      </w:r>
      <w:r w:rsidR="00405AAD">
        <w:t>)</w:t>
      </w:r>
      <w:r w:rsidRPr="003538F0">
        <w:t xml:space="preserve"> and </w:t>
      </w:r>
      <w:r w:rsidR="00405AAD">
        <w:t>(</w:t>
      </w:r>
      <w:r w:rsidRPr="003538F0">
        <w:t>iii</w:t>
      </w:r>
      <w:r w:rsidR="00405AAD">
        <w:t>)</w:t>
      </w:r>
      <w:r w:rsidRPr="003538F0">
        <w:t xml:space="preserve">. This table will also be carried over to Framework pricing and will become the minimum Efficiency </w:t>
      </w:r>
      <w:r w:rsidR="00AF2BCD">
        <w:t>Factors</w:t>
      </w:r>
      <w:r w:rsidRPr="003538F0">
        <w:t xml:space="preserve"> for the Call </w:t>
      </w:r>
      <w:proofErr w:type="gramStart"/>
      <w:r w:rsidRPr="003538F0">
        <w:t>Off</w:t>
      </w:r>
      <w:proofErr w:type="gramEnd"/>
      <w:r w:rsidRPr="003538F0">
        <w:t xml:space="preserve"> Agreements</w:t>
      </w:r>
    </w:p>
    <w:p w14:paraId="7F71A269" w14:textId="77777777" w:rsidR="00C846C5" w:rsidRDefault="00C846C5" w:rsidP="003538F0">
      <w:pPr>
        <w:pStyle w:val="Heading3"/>
        <w:numPr>
          <w:ilvl w:val="0"/>
          <w:numId w:val="0"/>
        </w:numPr>
        <w:spacing w:line="276" w:lineRule="auto"/>
        <w:ind w:left="1474"/>
        <w:rPr>
          <w:b/>
          <w:caps/>
        </w:rPr>
      </w:pPr>
    </w:p>
    <w:p w14:paraId="45708590" w14:textId="77777777" w:rsidR="00C846C5" w:rsidRPr="006E1617" w:rsidRDefault="00331C7E" w:rsidP="000F4D3A">
      <w:pPr>
        <w:pStyle w:val="Heading1"/>
        <w:numPr>
          <w:ilvl w:val="0"/>
          <w:numId w:val="59"/>
        </w:numPr>
        <w:spacing w:line="276" w:lineRule="auto"/>
        <w:rPr>
          <w:rFonts w:eastAsiaTheme="minorHAnsi" w:cs="Arial"/>
          <w:lang w:bidi="hi-IN"/>
        </w:rPr>
      </w:pPr>
      <w:r w:rsidRPr="006E1617">
        <w:rPr>
          <w:rFonts w:eastAsiaTheme="minorHAnsi" w:cs="Arial"/>
          <w:lang w:bidi="hi-IN"/>
        </w:rPr>
        <w:t xml:space="preserve">Establishing the PRICE Score </w:t>
      </w:r>
    </w:p>
    <w:p w14:paraId="08C0C30D" w14:textId="77777777" w:rsidR="00C846C5" w:rsidRPr="006E1617" w:rsidRDefault="00331C7E" w:rsidP="000F4D3A">
      <w:pPr>
        <w:pStyle w:val="Heading2"/>
        <w:numPr>
          <w:ilvl w:val="1"/>
          <w:numId w:val="59"/>
        </w:numPr>
        <w:spacing w:line="276" w:lineRule="auto"/>
        <w:rPr>
          <w:b/>
          <w:caps/>
          <w:color w:val="004494"/>
          <w:u w:val="single"/>
          <w:lang w:bidi="hi-IN"/>
        </w:rPr>
      </w:pPr>
      <w:r w:rsidRPr="006E1617">
        <w:t>The Price Score will be based on Attachment 8 – FM Assurance Services (Helpdesk and CAFM) Cost Model</w:t>
      </w:r>
      <w:r w:rsidRPr="006E1617">
        <w:rPr>
          <w:i/>
        </w:rPr>
        <w:t xml:space="preserve"> </w:t>
      </w:r>
      <w:r w:rsidRPr="006E1617">
        <w:t>completed by the Potential Provider.</w:t>
      </w:r>
    </w:p>
    <w:p w14:paraId="6607861D" w14:textId="77777777" w:rsidR="00C846C5" w:rsidRPr="003538F0" w:rsidRDefault="00331C7E" w:rsidP="000F4D3A">
      <w:pPr>
        <w:pStyle w:val="Heading2"/>
        <w:numPr>
          <w:ilvl w:val="1"/>
          <w:numId w:val="59"/>
        </w:numPr>
        <w:spacing w:line="276" w:lineRule="auto"/>
        <w:rPr>
          <w:b/>
          <w:caps/>
          <w:color w:val="000000" w:themeColor="text1"/>
          <w:u w:val="single"/>
          <w:lang w:bidi="hi-IN"/>
        </w:rPr>
      </w:pPr>
      <w:r w:rsidRPr="003538F0">
        <w:rPr>
          <w:rFonts w:eastAsiaTheme="minorHAnsi" w:cs="Arial"/>
          <w:color w:val="000000" w:themeColor="text1"/>
          <w:lang w:eastAsia="en-US"/>
        </w:rPr>
        <w:t>The Price Score will consist of:</w:t>
      </w:r>
    </w:p>
    <w:p w14:paraId="49B0EFCF" w14:textId="77777777" w:rsidR="006E1617" w:rsidRPr="003538F0" w:rsidRDefault="00331C7E" w:rsidP="000F4D3A">
      <w:pPr>
        <w:pStyle w:val="Heading3"/>
        <w:numPr>
          <w:ilvl w:val="2"/>
          <w:numId w:val="59"/>
        </w:numPr>
        <w:rPr>
          <w:b/>
          <w:caps/>
          <w:color w:val="004494"/>
          <w:u w:val="single"/>
          <w:lang w:bidi="hi-IN"/>
        </w:rPr>
      </w:pPr>
      <w:r w:rsidRPr="003538F0">
        <w:rPr>
          <w:color w:val="000000" w:themeColor="text1"/>
        </w:rPr>
        <w:t>The</w:t>
      </w:r>
      <w:r w:rsidRPr="006E1617">
        <w:t xml:space="preserve"> </w:t>
      </w:r>
      <w:r w:rsidR="006E1617" w:rsidRPr="0033764D">
        <w:t xml:space="preserve">Total </w:t>
      </w:r>
      <w:r w:rsidR="00AF2BCD" w:rsidRPr="0033764D">
        <w:t xml:space="preserve">Contract </w:t>
      </w:r>
      <w:r w:rsidR="006E1617" w:rsidRPr="0033764D">
        <w:t>Cost</w:t>
      </w:r>
      <w:r w:rsidR="006E1617" w:rsidRPr="003538F0">
        <w:t xml:space="preserve"> </w:t>
      </w:r>
      <w:r w:rsidRPr="006E1617">
        <w:t>for service delivery</w:t>
      </w:r>
      <w:r w:rsidR="00AF2BCD">
        <w:t>,</w:t>
      </w:r>
      <w:r w:rsidRPr="006E1617">
        <w:t xml:space="preserve"> </w:t>
      </w:r>
      <w:r w:rsidR="006E1617" w:rsidRPr="003538F0">
        <w:t xml:space="preserve">including efficiency savings and Mobilisation costs </w:t>
      </w:r>
      <w:r w:rsidR="00AF2BCD">
        <w:t>summarised</w:t>
      </w:r>
      <w:r w:rsidR="006E1617" w:rsidRPr="003538F0">
        <w:t xml:space="preserve"> in </w:t>
      </w:r>
      <w:r w:rsidR="00940246">
        <w:t>Table 1.</w:t>
      </w:r>
      <w:r w:rsidR="00AF2BCD">
        <w:t>F</w:t>
      </w:r>
    </w:p>
    <w:p w14:paraId="23ECB9E8" w14:textId="77777777" w:rsidR="00C846C5" w:rsidRPr="003538F0" w:rsidRDefault="00C846C5" w:rsidP="003538F0">
      <w:pPr>
        <w:pStyle w:val="Heading3"/>
        <w:numPr>
          <w:ilvl w:val="0"/>
          <w:numId w:val="0"/>
        </w:numPr>
        <w:ind w:left="794"/>
        <w:rPr>
          <w:highlight w:val="yellow"/>
        </w:rPr>
      </w:pPr>
    </w:p>
    <w:p w14:paraId="4BA4CDBA" w14:textId="77777777" w:rsidR="00C846C5" w:rsidRPr="00210B10" w:rsidRDefault="00331C7E" w:rsidP="000F4D3A">
      <w:pPr>
        <w:pStyle w:val="Heading1"/>
        <w:numPr>
          <w:ilvl w:val="0"/>
          <w:numId w:val="59"/>
        </w:numPr>
        <w:spacing w:line="276" w:lineRule="auto"/>
      </w:pPr>
      <w:r w:rsidRPr="00210B10">
        <w:lastRenderedPageBreak/>
        <w:t xml:space="preserve">Costs carried through to </w:t>
      </w:r>
      <w:r w:rsidR="0091443B">
        <w:t>FRAMEWORK</w:t>
      </w:r>
      <w:r w:rsidR="00D705B4">
        <w:t xml:space="preserve"> </w:t>
      </w:r>
    </w:p>
    <w:p w14:paraId="0C752740" w14:textId="657666F3" w:rsidR="00C846C5" w:rsidRPr="00210B10" w:rsidRDefault="00331C7E" w:rsidP="000F4D3A">
      <w:pPr>
        <w:pStyle w:val="Heading2"/>
        <w:numPr>
          <w:ilvl w:val="1"/>
          <w:numId w:val="59"/>
        </w:numPr>
        <w:spacing w:line="276" w:lineRule="auto"/>
        <w:rPr>
          <w:b/>
          <w:caps/>
          <w:color w:val="004494"/>
          <w:u w:val="single"/>
          <w:lang w:bidi="hi-IN"/>
        </w:rPr>
      </w:pPr>
      <w:r w:rsidRPr="00210B10">
        <w:rPr>
          <w:rFonts w:eastAsiaTheme="minorHAnsi" w:cs="Arial"/>
          <w:lang w:eastAsia="en-US"/>
        </w:rPr>
        <w:t>Attachment 8 – FM Assurance Se</w:t>
      </w:r>
      <w:r w:rsidR="0033764D">
        <w:rPr>
          <w:rFonts w:eastAsiaTheme="minorHAnsi" w:cs="Arial"/>
          <w:lang w:eastAsia="en-US"/>
        </w:rPr>
        <w:t xml:space="preserve">rvices (Helpdesk and CAFM) Cost </w:t>
      </w:r>
      <w:r w:rsidRPr="00210B10">
        <w:rPr>
          <w:rFonts w:eastAsiaTheme="minorHAnsi" w:cs="Arial"/>
          <w:lang w:eastAsia="en-US"/>
        </w:rPr>
        <w:t>Model</w:t>
      </w:r>
      <w:r w:rsidRPr="00210B10">
        <w:rPr>
          <w:rFonts w:eastAsiaTheme="minorHAnsi" w:cs="Arial"/>
          <w:i/>
          <w:lang w:eastAsia="en-US"/>
        </w:rPr>
        <w:t xml:space="preserve"> </w:t>
      </w:r>
      <w:r w:rsidRPr="00210B10">
        <w:rPr>
          <w:rFonts w:eastAsiaTheme="minorHAnsi" w:cs="Arial"/>
          <w:lang w:eastAsia="en-US"/>
        </w:rPr>
        <w:t>contains cost elements that will be carried over to the Framework</w:t>
      </w:r>
      <w:r w:rsidR="0062508F" w:rsidRPr="00210B10">
        <w:rPr>
          <w:rFonts w:eastAsiaTheme="minorHAnsi" w:cs="Arial"/>
          <w:lang w:eastAsia="en-US"/>
        </w:rPr>
        <w:t xml:space="preserve"> </w:t>
      </w:r>
      <w:r w:rsidRPr="00210B10">
        <w:rPr>
          <w:rFonts w:eastAsiaTheme="minorHAnsi" w:cs="Arial"/>
          <w:lang w:eastAsia="en-US"/>
        </w:rPr>
        <w:t xml:space="preserve">and applied at </w:t>
      </w:r>
      <w:r w:rsidR="00D705B4">
        <w:rPr>
          <w:rFonts w:eastAsiaTheme="minorHAnsi" w:cs="Arial"/>
          <w:lang w:eastAsia="en-US"/>
        </w:rPr>
        <w:t>Call Off</w:t>
      </w:r>
      <w:r w:rsidRPr="00210B10">
        <w:rPr>
          <w:rFonts w:eastAsiaTheme="minorHAnsi" w:cs="Arial"/>
          <w:lang w:eastAsia="en-US"/>
        </w:rPr>
        <w:t>.</w:t>
      </w:r>
    </w:p>
    <w:p w14:paraId="056F6B17" w14:textId="77777777" w:rsidR="00C846C5" w:rsidRPr="00210B10" w:rsidRDefault="00331C7E" w:rsidP="000F4D3A">
      <w:pPr>
        <w:pStyle w:val="Heading2"/>
        <w:numPr>
          <w:ilvl w:val="1"/>
          <w:numId w:val="59"/>
        </w:numPr>
        <w:spacing w:line="276" w:lineRule="auto"/>
        <w:rPr>
          <w:b/>
          <w:caps/>
          <w:color w:val="004494"/>
          <w:u w:val="single"/>
          <w:lang w:bidi="hi-IN"/>
        </w:rPr>
      </w:pPr>
      <w:r w:rsidRPr="00210B10">
        <w:rPr>
          <w:rFonts w:eastAsiaTheme="minorHAnsi" w:cs="Arial"/>
          <w:lang w:eastAsia="en-US"/>
        </w:rPr>
        <w:t xml:space="preserve">The cost elements that will be carried </w:t>
      </w:r>
      <w:r w:rsidR="0062508F" w:rsidRPr="00210B10">
        <w:rPr>
          <w:rFonts w:eastAsiaTheme="minorHAnsi" w:cs="Arial"/>
          <w:lang w:eastAsia="en-US"/>
        </w:rPr>
        <w:t>over to the F</w:t>
      </w:r>
      <w:r w:rsidRPr="00210B10">
        <w:rPr>
          <w:rFonts w:eastAsiaTheme="minorHAnsi" w:cs="Arial"/>
          <w:lang w:eastAsia="en-US"/>
        </w:rPr>
        <w:t>ramework as maximum rates and prices are as follows:</w:t>
      </w:r>
    </w:p>
    <w:p w14:paraId="1E6C049C" w14:textId="77777777" w:rsidR="00C846C5" w:rsidRPr="00210B10" w:rsidRDefault="00331C7E" w:rsidP="000F4D3A">
      <w:pPr>
        <w:pStyle w:val="Heading3"/>
        <w:numPr>
          <w:ilvl w:val="2"/>
          <w:numId w:val="59"/>
        </w:numPr>
        <w:spacing w:line="276" w:lineRule="auto"/>
        <w:rPr>
          <w:lang w:bidi="hi-IN"/>
        </w:rPr>
      </w:pPr>
      <w:r w:rsidRPr="00210B10">
        <w:rPr>
          <w:lang w:bidi="hi-IN"/>
        </w:rPr>
        <w:t>Service delivery overhead and profit – Table 1.A (</w:t>
      </w:r>
      <w:proofErr w:type="spellStart"/>
      <w:r w:rsidRPr="00210B10">
        <w:rPr>
          <w:lang w:bidi="hi-IN"/>
        </w:rPr>
        <w:t>i</w:t>
      </w:r>
      <w:proofErr w:type="spellEnd"/>
      <w:r w:rsidRPr="00210B10">
        <w:rPr>
          <w:lang w:bidi="hi-IN"/>
        </w:rPr>
        <w:t>)</w:t>
      </w:r>
      <w:r w:rsidR="00C6195A">
        <w:rPr>
          <w:lang w:bidi="hi-IN"/>
        </w:rPr>
        <w:t xml:space="preserve"> and (ii)</w:t>
      </w:r>
      <w:r w:rsidRPr="00210B10">
        <w:rPr>
          <w:lang w:bidi="hi-IN"/>
        </w:rPr>
        <w:t xml:space="preserve"> – Summary tab</w:t>
      </w:r>
    </w:p>
    <w:p w14:paraId="30F99171" w14:textId="77777777" w:rsidR="00C846C5" w:rsidRPr="00210B10" w:rsidRDefault="00331C7E" w:rsidP="000F4D3A">
      <w:pPr>
        <w:pStyle w:val="Heading3"/>
        <w:numPr>
          <w:ilvl w:val="2"/>
          <w:numId w:val="59"/>
        </w:numPr>
        <w:spacing w:line="276" w:lineRule="auto"/>
        <w:rPr>
          <w:lang w:bidi="hi-IN"/>
        </w:rPr>
      </w:pPr>
      <w:r w:rsidRPr="00210B10">
        <w:rPr>
          <w:lang w:bidi="hi-IN"/>
        </w:rPr>
        <w:t>Mobilisation overhead and profit – Table 1.B (</w:t>
      </w:r>
      <w:proofErr w:type="spellStart"/>
      <w:r w:rsidRPr="00210B10">
        <w:rPr>
          <w:lang w:bidi="hi-IN"/>
        </w:rPr>
        <w:t>i</w:t>
      </w:r>
      <w:proofErr w:type="spellEnd"/>
      <w:r w:rsidRPr="00210B10">
        <w:rPr>
          <w:lang w:bidi="hi-IN"/>
        </w:rPr>
        <w:t xml:space="preserve">) </w:t>
      </w:r>
      <w:r w:rsidR="00C6195A">
        <w:rPr>
          <w:lang w:bidi="hi-IN"/>
        </w:rPr>
        <w:t>and (ii)</w:t>
      </w:r>
      <w:r w:rsidR="008C472E">
        <w:rPr>
          <w:lang w:bidi="hi-IN"/>
        </w:rPr>
        <w:t xml:space="preserve"> </w:t>
      </w:r>
      <w:r w:rsidRPr="00210B10">
        <w:rPr>
          <w:lang w:bidi="hi-IN"/>
        </w:rPr>
        <w:t>– Summary Tab</w:t>
      </w:r>
    </w:p>
    <w:p w14:paraId="714D5B70" w14:textId="77777777" w:rsidR="00C846C5" w:rsidRPr="00210B10" w:rsidRDefault="00331C7E" w:rsidP="000F4D3A">
      <w:pPr>
        <w:pStyle w:val="Heading3"/>
        <w:numPr>
          <w:ilvl w:val="2"/>
          <w:numId w:val="59"/>
        </w:numPr>
        <w:spacing w:line="276" w:lineRule="auto"/>
        <w:rPr>
          <w:lang w:bidi="hi-IN"/>
        </w:rPr>
      </w:pPr>
      <w:r w:rsidRPr="00210B10">
        <w:rPr>
          <w:lang w:bidi="hi-IN"/>
        </w:rPr>
        <w:t>Standard Unit Costs – Table 1</w:t>
      </w:r>
      <w:r w:rsidR="006405E7" w:rsidRPr="00210B10">
        <w:rPr>
          <w:lang w:bidi="hi-IN"/>
        </w:rPr>
        <w:t>.</w:t>
      </w:r>
      <w:r w:rsidR="001B29A2">
        <w:rPr>
          <w:lang w:bidi="hi-IN"/>
        </w:rPr>
        <w:t>D</w:t>
      </w:r>
      <w:r w:rsidRPr="00210B10">
        <w:rPr>
          <w:lang w:bidi="hi-IN"/>
        </w:rPr>
        <w:t xml:space="preserve"> – Summary Tab</w:t>
      </w:r>
    </w:p>
    <w:p w14:paraId="3FB9CB27" w14:textId="5719FA4A" w:rsidR="00C846C5" w:rsidRPr="00210B10" w:rsidRDefault="00331C7E" w:rsidP="000F4D3A">
      <w:pPr>
        <w:pStyle w:val="Heading3"/>
        <w:numPr>
          <w:ilvl w:val="2"/>
          <w:numId w:val="59"/>
        </w:numPr>
        <w:spacing w:line="276" w:lineRule="auto"/>
        <w:rPr>
          <w:rFonts w:cs="Arial"/>
          <w:lang w:bidi="hi-IN"/>
        </w:rPr>
      </w:pPr>
      <w:r w:rsidRPr="00210B10">
        <w:rPr>
          <w:rFonts w:cs="Arial"/>
          <w:lang w:bidi="hi-IN"/>
        </w:rPr>
        <w:t>Staff rates for service delivery – Table 3</w:t>
      </w:r>
      <w:r w:rsidR="006405E7" w:rsidRPr="00210B10">
        <w:rPr>
          <w:rFonts w:cs="Arial"/>
          <w:lang w:bidi="hi-IN"/>
        </w:rPr>
        <w:t>.</w:t>
      </w:r>
      <w:r w:rsidRPr="00210B10">
        <w:rPr>
          <w:rFonts w:cs="Arial"/>
          <w:lang w:bidi="hi-IN"/>
        </w:rPr>
        <w:t>A – Staff Rates Tab</w:t>
      </w:r>
      <w:r w:rsidR="00D71BC3">
        <w:rPr>
          <w:rFonts w:cs="Arial"/>
          <w:lang w:bidi="hi-IN"/>
        </w:rPr>
        <w:t>s (</w:t>
      </w:r>
      <w:r w:rsidR="00CC6DA7">
        <w:rPr>
          <w:rFonts w:cs="Arial"/>
          <w:lang w:bidi="hi-IN"/>
        </w:rPr>
        <w:t>non TUPE</w:t>
      </w:r>
      <w:r w:rsidR="00D71BC3">
        <w:rPr>
          <w:rFonts w:cs="Arial"/>
          <w:lang w:bidi="hi-IN"/>
        </w:rPr>
        <w:t xml:space="preserve"> &amp; including TUPE)</w:t>
      </w:r>
    </w:p>
    <w:p w14:paraId="55B36D8F" w14:textId="1AA3C56C" w:rsidR="00C846C5" w:rsidRDefault="00331C7E" w:rsidP="000F4D3A">
      <w:pPr>
        <w:pStyle w:val="Heading3"/>
        <w:numPr>
          <w:ilvl w:val="2"/>
          <w:numId w:val="59"/>
        </w:numPr>
        <w:spacing w:line="276" w:lineRule="auto"/>
        <w:rPr>
          <w:rFonts w:cs="Arial"/>
          <w:lang w:bidi="hi-IN"/>
        </w:rPr>
      </w:pPr>
      <w:r w:rsidRPr="00210B10">
        <w:rPr>
          <w:rFonts w:cs="Arial"/>
          <w:lang w:bidi="hi-IN"/>
        </w:rPr>
        <w:t>Staff rates for mobilisation – Table 3</w:t>
      </w:r>
      <w:r w:rsidR="006405E7" w:rsidRPr="00210B10">
        <w:rPr>
          <w:rFonts w:cs="Arial"/>
          <w:lang w:bidi="hi-IN"/>
        </w:rPr>
        <w:t>.</w:t>
      </w:r>
      <w:r w:rsidRPr="00210B10">
        <w:rPr>
          <w:rFonts w:cs="Arial"/>
          <w:lang w:bidi="hi-IN"/>
        </w:rPr>
        <w:t>B – Staff Rates</w:t>
      </w:r>
      <w:r w:rsidR="008C472E">
        <w:rPr>
          <w:rFonts w:cs="Arial"/>
          <w:lang w:bidi="hi-IN"/>
        </w:rPr>
        <w:t xml:space="preserve"> Tab</w:t>
      </w:r>
      <w:r w:rsidR="00D71BC3">
        <w:rPr>
          <w:rFonts w:cs="Arial"/>
          <w:lang w:bidi="hi-IN"/>
        </w:rPr>
        <w:t>s (</w:t>
      </w:r>
      <w:r w:rsidR="00CC6DA7">
        <w:rPr>
          <w:rFonts w:cs="Arial"/>
          <w:lang w:bidi="hi-IN"/>
        </w:rPr>
        <w:t>non TUPE</w:t>
      </w:r>
      <w:r w:rsidR="00D71BC3">
        <w:rPr>
          <w:rFonts w:cs="Arial"/>
          <w:lang w:bidi="hi-IN"/>
        </w:rPr>
        <w:t xml:space="preserve"> &amp; including TUPE)</w:t>
      </w:r>
    </w:p>
    <w:p w14:paraId="5F7EF159" w14:textId="77777777" w:rsidR="00AF2BCD" w:rsidRPr="003538F0" w:rsidRDefault="00AF2BCD" w:rsidP="000F4D3A">
      <w:pPr>
        <w:pStyle w:val="Heading2"/>
        <w:numPr>
          <w:ilvl w:val="1"/>
          <w:numId w:val="59"/>
        </w:numPr>
        <w:spacing w:line="276" w:lineRule="auto"/>
        <w:rPr>
          <w:b/>
          <w:caps/>
          <w:color w:val="004494"/>
          <w:u w:val="single"/>
          <w:lang w:bidi="hi-IN"/>
        </w:rPr>
      </w:pPr>
      <w:r w:rsidRPr="00210B10">
        <w:rPr>
          <w:rFonts w:eastAsiaTheme="minorHAnsi" w:cs="Arial"/>
          <w:lang w:eastAsia="en-US"/>
        </w:rPr>
        <w:t>The cost elements that will be carried over to the Framework as m</w:t>
      </w:r>
      <w:r>
        <w:rPr>
          <w:rFonts w:eastAsiaTheme="minorHAnsi" w:cs="Arial"/>
          <w:lang w:eastAsia="en-US"/>
        </w:rPr>
        <w:t xml:space="preserve">inimum </w:t>
      </w:r>
      <w:r w:rsidRPr="00210B10">
        <w:rPr>
          <w:rFonts w:eastAsiaTheme="minorHAnsi" w:cs="Arial"/>
          <w:lang w:eastAsia="en-US"/>
        </w:rPr>
        <w:t>rates are as follows:</w:t>
      </w:r>
    </w:p>
    <w:p w14:paraId="23FDBA7A" w14:textId="77777777" w:rsidR="00AB276B" w:rsidRPr="0091443B" w:rsidRDefault="00AB276B" w:rsidP="000F4D3A">
      <w:pPr>
        <w:pStyle w:val="Heading3"/>
        <w:numPr>
          <w:ilvl w:val="2"/>
          <w:numId w:val="59"/>
        </w:numPr>
        <w:spacing w:line="276" w:lineRule="auto"/>
        <w:rPr>
          <w:rFonts w:cs="Arial"/>
          <w:lang w:bidi="hi-IN"/>
        </w:rPr>
      </w:pPr>
      <w:r w:rsidRPr="0091443B">
        <w:rPr>
          <w:rFonts w:cs="Arial"/>
          <w:lang w:bidi="hi-IN"/>
        </w:rPr>
        <w:t xml:space="preserve">Efficiency </w:t>
      </w:r>
      <w:r w:rsidR="00AF2BCD" w:rsidRPr="0091443B">
        <w:rPr>
          <w:rFonts w:cs="Arial"/>
          <w:lang w:bidi="hi-IN"/>
        </w:rPr>
        <w:t xml:space="preserve">Factors - </w:t>
      </w:r>
      <w:r w:rsidR="008C472E" w:rsidRPr="0091443B">
        <w:rPr>
          <w:rFonts w:cs="Arial"/>
          <w:lang w:bidi="hi-IN"/>
        </w:rPr>
        <w:t xml:space="preserve">Efficiency Savings </w:t>
      </w:r>
      <w:r w:rsidR="006E1617" w:rsidRPr="0091443B">
        <w:rPr>
          <w:rFonts w:cs="Arial"/>
          <w:lang w:bidi="hi-IN"/>
        </w:rPr>
        <w:t>Tab</w:t>
      </w:r>
    </w:p>
    <w:p w14:paraId="57E79750" w14:textId="77777777" w:rsidR="00CC7208" w:rsidRDefault="00CC7208" w:rsidP="003538F0">
      <w:pPr>
        <w:pStyle w:val="Heading1"/>
        <w:numPr>
          <w:ilvl w:val="0"/>
          <w:numId w:val="0"/>
        </w:numPr>
        <w:spacing w:line="276" w:lineRule="auto"/>
        <w:ind w:left="737" w:hanging="737"/>
        <w:rPr>
          <w:rFonts w:cs="Arial"/>
          <w:lang w:bidi="hi-IN"/>
        </w:rPr>
      </w:pPr>
    </w:p>
    <w:p w14:paraId="6AA4AC5B" w14:textId="77777777" w:rsidR="00C846C5" w:rsidRPr="00210B10" w:rsidRDefault="00AE168F" w:rsidP="000F4D3A">
      <w:pPr>
        <w:pStyle w:val="Heading1"/>
        <w:numPr>
          <w:ilvl w:val="0"/>
          <w:numId w:val="59"/>
        </w:numPr>
        <w:rPr>
          <w:lang w:bidi="hi-IN"/>
        </w:rPr>
      </w:pPr>
      <w:r w:rsidRPr="00210B10">
        <w:rPr>
          <w:lang w:bidi="hi-IN"/>
        </w:rPr>
        <w:t>variations to monthly helpdesk costs</w:t>
      </w:r>
    </w:p>
    <w:p w14:paraId="4A750629" w14:textId="77777777" w:rsidR="00D17AC7" w:rsidRDefault="00D17AC7" w:rsidP="000F4D3A">
      <w:pPr>
        <w:pStyle w:val="Heading2"/>
        <w:numPr>
          <w:ilvl w:val="1"/>
          <w:numId w:val="59"/>
        </w:numPr>
        <w:spacing w:line="276" w:lineRule="auto"/>
        <w:rPr>
          <w:lang w:bidi="hi-IN"/>
        </w:rPr>
      </w:pPr>
      <w:r>
        <w:rPr>
          <w:lang w:bidi="hi-IN"/>
        </w:rPr>
        <w:t>At the end of each month, the Revised Helpdesk Cost will be calculated which will lead to a payment to, or a deduction from the monies paid to the Potential Provider.</w:t>
      </w:r>
    </w:p>
    <w:p w14:paraId="067A2A57" w14:textId="77777777" w:rsidR="00D17AC7" w:rsidRDefault="00D17AC7" w:rsidP="000F4D3A">
      <w:pPr>
        <w:pStyle w:val="Heading2"/>
        <w:numPr>
          <w:ilvl w:val="1"/>
          <w:numId w:val="59"/>
        </w:numPr>
        <w:spacing w:line="276" w:lineRule="auto"/>
        <w:rPr>
          <w:lang w:bidi="hi-IN"/>
        </w:rPr>
      </w:pPr>
      <w:r>
        <w:rPr>
          <w:lang w:bidi="hi-IN"/>
        </w:rPr>
        <w:t xml:space="preserve">The RHC will be deducted from the Base Helpdesk Costs (calculated from data in the Tab 2 – </w:t>
      </w:r>
      <w:proofErr w:type="spellStart"/>
      <w:r>
        <w:rPr>
          <w:lang w:bidi="hi-IN"/>
        </w:rPr>
        <w:t>Data</w:t>
      </w:r>
      <w:r w:rsidR="0091443B">
        <w:rPr>
          <w:lang w:bidi="hi-IN"/>
        </w:rPr>
        <w:t>pack</w:t>
      </w:r>
      <w:proofErr w:type="spellEnd"/>
      <w:r>
        <w:rPr>
          <w:lang w:bidi="hi-IN"/>
        </w:rPr>
        <w:t xml:space="preserve">) – </w:t>
      </w:r>
      <w:r w:rsidR="0091443B">
        <w:rPr>
          <w:lang w:bidi="hi-IN"/>
        </w:rPr>
        <w:t>s</w:t>
      </w:r>
      <w:r>
        <w:rPr>
          <w:lang w:bidi="hi-IN"/>
        </w:rPr>
        <w:t>ee Pay</w:t>
      </w:r>
      <w:r w:rsidR="0091443B">
        <w:rPr>
          <w:lang w:bidi="hi-IN"/>
        </w:rPr>
        <w:t xml:space="preserve">ment Mechanism detailed in Schedule 6 of the Call </w:t>
      </w:r>
      <w:proofErr w:type="gramStart"/>
      <w:r w:rsidR="0091443B">
        <w:rPr>
          <w:lang w:bidi="hi-IN"/>
        </w:rPr>
        <w:t>Off</w:t>
      </w:r>
      <w:proofErr w:type="gramEnd"/>
      <w:r w:rsidR="0091443B">
        <w:rPr>
          <w:lang w:bidi="hi-IN"/>
        </w:rPr>
        <w:t xml:space="preserve"> Contract.</w:t>
      </w:r>
      <w:r>
        <w:rPr>
          <w:lang w:bidi="hi-IN"/>
        </w:rPr>
        <w:t xml:space="preserve"> </w:t>
      </w:r>
    </w:p>
    <w:p w14:paraId="17B6FE1C" w14:textId="0E18E932" w:rsidR="00C846C5" w:rsidRPr="00210B10" w:rsidRDefault="00D17AC7" w:rsidP="000F4D3A">
      <w:pPr>
        <w:pStyle w:val="Heading2"/>
        <w:numPr>
          <w:ilvl w:val="1"/>
          <w:numId w:val="59"/>
        </w:numPr>
        <w:spacing w:line="276" w:lineRule="auto"/>
        <w:rPr>
          <w:rFonts w:cs="Arial"/>
          <w:lang w:bidi="hi-IN"/>
        </w:rPr>
      </w:pPr>
      <w:r>
        <w:rPr>
          <w:lang w:bidi="hi-IN"/>
        </w:rPr>
        <w:t>In the event that the RVC-BHC divided by BHC is greater than 40% for any rolling 3-month period, the helpdesk costs may be re</w:t>
      </w:r>
      <w:r w:rsidR="00CC6DA7">
        <w:rPr>
          <w:lang w:bidi="hi-IN"/>
        </w:rPr>
        <w:t>viewed</w:t>
      </w:r>
      <w:r>
        <w:rPr>
          <w:lang w:bidi="hi-IN"/>
        </w:rPr>
        <w:t xml:space="preserve"> - see </w:t>
      </w:r>
      <w:r w:rsidR="0091443B">
        <w:rPr>
          <w:lang w:bidi="hi-IN"/>
        </w:rPr>
        <w:t xml:space="preserve">Call </w:t>
      </w:r>
      <w:proofErr w:type="gramStart"/>
      <w:r w:rsidR="0091443B">
        <w:rPr>
          <w:lang w:bidi="hi-IN"/>
        </w:rPr>
        <w:t>Off</w:t>
      </w:r>
      <w:proofErr w:type="gramEnd"/>
      <w:r w:rsidR="0091443B">
        <w:rPr>
          <w:lang w:bidi="hi-IN"/>
        </w:rPr>
        <w:t xml:space="preserve"> Contract Schedule 3 – Charges.</w:t>
      </w:r>
    </w:p>
    <w:p w14:paraId="623F3BFB" w14:textId="77777777" w:rsidR="00BC3427" w:rsidRPr="009B1283" w:rsidRDefault="00BC3427" w:rsidP="003538F0">
      <w:pPr>
        <w:tabs>
          <w:tab w:val="left" w:pos="1134"/>
        </w:tabs>
        <w:jc w:val="both"/>
        <w:rPr>
          <w:rFonts w:ascii="Arial" w:hAnsi="Arial" w:cs="Arial"/>
          <w:sz w:val="20"/>
          <w:szCs w:val="20"/>
        </w:rPr>
      </w:pPr>
      <w:bookmarkStart w:id="1" w:name="LASTCURSORPOSITION"/>
      <w:bookmarkEnd w:id="1"/>
    </w:p>
    <w:p w14:paraId="2EECF4C9" w14:textId="77777777" w:rsidR="00E02ED7" w:rsidRPr="003B6A97" w:rsidRDefault="00E02ED7" w:rsidP="003538F0">
      <w:pPr>
        <w:pStyle w:val="Heading2"/>
        <w:numPr>
          <w:ilvl w:val="0"/>
          <w:numId w:val="0"/>
        </w:numPr>
        <w:spacing w:line="276" w:lineRule="auto"/>
        <w:rPr>
          <w:rFonts w:cs="Arial"/>
        </w:rPr>
      </w:pPr>
    </w:p>
    <w:p w14:paraId="53778C60" w14:textId="77777777" w:rsidR="00764F2F" w:rsidRPr="009B1283" w:rsidRDefault="00764F2F" w:rsidP="003538F0">
      <w:pPr>
        <w:jc w:val="both"/>
        <w:rPr>
          <w:rFonts w:ascii="Arial" w:hAnsi="Arial" w:cs="Arial"/>
          <w:b/>
          <w:caps/>
          <w:sz w:val="20"/>
          <w:szCs w:val="20"/>
        </w:rPr>
      </w:pPr>
      <w:bookmarkStart w:id="2" w:name="_MON_1465205878"/>
      <w:bookmarkStart w:id="3" w:name="_MON_1464512914"/>
      <w:bookmarkEnd w:id="2"/>
      <w:bookmarkEnd w:id="3"/>
    </w:p>
    <w:sectPr w:rsidR="00764F2F" w:rsidRPr="009B1283" w:rsidSect="00FF4120">
      <w:footerReference w:type="default" r:id="rId12"/>
      <w:pgSz w:w="11906" w:h="16838"/>
      <w:pgMar w:top="709" w:right="1440"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3CE598" w14:textId="77777777" w:rsidR="00D14A4A" w:rsidRPr="00AE4296" w:rsidRDefault="00D14A4A" w:rsidP="00AE4296">
      <w:pPr>
        <w:spacing w:after="0" w:line="240" w:lineRule="auto"/>
      </w:pPr>
      <w:r>
        <w:separator/>
      </w:r>
    </w:p>
  </w:endnote>
  <w:endnote w:type="continuationSeparator" w:id="0">
    <w:p w14:paraId="4726E4E5" w14:textId="77777777" w:rsidR="00D14A4A" w:rsidRPr="00AE4296" w:rsidRDefault="00D14A4A" w:rsidP="00AE4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TZhongsong">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780417"/>
      <w:docPartObj>
        <w:docPartGallery w:val="Page Numbers (Bottom of Page)"/>
        <w:docPartUnique/>
      </w:docPartObj>
    </w:sdtPr>
    <w:sdtEndPr>
      <w:rPr>
        <w:noProof/>
      </w:rPr>
    </w:sdtEndPr>
    <w:sdtContent>
      <w:p w14:paraId="65D311C1" w14:textId="77777777" w:rsidR="003538F0" w:rsidRDefault="00AD19CB">
        <w:pPr>
          <w:pStyle w:val="Footer"/>
          <w:jc w:val="center"/>
        </w:pPr>
        <w:r>
          <w:fldChar w:fldCharType="begin"/>
        </w:r>
        <w:r w:rsidR="003538F0">
          <w:instrText xml:space="preserve"> PAGE   \* MERGEFORMAT </w:instrText>
        </w:r>
        <w:r>
          <w:fldChar w:fldCharType="separate"/>
        </w:r>
        <w:r w:rsidR="00DA7BFE">
          <w:rPr>
            <w:noProof/>
          </w:rPr>
          <w:t>5</w:t>
        </w:r>
        <w:r>
          <w:rPr>
            <w:noProof/>
          </w:rPr>
          <w:fldChar w:fldCharType="end"/>
        </w:r>
      </w:p>
    </w:sdtContent>
  </w:sdt>
  <w:p w14:paraId="6D5D0143" w14:textId="77777777" w:rsidR="003538F0" w:rsidRPr="00AE4296" w:rsidRDefault="003538F0" w:rsidP="00AE4296">
    <w:pPr>
      <w:pStyle w:val="Footer"/>
      <w:pBdr>
        <w:top w:val="single" w:sz="6" w:space="1" w:color="auto"/>
      </w:pBdr>
      <w:tabs>
        <w:tab w:val="right" w:pos="8647"/>
      </w:tabs>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AC71F3" w14:textId="77777777" w:rsidR="00D14A4A" w:rsidRPr="00AE4296" w:rsidRDefault="00D14A4A" w:rsidP="00AE4296">
      <w:pPr>
        <w:spacing w:after="0" w:line="240" w:lineRule="auto"/>
      </w:pPr>
      <w:r>
        <w:separator/>
      </w:r>
    </w:p>
  </w:footnote>
  <w:footnote w:type="continuationSeparator" w:id="0">
    <w:p w14:paraId="3076B960" w14:textId="77777777" w:rsidR="00D14A4A" w:rsidRPr="00AE4296" w:rsidRDefault="00D14A4A" w:rsidP="00AE42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1">
    <w:nsid w:val="06FD43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nsid w:val="0FE16A7F"/>
    <w:multiLevelType w:val="multilevel"/>
    <w:tmpl w:val="07362680"/>
    <w:lvl w:ilvl="0">
      <w:start w:val="1"/>
      <w:numFmt w:val="decimal"/>
      <w:lvlText w:val="%1."/>
      <w:lvlJc w:val="left"/>
      <w:pPr>
        <w:ind w:left="360" w:hanging="360"/>
      </w:pPr>
    </w:lvl>
    <w:lvl w:ilvl="1">
      <w:start w:val="1"/>
      <w:numFmt w:val="decimal"/>
      <w:lvlText w:val="%1.%2."/>
      <w:lvlJc w:val="left"/>
      <w:pPr>
        <w:ind w:left="858" w:hanging="432"/>
      </w:pPr>
      <w:rPr>
        <w:color w:val="000000" w:themeColor="text1"/>
      </w:rPr>
    </w:lvl>
    <w:lvl w:ilvl="2">
      <w:start w:val="1"/>
      <w:numFmt w:val="decimal"/>
      <w:lvlText w:val="%1.%2.%3."/>
      <w:lvlJc w:val="left"/>
      <w:pPr>
        <w:ind w:left="1638" w:hanging="504"/>
      </w:pPr>
      <w:rPr>
        <w:b w:val="0"/>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0E564D3"/>
    <w:multiLevelType w:val="multilevel"/>
    <w:tmpl w:val="612440CE"/>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1446"/>
        </w:tabs>
        <w:ind w:left="1446" w:hanging="737"/>
      </w:pPr>
      <w:rPr>
        <w:rFonts w:cs="Times New Roman" w:hint="default"/>
        <w:b w:val="0"/>
        <w:i w:val="0"/>
        <w:caps w:val="0"/>
        <w:color w:val="auto"/>
        <w:effect w:val="none"/>
      </w:rPr>
    </w:lvl>
    <w:lvl w:ilvl="2">
      <w:start w:val="1"/>
      <w:numFmt w:val="decimal"/>
      <w:pStyle w:val="Heading3"/>
      <w:lvlText w:val="%1.%2.%3"/>
      <w:lvlJc w:val="left"/>
      <w:pPr>
        <w:tabs>
          <w:tab w:val="num" w:pos="1474"/>
        </w:tabs>
        <w:ind w:left="1474" w:hanging="680"/>
      </w:pPr>
      <w:rPr>
        <w:rFonts w:cs="Times New Roman" w:hint="default"/>
        <w:b w:val="0"/>
        <w:caps w:val="0"/>
        <w:color w:val="000000" w:themeColor="text1"/>
        <w:effect w:val="none"/>
      </w:rPr>
    </w:lvl>
    <w:lvl w:ilvl="3">
      <w:start w:val="1"/>
      <w:numFmt w:val="decimal"/>
      <w:pStyle w:val="Heading4"/>
      <w:lvlText w:val="%1.%2.%3.%4"/>
      <w:lvlJc w:val="left"/>
      <w:pPr>
        <w:tabs>
          <w:tab w:val="num" w:pos="2637"/>
        </w:tabs>
        <w:ind w:left="2637"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
    <w:nsid w:val="17752A6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7F82DCB"/>
    <w:multiLevelType w:val="hybridMultilevel"/>
    <w:tmpl w:val="DA4057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nsid w:val="2144583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4AA410F"/>
    <w:multiLevelType w:val="hybridMultilevel"/>
    <w:tmpl w:val="B2BE92B6"/>
    <w:lvl w:ilvl="0" w:tplc="04090003">
      <w:start w:val="1"/>
      <w:numFmt w:val="bullet"/>
      <w:lvlText w:val="o"/>
      <w:lvlJc w:val="left"/>
      <w:pPr>
        <w:ind w:left="2534" w:hanging="360"/>
      </w:pPr>
      <w:rPr>
        <w:rFonts w:ascii="Courier New" w:hAnsi="Courier New" w:cs="Courier New" w:hint="default"/>
      </w:rPr>
    </w:lvl>
    <w:lvl w:ilvl="1" w:tplc="04090003" w:tentative="1">
      <w:start w:val="1"/>
      <w:numFmt w:val="bullet"/>
      <w:lvlText w:val="o"/>
      <w:lvlJc w:val="left"/>
      <w:pPr>
        <w:ind w:left="3254" w:hanging="360"/>
      </w:pPr>
      <w:rPr>
        <w:rFonts w:ascii="Courier New" w:hAnsi="Courier New" w:cs="Courier New" w:hint="default"/>
      </w:rPr>
    </w:lvl>
    <w:lvl w:ilvl="2" w:tplc="04090005" w:tentative="1">
      <w:start w:val="1"/>
      <w:numFmt w:val="bullet"/>
      <w:lvlText w:val=""/>
      <w:lvlJc w:val="left"/>
      <w:pPr>
        <w:ind w:left="3974" w:hanging="360"/>
      </w:pPr>
      <w:rPr>
        <w:rFonts w:ascii="Wingdings" w:hAnsi="Wingdings" w:hint="default"/>
      </w:rPr>
    </w:lvl>
    <w:lvl w:ilvl="3" w:tplc="04090001" w:tentative="1">
      <w:start w:val="1"/>
      <w:numFmt w:val="bullet"/>
      <w:lvlText w:val=""/>
      <w:lvlJc w:val="left"/>
      <w:pPr>
        <w:ind w:left="4694" w:hanging="360"/>
      </w:pPr>
      <w:rPr>
        <w:rFonts w:ascii="Symbol" w:hAnsi="Symbol" w:hint="default"/>
      </w:rPr>
    </w:lvl>
    <w:lvl w:ilvl="4" w:tplc="04090003" w:tentative="1">
      <w:start w:val="1"/>
      <w:numFmt w:val="bullet"/>
      <w:lvlText w:val="o"/>
      <w:lvlJc w:val="left"/>
      <w:pPr>
        <w:ind w:left="5414" w:hanging="360"/>
      </w:pPr>
      <w:rPr>
        <w:rFonts w:ascii="Courier New" w:hAnsi="Courier New" w:cs="Courier New" w:hint="default"/>
      </w:rPr>
    </w:lvl>
    <w:lvl w:ilvl="5" w:tplc="04090005" w:tentative="1">
      <w:start w:val="1"/>
      <w:numFmt w:val="bullet"/>
      <w:lvlText w:val=""/>
      <w:lvlJc w:val="left"/>
      <w:pPr>
        <w:ind w:left="6134" w:hanging="360"/>
      </w:pPr>
      <w:rPr>
        <w:rFonts w:ascii="Wingdings" w:hAnsi="Wingdings" w:hint="default"/>
      </w:rPr>
    </w:lvl>
    <w:lvl w:ilvl="6" w:tplc="04090001" w:tentative="1">
      <w:start w:val="1"/>
      <w:numFmt w:val="bullet"/>
      <w:lvlText w:val=""/>
      <w:lvlJc w:val="left"/>
      <w:pPr>
        <w:ind w:left="6854" w:hanging="360"/>
      </w:pPr>
      <w:rPr>
        <w:rFonts w:ascii="Symbol" w:hAnsi="Symbol" w:hint="default"/>
      </w:rPr>
    </w:lvl>
    <w:lvl w:ilvl="7" w:tplc="04090003" w:tentative="1">
      <w:start w:val="1"/>
      <w:numFmt w:val="bullet"/>
      <w:lvlText w:val="o"/>
      <w:lvlJc w:val="left"/>
      <w:pPr>
        <w:ind w:left="7574" w:hanging="360"/>
      </w:pPr>
      <w:rPr>
        <w:rFonts w:ascii="Courier New" w:hAnsi="Courier New" w:cs="Courier New" w:hint="default"/>
      </w:rPr>
    </w:lvl>
    <w:lvl w:ilvl="8" w:tplc="04090005" w:tentative="1">
      <w:start w:val="1"/>
      <w:numFmt w:val="bullet"/>
      <w:lvlText w:val=""/>
      <w:lvlJc w:val="left"/>
      <w:pPr>
        <w:ind w:left="8294" w:hanging="360"/>
      </w:pPr>
      <w:rPr>
        <w:rFonts w:ascii="Wingdings" w:hAnsi="Wingdings" w:hint="default"/>
      </w:rPr>
    </w:lvl>
  </w:abstractNum>
  <w:abstractNum w:abstractNumId="9">
    <w:nsid w:val="28544D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C9E72A5"/>
    <w:multiLevelType w:val="hybridMultilevel"/>
    <w:tmpl w:val="FEDAA186"/>
    <w:lvl w:ilvl="0" w:tplc="08090001">
      <w:start w:val="1"/>
      <w:numFmt w:val="bullet"/>
      <w:lvlText w:val=""/>
      <w:lvlJc w:val="left"/>
      <w:pPr>
        <w:ind w:left="1512" w:hanging="360"/>
      </w:pPr>
      <w:rPr>
        <w:rFonts w:ascii="Symbol" w:hAnsi="Symbol" w:hint="default"/>
      </w:rPr>
    </w:lvl>
    <w:lvl w:ilvl="1" w:tplc="08090003">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1">
    <w:nsid w:val="2ED4341C"/>
    <w:multiLevelType w:val="multilevel"/>
    <w:tmpl w:val="85B4B6CC"/>
    <w:lvl w:ilvl="0">
      <w:start w:val="1"/>
      <w:numFmt w:val="bullet"/>
      <w:lvlRestart w:val="0"/>
      <w:pStyle w:val="ListBullet"/>
      <w:lvlText w:val=""/>
      <w:lvlJc w:val="left"/>
      <w:pPr>
        <w:ind w:left="2267" w:hanging="1417"/>
      </w:pPr>
      <w:rPr>
        <w:rFonts w:ascii="Symbol" w:hAnsi="Symbol" w:hint="default"/>
        <w:color w:val="7AB514"/>
        <w:sz w:val="22"/>
      </w:rPr>
    </w:lvl>
    <w:lvl w:ilvl="1">
      <w:start w:val="1"/>
      <w:numFmt w:val="bullet"/>
      <w:lvlText w:val=""/>
      <w:lvlJc w:val="left"/>
      <w:pPr>
        <w:tabs>
          <w:tab w:val="num" w:pos="1440"/>
        </w:tabs>
        <w:ind w:left="1440" w:hanging="363"/>
      </w:pPr>
      <w:rPr>
        <w:rFonts w:ascii="Symbol" w:hAnsi="Symbol" w:hint="default"/>
        <w:color w:val="C6C7C8"/>
        <w:sz w:val="22"/>
      </w:rPr>
    </w:lvl>
    <w:lvl w:ilvl="2">
      <w:start w:val="1"/>
      <w:numFmt w:val="bullet"/>
      <w:pStyle w:val="ListBullet3"/>
      <w:lvlText w:val=""/>
      <w:lvlJc w:val="left"/>
      <w:pPr>
        <w:tabs>
          <w:tab w:val="num" w:pos="2160"/>
        </w:tabs>
        <w:ind w:left="2160" w:hanging="363"/>
      </w:pPr>
      <w:rPr>
        <w:rFonts w:ascii="Symbol" w:hAnsi="Symbol" w:hint="default"/>
        <w:color w:val="004494"/>
        <w:sz w:val="22"/>
      </w:rPr>
    </w:lvl>
    <w:lvl w:ilvl="3">
      <w:start w:val="1"/>
      <w:numFmt w:val="bullet"/>
      <w:lvlText w:val=""/>
      <w:lvlJc w:val="left"/>
      <w:pPr>
        <w:tabs>
          <w:tab w:val="num" w:pos="2880"/>
        </w:tabs>
        <w:ind w:left="2880" w:hanging="363"/>
      </w:pPr>
      <w:rPr>
        <w:rFonts w:ascii="Symbol" w:hAnsi="Symbol" w:hint="default"/>
        <w:color w:val="7AB514"/>
      </w:rPr>
    </w:lvl>
    <w:lvl w:ilvl="4">
      <w:start w:val="1"/>
      <w:numFmt w:val="bullet"/>
      <w:lvlText w:val=""/>
      <w:lvlJc w:val="left"/>
      <w:pPr>
        <w:tabs>
          <w:tab w:val="num" w:pos="3600"/>
        </w:tabs>
        <w:ind w:left="3600" w:hanging="362"/>
      </w:pPr>
      <w:rPr>
        <w:rFonts w:ascii="Symbol" w:hAnsi="Symbol" w:hint="default"/>
        <w:color w:val="C6C7C8"/>
      </w:rPr>
    </w:lvl>
    <w:lvl w:ilvl="5">
      <w:start w:val="1"/>
      <w:numFmt w:val="bullet"/>
      <w:lvlText w:val=""/>
      <w:lvlJc w:val="left"/>
      <w:pPr>
        <w:tabs>
          <w:tab w:val="num" w:pos="4321"/>
        </w:tabs>
        <w:ind w:left="4321" w:hanging="363"/>
      </w:pPr>
      <w:rPr>
        <w:rFonts w:ascii="Symbol" w:hAnsi="Symbol" w:hint="default"/>
        <w:color w:val="004494"/>
      </w:rPr>
    </w:lvl>
    <w:lvl w:ilvl="6">
      <w:start w:val="1"/>
      <w:numFmt w:val="bullet"/>
      <w:lvlText w:val=""/>
      <w:lvlJc w:val="left"/>
      <w:pPr>
        <w:tabs>
          <w:tab w:val="num" w:pos="5041"/>
        </w:tabs>
        <w:ind w:left="5041" w:hanging="363"/>
      </w:pPr>
      <w:rPr>
        <w:rFonts w:ascii="Symbol" w:hAnsi="Symbol" w:hint="default"/>
        <w:color w:val="7AB514"/>
      </w:rPr>
    </w:lvl>
    <w:lvl w:ilvl="7">
      <w:start w:val="1"/>
      <w:numFmt w:val="bullet"/>
      <w:lvlText w:val=""/>
      <w:lvlJc w:val="left"/>
      <w:pPr>
        <w:tabs>
          <w:tab w:val="num" w:pos="5761"/>
        </w:tabs>
        <w:ind w:left="5761" w:hanging="363"/>
      </w:pPr>
      <w:rPr>
        <w:rFonts w:ascii="Symbol" w:hAnsi="Symbol" w:hint="default"/>
        <w:color w:val="C6C7C8"/>
      </w:rPr>
    </w:lvl>
    <w:lvl w:ilvl="8">
      <w:start w:val="1"/>
      <w:numFmt w:val="bullet"/>
      <w:lvlText w:val=""/>
      <w:lvlJc w:val="left"/>
      <w:pPr>
        <w:tabs>
          <w:tab w:val="num" w:pos="6481"/>
        </w:tabs>
        <w:ind w:left="6481" w:hanging="363"/>
      </w:pPr>
      <w:rPr>
        <w:rFonts w:ascii="Symbol" w:hAnsi="Symbol" w:hint="default"/>
        <w:color w:val="004494"/>
      </w:rPr>
    </w:lvl>
  </w:abstractNum>
  <w:abstractNum w:abstractNumId="12">
    <w:nsid w:val="33C83E45"/>
    <w:multiLevelType w:val="hybridMultilevel"/>
    <w:tmpl w:val="DE32D360"/>
    <w:lvl w:ilvl="0" w:tplc="8D00AC5C">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41A7492"/>
    <w:multiLevelType w:val="hybridMultilevel"/>
    <w:tmpl w:val="957E79EC"/>
    <w:lvl w:ilvl="0" w:tplc="0809000F">
      <w:start w:val="1"/>
      <w:numFmt w:val="decimal"/>
      <w:lvlText w:val="%1."/>
      <w:lvlJc w:val="left"/>
      <w:pPr>
        <w:ind w:left="720" w:hanging="360"/>
      </w:p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nsid w:val="3E7F459A"/>
    <w:multiLevelType w:val="multilevel"/>
    <w:tmpl w:val="1332CCD4"/>
    <w:numStyleLink w:val="111111"/>
  </w:abstractNum>
  <w:abstractNum w:abstractNumId="15">
    <w:nsid w:val="51200365"/>
    <w:multiLevelType w:val="multilevel"/>
    <w:tmpl w:val="B81EFF2A"/>
    <w:lvl w:ilvl="0">
      <w:start w:val="1"/>
      <w:numFmt w:val="decimal"/>
      <w:lvlRestart w:val="0"/>
      <w:lvlText w:val="%1."/>
      <w:lvlJc w:val="left"/>
      <w:pPr>
        <w:tabs>
          <w:tab w:val="num" w:pos="720"/>
        </w:tabs>
        <w:ind w:left="720" w:hanging="720"/>
      </w:pPr>
      <w:rPr>
        <w:rFonts w:hint="default"/>
        <w:caps w:val="0"/>
        <w:sz w:val="20"/>
        <w:szCs w:val="20"/>
        <w:effect w:val="none"/>
      </w:rPr>
    </w:lvl>
    <w:lvl w:ilvl="1">
      <w:start w:val="1"/>
      <w:numFmt w:val="decimal"/>
      <w:lvlText w:val="%1.%2"/>
      <w:lvlJc w:val="left"/>
      <w:pPr>
        <w:tabs>
          <w:tab w:val="num" w:pos="720"/>
        </w:tabs>
        <w:ind w:left="737" w:hanging="737"/>
      </w:pPr>
      <w:rPr>
        <w:rFonts w:hint="default"/>
      </w:rPr>
    </w:lvl>
    <w:lvl w:ilvl="2">
      <w:start w:val="1"/>
      <w:numFmt w:val="decimal"/>
      <w:lvlText w:val="%1.%2.%3"/>
      <w:lvlJc w:val="left"/>
      <w:pPr>
        <w:tabs>
          <w:tab w:val="num" w:pos="1080"/>
        </w:tabs>
        <w:ind w:left="1094" w:hanging="1094"/>
      </w:pPr>
      <w:rPr>
        <w:rFonts w:ascii="Arial" w:hAnsi="Arial" w:cs="Arial" w:hint="default"/>
        <w:b w:val="0"/>
        <w:caps w:val="0"/>
        <w:sz w:val="20"/>
        <w:szCs w:val="20"/>
        <w:effect w:val="none"/>
      </w:rPr>
    </w:lvl>
    <w:lvl w:ilvl="3">
      <w:start w:val="1"/>
      <w:numFmt w:val="decimal"/>
      <w:lvlText w:val="%1.%2.%3.%4"/>
      <w:lvlJc w:val="left"/>
      <w:pPr>
        <w:tabs>
          <w:tab w:val="num" w:pos="3207"/>
        </w:tabs>
        <w:ind w:left="3207" w:hanging="1080"/>
      </w:pPr>
      <w:rPr>
        <w:rFonts w:hint="default"/>
        <w:b w:val="0"/>
        <w:caps w:val="0"/>
        <w:sz w:val="20"/>
        <w:szCs w:val="2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6">
    <w:nsid w:val="573D0109"/>
    <w:multiLevelType w:val="multilevel"/>
    <w:tmpl w:val="00169884"/>
    <w:lvl w:ilvl="0">
      <w:start w:val="1"/>
      <w:numFmt w:val="decimal"/>
      <w:lvlRestart w:val="0"/>
      <w:lvlText w:val="%1."/>
      <w:lvlJc w:val="left"/>
      <w:pPr>
        <w:tabs>
          <w:tab w:val="num" w:pos="680"/>
        </w:tabs>
        <w:ind w:left="680" w:hanging="680"/>
      </w:pPr>
      <w:rPr>
        <w:rFonts w:hint="default"/>
        <w:caps w:val="0"/>
        <w:effect w:val="none"/>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1474"/>
        </w:tabs>
        <w:ind w:left="1474" w:hanging="794"/>
      </w:pPr>
      <w:rPr>
        <w:rFonts w:ascii="Symbol" w:hAnsi="Symbol" w:hint="default"/>
        <w:caps w:val="0"/>
        <w:effect w:val="none"/>
      </w:rPr>
    </w:lvl>
    <w:lvl w:ilvl="3">
      <w:start w:val="1"/>
      <w:numFmt w:val="decimal"/>
      <w:lvlText w:val="%1.%2.%3.%4"/>
      <w:lvlJc w:val="left"/>
      <w:pPr>
        <w:tabs>
          <w:tab w:val="num" w:pos="2268"/>
        </w:tabs>
        <w:ind w:left="2268" w:hanging="794"/>
      </w:pPr>
      <w:rPr>
        <w:rFonts w:hint="default"/>
        <w:caps w:val="0"/>
        <w:effect w:val="none"/>
      </w:rPr>
    </w:lvl>
    <w:lvl w:ilvl="4">
      <w:start w:val="1"/>
      <w:numFmt w:val="lowerLetter"/>
      <w:lvlText w:val="(%5)"/>
      <w:lvlJc w:val="left"/>
      <w:pPr>
        <w:tabs>
          <w:tab w:val="num" w:pos="737"/>
        </w:tabs>
        <w:ind w:left="737" w:hanging="737"/>
      </w:pPr>
      <w:rPr>
        <w:rFonts w:hint="default"/>
        <w:caps w:val="0"/>
        <w:effect w:val="none"/>
      </w:rPr>
    </w:lvl>
    <w:lvl w:ilvl="5">
      <w:start w:val="1"/>
      <w:numFmt w:val="lowerRoman"/>
      <w:lvlText w:val="(%6)"/>
      <w:lvlJc w:val="left"/>
      <w:pPr>
        <w:tabs>
          <w:tab w:val="num" w:pos="737"/>
        </w:tabs>
        <w:ind w:left="737" w:hanging="737"/>
      </w:pPr>
      <w:rPr>
        <w:rFonts w:hint="default"/>
        <w:caps w:val="0"/>
        <w:effect w:val="none"/>
      </w:rPr>
    </w:lvl>
    <w:lvl w:ilvl="6">
      <w:start w:val="1"/>
      <w:numFmt w:val="decimal"/>
      <w:lvlText w:val="(%7)"/>
      <w:lvlJc w:val="left"/>
      <w:pPr>
        <w:tabs>
          <w:tab w:val="num" w:pos="737"/>
        </w:tabs>
        <w:ind w:left="737" w:hanging="737"/>
      </w:pPr>
      <w:rPr>
        <w:rFonts w:hint="default"/>
        <w:caps w:val="0"/>
        <w:effect w:val="none"/>
      </w:rPr>
    </w:lvl>
    <w:lvl w:ilvl="7">
      <w:start w:val="1"/>
      <w:numFmt w:val="none"/>
      <w:lvlText w:val=""/>
      <w:lvlJc w:val="left"/>
      <w:pPr>
        <w:tabs>
          <w:tab w:val="num" w:pos="737"/>
        </w:tabs>
        <w:ind w:left="737" w:hanging="737"/>
      </w:pPr>
      <w:rPr>
        <w:rFonts w:hint="default"/>
        <w:caps w:val="0"/>
        <w:effect w:val="none"/>
      </w:rPr>
    </w:lvl>
    <w:lvl w:ilvl="8">
      <w:start w:val="1"/>
      <w:numFmt w:val="none"/>
      <w:lvlText w:val=""/>
      <w:lvlJc w:val="left"/>
      <w:pPr>
        <w:tabs>
          <w:tab w:val="num" w:pos="737"/>
        </w:tabs>
        <w:ind w:left="737" w:hanging="737"/>
      </w:pPr>
      <w:rPr>
        <w:rFonts w:hint="default"/>
        <w:caps w:val="0"/>
        <w:effect w:val="none"/>
      </w:rPr>
    </w:lvl>
  </w:abstractNum>
  <w:abstractNum w:abstractNumId="17">
    <w:nsid w:val="5ECE561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40E2D97"/>
    <w:multiLevelType w:val="multilevel"/>
    <w:tmpl w:val="1332CCD4"/>
    <w:numStyleLink w:val="111111"/>
  </w:abstractNum>
  <w:abstractNum w:abstractNumId="19">
    <w:nsid w:val="69BF203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C3575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08038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697563F"/>
    <w:multiLevelType w:val="hybridMultilevel"/>
    <w:tmpl w:val="0F52108A"/>
    <w:lvl w:ilvl="0" w:tplc="0809000F">
      <w:start w:val="1"/>
      <w:numFmt w:val="decimal"/>
      <w:lvlText w:val="%1."/>
      <w:lvlJc w:val="left"/>
      <w:pPr>
        <w:ind w:left="2194" w:hanging="360"/>
      </w:pPr>
    </w:lvl>
    <w:lvl w:ilvl="1" w:tplc="08090019" w:tentative="1">
      <w:start w:val="1"/>
      <w:numFmt w:val="lowerLetter"/>
      <w:lvlText w:val="%2."/>
      <w:lvlJc w:val="left"/>
      <w:pPr>
        <w:ind w:left="2914" w:hanging="360"/>
      </w:pPr>
    </w:lvl>
    <w:lvl w:ilvl="2" w:tplc="0809001B" w:tentative="1">
      <w:start w:val="1"/>
      <w:numFmt w:val="lowerRoman"/>
      <w:lvlText w:val="%3."/>
      <w:lvlJc w:val="right"/>
      <w:pPr>
        <w:ind w:left="3634" w:hanging="180"/>
      </w:pPr>
    </w:lvl>
    <w:lvl w:ilvl="3" w:tplc="0809000F" w:tentative="1">
      <w:start w:val="1"/>
      <w:numFmt w:val="decimal"/>
      <w:lvlText w:val="%4."/>
      <w:lvlJc w:val="left"/>
      <w:pPr>
        <w:ind w:left="4354" w:hanging="360"/>
      </w:pPr>
    </w:lvl>
    <w:lvl w:ilvl="4" w:tplc="08090019" w:tentative="1">
      <w:start w:val="1"/>
      <w:numFmt w:val="lowerLetter"/>
      <w:lvlText w:val="%5."/>
      <w:lvlJc w:val="left"/>
      <w:pPr>
        <w:ind w:left="5074" w:hanging="360"/>
      </w:pPr>
    </w:lvl>
    <w:lvl w:ilvl="5" w:tplc="0809001B" w:tentative="1">
      <w:start w:val="1"/>
      <w:numFmt w:val="lowerRoman"/>
      <w:lvlText w:val="%6."/>
      <w:lvlJc w:val="right"/>
      <w:pPr>
        <w:ind w:left="5794" w:hanging="180"/>
      </w:pPr>
    </w:lvl>
    <w:lvl w:ilvl="6" w:tplc="0809000F" w:tentative="1">
      <w:start w:val="1"/>
      <w:numFmt w:val="decimal"/>
      <w:lvlText w:val="%7."/>
      <w:lvlJc w:val="left"/>
      <w:pPr>
        <w:ind w:left="6514" w:hanging="360"/>
      </w:pPr>
    </w:lvl>
    <w:lvl w:ilvl="7" w:tplc="08090019" w:tentative="1">
      <w:start w:val="1"/>
      <w:numFmt w:val="lowerLetter"/>
      <w:lvlText w:val="%8."/>
      <w:lvlJc w:val="left"/>
      <w:pPr>
        <w:ind w:left="7234" w:hanging="360"/>
      </w:pPr>
    </w:lvl>
    <w:lvl w:ilvl="8" w:tplc="0809001B" w:tentative="1">
      <w:start w:val="1"/>
      <w:numFmt w:val="lowerRoman"/>
      <w:lvlText w:val="%9."/>
      <w:lvlJc w:val="right"/>
      <w:pPr>
        <w:ind w:left="7954" w:hanging="180"/>
      </w:pPr>
    </w:lvl>
  </w:abstractNum>
  <w:abstractNum w:abstractNumId="23">
    <w:nsid w:val="772936E4"/>
    <w:multiLevelType w:val="multilevel"/>
    <w:tmpl w:val="790E75C0"/>
    <w:lvl w:ilvl="0">
      <w:start w:val="1"/>
      <w:numFmt w:val="decimal"/>
      <w:pStyle w:val="GPSL1CLAUSEHEADING"/>
      <w:lvlText w:val="%1."/>
      <w:lvlJc w:val="left"/>
      <w:pPr>
        <w:ind w:left="360" w:hanging="360"/>
      </w:pPr>
      <w:rPr>
        <w:rFonts w:hint="default"/>
        <w:i w:val="0"/>
      </w:rPr>
    </w:lvl>
    <w:lvl w:ilvl="1">
      <w:start w:val="1"/>
      <w:numFmt w:val="decimal"/>
      <w:pStyle w:val="GPSL2NumberedBoldHeading"/>
      <w:isLgl/>
      <w:lvlText w:val="%1.%2"/>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GPSL3numberedclause"/>
      <w:isLgl/>
      <w:lvlText w:val="%1.%2.%3"/>
      <w:lvlJc w:val="left"/>
      <w:pPr>
        <w:ind w:left="1353"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lowerLetter"/>
      <w:pStyle w:val="GPSL4numberedclause"/>
      <w:lvlText w:val="(%4)"/>
      <w:lvlJc w:val="left"/>
      <w:pPr>
        <w:ind w:left="2487"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pStyle w:val="GPSL5numberedclause"/>
      <w:lvlText w:val="(%5)"/>
      <w:lvlJc w:val="left"/>
      <w:pPr>
        <w:ind w:left="108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080" w:hanging="1080"/>
      </w:pPr>
      <w:rPr>
        <w:rFonts w:ascii="Arial" w:eastAsia="Times New Roman" w:hAnsi="Arial" w:cs="Arial" w:hint="default"/>
        <w:color w:val="auto"/>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nsid w:val="7C3D03D2"/>
    <w:multiLevelType w:val="multilevel"/>
    <w:tmpl w:val="582AB59A"/>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nsid w:val="7DD76202"/>
    <w:multiLevelType w:val="hybridMultilevel"/>
    <w:tmpl w:val="57E8B79E"/>
    <w:lvl w:ilvl="0" w:tplc="627A6416">
      <w:start w:val="1"/>
      <w:numFmt w:val="bullet"/>
      <w:lvlText w:val=""/>
      <w:lvlJc w:val="left"/>
      <w:pPr>
        <w:ind w:left="3240" w:hanging="360"/>
      </w:pPr>
      <w:rPr>
        <w:rFonts w:ascii="Symbol" w:hAnsi="Symbol" w:hint="default"/>
      </w:rPr>
    </w:lvl>
    <w:lvl w:ilvl="1" w:tplc="07E8AA06" w:tentative="1">
      <w:start w:val="1"/>
      <w:numFmt w:val="bullet"/>
      <w:lvlText w:val="o"/>
      <w:lvlJc w:val="left"/>
      <w:pPr>
        <w:ind w:left="3960" w:hanging="360"/>
      </w:pPr>
      <w:rPr>
        <w:rFonts w:ascii="Courier New" w:hAnsi="Courier New" w:cs="Courier New" w:hint="default"/>
      </w:rPr>
    </w:lvl>
    <w:lvl w:ilvl="2" w:tplc="155243EC" w:tentative="1">
      <w:start w:val="1"/>
      <w:numFmt w:val="bullet"/>
      <w:lvlText w:val=""/>
      <w:lvlJc w:val="left"/>
      <w:pPr>
        <w:ind w:left="4680" w:hanging="360"/>
      </w:pPr>
      <w:rPr>
        <w:rFonts w:ascii="Wingdings" w:hAnsi="Wingdings" w:hint="default"/>
      </w:rPr>
    </w:lvl>
    <w:lvl w:ilvl="3" w:tplc="29307A5A" w:tentative="1">
      <w:start w:val="1"/>
      <w:numFmt w:val="bullet"/>
      <w:lvlText w:val=""/>
      <w:lvlJc w:val="left"/>
      <w:pPr>
        <w:ind w:left="5400" w:hanging="360"/>
      </w:pPr>
      <w:rPr>
        <w:rFonts w:ascii="Symbol" w:hAnsi="Symbol" w:hint="default"/>
      </w:rPr>
    </w:lvl>
    <w:lvl w:ilvl="4" w:tplc="414C5E3E" w:tentative="1">
      <w:start w:val="1"/>
      <w:numFmt w:val="bullet"/>
      <w:lvlText w:val="o"/>
      <w:lvlJc w:val="left"/>
      <w:pPr>
        <w:ind w:left="6120" w:hanging="360"/>
      </w:pPr>
      <w:rPr>
        <w:rFonts w:ascii="Courier New" w:hAnsi="Courier New" w:cs="Courier New" w:hint="default"/>
      </w:rPr>
    </w:lvl>
    <w:lvl w:ilvl="5" w:tplc="DF74EBA4" w:tentative="1">
      <w:start w:val="1"/>
      <w:numFmt w:val="bullet"/>
      <w:lvlText w:val=""/>
      <w:lvlJc w:val="left"/>
      <w:pPr>
        <w:ind w:left="6840" w:hanging="360"/>
      </w:pPr>
      <w:rPr>
        <w:rFonts w:ascii="Wingdings" w:hAnsi="Wingdings" w:hint="default"/>
      </w:rPr>
    </w:lvl>
    <w:lvl w:ilvl="6" w:tplc="B1F0DE98" w:tentative="1">
      <w:start w:val="1"/>
      <w:numFmt w:val="bullet"/>
      <w:lvlText w:val=""/>
      <w:lvlJc w:val="left"/>
      <w:pPr>
        <w:ind w:left="7560" w:hanging="360"/>
      </w:pPr>
      <w:rPr>
        <w:rFonts w:ascii="Symbol" w:hAnsi="Symbol" w:hint="default"/>
      </w:rPr>
    </w:lvl>
    <w:lvl w:ilvl="7" w:tplc="30DCBACA" w:tentative="1">
      <w:start w:val="1"/>
      <w:numFmt w:val="bullet"/>
      <w:lvlText w:val="o"/>
      <w:lvlJc w:val="left"/>
      <w:pPr>
        <w:ind w:left="8280" w:hanging="360"/>
      </w:pPr>
      <w:rPr>
        <w:rFonts w:ascii="Courier New" w:hAnsi="Courier New" w:cs="Courier New" w:hint="default"/>
      </w:rPr>
    </w:lvl>
    <w:lvl w:ilvl="8" w:tplc="45CE5E06" w:tentative="1">
      <w:start w:val="1"/>
      <w:numFmt w:val="bullet"/>
      <w:lvlText w:val=""/>
      <w:lvlJc w:val="left"/>
      <w:pPr>
        <w:ind w:left="9000" w:hanging="360"/>
      </w:pPr>
      <w:rPr>
        <w:rFonts w:ascii="Wingdings" w:hAnsi="Wingdings" w:hint="default"/>
      </w:rPr>
    </w:lvl>
  </w:abstractNum>
  <w:num w:numId="1">
    <w:abstractNumId w:val="4"/>
  </w:num>
  <w:num w:numId="2">
    <w:abstractNumId w:val="2"/>
  </w:num>
  <w:num w:numId="3">
    <w:abstractNumId w:val="24"/>
  </w:num>
  <w:num w:numId="4">
    <w:abstractNumId w:val="4"/>
  </w:num>
  <w:num w:numId="5">
    <w:abstractNumId w:val="4"/>
  </w:num>
  <w:num w:numId="6">
    <w:abstractNumId w:val="4"/>
  </w:num>
  <w:num w:numId="7">
    <w:abstractNumId w:val="16"/>
  </w:num>
  <w:num w:numId="8">
    <w:abstractNumId w:val="25"/>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num>
  <w:num w:numId="23">
    <w:abstractNumId w:val="6"/>
  </w:num>
  <w:num w:numId="24">
    <w:abstractNumId w:val="4"/>
  </w:num>
  <w:num w:numId="25">
    <w:abstractNumId w:val="4"/>
  </w:num>
  <w:num w:numId="26">
    <w:abstractNumId w:val="0"/>
  </w:num>
  <w:num w:numId="27">
    <w:abstractNumId w:val="4"/>
    <w:lvlOverride w:ilvl="0">
      <w:startOverride w:val="3"/>
    </w:lvlOverride>
    <w:lvlOverride w:ilvl="1">
      <w:startOverride w:val="2"/>
    </w:lvlOverride>
  </w:num>
  <w:num w:numId="28">
    <w:abstractNumId w:val="4"/>
  </w:num>
  <w:num w:numId="29">
    <w:abstractNumId w:val="4"/>
  </w:num>
  <w:num w:numId="30">
    <w:abstractNumId w:val="22"/>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4"/>
  </w:num>
  <w:num w:numId="35">
    <w:abstractNumId w:val="4"/>
  </w:num>
  <w:num w:numId="36">
    <w:abstractNumId w:val="4"/>
  </w:num>
  <w:num w:numId="37">
    <w:abstractNumId w:val="4"/>
  </w:num>
  <w:num w:numId="38">
    <w:abstractNumId w:val="15"/>
  </w:num>
  <w:num w:numId="39">
    <w:abstractNumId w:val="15"/>
    <w:lvlOverride w:ilvl="0">
      <w:startOverride w:val="11"/>
    </w:lvlOverride>
    <w:lvlOverride w:ilvl="1">
      <w:startOverride w:val="7"/>
    </w:lvlOverride>
  </w:num>
  <w:num w:numId="40">
    <w:abstractNumId w:val="8"/>
  </w:num>
  <w:num w:numId="41">
    <w:abstractNumId w:val="21"/>
  </w:num>
  <w:num w:numId="42">
    <w:abstractNumId w:val="10"/>
  </w:num>
  <w:num w:numId="43">
    <w:abstractNumId w:val="1"/>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num>
  <w:num w:numId="48">
    <w:abstractNumId w:val="17"/>
  </w:num>
  <w:num w:numId="49">
    <w:abstractNumId w:val="4"/>
  </w:num>
  <w:num w:numId="50">
    <w:abstractNumId w:val="13"/>
  </w:num>
  <w:num w:numId="51">
    <w:abstractNumId w:val="11"/>
  </w:num>
  <w:num w:numId="52">
    <w:abstractNumId w:val="14"/>
  </w:num>
  <w:num w:numId="53">
    <w:abstractNumId w:val="7"/>
  </w:num>
  <w:num w:numId="54">
    <w:abstractNumId w:val="19"/>
  </w:num>
  <w:num w:numId="55">
    <w:abstractNumId w:val="5"/>
  </w:num>
  <w:num w:numId="56">
    <w:abstractNumId w:val="20"/>
  </w:num>
  <w:num w:numId="57">
    <w:abstractNumId w:val="9"/>
  </w:num>
  <w:num w:numId="58">
    <w:abstractNumId w:val="18"/>
  </w:num>
  <w:num w:numId="59">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413352"/>
    <w:docVar w:name="BASEPRECID" w:val="17"/>
    <w:docVar w:name="BASEPRECTYPE" w:val="BLANK"/>
    <w:docVar w:name="CLIENTID" w:val="2427"/>
    <w:docVar w:name="COMPANYID" w:val="2122615613"/>
    <w:docVar w:name="DOCID" w:val="3884419"/>
    <w:docVar w:name="DOCIDEX" w:val="8492663"/>
    <w:docVar w:name="EDITION" w:val="FM"/>
    <w:docVar w:name="FILEID" w:val="90994"/>
    <w:docVar w:name="SERIALNO" w:val="11311"/>
    <w:docVar w:name="VERSIONID" w:val="77688c56-9f38-4de3-b95a-b157e2409857"/>
    <w:docVar w:name="VERSIONLABEL" w:val="3"/>
  </w:docVars>
  <w:rsids>
    <w:rsidRoot w:val="00AE4296"/>
    <w:rsid w:val="0000021F"/>
    <w:rsid w:val="000008D5"/>
    <w:rsid w:val="000026E2"/>
    <w:rsid w:val="0000340A"/>
    <w:rsid w:val="00006406"/>
    <w:rsid w:val="0001158A"/>
    <w:rsid w:val="00012BA4"/>
    <w:rsid w:val="00016B32"/>
    <w:rsid w:val="000176D3"/>
    <w:rsid w:val="00020246"/>
    <w:rsid w:val="00021907"/>
    <w:rsid w:val="00021F82"/>
    <w:rsid w:val="0002236B"/>
    <w:rsid w:val="0002272C"/>
    <w:rsid w:val="00023F9C"/>
    <w:rsid w:val="00024DCB"/>
    <w:rsid w:val="000253ED"/>
    <w:rsid w:val="000259C5"/>
    <w:rsid w:val="0003026B"/>
    <w:rsid w:val="0003047B"/>
    <w:rsid w:val="0003051A"/>
    <w:rsid w:val="000320B8"/>
    <w:rsid w:val="00034906"/>
    <w:rsid w:val="00034EF7"/>
    <w:rsid w:val="00037E5A"/>
    <w:rsid w:val="00043343"/>
    <w:rsid w:val="00043B85"/>
    <w:rsid w:val="000465C7"/>
    <w:rsid w:val="00046AD0"/>
    <w:rsid w:val="00046CC2"/>
    <w:rsid w:val="0004759E"/>
    <w:rsid w:val="000500B2"/>
    <w:rsid w:val="00050DE3"/>
    <w:rsid w:val="000517A9"/>
    <w:rsid w:val="0005244D"/>
    <w:rsid w:val="000537C1"/>
    <w:rsid w:val="00055A74"/>
    <w:rsid w:val="00062B78"/>
    <w:rsid w:val="000630CF"/>
    <w:rsid w:val="00065CC9"/>
    <w:rsid w:val="00066AA7"/>
    <w:rsid w:val="00072824"/>
    <w:rsid w:val="0007482B"/>
    <w:rsid w:val="000749A8"/>
    <w:rsid w:val="00081C9D"/>
    <w:rsid w:val="00082A30"/>
    <w:rsid w:val="00085EC2"/>
    <w:rsid w:val="000872CF"/>
    <w:rsid w:val="0009178C"/>
    <w:rsid w:val="000966A0"/>
    <w:rsid w:val="0009752F"/>
    <w:rsid w:val="00097AE7"/>
    <w:rsid w:val="00097D52"/>
    <w:rsid w:val="000A043C"/>
    <w:rsid w:val="000A2719"/>
    <w:rsid w:val="000A5FAA"/>
    <w:rsid w:val="000A6672"/>
    <w:rsid w:val="000A715E"/>
    <w:rsid w:val="000B018E"/>
    <w:rsid w:val="000B4461"/>
    <w:rsid w:val="000B5713"/>
    <w:rsid w:val="000B67F6"/>
    <w:rsid w:val="000C064F"/>
    <w:rsid w:val="000C1B19"/>
    <w:rsid w:val="000C1E6A"/>
    <w:rsid w:val="000C3EFD"/>
    <w:rsid w:val="000C48E0"/>
    <w:rsid w:val="000C6660"/>
    <w:rsid w:val="000D23F5"/>
    <w:rsid w:val="000D2F61"/>
    <w:rsid w:val="000E00DE"/>
    <w:rsid w:val="000E076D"/>
    <w:rsid w:val="000E419B"/>
    <w:rsid w:val="000E75ED"/>
    <w:rsid w:val="000F2497"/>
    <w:rsid w:val="000F3512"/>
    <w:rsid w:val="000F429B"/>
    <w:rsid w:val="000F4D3A"/>
    <w:rsid w:val="000F7FA8"/>
    <w:rsid w:val="001022F5"/>
    <w:rsid w:val="001025C0"/>
    <w:rsid w:val="00106585"/>
    <w:rsid w:val="001079A9"/>
    <w:rsid w:val="00111613"/>
    <w:rsid w:val="00111C4B"/>
    <w:rsid w:val="00113965"/>
    <w:rsid w:val="0012140E"/>
    <w:rsid w:val="00123A04"/>
    <w:rsid w:val="001248FB"/>
    <w:rsid w:val="0012662F"/>
    <w:rsid w:val="00131FB7"/>
    <w:rsid w:val="00132A1E"/>
    <w:rsid w:val="00134121"/>
    <w:rsid w:val="00134BB6"/>
    <w:rsid w:val="00140EA6"/>
    <w:rsid w:val="00140F50"/>
    <w:rsid w:val="001433E5"/>
    <w:rsid w:val="00144CB3"/>
    <w:rsid w:val="00150CA2"/>
    <w:rsid w:val="00151E91"/>
    <w:rsid w:val="00151F49"/>
    <w:rsid w:val="00153540"/>
    <w:rsid w:val="00155B09"/>
    <w:rsid w:val="00157EEC"/>
    <w:rsid w:val="00160561"/>
    <w:rsid w:val="001657D5"/>
    <w:rsid w:val="00170624"/>
    <w:rsid w:val="0017168D"/>
    <w:rsid w:val="00173E35"/>
    <w:rsid w:val="0017437A"/>
    <w:rsid w:val="00184911"/>
    <w:rsid w:val="00185DB7"/>
    <w:rsid w:val="001876E1"/>
    <w:rsid w:val="00187832"/>
    <w:rsid w:val="001941A3"/>
    <w:rsid w:val="00196735"/>
    <w:rsid w:val="001A1C92"/>
    <w:rsid w:val="001A3794"/>
    <w:rsid w:val="001B29A2"/>
    <w:rsid w:val="001C43F5"/>
    <w:rsid w:val="001C4E8B"/>
    <w:rsid w:val="001C5403"/>
    <w:rsid w:val="001C5C60"/>
    <w:rsid w:val="001D02FB"/>
    <w:rsid w:val="001D04F6"/>
    <w:rsid w:val="001D0600"/>
    <w:rsid w:val="001D0D3A"/>
    <w:rsid w:val="001D6004"/>
    <w:rsid w:val="001D726E"/>
    <w:rsid w:val="001E2D39"/>
    <w:rsid w:val="001E5767"/>
    <w:rsid w:val="001E6F80"/>
    <w:rsid w:val="001F270D"/>
    <w:rsid w:val="001F2E67"/>
    <w:rsid w:val="001F418D"/>
    <w:rsid w:val="001F5A9B"/>
    <w:rsid w:val="001F7B4B"/>
    <w:rsid w:val="001F7E37"/>
    <w:rsid w:val="0020219D"/>
    <w:rsid w:val="0020332D"/>
    <w:rsid w:val="002070E3"/>
    <w:rsid w:val="00207144"/>
    <w:rsid w:val="00210B10"/>
    <w:rsid w:val="0021321A"/>
    <w:rsid w:val="002138FB"/>
    <w:rsid w:val="00214032"/>
    <w:rsid w:val="0021440A"/>
    <w:rsid w:val="00215D3C"/>
    <w:rsid w:val="00217D3A"/>
    <w:rsid w:val="00220D54"/>
    <w:rsid w:val="00224534"/>
    <w:rsid w:val="002248FC"/>
    <w:rsid w:val="00224DE1"/>
    <w:rsid w:val="00226EA9"/>
    <w:rsid w:val="00230905"/>
    <w:rsid w:val="00232109"/>
    <w:rsid w:val="00243D16"/>
    <w:rsid w:val="00245D5B"/>
    <w:rsid w:val="00247FD2"/>
    <w:rsid w:val="00250840"/>
    <w:rsid w:val="00251AE6"/>
    <w:rsid w:val="00252725"/>
    <w:rsid w:val="002529E3"/>
    <w:rsid w:val="0025638E"/>
    <w:rsid w:val="002571B0"/>
    <w:rsid w:val="002579B1"/>
    <w:rsid w:val="00257B08"/>
    <w:rsid w:val="00264647"/>
    <w:rsid w:val="00264BF9"/>
    <w:rsid w:val="00265764"/>
    <w:rsid w:val="00265B98"/>
    <w:rsid w:val="0028092A"/>
    <w:rsid w:val="0028377D"/>
    <w:rsid w:val="00283A98"/>
    <w:rsid w:val="0028605E"/>
    <w:rsid w:val="002924C1"/>
    <w:rsid w:val="0029402D"/>
    <w:rsid w:val="0029671C"/>
    <w:rsid w:val="002A2319"/>
    <w:rsid w:val="002A33C5"/>
    <w:rsid w:val="002A376B"/>
    <w:rsid w:val="002A399A"/>
    <w:rsid w:val="002A5089"/>
    <w:rsid w:val="002A6C07"/>
    <w:rsid w:val="002B1699"/>
    <w:rsid w:val="002B493C"/>
    <w:rsid w:val="002B5AC8"/>
    <w:rsid w:val="002B72E9"/>
    <w:rsid w:val="002C171F"/>
    <w:rsid w:val="002C18E1"/>
    <w:rsid w:val="002C20EE"/>
    <w:rsid w:val="002C36F2"/>
    <w:rsid w:val="002C3ED3"/>
    <w:rsid w:val="002C3F3C"/>
    <w:rsid w:val="002C428A"/>
    <w:rsid w:val="002C5440"/>
    <w:rsid w:val="002C6622"/>
    <w:rsid w:val="002C792F"/>
    <w:rsid w:val="002D0C28"/>
    <w:rsid w:val="002D656A"/>
    <w:rsid w:val="002D6E23"/>
    <w:rsid w:val="002D76E7"/>
    <w:rsid w:val="002D7B2A"/>
    <w:rsid w:val="002E073A"/>
    <w:rsid w:val="002E55A9"/>
    <w:rsid w:val="002F5158"/>
    <w:rsid w:val="002F6B94"/>
    <w:rsid w:val="00301DB7"/>
    <w:rsid w:val="0030272D"/>
    <w:rsid w:val="0030656D"/>
    <w:rsid w:val="003068ED"/>
    <w:rsid w:val="003101AC"/>
    <w:rsid w:val="00311878"/>
    <w:rsid w:val="00311B65"/>
    <w:rsid w:val="003152DF"/>
    <w:rsid w:val="003168E0"/>
    <w:rsid w:val="003214FD"/>
    <w:rsid w:val="0032342F"/>
    <w:rsid w:val="00331C7E"/>
    <w:rsid w:val="00332F41"/>
    <w:rsid w:val="00333464"/>
    <w:rsid w:val="003353C6"/>
    <w:rsid w:val="0033764D"/>
    <w:rsid w:val="00337AEA"/>
    <w:rsid w:val="00341991"/>
    <w:rsid w:val="00342785"/>
    <w:rsid w:val="00343880"/>
    <w:rsid w:val="00346612"/>
    <w:rsid w:val="0035030C"/>
    <w:rsid w:val="003519A4"/>
    <w:rsid w:val="003538F0"/>
    <w:rsid w:val="00354E3E"/>
    <w:rsid w:val="003563EF"/>
    <w:rsid w:val="00356B21"/>
    <w:rsid w:val="003605B0"/>
    <w:rsid w:val="00363B8B"/>
    <w:rsid w:val="00365ED9"/>
    <w:rsid w:val="00366733"/>
    <w:rsid w:val="00367888"/>
    <w:rsid w:val="00374CFC"/>
    <w:rsid w:val="003779B9"/>
    <w:rsid w:val="00382E69"/>
    <w:rsid w:val="00390331"/>
    <w:rsid w:val="003979E5"/>
    <w:rsid w:val="003A363C"/>
    <w:rsid w:val="003A39E9"/>
    <w:rsid w:val="003A4F69"/>
    <w:rsid w:val="003B59D1"/>
    <w:rsid w:val="003B6A1E"/>
    <w:rsid w:val="003B6A97"/>
    <w:rsid w:val="003C1814"/>
    <w:rsid w:val="003C1E68"/>
    <w:rsid w:val="003C239A"/>
    <w:rsid w:val="003C3618"/>
    <w:rsid w:val="003C3C8A"/>
    <w:rsid w:val="003C64FE"/>
    <w:rsid w:val="003D0406"/>
    <w:rsid w:val="003D181B"/>
    <w:rsid w:val="003D5C7A"/>
    <w:rsid w:val="003D69FD"/>
    <w:rsid w:val="003E20C7"/>
    <w:rsid w:val="003E53D6"/>
    <w:rsid w:val="003E5571"/>
    <w:rsid w:val="003E55C5"/>
    <w:rsid w:val="003E62D8"/>
    <w:rsid w:val="003E7254"/>
    <w:rsid w:val="003F10B0"/>
    <w:rsid w:val="003F16DD"/>
    <w:rsid w:val="003F55B2"/>
    <w:rsid w:val="00400055"/>
    <w:rsid w:val="00404273"/>
    <w:rsid w:val="0040462C"/>
    <w:rsid w:val="004050D0"/>
    <w:rsid w:val="00405AAD"/>
    <w:rsid w:val="00405EFE"/>
    <w:rsid w:val="00412306"/>
    <w:rsid w:val="004173D9"/>
    <w:rsid w:val="00425939"/>
    <w:rsid w:val="00425CE5"/>
    <w:rsid w:val="0043091F"/>
    <w:rsid w:val="00432F43"/>
    <w:rsid w:val="00435767"/>
    <w:rsid w:val="00437F0A"/>
    <w:rsid w:val="0044617C"/>
    <w:rsid w:val="004465DC"/>
    <w:rsid w:val="00446A2A"/>
    <w:rsid w:val="00447A66"/>
    <w:rsid w:val="0045014B"/>
    <w:rsid w:val="004547B7"/>
    <w:rsid w:val="00455152"/>
    <w:rsid w:val="00455DC1"/>
    <w:rsid w:val="004607C4"/>
    <w:rsid w:val="004610E2"/>
    <w:rsid w:val="00461495"/>
    <w:rsid w:val="00463BFA"/>
    <w:rsid w:val="00467739"/>
    <w:rsid w:val="004701B1"/>
    <w:rsid w:val="00471972"/>
    <w:rsid w:val="00471A69"/>
    <w:rsid w:val="00471FFF"/>
    <w:rsid w:val="00472987"/>
    <w:rsid w:val="00476BB8"/>
    <w:rsid w:val="004773C5"/>
    <w:rsid w:val="00480974"/>
    <w:rsid w:val="00482960"/>
    <w:rsid w:val="004912AB"/>
    <w:rsid w:val="0049137A"/>
    <w:rsid w:val="004939D8"/>
    <w:rsid w:val="004946A8"/>
    <w:rsid w:val="00495614"/>
    <w:rsid w:val="004A053F"/>
    <w:rsid w:val="004B0186"/>
    <w:rsid w:val="004B1BF8"/>
    <w:rsid w:val="004C2211"/>
    <w:rsid w:val="004C7EDC"/>
    <w:rsid w:val="004C7FB0"/>
    <w:rsid w:val="004D233A"/>
    <w:rsid w:val="004E042A"/>
    <w:rsid w:val="004E0AF7"/>
    <w:rsid w:val="004E1986"/>
    <w:rsid w:val="004E4D87"/>
    <w:rsid w:val="004F0CF3"/>
    <w:rsid w:val="004F4B7B"/>
    <w:rsid w:val="004F4FD6"/>
    <w:rsid w:val="004F7E11"/>
    <w:rsid w:val="005002A1"/>
    <w:rsid w:val="00501102"/>
    <w:rsid w:val="005018AE"/>
    <w:rsid w:val="005028BA"/>
    <w:rsid w:val="00507268"/>
    <w:rsid w:val="00510182"/>
    <w:rsid w:val="00515997"/>
    <w:rsid w:val="005163B1"/>
    <w:rsid w:val="00517F49"/>
    <w:rsid w:val="005201DC"/>
    <w:rsid w:val="005236AC"/>
    <w:rsid w:val="005259B7"/>
    <w:rsid w:val="00526073"/>
    <w:rsid w:val="005277E8"/>
    <w:rsid w:val="00532837"/>
    <w:rsid w:val="0053409B"/>
    <w:rsid w:val="00535F03"/>
    <w:rsid w:val="00541444"/>
    <w:rsid w:val="00542232"/>
    <w:rsid w:val="00545A8E"/>
    <w:rsid w:val="005462DB"/>
    <w:rsid w:val="00550034"/>
    <w:rsid w:val="005530F0"/>
    <w:rsid w:val="005537CA"/>
    <w:rsid w:val="00554D59"/>
    <w:rsid w:val="00556F3C"/>
    <w:rsid w:val="0055771A"/>
    <w:rsid w:val="005667A5"/>
    <w:rsid w:val="00566C83"/>
    <w:rsid w:val="00567026"/>
    <w:rsid w:val="00567167"/>
    <w:rsid w:val="005708DE"/>
    <w:rsid w:val="00570A10"/>
    <w:rsid w:val="00572248"/>
    <w:rsid w:val="0057679E"/>
    <w:rsid w:val="00576C62"/>
    <w:rsid w:val="00576F9D"/>
    <w:rsid w:val="005771B5"/>
    <w:rsid w:val="005777E7"/>
    <w:rsid w:val="005803C3"/>
    <w:rsid w:val="00580FF4"/>
    <w:rsid w:val="0058734C"/>
    <w:rsid w:val="005948B1"/>
    <w:rsid w:val="00594D02"/>
    <w:rsid w:val="005960B4"/>
    <w:rsid w:val="005A262D"/>
    <w:rsid w:val="005A328B"/>
    <w:rsid w:val="005A3D4E"/>
    <w:rsid w:val="005A4A89"/>
    <w:rsid w:val="005A60F6"/>
    <w:rsid w:val="005B1FF6"/>
    <w:rsid w:val="005B545B"/>
    <w:rsid w:val="005B6703"/>
    <w:rsid w:val="005C21E5"/>
    <w:rsid w:val="005C32AF"/>
    <w:rsid w:val="005C4E58"/>
    <w:rsid w:val="005C568F"/>
    <w:rsid w:val="005C599F"/>
    <w:rsid w:val="005C7E06"/>
    <w:rsid w:val="005D097F"/>
    <w:rsid w:val="005D1097"/>
    <w:rsid w:val="005D1A78"/>
    <w:rsid w:val="005D2846"/>
    <w:rsid w:val="005D37F1"/>
    <w:rsid w:val="005D54AC"/>
    <w:rsid w:val="005D6B57"/>
    <w:rsid w:val="005D78C9"/>
    <w:rsid w:val="005E22E3"/>
    <w:rsid w:val="005E2BB7"/>
    <w:rsid w:val="005E65C3"/>
    <w:rsid w:val="005F1771"/>
    <w:rsid w:val="005F1AB6"/>
    <w:rsid w:val="0060164E"/>
    <w:rsid w:val="00604CE2"/>
    <w:rsid w:val="006073D7"/>
    <w:rsid w:val="006110D7"/>
    <w:rsid w:val="006137B3"/>
    <w:rsid w:val="00620AEB"/>
    <w:rsid w:val="00624B0F"/>
    <w:rsid w:val="0062508F"/>
    <w:rsid w:val="006261CF"/>
    <w:rsid w:val="00627948"/>
    <w:rsid w:val="00627D78"/>
    <w:rsid w:val="006331D2"/>
    <w:rsid w:val="00633AD7"/>
    <w:rsid w:val="00633D3A"/>
    <w:rsid w:val="006344E8"/>
    <w:rsid w:val="00635633"/>
    <w:rsid w:val="00635B92"/>
    <w:rsid w:val="00637B41"/>
    <w:rsid w:val="006405E7"/>
    <w:rsid w:val="00644003"/>
    <w:rsid w:val="006461C3"/>
    <w:rsid w:val="00646220"/>
    <w:rsid w:val="006464C6"/>
    <w:rsid w:val="00646B25"/>
    <w:rsid w:val="00646C04"/>
    <w:rsid w:val="00646F6D"/>
    <w:rsid w:val="0065305A"/>
    <w:rsid w:val="00653B85"/>
    <w:rsid w:val="00653F00"/>
    <w:rsid w:val="006550F3"/>
    <w:rsid w:val="00656194"/>
    <w:rsid w:val="006607CA"/>
    <w:rsid w:val="00662C9C"/>
    <w:rsid w:val="00664D40"/>
    <w:rsid w:val="00670569"/>
    <w:rsid w:val="0067104A"/>
    <w:rsid w:val="00676CD2"/>
    <w:rsid w:val="00681ACA"/>
    <w:rsid w:val="0068347E"/>
    <w:rsid w:val="006859B2"/>
    <w:rsid w:val="00686172"/>
    <w:rsid w:val="00691A63"/>
    <w:rsid w:val="00691B80"/>
    <w:rsid w:val="006A0429"/>
    <w:rsid w:val="006A1F15"/>
    <w:rsid w:val="006A4125"/>
    <w:rsid w:val="006A4829"/>
    <w:rsid w:val="006A6A63"/>
    <w:rsid w:val="006A77BD"/>
    <w:rsid w:val="006B2642"/>
    <w:rsid w:val="006B5712"/>
    <w:rsid w:val="006B6332"/>
    <w:rsid w:val="006B7098"/>
    <w:rsid w:val="006B7471"/>
    <w:rsid w:val="006C49C1"/>
    <w:rsid w:val="006D35A5"/>
    <w:rsid w:val="006E136B"/>
    <w:rsid w:val="006E1617"/>
    <w:rsid w:val="006E1F25"/>
    <w:rsid w:val="006E36BA"/>
    <w:rsid w:val="006E7F17"/>
    <w:rsid w:val="006F1877"/>
    <w:rsid w:val="006F18B9"/>
    <w:rsid w:val="006F1E86"/>
    <w:rsid w:val="006F2DA3"/>
    <w:rsid w:val="006F4B7D"/>
    <w:rsid w:val="00701269"/>
    <w:rsid w:val="0070149F"/>
    <w:rsid w:val="00703821"/>
    <w:rsid w:val="00703E8A"/>
    <w:rsid w:val="007054C9"/>
    <w:rsid w:val="00705FD1"/>
    <w:rsid w:val="00706CC1"/>
    <w:rsid w:val="00711E72"/>
    <w:rsid w:val="00714180"/>
    <w:rsid w:val="00721018"/>
    <w:rsid w:val="007237F7"/>
    <w:rsid w:val="007256EE"/>
    <w:rsid w:val="00726DB6"/>
    <w:rsid w:val="00727574"/>
    <w:rsid w:val="00731144"/>
    <w:rsid w:val="00732B49"/>
    <w:rsid w:val="00735026"/>
    <w:rsid w:val="00735416"/>
    <w:rsid w:val="00735B24"/>
    <w:rsid w:val="00741BC7"/>
    <w:rsid w:val="00742D60"/>
    <w:rsid w:val="00743B4C"/>
    <w:rsid w:val="0074685E"/>
    <w:rsid w:val="00746C63"/>
    <w:rsid w:val="007509B8"/>
    <w:rsid w:val="007519C6"/>
    <w:rsid w:val="0075244E"/>
    <w:rsid w:val="00760427"/>
    <w:rsid w:val="00762AFF"/>
    <w:rsid w:val="00763AB5"/>
    <w:rsid w:val="00764A7E"/>
    <w:rsid w:val="00764F2F"/>
    <w:rsid w:val="007766A8"/>
    <w:rsid w:val="00777410"/>
    <w:rsid w:val="00780634"/>
    <w:rsid w:val="00783B98"/>
    <w:rsid w:val="00785FC2"/>
    <w:rsid w:val="007875C4"/>
    <w:rsid w:val="00787F59"/>
    <w:rsid w:val="007941EF"/>
    <w:rsid w:val="007A2271"/>
    <w:rsid w:val="007A6596"/>
    <w:rsid w:val="007A6D79"/>
    <w:rsid w:val="007A7147"/>
    <w:rsid w:val="007B3287"/>
    <w:rsid w:val="007B5076"/>
    <w:rsid w:val="007B7F18"/>
    <w:rsid w:val="007C0077"/>
    <w:rsid w:val="007C0B22"/>
    <w:rsid w:val="007C19E7"/>
    <w:rsid w:val="007C3476"/>
    <w:rsid w:val="007C3D63"/>
    <w:rsid w:val="007C3F94"/>
    <w:rsid w:val="007C404E"/>
    <w:rsid w:val="007C7E51"/>
    <w:rsid w:val="007D0ABF"/>
    <w:rsid w:val="007D295D"/>
    <w:rsid w:val="007D6A4F"/>
    <w:rsid w:val="007E2AF9"/>
    <w:rsid w:val="007E43A7"/>
    <w:rsid w:val="007E4738"/>
    <w:rsid w:val="007E719F"/>
    <w:rsid w:val="00800EE8"/>
    <w:rsid w:val="0080356C"/>
    <w:rsid w:val="00803E6D"/>
    <w:rsid w:val="00804C05"/>
    <w:rsid w:val="00804F6E"/>
    <w:rsid w:val="00805BCC"/>
    <w:rsid w:val="00806DCB"/>
    <w:rsid w:val="00807181"/>
    <w:rsid w:val="00810F3D"/>
    <w:rsid w:val="008110C7"/>
    <w:rsid w:val="008117B2"/>
    <w:rsid w:val="008119FE"/>
    <w:rsid w:val="00812347"/>
    <w:rsid w:val="0081366A"/>
    <w:rsid w:val="00813AB4"/>
    <w:rsid w:val="008160C5"/>
    <w:rsid w:val="0081614E"/>
    <w:rsid w:val="008178A3"/>
    <w:rsid w:val="00822613"/>
    <w:rsid w:val="00826506"/>
    <w:rsid w:val="00827069"/>
    <w:rsid w:val="0083360C"/>
    <w:rsid w:val="00835F98"/>
    <w:rsid w:val="0083744C"/>
    <w:rsid w:val="008405F4"/>
    <w:rsid w:val="00841242"/>
    <w:rsid w:val="00843E9F"/>
    <w:rsid w:val="0084470F"/>
    <w:rsid w:val="0085077A"/>
    <w:rsid w:val="008525E9"/>
    <w:rsid w:val="00852713"/>
    <w:rsid w:val="0085394B"/>
    <w:rsid w:val="0085461F"/>
    <w:rsid w:val="00856B3D"/>
    <w:rsid w:val="00857A35"/>
    <w:rsid w:val="00864089"/>
    <w:rsid w:val="008645EA"/>
    <w:rsid w:val="008657D3"/>
    <w:rsid w:val="00865AA2"/>
    <w:rsid w:val="008702E7"/>
    <w:rsid w:val="00871ACE"/>
    <w:rsid w:val="00875F3B"/>
    <w:rsid w:val="0087606B"/>
    <w:rsid w:val="00880CCE"/>
    <w:rsid w:val="00890F4A"/>
    <w:rsid w:val="00891F0B"/>
    <w:rsid w:val="00892B29"/>
    <w:rsid w:val="008932AF"/>
    <w:rsid w:val="00893337"/>
    <w:rsid w:val="0089535B"/>
    <w:rsid w:val="008955E0"/>
    <w:rsid w:val="008A010C"/>
    <w:rsid w:val="008A13F9"/>
    <w:rsid w:val="008A15D0"/>
    <w:rsid w:val="008A18A2"/>
    <w:rsid w:val="008A4461"/>
    <w:rsid w:val="008A6F8A"/>
    <w:rsid w:val="008A757F"/>
    <w:rsid w:val="008B00D0"/>
    <w:rsid w:val="008B4929"/>
    <w:rsid w:val="008B552B"/>
    <w:rsid w:val="008B644E"/>
    <w:rsid w:val="008B65D7"/>
    <w:rsid w:val="008B7340"/>
    <w:rsid w:val="008B76FA"/>
    <w:rsid w:val="008C27F8"/>
    <w:rsid w:val="008C472E"/>
    <w:rsid w:val="008D0A05"/>
    <w:rsid w:val="008D20C7"/>
    <w:rsid w:val="008D426D"/>
    <w:rsid w:val="008D55AA"/>
    <w:rsid w:val="008D6941"/>
    <w:rsid w:val="008D7C7D"/>
    <w:rsid w:val="008E30CF"/>
    <w:rsid w:val="008F017B"/>
    <w:rsid w:val="008F1E48"/>
    <w:rsid w:val="008F52C9"/>
    <w:rsid w:val="008F6B9E"/>
    <w:rsid w:val="008F7A47"/>
    <w:rsid w:val="00901DF4"/>
    <w:rsid w:val="00905966"/>
    <w:rsid w:val="00905BA6"/>
    <w:rsid w:val="00907699"/>
    <w:rsid w:val="00911A31"/>
    <w:rsid w:val="00911C22"/>
    <w:rsid w:val="0091202D"/>
    <w:rsid w:val="0091350D"/>
    <w:rsid w:val="0091443B"/>
    <w:rsid w:val="00915772"/>
    <w:rsid w:val="00920BE3"/>
    <w:rsid w:val="00924689"/>
    <w:rsid w:val="00926482"/>
    <w:rsid w:val="00933650"/>
    <w:rsid w:val="00940246"/>
    <w:rsid w:val="00941DA2"/>
    <w:rsid w:val="00947AC5"/>
    <w:rsid w:val="009512DC"/>
    <w:rsid w:val="00954763"/>
    <w:rsid w:val="00955445"/>
    <w:rsid w:val="00957790"/>
    <w:rsid w:val="0096026D"/>
    <w:rsid w:val="0096229D"/>
    <w:rsid w:val="00973BC4"/>
    <w:rsid w:val="00975440"/>
    <w:rsid w:val="0097577A"/>
    <w:rsid w:val="009770E4"/>
    <w:rsid w:val="00980AE3"/>
    <w:rsid w:val="00980FEC"/>
    <w:rsid w:val="0098284A"/>
    <w:rsid w:val="009862E7"/>
    <w:rsid w:val="00990F0A"/>
    <w:rsid w:val="009958E9"/>
    <w:rsid w:val="00997368"/>
    <w:rsid w:val="009A136F"/>
    <w:rsid w:val="009A1C1A"/>
    <w:rsid w:val="009A1F71"/>
    <w:rsid w:val="009A484F"/>
    <w:rsid w:val="009A565E"/>
    <w:rsid w:val="009B09FC"/>
    <w:rsid w:val="009B1283"/>
    <w:rsid w:val="009B1438"/>
    <w:rsid w:val="009B1781"/>
    <w:rsid w:val="009B3FCD"/>
    <w:rsid w:val="009B5FC0"/>
    <w:rsid w:val="009B68CB"/>
    <w:rsid w:val="009C0616"/>
    <w:rsid w:val="009C3E03"/>
    <w:rsid w:val="009C78D9"/>
    <w:rsid w:val="009C7984"/>
    <w:rsid w:val="009C7B18"/>
    <w:rsid w:val="009D30A4"/>
    <w:rsid w:val="009D30E5"/>
    <w:rsid w:val="009D3589"/>
    <w:rsid w:val="009D379D"/>
    <w:rsid w:val="009D3B50"/>
    <w:rsid w:val="009D588D"/>
    <w:rsid w:val="009D5D7B"/>
    <w:rsid w:val="009D7103"/>
    <w:rsid w:val="009E09C9"/>
    <w:rsid w:val="009E187A"/>
    <w:rsid w:val="009E187F"/>
    <w:rsid w:val="009E34E9"/>
    <w:rsid w:val="009E65B5"/>
    <w:rsid w:val="009E6709"/>
    <w:rsid w:val="009E6F8D"/>
    <w:rsid w:val="009F1792"/>
    <w:rsid w:val="009F6330"/>
    <w:rsid w:val="00A005CF"/>
    <w:rsid w:val="00A02B15"/>
    <w:rsid w:val="00A037CD"/>
    <w:rsid w:val="00A0537D"/>
    <w:rsid w:val="00A06FDF"/>
    <w:rsid w:val="00A0768C"/>
    <w:rsid w:val="00A104A9"/>
    <w:rsid w:val="00A138C8"/>
    <w:rsid w:val="00A14B8A"/>
    <w:rsid w:val="00A15595"/>
    <w:rsid w:val="00A17451"/>
    <w:rsid w:val="00A2048D"/>
    <w:rsid w:val="00A20589"/>
    <w:rsid w:val="00A22D37"/>
    <w:rsid w:val="00A2465A"/>
    <w:rsid w:val="00A2481A"/>
    <w:rsid w:val="00A24C1A"/>
    <w:rsid w:val="00A30D33"/>
    <w:rsid w:val="00A30F9D"/>
    <w:rsid w:val="00A326A6"/>
    <w:rsid w:val="00A340DD"/>
    <w:rsid w:val="00A3450A"/>
    <w:rsid w:val="00A35B54"/>
    <w:rsid w:val="00A35B77"/>
    <w:rsid w:val="00A36367"/>
    <w:rsid w:val="00A42E45"/>
    <w:rsid w:val="00A43E7C"/>
    <w:rsid w:val="00A44CE4"/>
    <w:rsid w:val="00A53C99"/>
    <w:rsid w:val="00A64E16"/>
    <w:rsid w:val="00A66BBE"/>
    <w:rsid w:val="00A706C2"/>
    <w:rsid w:val="00A74241"/>
    <w:rsid w:val="00A761BC"/>
    <w:rsid w:val="00A83E29"/>
    <w:rsid w:val="00A8445D"/>
    <w:rsid w:val="00A85B4D"/>
    <w:rsid w:val="00A86AC7"/>
    <w:rsid w:val="00A87F4D"/>
    <w:rsid w:val="00A900BD"/>
    <w:rsid w:val="00A9103F"/>
    <w:rsid w:val="00A9212A"/>
    <w:rsid w:val="00A94867"/>
    <w:rsid w:val="00AA26F8"/>
    <w:rsid w:val="00AA5FE5"/>
    <w:rsid w:val="00AA6DA7"/>
    <w:rsid w:val="00AB18AB"/>
    <w:rsid w:val="00AB276B"/>
    <w:rsid w:val="00AB2D0B"/>
    <w:rsid w:val="00AB6352"/>
    <w:rsid w:val="00AC4DA1"/>
    <w:rsid w:val="00AC5C1A"/>
    <w:rsid w:val="00AD19CB"/>
    <w:rsid w:val="00AD5DD0"/>
    <w:rsid w:val="00AD6AA1"/>
    <w:rsid w:val="00AD7488"/>
    <w:rsid w:val="00AE0703"/>
    <w:rsid w:val="00AE168F"/>
    <w:rsid w:val="00AE2043"/>
    <w:rsid w:val="00AE33D8"/>
    <w:rsid w:val="00AE4296"/>
    <w:rsid w:val="00AE7805"/>
    <w:rsid w:val="00AF0C4A"/>
    <w:rsid w:val="00AF2BC0"/>
    <w:rsid w:val="00AF2BCD"/>
    <w:rsid w:val="00AF3320"/>
    <w:rsid w:val="00AF3AD4"/>
    <w:rsid w:val="00AF5C3B"/>
    <w:rsid w:val="00AF7D06"/>
    <w:rsid w:val="00B04917"/>
    <w:rsid w:val="00B0580C"/>
    <w:rsid w:val="00B06E6A"/>
    <w:rsid w:val="00B07A1E"/>
    <w:rsid w:val="00B11B64"/>
    <w:rsid w:val="00B15086"/>
    <w:rsid w:val="00B165D4"/>
    <w:rsid w:val="00B22F38"/>
    <w:rsid w:val="00B232AE"/>
    <w:rsid w:val="00B24446"/>
    <w:rsid w:val="00B30744"/>
    <w:rsid w:val="00B30B78"/>
    <w:rsid w:val="00B329D1"/>
    <w:rsid w:val="00B35210"/>
    <w:rsid w:val="00B36461"/>
    <w:rsid w:val="00B37A3D"/>
    <w:rsid w:val="00B41256"/>
    <w:rsid w:val="00B438D2"/>
    <w:rsid w:val="00B459A5"/>
    <w:rsid w:val="00B45F5F"/>
    <w:rsid w:val="00B508A9"/>
    <w:rsid w:val="00B511C3"/>
    <w:rsid w:val="00B542A8"/>
    <w:rsid w:val="00B557B9"/>
    <w:rsid w:val="00B55BE0"/>
    <w:rsid w:val="00B60F63"/>
    <w:rsid w:val="00B630A5"/>
    <w:rsid w:val="00B63957"/>
    <w:rsid w:val="00B677D2"/>
    <w:rsid w:val="00B71515"/>
    <w:rsid w:val="00B734B8"/>
    <w:rsid w:val="00B738D0"/>
    <w:rsid w:val="00B7406A"/>
    <w:rsid w:val="00B74193"/>
    <w:rsid w:val="00B74E4E"/>
    <w:rsid w:val="00B75469"/>
    <w:rsid w:val="00B756CB"/>
    <w:rsid w:val="00B75B6C"/>
    <w:rsid w:val="00B76F65"/>
    <w:rsid w:val="00B80344"/>
    <w:rsid w:val="00B80A94"/>
    <w:rsid w:val="00B82464"/>
    <w:rsid w:val="00B84A48"/>
    <w:rsid w:val="00B85043"/>
    <w:rsid w:val="00B918B9"/>
    <w:rsid w:val="00B923B9"/>
    <w:rsid w:val="00B96956"/>
    <w:rsid w:val="00BA0C42"/>
    <w:rsid w:val="00BA19AC"/>
    <w:rsid w:val="00BB060C"/>
    <w:rsid w:val="00BB7972"/>
    <w:rsid w:val="00BC1C99"/>
    <w:rsid w:val="00BC3427"/>
    <w:rsid w:val="00BC7637"/>
    <w:rsid w:val="00BD0848"/>
    <w:rsid w:val="00BD1495"/>
    <w:rsid w:val="00BD151C"/>
    <w:rsid w:val="00BD1FB3"/>
    <w:rsid w:val="00BD3DEB"/>
    <w:rsid w:val="00BD5CD8"/>
    <w:rsid w:val="00BD60BF"/>
    <w:rsid w:val="00BE0A6D"/>
    <w:rsid w:val="00BE4D8D"/>
    <w:rsid w:val="00BE7A7A"/>
    <w:rsid w:val="00BE7BED"/>
    <w:rsid w:val="00BF15D3"/>
    <w:rsid w:val="00BF18A6"/>
    <w:rsid w:val="00BF2293"/>
    <w:rsid w:val="00BF24AE"/>
    <w:rsid w:val="00BF2CFB"/>
    <w:rsid w:val="00BF31A6"/>
    <w:rsid w:val="00BF5429"/>
    <w:rsid w:val="00BF6A7B"/>
    <w:rsid w:val="00BF7AC3"/>
    <w:rsid w:val="00C06259"/>
    <w:rsid w:val="00C067B8"/>
    <w:rsid w:val="00C07496"/>
    <w:rsid w:val="00C07885"/>
    <w:rsid w:val="00C13C0C"/>
    <w:rsid w:val="00C157FE"/>
    <w:rsid w:val="00C1750C"/>
    <w:rsid w:val="00C33E80"/>
    <w:rsid w:val="00C34A76"/>
    <w:rsid w:val="00C40D06"/>
    <w:rsid w:val="00C40D11"/>
    <w:rsid w:val="00C433C6"/>
    <w:rsid w:val="00C46106"/>
    <w:rsid w:val="00C4709C"/>
    <w:rsid w:val="00C50851"/>
    <w:rsid w:val="00C51257"/>
    <w:rsid w:val="00C52276"/>
    <w:rsid w:val="00C571B5"/>
    <w:rsid w:val="00C57281"/>
    <w:rsid w:val="00C60097"/>
    <w:rsid w:val="00C6195A"/>
    <w:rsid w:val="00C64528"/>
    <w:rsid w:val="00C65A4C"/>
    <w:rsid w:val="00C65D8F"/>
    <w:rsid w:val="00C67DEE"/>
    <w:rsid w:val="00C67EDD"/>
    <w:rsid w:val="00C70BD8"/>
    <w:rsid w:val="00C70EEE"/>
    <w:rsid w:val="00C71AA5"/>
    <w:rsid w:val="00C73F1E"/>
    <w:rsid w:val="00C760DD"/>
    <w:rsid w:val="00C76D3B"/>
    <w:rsid w:val="00C81811"/>
    <w:rsid w:val="00C82F02"/>
    <w:rsid w:val="00C8420E"/>
    <w:rsid w:val="00C846C5"/>
    <w:rsid w:val="00C849D0"/>
    <w:rsid w:val="00C8609B"/>
    <w:rsid w:val="00C86A33"/>
    <w:rsid w:val="00C86BD9"/>
    <w:rsid w:val="00C939F8"/>
    <w:rsid w:val="00C941E1"/>
    <w:rsid w:val="00C944C5"/>
    <w:rsid w:val="00CA0E62"/>
    <w:rsid w:val="00CA476A"/>
    <w:rsid w:val="00CB5F86"/>
    <w:rsid w:val="00CB6389"/>
    <w:rsid w:val="00CC3399"/>
    <w:rsid w:val="00CC3725"/>
    <w:rsid w:val="00CC3B19"/>
    <w:rsid w:val="00CC4B94"/>
    <w:rsid w:val="00CC6DA7"/>
    <w:rsid w:val="00CC70C4"/>
    <w:rsid w:val="00CC7208"/>
    <w:rsid w:val="00CD14A5"/>
    <w:rsid w:val="00CD1C98"/>
    <w:rsid w:val="00CD2B31"/>
    <w:rsid w:val="00CD33C1"/>
    <w:rsid w:val="00CE0A0D"/>
    <w:rsid w:val="00CE0DD4"/>
    <w:rsid w:val="00CE75C4"/>
    <w:rsid w:val="00CF2A6B"/>
    <w:rsid w:val="00CF50D3"/>
    <w:rsid w:val="00CF6BE6"/>
    <w:rsid w:val="00CF77C0"/>
    <w:rsid w:val="00D000F0"/>
    <w:rsid w:val="00D00D01"/>
    <w:rsid w:val="00D02453"/>
    <w:rsid w:val="00D03A0D"/>
    <w:rsid w:val="00D07D53"/>
    <w:rsid w:val="00D07FA6"/>
    <w:rsid w:val="00D112DA"/>
    <w:rsid w:val="00D129DB"/>
    <w:rsid w:val="00D12DED"/>
    <w:rsid w:val="00D14005"/>
    <w:rsid w:val="00D14A4A"/>
    <w:rsid w:val="00D16D91"/>
    <w:rsid w:val="00D176B8"/>
    <w:rsid w:val="00D17AC7"/>
    <w:rsid w:val="00D17F9F"/>
    <w:rsid w:val="00D22697"/>
    <w:rsid w:val="00D22EF6"/>
    <w:rsid w:val="00D256C3"/>
    <w:rsid w:val="00D31245"/>
    <w:rsid w:val="00D31D2B"/>
    <w:rsid w:val="00D3257E"/>
    <w:rsid w:val="00D332A8"/>
    <w:rsid w:val="00D36DC7"/>
    <w:rsid w:val="00D410F3"/>
    <w:rsid w:val="00D41343"/>
    <w:rsid w:val="00D43081"/>
    <w:rsid w:val="00D45483"/>
    <w:rsid w:val="00D45F6B"/>
    <w:rsid w:val="00D50619"/>
    <w:rsid w:val="00D52D6D"/>
    <w:rsid w:val="00D53260"/>
    <w:rsid w:val="00D54960"/>
    <w:rsid w:val="00D55257"/>
    <w:rsid w:val="00D55649"/>
    <w:rsid w:val="00D55BBA"/>
    <w:rsid w:val="00D5606F"/>
    <w:rsid w:val="00D60A68"/>
    <w:rsid w:val="00D613FA"/>
    <w:rsid w:val="00D647C3"/>
    <w:rsid w:val="00D65636"/>
    <w:rsid w:val="00D66239"/>
    <w:rsid w:val="00D705B4"/>
    <w:rsid w:val="00D71BC3"/>
    <w:rsid w:val="00D74274"/>
    <w:rsid w:val="00D76C40"/>
    <w:rsid w:val="00D76EE3"/>
    <w:rsid w:val="00D82A79"/>
    <w:rsid w:val="00D82A97"/>
    <w:rsid w:val="00D858A9"/>
    <w:rsid w:val="00D8797C"/>
    <w:rsid w:val="00D87E62"/>
    <w:rsid w:val="00D903E4"/>
    <w:rsid w:val="00D9161C"/>
    <w:rsid w:val="00D92404"/>
    <w:rsid w:val="00D939BA"/>
    <w:rsid w:val="00D93D07"/>
    <w:rsid w:val="00D9409D"/>
    <w:rsid w:val="00D94C34"/>
    <w:rsid w:val="00DA1B74"/>
    <w:rsid w:val="00DA2AF5"/>
    <w:rsid w:val="00DA473C"/>
    <w:rsid w:val="00DA760B"/>
    <w:rsid w:val="00DA7BFE"/>
    <w:rsid w:val="00DB0528"/>
    <w:rsid w:val="00DB0FA4"/>
    <w:rsid w:val="00DB130E"/>
    <w:rsid w:val="00DB3EC8"/>
    <w:rsid w:val="00DB5A80"/>
    <w:rsid w:val="00DB6CF6"/>
    <w:rsid w:val="00DB6EAF"/>
    <w:rsid w:val="00DB6EBD"/>
    <w:rsid w:val="00DC0AD7"/>
    <w:rsid w:val="00DC1480"/>
    <w:rsid w:val="00DC1F9E"/>
    <w:rsid w:val="00DC7E60"/>
    <w:rsid w:val="00DD17D1"/>
    <w:rsid w:val="00DD182B"/>
    <w:rsid w:val="00DD3C23"/>
    <w:rsid w:val="00DE0640"/>
    <w:rsid w:val="00DE088D"/>
    <w:rsid w:val="00DE49C1"/>
    <w:rsid w:val="00DE6386"/>
    <w:rsid w:val="00DE76CE"/>
    <w:rsid w:val="00DF37D3"/>
    <w:rsid w:val="00DF553B"/>
    <w:rsid w:val="00DF6B52"/>
    <w:rsid w:val="00E00099"/>
    <w:rsid w:val="00E01232"/>
    <w:rsid w:val="00E013F0"/>
    <w:rsid w:val="00E02ED7"/>
    <w:rsid w:val="00E11E7A"/>
    <w:rsid w:val="00E1235A"/>
    <w:rsid w:val="00E12962"/>
    <w:rsid w:val="00E15B08"/>
    <w:rsid w:val="00E15E0B"/>
    <w:rsid w:val="00E221B6"/>
    <w:rsid w:val="00E22D56"/>
    <w:rsid w:val="00E32125"/>
    <w:rsid w:val="00E33F81"/>
    <w:rsid w:val="00E3485F"/>
    <w:rsid w:val="00E3612F"/>
    <w:rsid w:val="00E37732"/>
    <w:rsid w:val="00E403F4"/>
    <w:rsid w:val="00E413F3"/>
    <w:rsid w:val="00E44371"/>
    <w:rsid w:val="00E50241"/>
    <w:rsid w:val="00E51B89"/>
    <w:rsid w:val="00E53DAE"/>
    <w:rsid w:val="00E558FB"/>
    <w:rsid w:val="00E57B81"/>
    <w:rsid w:val="00E57D29"/>
    <w:rsid w:val="00E670AB"/>
    <w:rsid w:val="00E6720E"/>
    <w:rsid w:val="00E703C6"/>
    <w:rsid w:val="00E718D6"/>
    <w:rsid w:val="00E76D65"/>
    <w:rsid w:val="00E84401"/>
    <w:rsid w:val="00E96CFF"/>
    <w:rsid w:val="00EA1082"/>
    <w:rsid w:val="00EA19AA"/>
    <w:rsid w:val="00EB3A98"/>
    <w:rsid w:val="00EB428B"/>
    <w:rsid w:val="00EB45FC"/>
    <w:rsid w:val="00EB7891"/>
    <w:rsid w:val="00EB7A54"/>
    <w:rsid w:val="00EC238C"/>
    <w:rsid w:val="00EC3DFE"/>
    <w:rsid w:val="00EC3E78"/>
    <w:rsid w:val="00EC7103"/>
    <w:rsid w:val="00ED05A0"/>
    <w:rsid w:val="00ED380A"/>
    <w:rsid w:val="00ED4D5D"/>
    <w:rsid w:val="00ED7447"/>
    <w:rsid w:val="00ED7F8C"/>
    <w:rsid w:val="00EE18B5"/>
    <w:rsid w:val="00EE5AFC"/>
    <w:rsid w:val="00EE61FE"/>
    <w:rsid w:val="00EF230B"/>
    <w:rsid w:val="00EF5545"/>
    <w:rsid w:val="00EF5C13"/>
    <w:rsid w:val="00EF7EA8"/>
    <w:rsid w:val="00F01281"/>
    <w:rsid w:val="00F06003"/>
    <w:rsid w:val="00F069FF"/>
    <w:rsid w:val="00F074A5"/>
    <w:rsid w:val="00F075B1"/>
    <w:rsid w:val="00F10DF6"/>
    <w:rsid w:val="00F11923"/>
    <w:rsid w:val="00F15349"/>
    <w:rsid w:val="00F16316"/>
    <w:rsid w:val="00F16EBE"/>
    <w:rsid w:val="00F17A15"/>
    <w:rsid w:val="00F2051B"/>
    <w:rsid w:val="00F20CC9"/>
    <w:rsid w:val="00F22517"/>
    <w:rsid w:val="00F22EB2"/>
    <w:rsid w:val="00F248F5"/>
    <w:rsid w:val="00F24DB9"/>
    <w:rsid w:val="00F25BFF"/>
    <w:rsid w:val="00F27D5A"/>
    <w:rsid w:val="00F304EF"/>
    <w:rsid w:val="00F30896"/>
    <w:rsid w:val="00F30A6B"/>
    <w:rsid w:val="00F325D3"/>
    <w:rsid w:val="00F34F19"/>
    <w:rsid w:val="00F40764"/>
    <w:rsid w:val="00F449EB"/>
    <w:rsid w:val="00F44CF5"/>
    <w:rsid w:val="00F46D15"/>
    <w:rsid w:val="00F47D9C"/>
    <w:rsid w:val="00F51593"/>
    <w:rsid w:val="00F5576C"/>
    <w:rsid w:val="00F56B27"/>
    <w:rsid w:val="00F57920"/>
    <w:rsid w:val="00F63DE9"/>
    <w:rsid w:val="00F65A6A"/>
    <w:rsid w:val="00F719A1"/>
    <w:rsid w:val="00F7345F"/>
    <w:rsid w:val="00F74C33"/>
    <w:rsid w:val="00F75D6B"/>
    <w:rsid w:val="00F82373"/>
    <w:rsid w:val="00F83061"/>
    <w:rsid w:val="00F927D3"/>
    <w:rsid w:val="00F95D57"/>
    <w:rsid w:val="00F9702C"/>
    <w:rsid w:val="00F9778F"/>
    <w:rsid w:val="00FA00E8"/>
    <w:rsid w:val="00FA2FA1"/>
    <w:rsid w:val="00FA5E6D"/>
    <w:rsid w:val="00FA7E24"/>
    <w:rsid w:val="00FB007D"/>
    <w:rsid w:val="00FB1368"/>
    <w:rsid w:val="00FB2258"/>
    <w:rsid w:val="00FB33B1"/>
    <w:rsid w:val="00FB4CF2"/>
    <w:rsid w:val="00FB5E8C"/>
    <w:rsid w:val="00FB7C61"/>
    <w:rsid w:val="00FC7CDB"/>
    <w:rsid w:val="00FD0D24"/>
    <w:rsid w:val="00FD1216"/>
    <w:rsid w:val="00FD17D1"/>
    <w:rsid w:val="00FD5C86"/>
    <w:rsid w:val="00FD6B47"/>
    <w:rsid w:val="00FE070B"/>
    <w:rsid w:val="00FE19F1"/>
    <w:rsid w:val="00FE3167"/>
    <w:rsid w:val="00FE3FA1"/>
    <w:rsid w:val="00FE65F4"/>
    <w:rsid w:val="00FF4120"/>
    <w:rsid w:val="00FF49FD"/>
    <w:rsid w:val="00FF4A7A"/>
    <w:rsid w:val="00FF7820"/>
    <w:rsid w:val="00FF7A0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BDED45"/>
  <w15:docId w15:val="{3CD0DD27-2366-4DD1-A650-CD5E105FF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62F"/>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AE4296"/>
    <w:pPr>
      <w:keepNext/>
      <w:numPr>
        <w:numId w:val="28"/>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E4296"/>
    <w:pPr>
      <w:numPr>
        <w:ilvl w:val="1"/>
        <w:numId w:val="28"/>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AE4296"/>
    <w:pPr>
      <w:numPr>
        <w:ilvl w:val="2"/>
        <w:numId w:val="28"/>
      </w:numPr>
      <w:tabs>
        <w:tab w:val="left" w:pos="1418"/>
      </w:tabs>
      <w:adjustRightInd w:val="0"/>
      <w:spacing w:after="120" w:line="240" w:lineRule="auto"/>
      <w:jc w:val="both"/>
      <w:outlineLvl w:val="2"/>
    </w:pPr>
    <w:rPr>
      <w:rFonts w:ascii="Arial" w:eastAsia="STZhongsong" w:hAnsi="Arial" w:cs="Times New Roman"/>
      <w:sz w:val="20"/>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AE4296"/>
    <w:pPr>
      <w:numPr>
        <w:ilvl w:val="3"/>
        <w:numId w:val="28"/>
      </w:numPr>
      <w:adjustRightInd w:val="0"/>
      <w:spacing w:after="120" w:line="240" w:lineRule="auto"/>
      <w:jc w:val="both"/>
      <w:outlineLvl w:val="3"/>
    </w:pPr>
    <w:rPr>
      <w:rFonts w:ascii="Arial" w:eastAsia="STZhongsong" w:hAnsi="Arial" w:cs="Times New Roman"/>
      <w:sz w:val="20"/>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58734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6 (Do Not Use),Heading 6(unused),Legal Level 1.,L1 PIP,Heading 6  Appendix Y &amp; Z,Lev 6,H6 DO NOT USE,Bullet list,PA Appendix,H6,H61,PR14"/>
    <w:basedOn w:val="Normal"/>
    <w:link w:val="Heading6Char"/>
    <w:qFormat/>
    <w:rsid w:val="00F15349"/>
    <w:pPr>
      <w:tabs>
        <w:tab w:val="num" w:pos="4320"/>
      </w:tabs>
      <w:adjustRightInd w:val="0"/>
      <w:spacing w:after="240" w:line="240" w:lineRule="auto"/>
      <w:ind w:left="4320" w:hanging="720"/>
      <w:jc w:val="both"/>
      <w:outlineLvl w:val="5"/>
    </w:pPr>
    <w:rPr>
      <w:rFonts w:ascii="Arial" w:eastAsia="STZhongsong" w:hAnsi="Arial" w:cs="Times New Roman"/>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F15349"/>
    <w:pPr>
      <w:tabs>
        <w:tab w:val="num" w:pos="5040"/>
      </w:tabs>
      <w:adjustRightInd w:val="0"/>
      <w:spacing w:after="240" w:line="240" w:lineRule="auto"/>
      <w:ind w:left="5040" w:hanging="720"/>
      <w:jc w:val="both"/>
      <w:outlineLvl w:val="6"/>
    </w:pPr>
    <w:rPr>
      <w:rFonts w:ascii="Arial" w:eastAsia="STZhongsong" w:hAnsi="Arial" w:cs="Times New Roman"/>
      <w:sz w:val="20"/>
      <w:szCs w:val="20"/>
      <w:lang w:eastAsia="zh-CN"/>
    </w:rPr>
  </w:style>
  <w:style w:type="paragraph" w:styleId="Heading8">
    <w:name w:val="heading 8"/>
    <w:aliases w:val="Heading 8 (Do Not Use),Legal Level 1.1.1.,Lev 8,h8 DO NOT USE,PA Appendix Minor"/>
    <w:basedOn w:val="Normal"/>
    <w:link w:val="Heading8Char"/>
    <w:qFormat/>
    <w:rsid w:val="00F15349"/>
    <w:pPr>
      <w:tabs>
        <w:tab w:val="num" w:pos="5040"/>
      </w:tabs>
      <w:adjustRightInd w:val="0"/>
      <w:spacing w:after="240" w:line="240" w:lineRule="auto"/>
      <w:ind w:left="5040" w:hanging="720"/>
      <w:jc w:val="both"/>
      <w:outlineLvl w:val="7"/>
    </w:pPr>
    <w:rPr>
      <w:rFonts w:ascii="Arial" w:eastAsia="STZhongsong" w:hAnsi="Arial" w:cs="Times New Roman"/>
      <w:sz w:val="20"/>
      <w:szCs w:val="20"/>
      <w:lang w:eastAsia="zh-CN"/>
    </w:rPr>
  </w:style>
  <w:style w:type="paragraph" w:styleId="Heading9">
    <w:name w:val="heading 9"/>
    <w:aliases w:val="Heading 9 (Do Not Use),Heading 9 (defunct),Legal Level 1.1.1.1.,Lev 9,h9 DO NOT USE,App Heading,Titre 10,App1"/>
    <w:basedOn w:val="Normal"/>
    <w:link w:val="Heading9Char"/>
    <w:qFormat/>
    <w:rsid w:val="00F15349"/>
    <w:pPr>
      <w:tabs>
        <w:tab w:val="num" w:pos="5040"/>
      </w:tabs>
      <w:adjustRightInd w:val="0"/>
      <w:spacing w:after="240" w:line="240" w:lineRule="auto"/>
      <w:ind w:left="5040" w:hanging="720"/>
      <w:jc w:val="both"/>
      <w:outlineLvl w:val="8"/>
    </w:pPr>
    <w:rPr>
      <w:rFonts w:ascii="Arial" w:eastAsia="STZhongsong" w:hAnsi="Arial"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uiPriority w:val="99"/>
    <w:rsid w:val="00AE4296"/>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uiPriority w:val="99"/>
    <w:rsid w:val="00AE4296"/>
    <w:rPr>
      <w:rFonts w:ascii="Arial" w:eastAsia="STZhongsong" w:hAnsi="Arial" w:cs="Times New Roman"/>
      <w:sz w:val="20"/>
      <w:szCs w:val="20"/>
      <w:lang w:eastAsia="zh-CN"/>
    </w:rPr>
  </w:style>
  <w:style w:type="paragraph" w:styleId="Header">
    <w:name w:val="header"/>
    <w:basedOn w:val="Normal"/>
    <w:link w:val="HeaderChar"/>
    <w:uiPriority w:val="99"/>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ascii="Arial" w:eastAsia="SimSun" w:hAnsi="Arial" w:cs="Times New Roman"/>
      <w:b/>
      <w:sz w:val="20"/>
    </w:rPr>
  </w:style>
  <w:style w:type="paragraph" w:styleId="TOC1">
    <w:name w:val="toc 1"/>
    <w:uiPriority w:val="39"/>
    <w:rsid w:val="00AE4296"/>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character" w:styleId="Hyperlink">
    <w:name w:val="Hyperlink"/>
    <w:basedOn w:val="DefaultParagraphFont"/>
    <w:uiPriority w:val="99"/>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E4296"/>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E4296"/>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E4296"/>
    <w:rPr>
      <w:rFonts w:ascii="Arial" w:eastAsia="STZhongsong" w:hAnsi="Arial" w:cs="Times New Roman"/>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E4296"/>
    <w:rPr>
      <w:rFonts w:ascii="Arial" w:eastAsia="STZhongsong" w:hAnsi="Arial" w:cs="Times New Roman"/>
      <w:sz w:val="20"/>
      <w:szCs w:val="20"/>
      <w:lang w:eastAsia="zh-CN"/>
    </w:rPr>
  </w:style>
  <w:style w:type="numbering" w:styleId="111111">
    <w:name w:val="Outline List 2"/>
    <w:basedOn w:val="NoList"/>
    <w:rsid w:val="00AE4296"/>
    <w:pPr>
      <w:numPr>
        <w:numId w:val="2"/>
      </w:numPr>
    </w:pPr>
  </w:style>
  <w:style w:type="paragraph" w:styleId="BodyTextIndent2">
    <w:name w:val="Body Text Indent 2"/>
    <w:basedOn w:val="Normal"/>
    <w:link w:val="BodyTextIndent2Char"/>
    <w:uiPriority w:val="99"/>
    <w:semiHidden/>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basedOn w:val="Normal"/>
    <w:link w:val="ListParagraphChar"/>
    <w:uiPriority w:val="34"/>
    <w:qFormat/>
    <w:rsid w:val="00706CC1"/>
    <w:pPr>
      <w:spacing w:before="120" w:after="120" w:line="240" w:lineRule="auto"/>
      <w:ind w:left="720"/>
    </w:pPr>
    <w:rPr>
      <w:rFonts w:ascii="Arial" w:eastAsia="Times New Roman" w:hAnsi="Arial" w:cs="Times New Roman"/>
      <w:sz w:val="20"/>
      <w:szCs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58734C"/>
    <w:rPr>
      <w:rFonts w:asciiTheme="majorHAnsi" w:eastAsiaTheme="majorEastAsia" w:hAnsiTheme="majorHAnsi" w:cstheme="majorBidi"/>
      <w:color w:val="243F60" w:themeColor="accent1" w:themeShade="7F"/>
    </w:rPr>
  </w:style>
  <w:style w:type="paragraph" w:styleId="BodyTextIndent3">
    <w:name w:val="Body Text Indent 3"/>
    <w:basedOn w:val="Normal"/>
    <w:link w:val="BodyTextIndent3Char"/>
    <w:uiPriority w:val="99"/>
    <w:semiHidden/>
    <w:unhideWhenUsed/>
    <w:rsid w:val="0058734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734C"/>
    <w:rPr>
      <w:sz w:val="16"/>
      <w:szCs w:val="16"/>
    </w:rPr>
  </w:style>
  <w:style w:type="table" w:styleId="TableGrid">
    <w:name w:val="Table Grid"/>
    <w:basedOn w:val="TableNormal"/>
    <w:uiPriority w:val="59"/>
    <w:rsid w:val="0058734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rFonts w:ascii="Arial" w:eastAsia="Times New Roman" w:hAnsi="Arial" w:cs="Arial"/>
      <w:sz w:val="18"/>
      <w:szCs w:val="18"/>
    </w:rPr>
  </w:style>
  <w:style w:type="character" w:styleId="CommentReference">
    <w:name w:val="annotation reference"/>
    <w:basedOn w:val="DefaultParagraphFont"/>
    <w:uiPriority w:val="99"/>
    <w:unhideWhenUsed/>
    <w:rsid w:val="00405EFE"/>
    <w:rPr>
      <w:sz w:val="16"/>
      <w:szCs w:val="16"/>
    </w:rPr>
  </w:style>
  <w:style w:type="paragraph" w:styleId="CommentText">
    <w:name w:val="annotation text"/>
    <w:basedOn w:val="Normal"/>
    <w:link w:val="CommentTextChar"/>
    <w:uiPriority w:val="99"/>
    <w:unhideWhenUsed/>
    <w:rsid w:val="00405EFE"/>
    <w:pPr>
      <w:spacing w:line="240" w:lineRule="auto"/>
    </w:pPr>
    <w:rPr>
      <w:sz w:val="20"/>
      <w:szCs w:val="20"/>
    </w:rPr>
  </w:style>
  <w:style w:type="character" w:customStyle="1" w:styleId="CommentTextChar">
    <w:name w:val="Comment Text Char"/>
    <w:basedOn w:val="DefaultParagraphFont"/>
    <w:link w:val="CommentText"/>
    <w:uiPriority w:val="99"/>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basedOn w:val="CommentTextChar"/>
    <w:link w:val="CommentSubject"/>
    <w:uiPriority w:val="99"/>
    <w:semiHidden/>
    <w:rsid w:val="00405EFE"/>
    <w:rPr>
      <w:b/>
      <w:bCs/>
      <w:sz w:val="20"/>
      <w:szCs w:val="20"/>
    </w:rPr>
  </w:style>
  <w:style w:type="character" w:styleId="FollowedHyperlink">
    <w:name w:val="FollowedHyperlink"/>
    <w:basedOn w:val="DefaultParagraphFont"/>
    <w:uiPriority w:val="99"/>
    <w:semiHidden/>
    <w:unhideWhenUsed/>
    <w:rsid w:val="002A2319"/>
    <w:rPr>
      <w:color w:val="800080" w:themeColor="followedHyperlink"/>
      <w:u w:val="single"/>
    </w:rPr>
  </w:style>
  <w:style w:type="paragraph" w:styleId="Revision">
    <w:name w:val="Revision"/>
    <w:hidden/>
    <w:uiPriority w:val="99"/>
    <w:semiHidden/>
    <w:rsid w:val="00ED380A"/>
    <w:pPr>
      <w:spacing w:after="0" w:line="240" w:lineRule="auto"/>
    </w:pPr>
  </w:style>
  <w:style w:type="paragraph" w:styleId="ListNumber">
    <w:name w:val="List Number"/>
    <w:basedOn w:val="Normal"/>
    <w:rsid w:val="0025638E"/>
    <w:pPr>
      <w:numPr>
        <w:numId w:val="26"/>
      </w:numPr>
      <w:spacing w:after="0" w:line="240" w:lineRule="auto"/>
      <w:ind w:left="360"/>
    </w:pPr>
    <w:rPr>
      <w:rFonts w:ascii="Arial" w:eastAsia="SimSun" w:hAnsi="Arial" w:cs="Times New Roman"/>
      <w:szCs w:val="24"/>
      <w:lang w:eastAsia="zh-CN"/>
    </w:rPr>
  </w:style>
  <w:style w:type="paragraph" w:customStyle="1" w:styleId="Default">
    <w:name w:val="Default"/>
    <w:rsid w:val="00BE7A7A"/>
    <w:pPr>
      <w:autoSpaceDE w:val="0"/>
      <w:autoSpaceDN w:val="0"/>
      <w:adjustRightInd w:val="0"/>
      <w:spacing w:after="0" w:line="240" w:lineRule="auto"/>
    </w:pPr>
    <w:rPr>
      <w:rFonts w:ascii="Arial" w:hAnsi="Arial" w:cs="Arial"/>
      <w:color w:val="000000"/>
      <w:sz w:val="24"/>
      <w:szCs w:val="24"/>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F15349"/>
    <w:rPr>
      <w:rFonts w:ascii="Arial" w:eastAsia="STZhongsong" w:hAnsi="Arial" w:cs="Times New Roman"/>
      <w:sz w:val="20"/>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F15349"/>
    <w:rPr>
      <w:rFonts w:ascii="Arial" w:eastAsia="STZhongsong" w:hAnsi="Arial" w:cs="Times New Roman"/>
      <w:sz w:val="20"/>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F15349"/>
    <w:rPr>
      <w:rFonts w:ascii="Arial" w:eastAsia="STZhongsong" w:hAnsi="Arial" w:cs="Times New Roman"/>
      <w:sz w:val="20"/>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F15349"/>
    <w:rPr>
      <w:rFonts w:ascii="Arial" w:eastAsia="STZhongsong" w:hAnsi="Arial" w:cs="Times New Roman"/>
      <w:sz w:val="20"/>
      <w:szCs w:val="20"/>
      <w:lang w:eastAsia="zh-CN"/>
    </w:rPr>
  </w:style>
  <w:style w:type="character" w:customStyle="1" w:styleId="ListParagraphChar">
    <w:name w:val="List Paragraph Char"/>
    <w:basedOn w:val="DefaultParagraphFont"/>
    <w:link w:val="ListParagraph"/>
    <w:uiPriority w:val="34"/>
    <w:locked/>
    <w:rsid w:val="00C73F1E"/>
    <w:rPr>
      <w:rFonts w:ascii="Arial" w:eastAsia="Times New Roman" w:hAnsi="Arial" w:cs="Times New Roman"/>
      <w:sz w:val="20"/>
      <w:szCs w:val="24"/>
    </w:rPr>
  </w:style>
  <w:style w:type="paragraph" w:customStyle="1" w:styleId="GPSL1CLAUSEHEADING">
    <w:name w:val="GPS L1 CLAUSE HEADING"/>
    <w:basedOn w:val="Normal"/>
    <w:next w:val="Normal"/>
    <w:qFormat/>
    <w:rsid w:val="00C73F1E"/>
    <w:pPr>
      <w:numPr>
        <w:numId w:val="45"/>
      </w:numPr>
      <w:tabs>
        <w:tab w:val="left" w:pos="567"/>
      </w:tabs>
      <w:adjustRightInd w:val="0"/>
      <w:spacing w:before="120" w:after="240" w:line="240" w:lineRule="auto"/>
      <w:jc w:val="both"/>
      <w:outlineLvl w:val="1"/>
    </w:pPr>
    <w:rPr>
      <w:rFonts w:ascii="Arial Bold" w:eastAsia="STZhongsong" w:hAnsi="Arial Bold" w:cs="Arial"/>
      <w:b/>
      <w:caps/>
      <w:lang w:eastAsia="zh-CN"/>
    </w:rPr>
  </w:style>
  <w:style w:type="paragraph" w:customStyle="1" w:styleId="GPSL3numberedclause">
    <w:name w:val="GPS L3 numbered clause"/>
    <w:basedOn w:val="Normal"/>
    <w:qFormat/>
    <w:rsid w:val="00C73F1E"/>
    <w:pPr>
      <w:numPr>
        <w:ilvl w:val="2"/>
        <w:numId w:val="45"/>
      </w:numPr>
      <w:tabs>
        <w:tab w:val="left" w:pos="2127"/>
      </w:tabs>
      <w:adjustRightInd w:val="0"/>
      <w:spacing w:before="120" w:after="120" w:line="240" w:lineRule="auto"/>
      <w:jc w:val="both"/>
    </w:pPr>
    <w:rPr>
      <w:rFonts w:ascii="Arial" w:eastAsia="Times New Roman" w:hAnsi="Arial" w:cs="Arial"/>
      <w:lang w:eastAsia="zh-CN"/>
    </w:rPr>
  </w:style>
  <w:style w:type="paragraph" w:customStyle="1" w:styleId="GPSL4numberedclause">
    <w:name w:val="GPS L4 numbered clause"/>
    <w:basedOn w:val="GPSL3numberedclause"/>
    <w:qFormat/>
    <w:rsid w:val="00C73F1E"/>
    <w:pPr>
      <w:numPr>
        <w:ilvl w:val="3"/>
      </w:numPr>
      <w:tabs>
        <w:tab w:val="clear" w:pos="2127"/>
        <w:tab w:val="left" w:pos="2694"/>
      </w:tabs>
      <w:ind w:left="2694" w:hanging="567"/>
    </w:pPr>
  </w:style>
  <w:style w:type="paragraph" w:customStyle="1" w:styleId="GPSL5numberedclause">
    <w:name w:val="GPS L5 numbered clause"/>
    <w:basedOn w:val="GPSL4numberedclause"/>
    <w:link w:val="GPSL5numberedclauseChar"/>
    <w:qFormat/>
    <w:rsid w:val="00C73F1E"/>
    <w:pPr>
      <w:numPr>
        <w:ilvl w:val="4"/>
      </w:numPr>
      <w:tabs>
        <w:tab w:val="clear" w:pos="2694"/>
        <w:tab w:val="left" w:pos="3119"/>
      </w:tabs>
      <w:ind w:left="3119" w:hanging="425"/>
    </w:pPr>
  </w:style>
  <w:style w:type="paragraph" w:customStyle="1" w:styleId="GPSL2NumberedBoldHeading">
    <w:name w:val="GPS L2 Numbered Bold Heading"/>
    <w:basedOn w:val="Normal"/>
    <w:qFormat/>
    <w:rsid w:val="00C73F1E"/>
    <w:pPr>
      <w:numPr>
        <w:ilvl w:val="1"/>
        <w:numId w:val="45"/>
      </w:numPr>
      <w:tabs>
        <w:tab w:val="left" w:pos="1134"/>
      </w:tabs>
      <w:adjustRightInd w:val="0"/>
      <w:spacing w:before="120" w:after="120" w:line="240" w:lineRule="auto"/>
      <w:jc w:val="both"/>
    </w:pPr>
    <w:rPr>
      <w:rFonts w:ascii="Arial" w:eastAsia="Times New Roman" w:hAnsi="Arial" w:cs="Arial"/>
      <w:b/>
      <w:lang w:eastAsia="zh-CN"/>
    </w:rPr>
  </w:style>
  <w:style w:type="paragraph" w:customStyle="1" w:styleId="GPSL6numbered">
    <w:name w:val="GPS L6 numbered"/>
    <w:basedOn w:val="GPSL5numberedclause"/>
    <w:qFormat/>
    <w:rsid w:val="00C73F1E"/>
    <w:pPr>
      <w:numPr>
        <w:ilvl w:val="5"/>
      </w:numPr>
      <w:tabs>
        <w:tab w:val="clear" w:pos="3119"/>
        <w:tab w:val="num" w:pos="360"/>
        <w:tab w:val="left" w:pos="3969"/>
        <w:tab w:val="num" w:pos="4320"/>
      </w:tabs>
      <w:ind w:left="3969" w:hanging="850"/>
    </w:pPr>
  </w:style>
  <w:style w:type="character" w:customStyle="1" w:styleId="GPSL5numberedclauseChar">
    <w:name w:val="GPS L5 numbered clause Char"/>
    <w:basedOn w:val="DefaultParagraphFont"/>
    <w:link w:val="GPSL5numberedclause"/>
    <w:rsid w:val="00C73F1E"/>
    <w:rPr>
      <w:rFonts w:ascii="Arial" w:eastAsia="Times New Roman" w:hAnsi="Arial" w:cs="Arial"/>
      <w:lang w:eastAsia="zh-CN"/>
    </w:rPr>
  </w:style>
  <w:style w:type="paragraph" w:customStyle="1" w:styleId="GPSL2Indent">
    <w:name w:val="GPS L2 Indent"/>
    <w:basedOn w:val="Normal"/>
    <w:qFormat/>
    <w:rsid w:val="00C73F1E"/>
    <w:pPr>
      <w:overflowPunct w:val="0"/>
      <w:autoSpaceDE w:val="0"/>
      <w:autoSpaceDN w:val="0"/>
      <w:adjustRightInd w:val="0"/>
      <w:spacing w:after="220" w:line="240" w:lineRule="auto"/>
      <w:ind w:left="1134"/>
      <w:jc w:val="both"/>
      <w:textAlignment w:val="baseline"/>
    </w:pPr>
    <w:rPr>
      <w:rFonts w:ascii="Arial" w:eastAsia="Times New Roman" w:hAnsi="Arial" w:cs="Arial"/>
      <w:szCs w:val="24"/>
      <w:lang w:eastAsia="en-US"/>
    </w:rPr>
  </w:style>
  <w:style w:type="paragraph" w:customStyle="1" w:styleId="GPSL2Numbered">
    <w:name w:val="GPS L2 Numbered"/>
    <w:basedOn w:val="GPSL2NumberedBoldHeading"/>
    <w:link w:val="GPSL2NumberedChar"/>
    <w:qFormat/>
    <w:rsid w:val="00C73F1E"/>
    <w:rPr>
      <w:b w:val="0"/>
    </w:rPr>
  </w:style>
  <w:style w:type="character" w:customStyle="1" w:styleId="GPSL2NumberedChar">
    <w:name w:val="GPS L2 Numbered Char"/>
    <w:basedOn w:val="DefaultParagraphFont"/>
    <w:link w:val="GPSL2Numbered"/>
    <w:rsid w:val="00C73F1E"/>
    <w:rPr>
      <w:rFonts w:ascii="Arial" w:eastAsia="Times New Roman" w:hAnsi="Arial" w:cs="Arial"/>
      <w:lang w:eastAsia="zh-CN"/>
    </w:rPr>
  </w:style>
  <w:style w:type="paragraph" w:styleId="ListBullet">
    <w:name w:val="List Bullet"/>
    <w:basedOn w:val="Normal"/>
    <w:uiPriority w:val="7"/>
    <w:qFormat/>
    <w:rsid w:val="009B1283"/>
    <w:pPr>
      <w:numPr>
        <w:numId w:val="51"/>
      </w:numPr>
      <w:spacing w:line="240" w:lineRule="auto"/>
      <w:ind w:left="1417" w:hanging="567"/>
    </w:pPr>
    <w:rPr>
      <w:rFonts w:eastAsiaTheme="minorHAnsi" w:cs="Arial"/>
      <w:szCs w:val="20"/>
      <w:lang w:eastAsia="en-US"/>
    </w:rPr>
  </w:style>
  <w:style w:type="paragraph" w:styleId="ListBullet3">
    <w:name w:val="List Bullet 3"/>
    <w:basedOn w:val="Normal"/>
    <w:rsid w:val="009B1283"/>
    <w:pPr>
      <w:numPr>
        <w:ilvl w:val="2"/>
        <w:numId w:val="51"/>
      </w:numPr>
      <w:spacing w:after="160" w:line="259" w:lineRule="auto"/>
    </w:pPr>
    <w:rPr>
      <w:rFonts w:eastAsiaTheme="minorHAnsi"/>
      <w:lang w:eastAsia="en-US"/>
    </w:rPr>
  </w:style>
  <w:style w:type="table" w:customStyle="1" w:styleId="TableGrid1">
    <w:name w:val="Table Grid1"/>
    <w:basedOn w:val="TableNormal"/>
    <w:next w:val="TableGrid"/>
    <w:uiPriority w:val="59"/>
    <w:rsid w:val="009B128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CC339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178650">
      <w:bodyDiv w:val="1"/>
      <w:marLeft w:val="0"/>
      <w:marRight w:val="0"/>
      <w:marTop w:val="0"/>
      <w:marBottom w:val="0"/>
      <w:divBdr>
        <w:top w:val="none" w:sz="0" w:space="0" w:color="auto"/>
        <w:left w:val="none" w:sz="0" w:space="0" w:color="auto"/>
        <w:bottom w:val="none" w:sz="0" w:space="0" w:color="auto"/>
        <w:right w:val="none" w:sz="0" w:space="0" w:color="auto"/>
      </w:divBdr>
    </w:div>
    <w:div w:id="243803231">
      <w:bodyDiv w:val="1"/>
      <w:marLeft w:val="0"/>
      <w:marRight w:val="0"/>
      <w:marTop w:val="0"/>
      <w:marBottom w:val="0"/>
      <w:divBdr>
        <w:top w:val="none" w:sz="0" w:space="0" w:color="auto"/>
        <w:left w:val="none" w:sz="0" w:space="0" w:color="auto"/>
        <w:bottom w:val="none" w:sz="0" w:space="0" w:color="auto"/>
        <w:right w:val="none" w:sz="0" w:space="0" w:color="auto"/>
      </w:divBdr>
    </w:div>
    <w:div w:id="288978639">
      <w:bodyDiv w:val="1"/>
      <w:marLeft w:val="0"/>
      <w:marRight w:val="0"/>
      <w:marTop w:val="0"/>
      <w:marBottom w:val="0"/>
      <w:divBdr>
        <w:top w:val="none" w:sz="0" w:space="0" w:color="auto"/>
        <w:left w:val="none" w:sz="0" w:space="0" w:color="auto"/>
        <w:bottom w:val="none" w:sz="0" w:space="0" w:color="auto"/>
        <w:right w:val="none" w:sz="0" w:space="0" w:color="auto"/>
      </w:divBdr>
    </w:div>
    <w:div w:id="730268259">
      <w:bodyDiv w:val="1"/>
      <w:marLeft w:val="0"/>
      <w:marRight w:val="0"/>
      <w:marTop w:val="0"/>
      <w:marBottom w:val="0"/>
      <w:divBdr>
        <w:top w:val="none" w:sz="0" w:space="0" w:color="auto"/>
        <w:left w:val="none" w:sz="0" w:space="0" w:color="auto"/>
        <w:bottom w:val="none" w:sz="0" w:space="0" w:color="auto"/>
        <w:right w:val="none" w:sz="0" w:space="0" w:color="auto"/>
      </w:divBdr>
    </w:div>
    <w:div w:id="769936946">
      <w:bodyDiv w:val="1"/>
      <w:marLeft w:val="0"/>
      <w:marRight w:val="0"/>
      <w:marTop w:val="0"/>
      <w:marBottom w:val="0"/>
      <w:divBdr>
        <w:top w:val="none" w:sz="0" w:space="0" w:color="auto"/>
        <w:left w:val="none" w:sz="0" w:space="0" w:color="auto"/>
        <w:bottom w:val="none" w:sz="0" w:space="0" w:color="auto"/>
        <w:right w:val="none" w:sz="0" w:space="0" w:color="auto"/>
      </w:divBdr>
    </w:div>
    <w:div w:id="782652955">
      <w:bodyDiv w:val="1"/>
      <w:marLeft w:val="0"/>
      <w:marRight w:val="0"/>
      <w:marTop w:val="0"/>
      <w:marBottom w:val="0"/>
      <w:divBdr>
        <w:top w:val="none" w:sz="0" w:space="0" w:color="auto"/>
        <w:left w:val="none" w:sz="0" w:space="0" w:color="auto"/>
        <w:bottom w:val="none" w:sz="0" w:space="0" w:color="auto"/>
        <w:right w:val="none" w:sz="0" w:space="0" w:color="auto"/>
      </w:divBdr>
    </w:div>
    <w:div w:id="952908785">
      <w:bodyDiv w:val="1"/>
      <w:marLeft w:val="0"/>
      <w:marRight w:val="0"/>
      <w:marTop w:val="0"/>
      <w:marBottom w:val="0"/>
      <w:divBdr>
        <w:top w:val="none" w:sz="0" w:space="0" w:color="auto"/>
        <w:left w:val="none" w:sz="0" w:space="0" w:color="auto"/>
        <w:bottom w:val="none" w:sz="0" w:space="0" w:color="auto"/>
        <w:right w:val="none" w:sz="0" w:space="0" w:color="auto"/>
      </w:divBdr>
    </w:div>
    <w:div w:id="1006714951">
      <w:bodyDiv w:val="1"/>
      <w:marLeft w:val="0"/>
      <w:marRight w:val="0"/>
      <w:marTop w:val="0"/>
      <w:marBottom w:val="0"/>
      <w:divBdr>
        <w:top w:val="none" w:sz="0" w:space="0" w:color="auto"/>
        <w:left w:val="none" w:sz="0" w:space="0" w:color="auto"/>
        <w:bottom w:val="none" w:sz="0" w:space="0" w:color="auto"/>
        <w:right w:val="none" w:sz="0" w:space="0" w:color="auto"/>
      </w:divBdr>
    </w:div>
    <w:div w:id="1040668380">
      <w:bodyDiv w:val="1"/>
      <w:marLeft w:val="0"/>
      <w:marRight w:val="0"/>
      <w:marTop w:val="0"/>
      <w:marBottom w:val="0"/>
      <w:divBdr>
        <w:top w:val="none" w:sz="0" w:space="0" w:color="auto"/>
        <w:left w:val="none" w:sz="0" w:space="0" w:color="auto"/>
        <w:bottom w:val="none" w:sz="0" w:space="0" w:color="auto"/>
        <w:right w:val="none" w:sz="0" w:space="0" w:color="auto"/>
      </w:divBdr>
    </w:div>
    <w:div w:id="1070882760">
      <w:bodyDiv w:val="1"/>
      <w:marLeft w:val="0"/>
      <w:marRight w:val="0"/>
      <w:marTop w:val="0"/>
      <w:marBottom w:val="0"/>
      <w:divBdr>
        <w:top w:val="none" w:sz="0" w:space="0" w:color="auto"/>
        <w:left w:val="none" w:sz="0" w:space="0" w:color="auto"/>
        <w:bottom w:val="none" w:sz="0" w:space="0" w:color="auto"/>
        <w:right w:val="none" w:sz="0" w:space="0" w:color="auto"/>
      </w:divBdr>
    </w:div>
    <w:div w:id="1101950622">
      <w:bodyDiv w:val="1"/>
      <w:marLeft w:val="0"/>
      <w:marRight w:val="0"/>
      <w:marTop w:val="0"/>
      <w:marBottom w:val="0"/>
      <w:divBdr>
        <w:top w:val="none" w:sz="0" w:space="0" w:color="auto"/>
        <w:left w:val="none" w:sz="0" w:space="0" w:color="auto"/>
        <w:bottom w:val="none" w:sz="0" w:space="0" w:color="auto"/>
        <w:right w:val="none" w:sz="0" w:space="0" w:color="auto"/>
      </w:divBdr>
    </w:div>
    <w:div w:id="1102605469">
      <w:bodyDiv w:val="1"/>
      <w:marLeft w:val="0"/>
      <w:marRight w:val="0"/>
      <w:marTop w:val="0"/>
      <w:marBottom w:val="0"/>
      <w:divBdr>
        <w:top w:val="none" w:sz="0" w:space="0" w:color="auto"/>
        <w:left w:val="none" w:sz="0" w:space="0" w:color="auto"/>
        <w:bottom w:val="none" w:sz="0" w:space="0" w:color="auto"/>
        <w:right w:val="none" w:sz="0" w:space="0" w:color="auto"/>
      </w:divBdr>
    </w:div>
    <w:div w:id="1441947038">
      <w:bodyDiv w:val="1"/>
      <w:marLeft w:val="0"/>
      <w:marRight w:val="0"/>
      <w:marTop w:val="0"/>
      <w:marBottom w:val="0"/>
      <w:divBdr>
        <w:top w:val="none" w:sz="0" w:space="0" w:color="auto"/>
        <w:left w:val="none" w:sz="0" w:space="0" w:color="auto"/>
        <w:bottom w:val="none" w:sz="0" w:space="0" w:color="auto"/>
        <w:right w:val="none" w:sz="0" w:space="0" w:color="auto"/>
      </w:divBdr>
    </w:div>
    <w:div w:id="1465349302">
      <w:bodyDiv w:val="1"/>
      <w:marLeft w:val="0"/>
      <w:marRight w:val="0"/>
      <w:marTop w:val="0"/>
      <w:marBottom w:val="0"/>
      <w:divBdr>
        <w:top w:val="none" w:sz="0" w:space="0" w:color="auto"/>
        <w:left w:val="none" w:sz="0" w:space="0" w:color="auto"/>
        <w:bottom w:val="none" w:sz="0" w:space="0" w:color="auto"/>
        <w:right w:val="none" w:sz="0" w:space="0" w:color="auto"/>
      </w:divBdr>
    </w:div>
    <w:div w:id="1854025564">
      <w:bodyDiv w:val="1"/>
      <w:marLeft w:val="0"/>
      <w:marRight w:val="0"/>
      <w:marTop w:val="0"/>
      <w:marBottom w:val="0"/>
      <w:divBdr>
        <w:top w:val="none" w:sz="0" w:space="0" w:color="auto"/>
        <w:left w:val="none" w:sz="0" w:space="0" w:color="auto"/>
        <w:bottom w:val="none" w:sz="0" w:space="0" w:color="auto"/>
        <w:right w:val="none" w:sz="0" w:space="0" w:color="auto"/>
      </w:divBdr>
    </w:div>
    <w:div w:id="209408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FF617-277C-4598-B0F8-7F7081A8BFDC}">
  <ds:schemaRefs>
    <ds:schemaRef ds:uri="http://schemas.microsoft.com/office/2006/metadata/properties"/>
  </ds:schemaRefs>
</ds:datastoreItem>
</file>

<file path=customXml/itemProps2.xml><?xml version="1.0" encoding="utf-8"?>
<ds:datastoreItem xmlns:ds="http://schemas.openxmlformats.org/officeDocument/2006/customXml" ds:itemID="{01961FFD-0405-4E4B-B5EE-E0323CA43647}">
  <ds:schemaRefs>
    <ds:schemaRef ds:uri="http://schemas.microsoft.com/sharepoint/v3/contenttype/forms"/>
  </ds:schemaRefs>
</ds:datastoreItem>
</file>

<file path=customXml/itemProps3.xml><?xml version="1.0" encoding="utf-8"?>
<ds:datastoreItem xmlns:ds="http://schemas.openxmlformats.org/officeDocument/2006/customXml" ds:itemID="{81119FF8-1499-407C-BD15-220EE171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83774DA-8C7B-4861-B6F3-D04123604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1681</Words>
  <Characters>9583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OGC Buying Solutions</Company>
  <LinksUpToDate>false</LinksUpToDate>
  <CharactersWithSpaces>11242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lanel</dc:creator>
  <cp:lastModifiedBy>Philip Ackers</cp:lastModifiedBy>
  <cp:revision>2</cp:revision>
  <cp:lastPrinted>2015-03-06T11:32:00Z</cp:lastPrinted>
  <dcterms:created xsi:type="dcterms:W3CDTF">2015-06-12T09:33:00Z</dcterms:created>
  <dcterms:modified xsi:type="dcterms:W3CDTF">2015-06-12T09:33:00Z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0x010100B7C82E606A73514588C608D095B111BD</vt:lpwstr>
  </property>
  <property fmtid="{D5CDD505-2E9C-101B-9397-08002B2CF9AE}" pid="3" name="BASEPRECID">
    <vt:i4>17</vt:i4>
  </property>
  <property fmtid="{D5CDD505-2E9C-101B-9397-08002B2CF9AE}" pid="4" name="BASEPRECTYPE">
    <vt:lpwstr>BLANK</vt:lpwstr>
  </property>
  <property fmtid="{D5CDD505-2E9C-101B-9397-08002B2CF9AE}" pid="5" name="DOCID">
    <vt:i4>3884419</vt:i4>
  </property>
  <property fmtid="{D5CDD505-2E9C-101B-9397-08002B2CF9AE}" pid="6" name="COMPANYID">
    <vt:i4>2122615613</vt:i4>
  </property>
  <property fmtid="{D5CDD505-2E9C-101B-9397-08002B2CF9AE}" pid="7" name="SERIALNO">
    <vt:i4>11311</vt:i4>
  </property>
  <property fmtid="{D5CDD505-2E9C-101B-9397-08002B2CF9AE}" pid="8" name="EDITION">
    <vt:lpwstr>FM</vt:lpwstr>
  </property>
  <property fmtid="{D5CDD505-2E9C-101B-9397-08002B2CF9AE}" pid="9" name="CLIENTID">
    <vt:i4>2427</vt:i4>
  </property>
  <property fmtid="{D5CDD505-2E9C-101B-9397-08002B2CF9AE}" pid="10" name="FILEID">
    <vt:i4>90994</vt:i4>
  </property>
  <property fmtid="{D5CDD505-2E9C-101B-9397-08002B2CF9AE}" pid="11" name="ASSOCID">
    <vt:i4>413352</vt:i4>
  </property>
  <property fmtid="{D5CDD505-2E9C-101B-9397-08002B2CF9AE}" pid="12" name="DOCIDEX">
    <vt:lpwstr>8492663</vt:lpwstr>
  </property>
  <property fmtid="{D5CDD505-2E9C-101B-9397-08002B2CF9AE}" pid="13" name="VERSIONID">
    <vt:lpwstr>77688c56-9f38-4de3-b95a-b157e2409857</vt:lpwstr>
  </property>
  <property fmtid="{D5CDD505-2E9C-101B-9397-08002B2CF9AE}" pid="14" name="VERSIONLABEL">
    <vt:lpwstr>3</vt:lpwstr>
  </property>
</Properties>
</file>