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50D" w:rsidRDefault="00041893" w:rsidP="00C11CC0">
      <w:pPr>
        <w:pStyle w:val="Title"/>
      </w:pPr>
      <w:r w:rsidRPr="005B7B40">
        <w:t>FOL</w:t>
      </w:r>
      <w:r w:rsidR="000548DC" w:rsidRPr="005B7B40">
        <w:t>1</w:t>
      </w:r>
      <w:r w:rsidR="008210CD" w:rsidRPr="005B7B40">
        <w:t>7</w:t>
      </w:r>
      <w:r w:rsidRPr="005B7B40">
        <w:t>/</w:t>
      </w:r>
      <w:r w:rsidR="005B7B40" w:rsidRPr="005B7B40">
        <w:t>224</w:t>
      </w:r>
      <w:r w:rsidRPr="005B7B40">
        <w:t xml:space="preserve">: </w:t>
      </w:r>
      <w:r w:rsidRPr="0082650D">
        <w:t>S</w:t>
      </w:r>
      <w:r w:rsidR="0082650D" w:rsidRPr="0082650D">
        <w:t xml:space="preserve">erpentine Kitchen </w:t>
      </w:r>
    </w:p>
    <w:p w:rsidR="00041893" w:rsidRPr="00C11CC0" w:rsidRDefault="00041893" w:rsidP="00C11CC0">
      <w:pPr>
        <w:pStyle w:val="Title"/>
      </w:pPr>
      <w:r w:rsidRPr="00C11CC0">
        <w:t>Catering Concession Contract</w:t>
      </w:r>
    </w:p>
    <w:p w:rsidR="00041893" w:rsidRPr="00B27D37" w:rsidRDefault="00041893" w:rsidP="00827939">
      <w:pPr>
        <w:pStyle w:val="Subtitle"/>
      </w:pPr>
      <w:r w:rsidRPr="00B27D37">
        <w:t xml:space="preserve">Section </w:t>
      </w:r>
      <w:r w:rsidR="00A24ECB">
        <w:t>B</w:t>
      </w:r>
    </w:p>
    <w:p w:rsidR="00041893" w:rsidRDefault="00A24ECB" w:rsidP="00827939">
      <w:pPr>
        <w:pStyle w:val="Subtitle"/>
      </w:pPr>
      <w:r>
        <w:t>Evaluation Criteria</w:t>
      </w:r>
    </w:p>
    <w:p w:rsidR="00131923" w:rsidRPr="00AA3A69" w:rsidRDefault="00A24ECB" w:rsidP="00AA3A69">
      <w:pPr>
        <w:pStyle w:val="ListParagraph"/>
        <w:numPr>
          <w:ilvl w:val="0"/>
          <w:numId w:val="25"/>
        </w:numPr>
        <w:spacing w:before="360"/>
        <w:ind w:left="851" w:hanging="851"/>
        <w:contextualSpacing w:val="0"/>
        <w:rPr>
          <w:rFonts w:ascii="Book Antiqua" w:hAnsi="Book Antiqua"/>
          <w:color w:val="7FC241"/>
          <w:sz w:val="40"/>
          <w:szCs w:val="40"/>
        </w:rPr>
      </w:pPr>
      <w:r w:rsidRPr="009F4242">
        <w:rPr>
          <w:rFonts w:ascii="Book Antiqua" w:hAnsi="Book Antiqua"/>
          <w:color w:val="7FC241"/>
          <w:sz w:val="40"/>
          <w:szCs w:val="40"/>
        </w:rPr>
        <w:lastRenderedPageBreak/>
        <w:t>Evaluation</w:t>
      </w:r>
      <w:r>
        <w:rPr>
          <w:rFonts w:ascii="Book Antiqua" w:hAnsi="Book Antiqua"/>
          <w:color w:val="7FC241"/>
          <w:sz w:val="40"/>
          <w:szCs w:val="40"/>
        </w:rPr>
        <w:t xml:space="preserve"> Criteria</w:t>
      </w:r>
    </w:p>
    <w:p w:rsidR="00CD10FD" w:rsidRPr="00A264A1" w:rsidRDefault="00CD10FD" w:rsidP="00CD10FD">
      <w:pPr>
        <w:pStyle w:val="ListParagraph"/>
        <w:numPr>
          <w:ilvl w:val="1"/>
          <w:numId w:val="25"/>
        </w:numPr>
        <w:ind w:left="851" w:hanging="851"/>
        <w:contextualSpacing w:val="0"/>
      </w:pPr>
      <w:r w:rsidRPr="00A264A1">
        <w:t>TRP will use the following price/quality ratio for tender evaluation.</w:t>
      </w:r>
    </w:p>
    <w:tbl>
      <w:tblPr>
        <w:tblW w:w="0" w:type="auto"/>
        <w:tblInd w:w="959" w:type="dxa"/>
        <w:tblBorders>
          <w:top w:val="single" w:sz="4" w:space="0" w:color="7FC241"/>
          <w:left w:val="single" w:sz="4" w:space="0" w:color="7FC241"/>
          <w:bottom w:val="single" w:sz="4" w:space="0" w:color="7FC241"/>
          <w:right w:val="single" w:sz="4" w:space="0" w:color="7FC241"/>
          <w:insideH w:val="single" w:sz="4" w:space="0" w:color="7FC241"/>
          <w:insideV w:val="single" w:sz="4" w:space="0" w:color="7FC241"/>
        </w:tblBorders>
        <w:tblLook w:val="04A0"/>
      </w:tblPr>
      <w:tblGrid>
        <w:gridCol w:w="1012"/>
        <w:gridCol w:w="1354"/>
      </w:tblGrid>
      <w:tr w:rsidR="00C453C2" w:rsidRPr="00A264A1" w:rsidTr="00153A84">
        <w:tc>
          <w:tcPr>
            <w:tcW w:w="1012" w:type="dxa"/>
          </w:tcPr>
          <w:p w:rsidR="00CD10FD" w:rsidRPr="00A264A1" w:rsidRDefault="00CD10FD" w:rsidP="003C78E6">
            <w:pPr>
              <w:pStyle w:val="TableText"/>
            </w:pPr>
            <w:r w:rsidRPr="00A264A1">
              <w:t>70%</w:t>
            </w:r>
          </w:p>
        </w:tc>
        <w:tc>
          <w:tcPr>
            <w:tcW w:w="1354" w:type="dxa"/>
          </w:tcPr>
          <w:p w:rsidR="00CD10FD" w:rsidRPr="00A264A1" w:rsidRDefault="00CD10FD" w:rsidP="003C78E6">
            <w:pPr>
              <w:pStyle w:val="TableText"/>
            </w:pPr>
            <w:r w:rsidRPr="00A264A1">
              <w:t>Quality</w:t>
            </w:r>
          </w:p>
        </w:tc>
      </w:tr>
      <w:tr w:rsidR="00C453C2" w:rsidRPr="00A264A1" w:rsidTr="00153A84">
        <w:tc>
          <w:tcPr>
            <w:tcW w:w="1012" w:type="dxa"/>
          </w:tcPr>
          <w:p w:rsidR="00CD10FD" w:rsidRPr="00A264A1" w:rsidRDefault="00CD10FD" w:rsidP="003C78E6">
            <w:pPr>
              <w:pStyle w:val="TableText"/>
            </w:pPr>
            <w:r w:rsidRPr="00A264A1">
              <w:t>30%</w:t>
            </w:r>
          </w:p>
        </w:tc>
        <w:tc>
          <w:tcPr>
            <w:tcW w:w="1354" w:type="dxa"/>
          </w:tcPr>
          <w:p w:rsidR="00CD10FD" w:rsidRPr="00A264A1" w:rsidRDefault="00CD10FD" w:rsidP="003C78E6">
            <w:pPr>
              <w:pStyle w:val="TableText"/>
            </w:pPr>
            <w:r w:rsidRPr="00A264A1">
              <w:t>Price</w:t>
            </w:r>
          </w:p>
        </w:tc>
      </w:tr>
    </w:tbl>
    <w:p w:rsidR="00CD10FD" w:rsidRPr="00A264A1" w:rsidRDefault="00CD10FD" w:rsidP="00CD10FD">
      <w:pPr>
        <w:jc w:val="both"/>
      </w:pPr>
    </w:p>
    <w:p w:rsidR="00CD10FD" w:rsidRDefault="00CD10FD" w:rsidP="008B5B91">
      <w:pPr>
        <w:pStyle w:val="ListParagraph"/>
        <w:numPr>
          <w:ilvl w:val="1"/>
          <w:numId w:val="25"/>
        </w:numPr>
        <w:ind w:left="851" w:hanging="851"/>
        <w:contextualSpacing w:val="0"/>
      </w:pPr>
      <w:r w:rsidRPr="00A264A1">
        <w:t>The detailed award criteria are as follows:</w:t>
      </w:r>
    </w:p>
    <w:tbl>
      <w:tblPr>
        <w:tblStyle w:val="TableGrid"/>
        <w:tblW w:w="0" w:type="auto"/>
        <w:tblInd w:w="959" w:type="dxa"/>
        <w:tblBorders>
          <w:top w:val="single" w:sz="4" w:space="0" w:color="7FC241"/>
          <w:left w:val="single" w:sz="4" w:space="0" w:color="7FC241"/>
          <w:bottom w:val="single" w:sz="4" w:space="0" w:color="7FC241"/>
          <w:right w:val="single" w:sz="4" w:space="0" w:color="7FC241"/>
          <w:insideH w:val="single" w:sz="4" w:space="0" w:color="7FC241"/>
          <w:insideV w:val="single" w:sz="4" w:space="0" w:color="7FC241"/>
        </w:tblBorders>
        <w:tblLook w:val="04A0"/>
      </w:tblPr>
      <w:tblGrid>
        <w:gridCol w:w="6824"/>
        <w:gridCol w:w="1988"/>
      </w:tblGrid>
      <w:tr w:rsidR="00C453C2" w:rsidTr="00153A84">
        <w:tc>
          <w:tcPr>
            <w:tcW w:w="6824" w:type="dxa"/>
            <w:shd w:val="clear" w:color="auto" w:fill="7F7F7F" w:themeFill="text1" w:themeFillTint="80"/>
          </w:tcPr>
          <w:p w:rsidR="00C63AF8" w:rsidRDefault="00C453C2" w:rsidP="00944BD5">
            <w:pPr>
              <w:pStyle w:val="TableHead"/>
            </w:pPr>
            <w:r>
              <w:t>Qualitative Criteria</w:t>
            </w:r>
          </w:p>
        </w:tc>
        <w:tc>
          <w:tcPr>
            <w:tcW w:w="1988" w:type="dxa"/>
            <w:shd w:val="clear" w:color="auto" w:fill="7F7F7F" w:themeFill="text1" w:themeFillTint="80"/>
          </w:tcPr>
          <w:p w:rsidR="00C63AF8" w:rsidRDefault="00C453C2" w:rsidP="00C453C2">
            <w:pPr>
              <w:pStyle w:val="TableHead"/>
              <w:jc w:val="center"/>
            </w:pPr>
            <w:r>
              <w:t>Percentage weighting</w:t>
            </w:r>
          </w:p>
        </w:tc>
      </w:tr>
      <w:tr w:rsidR="00C453C2" w:rsidTr="00153A84">
        <w:tc>
          <w:tcPr>
            <w:tcW w:w="6824" w:type="dxa"/>
          </w:tcPr>
          <w:p w:rsidR="00C453C2" w:rsidRPr="00C453C2" w:rsidRDefault="00C453C2" w:rsidP="00C453C2">
            <w:pPr>
              <w:pStyle w:val="TableText"/>
              <w:rPr>
                <w:b/>
                <w:color w:val="7FC241"/>
              </w:rPr>
            </w:pPr>
            <w:r w:rsidRPr="00C453C2">
              <w:rPr>
                <w:b/>
                <w:color w:val="7FC241"/>
              </w:rPr>
              <w:t xml:space="preserve">Evaluation </w:t>
            </w:r>
            <w:r w:rsidR="00153A84" w:rsidRPr="00C453C2">
              <w:rPr>
                <w:b/>
                <w:color w:val="7FC241"/>
              </w:rPr>
              <w:t>Criteri</w:t>
            </w:r>
            <w:r w:rsidR="00153A84">
              <w:rPr>
                <w:b/>
                <w:color w:val="7FC241"/>
              </w:rPr>
              <w:t xml:space="preserve">on </w:t>
            </w:r>
            <w:r w:rsidR="00153A84" w:rsidRPr="00C453C2">
              <w:rPr>
                <w:b/>
                <w:color w:val="7FC241"/>
              </w:rPr>
              <w:t>1</w:t>
            </w:r>
          </w:p>
          <w:p w:rsidR="00C453C2" w:rsidRDefault="00C453C2" w:rsidP="00C453C2">
            <w:pPr>
              <w:pStyle w:val="TableText"/>
            </w:pPr>
            <w:r>
              <w:t xml:space="preserve">The service proposals presented for </w:t>
            </w:r>
            <w:r w:rsidRPr="0082650D">
              <w:t xml:space="preserve">the </w:t>
            </w:r>
            <w:r w:rsidR="0082650D" w:rsidRPr="0082650D">
              <w:t>Serpentine Kitchen</w:t>
            </w:r>
            <w:r>
              <w:t xml:space="preserve"> demonstrate clearly how The Royal Parks’ six key attributes for catering will be delivered:</w:t>
            </w:r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A high quality food and drink offer</w:t>
            </w:r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Fast and friendly service</w:t>
            </w:r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Unique concepts and creative designs</w:t>
            </w:r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Compelling and well communicated brand</w:t>
            </w:r>
            <w:r w:rsidR="00934987">
              <w:t>s</w:t>
            </w:r>
            <w:bookmarkStart w:id="0" w:name="_GoBack"/>
            <w:bookmarkEnd w:id="0"/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Accessible pricing</w:t>
            </w:r>
          </w:p>
          <w:p w:rsidR="00C453C2" w:rsidRDefault="00C453C2" w:rsidP="00C453C2">
            <w:pPr>
              <w:pStyle w:val="Bullets"/>
              <w:ind w:left="714" w:hanging="357"/>
              <w:contextualSpacing/>
            </w:pPr>
            <w:r>
              <w:t>Responsible sourcing and operations</w:t>
            </w:r>
          </w:p>
          <w:p w:rsidR="00C453C2" w:rsidRDefault="00C453C2" w:rsidP="00C453C2">
            <w:pPr>
              <w:pStyle w:val="TableText"/>
            </w:pPr>
            <w:r>
              <w:t>Note these submissions will be scored as follows:</w:t>
            </w:r>
          </w:p>
          <w:p w:rsidR="00153A84" w:rsidRDefault="00153A84" w:rsidP="00C453C2">
            <w:pPr>
              <w:pStyle w:val="TableText"/>
            </w:pP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1 </w:t>
            </w:r>
            <w:r>
              <w:tab/>
              <w:t xml:space="preserve">Non scoring - for information only 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2 </w:t>
            </w:r>
            <w:r>
              <w:tab/>
              <w:t xml:space="preserve">A high quality food and drink offer/Fast and friendly service </w:t>
            </w:r>
            <w:r w:rsidR="00153A84">
              <w:t>(</w:t>
            </w:r>
            <w:r w:rsidR="00256E8A">
              <w:t>15</w:t>
            </w:r>
            <w:r>
              <w:t>%</w:t>
            </w:r>
            <w:r w:rsidR="00153A84">
              <w:t>)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3 </w:t>
            </w:r>
            <w:r>
              <w:tab/>
              <w:t xml:space="preserve">Unique concepts and creative designs </w:t>
            </w:r>
            <w:r w:rsidR="00153A84">
              <w:t>(</w:t>
            </w:r>
            <w:r>
              <w:t>1</w:t>
            </w:r>
            <w:r w:rsidR="00256E8A">
              <w:t>5</w:t>
            </w:r>
            <w:r w:rsidR="00153A84">
              <w:t>%)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4 </w:t>
            </w:r>
            <w:r>
              <w:tab/>
              <w:t xml:space="preserve">Compelling and well communicated brands </w:t>
            </w:r>
            <w:r w:rsidR="00153A84">
              <w:t>(</w:t>
            </w:r>
            <w:r>
              <w:t>5%</w:t>
            </w:r>
            <w:r w:rsidR="00153A84">
              <w:t>)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5 </w:t>
            </w:r>
            <w:r>
              <w:tab/>
              <w:t xml:space="preserve">Accessible pricing </w:t>
            </w:r>
            <w:r w:rsidR="00153A84">
              <w:t>(</w:t>
            </w:r>
            <w:r>
              <w:t>5%</w:t>
            </w:r>
            <w:r w:rsidR="00153A84">
              <w:t>)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 xml:space="preserve">Submission 6 </w:t>
            </w:r>
            <w:r>
              <w:tab/>
              <w:t xml:space="preserve">Responsible sourcing and operations </w:t>
            </w:r>
            <w:r w:rsidR="00153A84">
              <w:t>(</w:t>
            </w:r>
            <w:r>
              <w:t>10%</w:t>
            </w:r>
            <w:r w:rsidR="00153A84">
              <w:t>)</w:t>
            </w:r>
          </w:p>
          <w:p w:rsidR="00C63AF8" w:rsidRDefault="00C63AF8" w:rsidP="00934ECF">
            <w:pPr>
              <w:pStyle w:val="TableText"/>
            </w:pPr>
          </w:p>
        </w:tc>
        <w:tc>
          <w:tcPr>
            <w:tcW w:w="1988" w:type="dxa"/>
          </w:tcPr>
          <w:p w:rsidR="00C63AF8" w:rsidRDefault="00C453C2" w:rsidP="00C453C2">
            <w:pPr>
              <w:pStyle w:val="TableText"/>
              <w:jc w:val="center"/>
            </w:pPr>
            <w:r>
              <w:t>50%</w:t>
            </w:r>
          </w:p>
        </w:tc>
      </w:tr>
      <w:tr w:rsidR="00C453C2" w:rsidTr="00153A84">
        <w:tc>
          <w:tcPr>
            <w:tcW w:w="6824" w:type="dxa"/>
          </w:tcPr>
          <w:p w:rsidR="00C453C2" w:rsidRPr="00C453C2" w:rsidRDefault="00C453C2" w:rsidP="00C453C2">
            <w:pPr>
              <w:pStyle w:val="TableText"/>
              <w:rPr>
                <w:b/>
                <w:color w:val="7FC241"/>
              </w:rPr>
            </w:pPr>
            <w:r w:rsidRPr="00C453C2">
              <w:rPr>
                <w:b/>
                <w:color w:val="7FC241"/>
              </w:rPr>
              <w:t>Evaluation</w:t>
            </w:r>
            <w:r>
              <w:t xml:space="preserve"> </w:t>
            </w:r>
            <w:r w:rsidR="00153A84" w:rsidRPr="00C453C2">
              <w:rPr>
                <w:b/>
                <w:color w:val="7FC241"/>
              </w:rPr>
              <w:t>Criteri</w:t>
            </w:r>
            <w:r w:rsidR="00153A84">
              <w:rPr>
                <w:b/>
                <w:color w:val="7FC241"/>
              </w:rPr>
              <w:t>on</w:t>
            </w:r>
            <w:r w:rsidR="00153A84" w:rsidRPr="00C453C2">
              <w:rPr>
                <w:b/>
                <w:color w:val="7FC241"/>
              </w:rPr>
              <w:t xml:space="preserve"> </w:t>
            </w:r>
            <w:r w:rsidRPr="00C453C2">
              <w:rPr>
                <w:b/>
                <w:color w:val="7FC241"/>
              </w:rPr>
              <w:t>2</w:t>
            </w:r>
          </w:p>
          <w:p w:rsidR="00C453C2" w:rsidRDefault="00C453C2" w:rsidP="00C453C2">
            <w:pPr>
              <w:pStyle w:val="TableText"/>
            </w:pPr>
            <w:r>
              <w:t>The management and staffing proposals and rates of pay show a commitment to achieving high standards of service and an understanding of operating within an environment where demand fluctuates at short notice.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>Submission</w:t>
            </w:r>
            <w:r w:rsidR="00B67AB1">
              <w:t>s</w:t>
            </w:r>
            <w:r>
              <w:t xml:space="preserve"> 7, 8 and 9</w:t>
            </w:r>
          </w:p>
          <w:p w:rsidR="00C63AF8" w:rsidRDefault="00C63AF8" w:rsidP="00934ECF">
            <w:pPr>
              <w:pStyle w:val="TableText"/>
            </w:pPr>
          </w:p>
        </w:tc>
        <w:tc>
          <w:tcPr>
            <w:tcW w:w="1988" w:type="dxa"/>
          </w:tcPr>
          <w:p w:rsidR="00C63AF8" w:rsidRDefault="00C453C2" w:rsidP="00C453C2">
            <w:pPr>
              <w:pStyle w:val="TableText"/>
              <w:jc w:val="center"/>
            </w:pPr>
            <w:r>
              <w:t>10%</w:t>
            </w:r>
          </w:p>
        </w:tc>
      </w:tr>
      <w:tr w:rsidR="00C453C2" w:rsidTr="00153A84">
        <w:tc>
          <w:tcPr>
            <w:tcW w:w="6824" w:type="dxa"/>
          </w:tcPr>
          <w:p w:rsidR="00C453C2" w:rsidRPr="00C453C2" w:rsidRDefault="00C453C2" w:rsidP="00C453C2">
            <w:pPr>
              <w:pStyle w:val="TableText"/>
              <w:rPr>
                <w:b/>
                <w:color w:val="7FC241"/>
              </w:rPr>
            </w:pPr>
            <w:r w:rsidRPr="00C453C2">
              <w:rPr>
                <w:b/>
                <w:color w:val="7FC241"/>
              </w:rPr>
              <w:t xml:space="preserve">Evaluation </w:t>
            </w:r>
            <w:r w:rsidR="00153A84" w:rsidRPr="00C453C2">
              <w:rPr>
                <w:b/>
                <w:color w:val="7FC241"/>
              </w:rPr>
              <w:t>Criteri</w:t>
            </w:r>
            <w:r w:rsidR="00153A84">
              <w:rPr>
                <w:b/>
                <w:color w:val="7FC241"/>
              </w:rPr>
              <w:t>on</w:t>
            </w:r>
            <w:r w:rsidR="00153A84" w:rsidRPr="00C453C2">
              <w:rPr>
                <w:b/>
                <w:color w:val="7FC241"/>
              </w:rPr>
              <w:t xml:space="preserve"> </w:t>
            </w:r>
            <w:r w:rsidRPr="00C453C2">
              <w:rPr>
                <w:b/>
                <w:color w:val="7FC241"/>
              </w:rPr>
              <w:t>3</w:t>
            </w:r>
          </w:p>
          <w:p w:rsidR="00C453C2" w:rsidRDefault="00C453C2" w:rsidP="00C453C2">
            <w:r>
              <w:t xml:space="preserve">The tenderer has clearly demonstrated the robustness of the sales forecasts and viability of the profit and loss accounts and provided a commentary that explains the rationale for growth. 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>Submission 10 and 11</w:t>
            </w:r>
          </w:p>
          <w:p w:rsidR="00C63AF8" w:rsidRDefault="00C63AF8" w:rsidP="00934ECF">
            <w:pPr>
              <w:pStyle w:val="TableText"/>
            </w:pPr>
          </w:p>
        </w:tc>
        <w:tc>
          <w:tcPr>
            <w:tcW w:w="1988" w:type="dxa"/>
          </w:tcPr>
          <w:p w:rsidR="00C63AF8" w:rsidRDefault="00C453C2" w:rsidP="00C453C2">
            <w:pPr>
              <w:pStyle w:val="TableText"/>
              <w:jc w:val="center"/>
            </w:pPr>
            <w:r>
              <w:t>10%</w:t>
            </w:r>
          </w:p>
        </w:tc>
      </w:tr>
    </w:tbl>
    <w:p w:rsidR="000A128E" w:rsidRDefault="000A128E">
      <w:pPr>
        <w:widowControl/>
        <w:spacing w:after="200"/>
      </w:pPr>
      <w:r>
        <w:br w:type="page"/>
      </w:r>
    </w:p>
    <w:tbl>
      <w:tblPr>
        <w:tblStyle w:val="TableGrid"/>
        <w:tblW w:w="0" w:type="auto"/>
        <w:tblInd w:w="837" w:type="dxa"/>
        <w:tblBorders>
          <w:top w:val="single" w:sz="4" w:space="0" w:color="7FC241"/>
          <w:left w:val="single" w:sz="4" w:space="0" w:color="7FC241"/>
          <w:bottom w:val="single" w:sz="4" w:space="0" w:color="7FC241"/>
          <w:right w:val="single" w:sz="4" w:space="0" w:color="7FC241"/>
          <w:insideH w:val="single" w:sz="4" w:space="0" w:color="7FC241"/>
          <w:insideV w:val="single" w:sz="4" w:space="0" w:color="7FC241"/>
        </w:tblBorders>
        <w:tblLook w:val="04A0"/>
      </w:tblPr>
      <w:tblGrid>
        <w:gridCol w:w="6946"/>
        <w:gridCol w:w="1988"/>
      </w:tblGrid>
      <w:tr w:rsidR="00C453C2" w:rsidTr="00153A84">
        <w:tc>
          <w:tcPr>
            <w:tcW w:w="6946" w:type="dxa"/>
            <w:shd w:val="clear" w:color="auto" w:fill="7F7F7F" w:themeFill="text1" w:themeFillTint="80"/>
          </w:tcPr>
          <w:p w:rsidR="00C453C2" w:rsidRDefault="00C453C2" w:rsidP="00C453C2">
            <w:pPr>
              <w:pStyle w:val="TableHead"/>
            </w:pPr>
            <w:r>
              <w:lastRenderedPageBreak/>
              <w:t xml:space="preserve">Financial Criteria </w:t>
            </w:r>
          </w:p>
        </w:tc>
        <w:tc>
          <w:tcPr>
            <w:tcW w:w="1988" w:type="dxa"/>
            <w:shd w:val="clear" w:color="auto" w:fill="7F7F7F" w:themeFill="text1" w:themeFillTint="80"/>
          </w:tcPr>
          <w:p w:rsidR="00C453C2" w:rsidRDefault="00C453C2" w:rsidP="00C453C2">
            <w:pPr>
              <w:pStyle w:val="TableHead"/>
              <w:jc w:val="center"/>
            </w:pPr>
            <w:r>
              <w:t>Percentage weighting</w:t>
            </w:r>
          </w:p>
        </w:tc>
      </w:tr>
      <w:tr w:rsidR="00C453C2" w:rsidTr="00153A84">
        <w:tc>
          <w:tcPr>
            <w:tcW w:w="6946" w:type="dxa"/>
          </w:tcPr>
          <w:p w:rsidR="00C453C2" w:rsidRPr="00C453C2" w:rsidRDefault="00C453C2" w:rsidP="00C453C2">
            <w:pPr>
              <w:pStyle w:val="TableText"/>
              <w:rPr>
                <w:b/>
                <w:color w:val="7FC241"/>
              </w:rPr>
            </w:pPr>
            <w:r w:rsidRPr="00C453C2">
              <w:rPr>
                <w:b/>
                <w:color w:val="7FC241"/>
              </w:rPr>
              <w:t xml:space="preserve">Evaluation </w:t>
            </w:r>
            <w:r w:rsidR="00153A84" w:rsidRPr="00C453C2">
              <w:rPr>
                <w:b/>
                <w:color w:val="7FC241"/>
              </w:rPr>
              <w:t>Criteri</w:t>
            </w:r>
            <w:r w:rsidR="00153A84">
              <w:rPr>
                <w:b/>
                <w:color w:val="7FC241"/>
              </w:rPr>
              <w:t>on</w:t>
            </w:r>
            <w:r w:rsidR="00153A84" w:rsidRPr="00C453C2">
              <w:rPr>
                <w:b/>
                <w:color w:val="7FC241"/>
              </w:rPr>
              <w:t xml:space="preserve"> </w:t>
            </w:r>
            <w:r w:rsidRPr="00C453C2">
              <w:rPr>
                <w:b/>
                <w:color w:val="7FC241"/>
              </w:rPr>
              <w:t>4</w:t>
            </w:r>
          </w:p>
          <w:p w:rsidR="00C453C2" w:rsidRPr="0082650D" w:rsidRDefault="00C453C2" w:rsidP="00C453C2">
            <w:r w:rsidRPr="0082650D">
              <w:t xml:space="preserve">The </w:t>
            </w:r>
            <w:r w:rsidR="0082650D" w:rsidRPr="0082650D">
              <w:t>five</w:t>
            </w:r>
            <w:r w:rsidRPr="0082650D">
              <w:t xml:space="preserve"> year financial return to The Royal Parks (a combination of the total % concession applied to TRP sales forecasts and capital investment) projected against the TRP </w:t>
            </w:r>
            <w:r w:rsidR="0082650D" w:rsidRPr="0082650D">
              <w:t>five</w:t>
            </w:r>
            <w:r w:rsidRPr="0082650D">
              <w:t xml:space="preserve"> year sales forecast.</w:t>
            </w:r>
          </w:p>
          <w:p w:rsidR="00C453C2" w:rsidRPr="0082650D" w:rsidRDefault="00C453C2" w:rsidP="00C453C2">
            <w:r w:rsidRPr="0082650D">
              <w:t xml:space="preserve">The Tendering Company’s concession percentages shall be applied to the TRP sales forecasts to create an annual concession income.  This will be totalled across the </w:t>
            </w:r>
            <w:r w:rsidR="0082650D" w:rsidRPr="0082650D">
              <w:t>five</w:t>
            </w:r>
            <w:r w:rsidRPr="0082650D">
              <w:t xml:space="preserve"> year contract to give a </w:t>
            </w:r>
            <w:r w:rsidR="0082650D" w:rsidRPr="0082650D">
              <w:t>five</w:t>
            </w:r>
            <w:r w:rsidRPr="0082650D">
              <w:t xml:space="preserve"> year concession income.  This sum will be added to the capital investment sum to generate a total return to The Royal Parks over </w:t>
            </w:r>
            <w:r w:rsidR="0082650D" w:rsidRPr="0082650D">
              <w:t>the five</w:t>
            </w:r>
            <w:r w:rsidRPr="0082650D">
              <w:t xml:space="preserve"> years of the contract.</w:t>
            </w:r>
          </w:p>
          <w:p w:rsidR="00C453C2" w:rsidRDefault="00C453C2" w:rsidP="00C453C2">
            <w:pPr>
              <w:pStyle w:val="TableText"/>
              <w:ind w:left="1882" w:hanging="1417"/>
            </w:pPr>
            <w:r w:rsidRPr="0082650D">
              <w:t>Submission 12</w:t>
            </w:r>
          </w:p>
          <w:p w:rsidR="00C453C2" w:rsidRDefault="00C453C2" w:rsidP="00C453C2">
            <w:pPr>
              <w:pStyle w:val="TableText"/>
              <w:ind w:left="1882" w:hanging="1417"/>
            </w:pPr>
          </w:p>
        </w:tc>
        <w:tc>
          <w:tcPr>
            <w:tcW w:w="1988" w:type="dxa"/>
          </w:tcPr>
          <w:p w:rsidR="00C453C2" w:rsidRDefault="00C453C2" w:rsidP="00C453C2">
            <w:pPr>
              <w:pStyle w:val="TableText"/>
              <w:jc w:val="center"/>
            </w:pPr>
            <w:r>
              <w:t>20%</w:t>
            </w:r>
          </w:p>
        </w:tc>
      </w:tr>
      <w:tr w:rsidR="00C453C2" w:rsidTr="00153A84">
        <w:tc>
          <w:tcPr>
            <w:tcW w:w="6946" w:type="dxa"/>
          </w:tcPr>
          <w:p w:rsidR="00C453C2" w:rsidRPr="00C453C2" w:rsidRDefault="00C453C2" w:rsidP="00C453C2">
            <w:pPr>
              <w:pStyle w:val="TableText"/>
              <w:rPr>
                <w:b/>
                <w:color w:val="7FC241"/>
              </w:rPr>
            </w:pPr>
            <w:r w:rsidRPr="00C453C2">
              <w:rPr>
                <w:b/>
                <w:color w:val="7FC241"/>
              </w:rPr>
              <w:t xml:space="preserve">Evaluation </w:t>
            </w:r>
            <w:r w:rsidR="00153A84" w:rsidRPr="00C453C2">
              <w:rPr>
                <w:b/>
                <w:color w:val="7FC241"/>
              </w:rPr>
              <w:t>Criteri</w:t>
            </w:r>
            <w:r w:rsidR="00153A84">
              <w:rPr>
                <w:b/>
                <w:color w:val="7FC241"/>
              </w:rPr>
              <w:t>on</w:t>
            </w:r>
            <w:r w:rsidR="00153A84" w:rsidRPr="00C453C2">
              <w:rPr>
                <w:b/>
                <w:color w:val="7FC241"/>
              </w:rPr>
              <w:t xml:space="preserve"> </w:t>
            </w:r>
            <w:r w:rsidRPr="00C453C2">
              <w:rPr>
                <w:b/>
                <w:color w:val="7FC241"/>
              </w:rPr>
              <w:t>5</w:t>
            </w:r>
          </w:p>
          <w:p w:rsidR="00C453C2" w:rsidRDefault="00C453C2" w:rsidP="00C453C2">
            <w:r w:rsidRPr="0082650D">
              <w:t>The concession percentage offered to The Royal Parks on sales in excess of £</w:t>
            </w:r>
            <w:r w:rsidR="0082650D" w:rsidRPr="0082650D">
              <w:t>6</w:t>
            </w:r>
            <w:r w:rsidRPr="0082650D">
              <w:t>,000,000 per annum</w:t>
            </w:r>
            <w:r>
              <w:t xml:space="preserve">. </w:t>
            </w:r>
          </w:p>
          <w:p w:rsidR="00C453C2" w:rsidRDefault="00C453C2" w:rsidP="00C453C2">
            <w:pPr>
              <w:pStyle w:val="TableText"/>
              <w:ind w:left="1882" w:hanging="1417"/>
            </w:pPr>
            <w:r>
              <w:t>Submission 13</w:t>
            </w:r>
          </w:p>
          <w:p w:rsidR="00C453C2" w:rsidRDefault="00C453C2" w:rsidP="00C453C2">
            <w:pPr>
              <w:pStyle w:val="TableText"/>
              <w:ind w:left="1882" w:hanging="1417"/>
            </w:pPr>
          </w:p>
        </w:tc>
        <w:tc>
          <w:tcPr>
            <w:tcW w:w="1988" w:type="dxa"/>
          </w:tcPr>
          <w:p w:rsidR="00C453C2" w:rsidRDefault="00C453C2" w:rsidP="00C453C2">
            <w:pPr>
              <w:pStyle w:val="TableText"/>
              <w:jc w:val="center"/>
            </w:pPr>
            <w:r>
              <w:t>10%</w:t>
            </w:r>
          </w:p>
        </w:tc>
      </w:tr>
      <w:tr w:rsidR="00C453C2" w:rsidTr="00C453C2">
        <w:tc>
          <w:tcPr>
            <w:tcW w:w="6946" w:type="dxa"/>
            <w:shd w:val="clear" w:color="auto" w:fill="7F7F7F" w:themeFill="text1" w:themeFillTint="80"/>
          </w:tcPr>
          <w:p w:rsidR="00C453C2" w:rsidRDefault="00C453C2" w:rsidP="00C453C2">
            <w:pPr>
              <w:pStyle w:val="TableHead"/>
            </w:pPr>
            <w:r>
              <w:t>Total</w:t>
            </w:r>
          </w:p>
        </w:tc>
        <w:tc>
          <w:tcPr>
            <w:tcW w:w="1988" w:type="dxa"/>
            <w:shd w:val="clear" w:color="auto" w:fill="7F7F7F" w:themeFill="text1" w:themeFillTint="80"/>
          </w:tcPr>
          <w:p w:rsidR="00C453C2" w:rsidRDefault="00C453C2" w:rsidP="00C453C2">
            <w:pPr>
              <w:pStyle w:val="TableHead"/>
              <w:jc w:val="center"/>
            </w:pPr>
            <w:r>
              <w:t>100%</w:t>
            </w:r>
          </w:p>
        </w:tc>
      </w:tr>
    </w:tbl>
    <w:p w:rsidR="00950328" w:rsidRDefault="00950328" w:rsidP="008B5B91"/>
    <w:p w:rsidR="00950328" w:rsidRDefault="00950328">
      <w:pPr>
        <w:widowControl/>
        <w:spacing w:after="200"/>
      </w:pPr>
      <w:r>
        <w:br w:type="page"/>
      </w:r>
    </w:p>
    <w:p w:rsidR="00B76D92" w:rsidRPr="00A264A1" w:rsidRDefault="00B76D92" w:rsidP="00B76D92">
      <w:pPr>
        <w:ind w:left="567" w:hanging="567"/>
        <w:jc w:val="both"/>
        <w:rPr>
          <w:lang w:val="en-US" w:bidi="en-US"/>
        </w:rPr>
      </w:pPr>
      <w:r>
        <w:rPr>
          <w:lang w:val="en-US" w:bidi="en-US"/>
        </w:rPr>
        <w:lastRenderedPageBreak/>
        <w:t>1.3</w:t>
      </w:r>
      <w:r>
        <w:rPr>
          <w:lang w:val="en-US" w:bidi="en-US"/>
        </w:rPr>
        <w:tab/>
      </w:r>
      <w:r w:rsidRPr="00A264A1">
        <w:rPr>
          <w:lang w:val="en-US" w:bidi="en-US"/>
        </w:rPr>
        <w:t>All answers given to the quality questions in the tender will be scored as follows:</w:t>
      </w:r>
    </w:p>
    <w:tbl>
      <w:tblPr>
        <w:tblW w:w="9356" w:type="dxa"/>
        <w:tblInd w:w="675" w:type="dxa"/>
        <w:tblLook w:val="04A0"/>
      </w:tblPr>
      <w:tblGrid>
        <w:gridCol w:w="1202"/>
        <w:gridCol w:w="8154"/>
      </w:tblGrid>
      <w:tr w:rsidR="00AA1DE6" w:rsidRPr="00AA1DE6" w:rsidTr="00AA1DE6">
        <w:trPr>
          <w:trHeight w:val="585"/>
        </w:trPr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jc w:val="center"/>
              <w:rPr>
                <w:rFonts w:eastAsia="Times New Roman" w:cs="Arial"/>
                <w:bCs/>
                <w:szCs w:val="24"/>
              </w:rPr>
            </w:pPr>
            <w:r w:rsidRPr="00AA1DE6">
              <w:rPr>
                <w:rFonts w:eastAsia="Times New Roman" w:cs="Arial"/>
                <w:bCs/>
                <w:szCs w:val="24"/>
              </w:rPr>
              <w:t>0</w:t>
            </w:r>
          </w:p>
        </w:tc>
        <w:tc>
          <w:tcPr>
            <w:tcW w:w="8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rPr>
                <w:rFonts w:eastAsia="Times New Roman" w:cs="Arial"/>
                <w:szCs w:val="24"/>
              </w:rPr>
            </w:pPr>
            <w:r w:rsidRPr="00AA1DE6">
              <w:rPr>
                <w:rFonts w:eastAsia="Times New Roman" w:cs="Arial"/>
                <w:b/>
                <w:bCs/>
                <w:szCs w:val="24"/>
              </w:rPr>
              <w:t>Unacceptable:</w:t>
            </w:r>
            <w:r w:rsidRPr="00AA1DE6">
              <w:rPr>
                <w:rFonts w:eastAsia="Times New Roman" w:cs="Arial"/>
                <w:szCs w:val="24"/>
              </w:rPr>
              <w:t xml:space="preserve"> </w:t>
            </w:r>
            <w:r w:rsidR="003C60D7" w:rsidRPr="00AA1DE6">
              <w:rPr>
                <w:rFonts w:eastAsia="Times New Roman" w:cs="Arial"/>
                <w:szCs w:val="24"/>
              </w:rPr>
              <w:t xml:space="preserve">nil </w:t>
            </w:r>
            <w:r w:rsidRPr="00AA1DE6">
              <w:rPr>
                <w:rFonts w:eastAsia="Times New Roman" w:cs="Arial"/>
                <w:szCs w:val="24"/>
              </w:rPr>
              <w:t>or inadequate response. Fails to demonstrate an ability to meet the requirement.</w:t>
            </w:r>
          </w:p>
        </w:tc>
      </w:tr>
      <w:tr w:rsidR="00AA1DE6" w:rsidRPr="00AA1DE6" w:rsidTr="00AA1DE6">
        <w:trPr>
          <w:trHeight w:val="99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jc w:val="center"/>
              <w:rPr>
                <w:rFonts w:eastAsia="Times New Roman" w:cs="Arial"/>
                <w:bCs/>
                <w:szCs w:val="24"/>
              </w:rPr>
            </w:pPr>
            <w:r w:rsidRPr="00AA1DE6">
              <w:rPr>
                <w:rFonts w:eastAsia="Times New Roman" w:cs="Arial"/>
                <w:bCs/>
                <w:szCs w:val="24"/>
              </w:rPr>
              <w:t>1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rPr>
                <w:rFonts w:eastAsia="Times New Roman" w:cs="Arial"/>
                <w:szCs w:val="24"/>
              </w:rPr>
            </w:pPr>
            <w:r w:rsidRPr="00AA1DE6">
              <w:rPr>
                <w:rFonts w:eastAsia="Times New Roman" w:cs="Arial"/>
                <w:b/>
                <w:bCs/>
                <w:szCs w:val="24"/>
              </w:rPr>
              <w:t>Poor:</w:t>
            </w:r>
            <w:r w:rsidRPr="00AA1DE6">
              <w:rPr>
                <w:rFonts w:eastAsia="Times New Roman" w:cs="Arial"/>
                <w:szCs w:val="24"/>
              </w:rPr>
              <w:t xml:space="preserve"> </w:t>
            </w:r>
            <w:r w:rsidR="003C60D7" w:rsidRPr="00AA1DE6">
              <w:rPr>
                <w:rFonts w:eastAsia="Times New Roman" w:cs="Arial"/>
                <w:szCs w:val="24"/>
              </w:rPr>
              <w:t xml:space="preserve">response </w:t>
            </w:r>
            <w:r w:rsidRPr="00AA1DE6">
              <w:rPr>
                <w:rFonts w:eastAsia="Times New Roman" w:cs="Arial"/>
                <w:szCs w:val="24"/>
              </w:rPr>
              <w:t>is partially relevant but generally poor.  The response addresses some elements of the requirement but contains insufficient/limited detail or explanation to demonstrate how the requirement will be fulfilled.</w:t>
            </w:r>
          </w:p>
        </w:tc>
      </w:tr>
      <w:tr w:rsidR="00AA1DE6" w:rsidRPr="00AA1DE6" w:rsidTr="00AA1DE6">
        <w:trPr>
          <w:trHeight w:val="75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jc w:val="center"/>
              <w:rPr>
                <w:rFonts w:eastAsia="Times New Roman" w:cs="Arial"/>
                <w:bCs/>
                <w:szCs w:val="24"/>
              </w:rPr>
            </w:pPr>
            <w:r w:rsidRPr="00AA1DE6">
              <w:rPr>
                <w:rFonts w:eastAsia="Times New Roman" w:cs="Arial"/>
                <w:bCs/>
                <w:szCs w:val="24"/>
              </w:rPr>
              <w:t>2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rPr>
                <w:rFonts w:eastAsia="Times New Roman" w:cs="Arial"/>
                <w:szCs w:val="24"/>
              </w:rPr>
            </w:pPr>
            <w:r w:rsidRPr="00AA1DE6">
              <w:rPr>
                <w:rFonts w:eastAsia="Times New Roman" w:cs="Arial"/>
                <w:b/>
                <w:bCs/>
                <w:szCs w:val="24"/>
              </w:rPr>
              <w:t>Acceptable:</w:t>
            </w:r>
            <w:r w:rsidRPr="00AA1DE6">
              <w:rPr>
                <w:rFonts w:eastAsia="Times New Roman" w:cs="Arial"/>
                <w:szCs w:val="24"/>
              </w:rPr>
              <w:t xml:space="preserve"> </w:t>
            </w:r>
            <w:r w:rsidR="003C60D7" w:rsidRPr="00AA1DE6">
              <w:rPr>
                <w:rFonts w:eastAsia="Times New Roman" w:cs="Arial"/>
                <w:szCs w:val="24"/>
              </w:rPr>
              <w:t xml:space="preserve">response </w:t>
            </w:r>
            <w:r w:rsidRPr="00AA1DE6">
              <w:rPr>
                <w:rFonts w:eastAsia="Times New Roman" w:cs="Arial"/>
                <w:szCs w:val="24"/>
              </w:rPr>
              <w:t xml:space="preserve">is relevant and acceptable. The response addresses a broad understanding of the requirement but may lack details on how the requirement will be fulfilled in certain areas. </w:t>
            </w:r>
          </w:p>
        </w:tc>
      </w:tr>
      <w:tr w:rsidR="00AA1DE6" w:rsidRPr="00AA1DE6" w:rsidTr="00AA1DE6">
        <w:trPr>
          <w:trHeight w:val="72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jc w:val="center"/>
              <w:rPr>
                <w:rFonts w:eastAsia="Times New Roman" w:cs="Arial"/>
                <w:bCs/>
                <w:szCs w:val="24"/>
              </w:rPr>
            </w:pPr>
            <w:r w:rsidRPr="00AA1DE6">
              <w:rPr>
                <w:rFonts w:eastAsia="Times New Roman" w:cs="Arial"/>
                <w:bCs/>
                <w:szCs w:val="24"/>
              </w:rPr>
              <w:t>3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rPr>
                <w:rFonts w:eastAsia="Times New Roman" w:cs="Arial"/>
                <w:szCs w:val="24"/>
              </w:rPr>
            </w:pPr>
            <w:r w:rsidRPr="00AA1DE6">
              <w:rPr>
                <w:rFonts w:eastAsia="Times New Roman" w:cs="Arial"/>
                <w:b/>
                <w:bCs/>
                <w:szCs w:val="24"/>
              </w:rPr>
              <w:t>Good:</w:t>
            </w:r>
            <w:r w:rsidRPr="00AA1DE6">
              <w:rPr>
                <w:rFonts w:eastAsia="Times New Roman" w:cs="Arial"/>
                <w:szCs w:val="24"/>
              </w:rPr>
              <w:t xml:space="preserve"> </w:t>
            </w:r>
            <w:r w:rsidR="003C60D7" w:rsidRPr="00AA1DE6">
              <w:rPr>
                <w:rFonts w:eastAsia="Times New Roman" w:cs="Arial"/>
                <w:szCs w:val="24"/>
              </w:rPr>
              <w:t xml:space="preserve">response </w:t>
            </w:r>
            <w:r w:rsidRPr="00AA1DE6">
              <w:rPr>
                <w:rFonts w:eastAsia="Times New Roman" w:cs="Arial"/>
                <w:szCs w:val="24"/>
              </w:rPr>
              <w:t>is relevant and good. The response is sufficiently detailed to demonstrate a good understanding and provides details on how the requirements will be fulfilled.</w:t>
            </w:r>
          </w:p>
        </w:tc>
      </w:tr>
      <w:tr w:rsidR="00AA1DE6" w:rsidRPr="00AA1DE6" w:rsidTr="00AA1DE6">
        <w:trPr>
          <w:trHeight w:val="720"/>
        </w:trPr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jc w:val="center"/>
              <w:rPr>
                <w:rFonts w:eastAsia="Times New Roman" w:cs="Arial"/>
                <w:bCs/>
                <w:szCs w:val="24"/>
              </w:rPr>
            </w:pPr>
            <w:r w:rsidRPr="00AA1DE6">
              <w:rPr>
                <w:rFonts w:eastAsia="Times New Roman" w:cs="Arial"/>
                <w:bCs/>
                <w:szCs w:val="24"/>
              </w:rPr>
              <w:t>4</w:t>
            </w:r>
          </w:p>
        </w:tc>
        <w:tc>
          <w:tcPr>
            <w:tcW w:w="8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DE6" w:rsidRPr="00AA1DE6" w:rsidRDefault="00AA1DE6" w:rsidP="00AA1DE6">
            <w:pPr>
              <w:widowControl/>
              <w:spacing w:after="0" w:line="240" w:lineRule="auto"/>
              <w:rPr>
                <w:rFonts w:eastAsia="Times New Roman" w:cs="Arial"/>
                <w:szCs w:val="24"/>
              </w:rPr>
            </w:pPr>
            <w:r w:rsidRPr="00AA1DE6">
              <w:rPr>
                <w:rFonts w:eastAsia="Times New Roman" w:cs="Arial"/>
                <w:b/>
                <w:bCs/>
                <w:szCs w:val="24"/>
              </w:rPr>
              <w:t>Excellent</w:t>
            </w:r>
            <w:r w:rsidRPr="00AA1DE6">
              <w:rPr>
                <w:rFonts w:eastAsia="Times New Roman" w:cs="Arial"/>
                <w:szCs w:val="24"/>
              </w:rPr>
              <w:t xml:space="preserve">: </w:t>
            </w:r>
            <w:r w:rsidR="003C60D7" w:rsidRPr="00AA1DE6">
              <w:rPr>
                <w:rFonts w:eastAsia="Times New Roman" w:cs="Arial"/>
                <w:szCs w:val="24"/>
              </w:rPr>
              <w:t xml:space="preserve">response </w:t>
            </w:r>
            <w:r w:rsidRPr="00AA1DE6">
              <w:rPr>
                <w:rFonts w:eastAsia="Times New Roman" w:cs="Arial"/>
                <w:szCs w:val="24"/>
              </w:rPr>
              <w:t>is completely relevant and excellent overall. The response is comprehensive, unambiguous and demonstrates a thorough understanding of the requirement and provides details of how the requirement will be met in full.</w:t>
            </w:r>
          </w:p>
        </w:tc>
      </w:tr>
    </w:tbl>
    <w:p w:rsidR="00AA1DE6" w:rsidRDefault="00AA1DE6" w:rsidP="00B76D92">
      <w:pPr>
        <w:tabs>
          <w:tab w:val="left" w:pos="540"/>
        </w:tabs>
        <w:jc w:val="both"/>
      </w:pPr>
    </w:p>
    <w:p w:rsidR="00B76D92" w:rsidRPr="005F4812" w:rsidRDefault="00B76D92" w:rsidP="00B76D92">
      <w:pPr>
        <w:tabs>
          <w:tab w:val="left" w:pos="540"/>
        </w:tabs>
        <w:jc w:val="both"/>
      </w:pPr>
      <w:r w:rsidRPr="005F4812">
        <w:t>1.</w:t>
      </w:r>
      <w:r>
        <w:t>4</w:t>
      </w:r>
      <w:r w:rsidRPr="005F4812">
        <w:tab/>
        <w:t>Price will be scored as follows:</w:t>
      </w:r>
    </w:p>
    <w:p w:rsidR="00B76D92" w:rsidRPr="0082650D" w:rsidRDefault="00B76D92" w:rsidP="00B76D92">
      <w:pPr>
        <w:ind w:left="567"/>
        <w:jc w:val="both"/>
        <w:rPr>
          <w:spacing w:val="-2"/>
        </w:rPr>
      </w:pPr>
      <w:r w:rsidRPr="0093001A">
        <w:rPr>
          <w:spacing w:val="-2"/>
        </w:rPr>
        <w:t xml:space="preserve">The </w:t>
      </w:r>
      <w:r w:rsidR="0082650D" w:rsidRPr="0082650D">
        <w:rPr>
          <w:spacing w:val="-2"/>
        </w:rPr>
        <w:t>five</w:t>
      </w:r>
      <w:r w:rsidRPr="0082650D">
        <w:rPr>
          <w:spacing w:val="-2"/>
        </w:rPr>
        <w:t xml:space="preserve"> year total return will be evaluated against the other offers.  The highest financial offer will score the maximum 20% score.  All other offers will be scored against the highest offer, </w:t>
      </w:r>
    </w:p>
    <w:p w:rsidR="00B76D92" w:rsidRPr="0082650D" w:rsidRDefault="00B76D92" w:rsidP="00B76D92">
      <w:pPr>
        <w:ind w:left="567"/>
        <w:jc w:val="both"/>
        <w:rPr>
          <w:spacing w:val="-2"/>
        </w:rPr>
      </w:pPr>
      <w:proofErr w:type="gramStart"/>
      <w:r w:rsidRPr="0082650D">
        <w:rPr>
          <w:spacing w:val="-2"/>
        </w:rPr>
        <w:t>i.e</w:t>
      </w:r>
      <w:proofErr w:type="gramEnd"/>
      <w:r w:rsidRPr="0082650D">
        <w:rPr>
          <w:spacing w:val="-2"/>
        </w:rPr>
        <w:t>. lower bid value divided by highest bid x 20% = % score.</w:t>
      </w:r>
    </w:p>
    <w:p w:rsidR="00B76D92" w:rsidRPr="0093001A" w:rsidRDefault="00B76D92" w:rsidP="00B76D92">
      <w:pPr>
        <w:ind w:left="567"/>
        <w:jc w:val="both"/>
        <w:rPr>
          <w:spacing w:val="-2"/>
        </w:rPr>
      </w:pPr>
      <w:r w:rsidRPr="0082650D">
        <w:t xml:space="preserve">The highest concession percentage </w:t>
      </w:r>
      <w:r w:rsidRPr="0082650D">
        <w:rPr>
          <w:rFonts w:cs="Times New Roman"/>
        </w:rPr>
        <w:t>on sales in excess of £</w:t>
      </w:r>
      <w:r w:rsidR="0082650D" w:rsidRPr="0082650D">
        <w:rPr>
          <w:rFonts w:cs="Times New Roman"/>
        </w:rPr>
        <w:t>6</w:t>
      </w:r>
      <w:r w:rsidRPr="0082650D">
        <w:rPr>
          <w:rFonts w:cs="Times New Roman"/>
        </w:rPr>
        <w:t>,000,000 per</w:t>
      </w:r>
      <w:r w:rsidRPr="0093001A">
        <w:rPr>
          <w:rFonts w:cs="Times New Roman"/>
        </w:rPr>
        <w:t xml:space="preserve"> annum</w:t>
      </w:r>
      <w:r w:rsidRPr="0093001A">
        <w:t xml:space="preserve"> will score the maximum 10% score.  </w:t>
      </w:r>
      <w:r w:rsidRPr="0093001A">
        <w:rPr>
          <w:spacing w:val="-2"/>
        </w:rPr>
        <w:t>All other offers will be scored proportionately against the highest offer,</w:t>
      </w:r>
    </w:p>
    <w:p w:rsidR="00B76D92" w:rsidRPr="005F4812" w:rsidRDefault="00B76D92" w:rsidP="00B76D92">
      <w:pPr>
        <w:ind w:left="567"/>
        <w:jc w:val="both"/>
      </w:pPr>
      <w:proofErr w:type="gramStart"/>
      <w:r w:rsidRPr="0093001A">
        <w:rPr>
          <w:spacing w:val="-2"/>
        </w:rPr>
        <w:t>i.e</w:t>
      </w:r>
      <w:proofErr w:type="gramEnd"/>
      <w:r w:rsidRPr="0093001A">
        <w:rPr>
          <w:spacing w:val="-2"/>
        </w:rPr>
        <w:t>. lower bid divided by highest bid x 10% = % score.</w:t>
      </w:r>
    </w:p>
    <w:p w:rsidR="008B5B91" w:rsidRPr="00A264A1" w:rsidRDefault="008B5B91" w:rsidP="008B5B91"/>
    <w:sectPr w:rsidR="008B5B91" w:rsidRPr="00A264A1" w:rsidSect="00B27D37">
      <w:footerReference w:type="default" r:id="rId8"/>
      <w:headerReference w:type="first" r:id="rId9"/>
      <w:pgSz w:w="11906" w:h="16838"/>
      <w:pgMar w:top="1440" w:right="969" w:bottom="1440" w:left="1156" w:header="708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DF2" w:rsidRDefault="006C2DF2" w:rsidP="00827939">
      <w:r>
        <w:separator/>
      </w:r>
    </w:p>
  </w:endnote>
  <w:endnote w:type="continuationSeparator" w:id="0">
    <w:p w:rsidR="006C2DF2" w:rsidRDefault="006C2DF2" w:rsidP="008279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03194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5B7B40" w:rsidRPr="005B7B40" w:rsidRDefault="005B7B40">
            <w:pPr>
              <w:pStyle w:val="Footer"/>
              <w:jc w:val="right"/>
            </w:pPr>
            <w:r w:rsidRPr="005B7B40">
              <w:t xml:space="preserve">Page </w:t>
            </w:r>
            <w:fldSimple w:instr=" PAGE ">
              <w:r>
                <w:rPr>
                  <w:noProof/>
                </w:rPr>
                <w:t>3</w:t>
              </w:r>
            </w:fldSimple>
            <w:r w:rsidRPr="005B7B40">
              <w:t xml:space="preserve"> of </w:t>
            </w:r>
            <w:fldSimple w:instr=" NUMPAGES  ">
              <w:r>
                <w:rPr>
                  <w:noProof/>
                </w:rPr>
                <w:t>4</w:t>
              </w:r>
            </w:fldSimple>
          </w:p>
        </w:sdtContent>
      </w:sdt>
    </w:sdtContent>
  </w:sdt>
  <w:p w:rsidR="005B7B40" w:rsidRDefault="005B7B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DF2" w:rsidRDefault="006C2DF2" w:rsidP="00827939">
      <w:r>
        <w:separator/>
      </w:r>
    </w:p>
  </w:footnote>
  <w:footnote w:type="continuationSeparator" w:id="0">
    <w:p w:rsidR="006C2DF2" w:rsidRDefault="006C2DF2" w:rsidP="008279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A84" w:rsidRDefault="005764B3" w:rsidP="00827939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-770275</wp:posOffset>
          </wp:positionH>
          <wp:positionV relativeFrom="paragraph">
            <wp:posOffset>-449580</wp:posOffset>
          </wp:positionV>
          <wp:extent cx="7612399" cy="8420100"/>
          <wp:effectExtent l="0" t="0" r="0" b="0"/>
          <wp:wrapNone/>
          <wp:docPr id="8" name="Picture 7" descr="SBK image across lak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BK image across lak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2989" cy="84207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style="width:11.3pt;height:11.3pt" o:bullet="t">
        <v:imagedata r:id="rId1" o:title="BD10253_"/>
        <o:lock v:ext="edit" cropping="t"/>
      </v:shape>
    </w:pict>
  </w:numPicBullet>
  <w:abstractNum w:abstractNumId="0">
    <w:nsid w:val="FFFFFF1D"/>
    <w:multiLevelType w:val="multilevel"/>
    <w:tmpl w:val="43B01F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4DC1F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1DA38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D42C37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C8EA7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8D0EB7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FE2B5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ECDC6B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0CEC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674B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780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A4326A"/>
    <w:multiLevelType w:val="hybridMultilevel"/>
    <w:tmpl w:val="AD9A9F8A"/>
    <w:lvl w:ilvl="0" w:tplc="0409000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949" w:hanging="360"/>
      </w:pPr>
      <w:rPr>
        <w:rFonts w:ascii="Wingdings" w:hAnsi="Wingdings" w:hint="default"/>
      </w:rPr>
    </w:lvl>
  </w:abstractNum>
  <w:abstractNum w:abstractNumId="12">
    <w:nsid w:val="17096DCD"/>
    <w:multiLevelType w:val="hybridMultilevel"/>
    <w:tmpl w:val="D68E817E"/>
    <w:lvl w:ilvl="0" w:tplc="505AE2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C24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CE3CE1"/>
    <w:multiLevelType w:val="multilevel"/>
    <w:tmpl w:val="05CCA126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7FC241"/>
        <w:sz w:val="40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C5D1DCD"/>
    <w:multiLevelType w:val="hybridMultilevel"/>
    <w:tmpl w:val="A0126800"/>
    <w:lvl w:ilvl="0" w:tplc="505AE2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C24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DC02D8"/>
    <w:multiLevelType w:val="multilevel"/>
    <w:tmpl w:val="9FC6DF4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7395310"/>
    <w:multiLevelType w:val="hybridMultilevel"/>
    <w:tmpl w:val="F922583A"/>
    <w:lvl w:ilvl="0" w:tplc="1700C8F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7FC241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885057"/>
    <w:multiLevelType w:val="hybridMultilevel"/>
    <w:tmpl w:val="CB1A250C"/>
    <w:lvl w:ilvl="0" w:tplc="24E009A4">
      <w:start w:val="1"/>
      <w:numFmt w:val="decimal"/>
      <w:lvlText w:val="%1."/>
      <w:lvlJc w:val="left"/>
      <w:pPr>
        <w:ind w:left="360" w:hanging="360"/>
      </w:pPr>
      <w:rPr>
        <w:rFonts w:hint="default"/>
        <w:color w:val="7FC241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393F98"/>
    <w:multiLevelType w:val="hybridMultilevel"/>
    <w:tmpl w:val="E3BAD8F8"/>
    <w:lvl w:ilvl="0" w:tplc="E5C2C57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E771C"/>
    <w:multiLevelType w:val="hybridMultilevel"/>
    <w:tmpl w:val="6F163DCE"/>
    <w:lvl w:ilvl="0" w:tplc="31FC1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960C12"/>
    <w:multiLevelType w:val="hybridMultilevel"/>
    <w:tmpl w:val="9CE8DBC8"/>
    <w:lvl w:ilvl="0" w:tplc="52248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F2F84"/>
    <w:multiLevelType w:val="hybridMultilevel"/>
    <w:tmpl w:val="351A77DE"/>
    <w:lvl w:ilvl="0" w:tplc="24E009A4">
      <w:start w:val="1"/>
      <w:numFmt w:val="decimal"/>
      <w:lvlText w:val="%1."/>
      <w:lvlJc w:val="left"/>
      <w:pPr>
        <w:ind w:left="360" w:hanging="360"/>
      </w:pPr>
      <w:rPr>
        <w:rFonts w:hint="default"/>
        <w:color w:val="7FC24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757658"/>
    <w:multiLevelType w:val="multilevel"/>
    <w:tmpl w:val="C9928C68"/>
    <w:lvl w:ilvl="0">
      <w:start w:val="1"/>
      <w:numFmt w:val="decimal"/>
      <w:lvlText w:val="%1"/>
      <w:lvlJc w:val="left"/>
      <w:pPr>
        <w:ind w:left="360" w:hanging="360"/>
      </w:pPr>
      <w:rPr>
        <w:rFonts w:ascii="Book Antiqua" w:hAnsi="Book Antiqua" w:hint="default"/>
        <w:color w:val="7FC241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48829D8"/>
    <w:multiLevelType w:val="hybridMultilevel"/>
    <w:tmpl w:val="E4C640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DE6ED0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C96369C"/>
    <w:multiLevelType w:val="hybridMultilevel"/>
    <w:tmpl w:val="C068EF30"/>
    <w:lvl w:ilvl="0" w:tplc="52248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E446B2"/>
    <w:multiLevelType w:val="hybridMultilevel"/>
    <w:tmpl w:val="0F50C76A"/>
    <w:lvl w:ilvl="0" w:tplc="CA129AF4">
      <w:start w:val="1"/>
      <w:numFmt w:val="decimal"/>
      <w:lvlText w:val="%1"/>
      <w:lvlJc w:val="left"/>
      <w:pPr>
        <w:ind w:left="1220" w:hanging="8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D847A8"/>
    <w:multiLevelType w:val="hybridMultilevel"/>
    <w:tmpl w:val="7844633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72711CDF"/>
    <w:multiLevelType w:val="multilevel"/>
    <w:tmpl w:val="B66E4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76254AB2"/>
    <w:multiLevelType w:val="hybridMultilevel"/>
    <w:tmpl w:val="116A9568"/>
    <w:lvl w:ilvl="0" w:tplc="57B8B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C812DF3"/>
    <w:multiLevelType w:val="multilevel"/>
    <w:tmpl w:val="3B9C24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FB05F62"/>
    <w:multiLevelType w:val="hybridMultilevel"/>
    <w:tmpl w:val="EC4E1BDA"/>
    <w:lvl w:ilvl="0" w:tplc="62A23B5E">
      <w:start w:val="1"/>
      <w:numFmt w:val="lowerRoman"/>
      <w:lvlText w:val="(%1)"/>
      <w:lvlJc w:val="left"/>
      <w:pPr>
        <w:ind w:left="7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5"/>
  </w:num>
  <w:num w:numId="2">
    <w:abstractNumId w:val="20"/>
  </w:num>
  <w:num w:numId="3">
    <w:abstractNumId w:val="12"/>
  </w:num>
  <w:num w:numId="4">
    <w:abstractNumId w:val="14"/>
  </w:num>
  <w:num w:numId="5">
    <w:abstractNumId w:val="17"/>
  </w:num>
  <w:num w:numId="6">
    <w:abstractNumId w:val="30"/>
  </w:num>
  <w:num w:numId="7">
    <w:abstractNumId w:val="11"/>
  </w:num>
  <w:num w:numId="8">
    <w:abstractNumId w:val="27"/>
  </w:num>
  <w:num w:numId="9">
    <w:abstractNumId w:val="16"/>
  </w:num>
  <w:num w:numId="10">
    <w:abstractNumId w:val="23"/>
  </w:num>
  <w:num w:numId="11">
    <w:abstractNumId w:val="21"/>
  </w:num>
  <w:num w:numId="12">
    <w:abstractNumId w:val="29"/>
  </w:num>
  <w:num w:numId="13">
    <w:abstractNumId w:val="1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9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10"/>
  </w:num>
  <w:num w:numId="25">
    <w:abstractNumId w:val="13"/>
  </w:num>
  <w:num w:numId="26">
    <w:abstractNumId w:val="15"/>
  </w:num>
  <w:num w:numId="27">
    <w:abstractNumId w:val="24"/>
  </w:num>
  <w:num w:numId="28">
    <w:abstractNumId w:val="26"/>
  </w:num>
  <w:num w:numId="29">
    <w:abstractNumId w:val="28"/>
  </w:num>
  <w:num w:numId="30">
    <w:abstractNumId w:val="22"/>
  </w:num>
  <w:num w:numId="31">
    <w:abstractNumId w:val="18"/>
  </w:num>
  <w:num w:numId="3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1004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F1F44"/>
    <w:rsid w:val="00041893"/>
    <w:rsid w:val="00045BA2"/>
    <w:rsid w:val="000548DC"/>
    <w:rsid w:val="00057710"/>
    <w:rsid w:val="00071364"/>
    <w:rsid w:val="000A128E"/>
    <w:rsid w:val="00131923"/>
    <w:rsid w:val="001408FB"/>
    <w:rsid w:val="00153A84"/>
    <w:rsid w:val="0016468D"/>
    <w:rsid w:val="00200EBA"/>
    <w:rsid w:val="00205362"/>
    <w:rsid w:val="00216659"/>
    <w:rsid w:val="00223FC1"/>
    <w:rsid w:val="00256E8A"/>
    <w:rsid w:val="003029EC"/>
    <w:rsid w:val="003254A3"/>
    <w:rsid w:val="003C60D7"/>
    <w:rsid w:val="003C78E6"/>
    <w:rsid w:val="003E3B64"/>
    <w:rsid w:val="004025F0"/>
    <w:rsid w:val="00426215"/>
    <w:rsid w:val="00427812"/>
    <w:rsid w:val="00483741"/>
    <w:rsid w:val="004A75F3"/>
    <w:rsid w:val="00534D5E"/>
    <w:rsid w:val="005764B3"/>
    <w:rsid w:val="005B7B40"/>
    <w:rsid w:val="00697079"/>
    <w:rsid w:val="006C2DF2"/>
    <w:rsid w:val="006F07D8"/>
    <w:rsid w:val="00726B39"/>
    <w:rsid w:val="00761781"/>
    <w:rsid w:val="00772C39"/>
    <w:rsid w:val="007D178D"/>
    <w:rsid w:val="008210CD"/>
    <w:rsid w:val="0082650D"/>
    <w:rsid w:val="00827939"/>
    <w:rsid w:val="00884730"/>
    <w:rsid w:val="008A16B0"/>
    <w:rsid w:val="008B5B91"/>
    <w:rsid w:val="008C0BB1"/>
    <w:rsid w:val="008F6940"/>
    <w:rsid w:val="00924040"/>
    <w:rsid w:val="00934987"/>
    <w:rsid w:val="00934ECF"/>
    <w:rsid w:val="00944BD5"/>
    <w:rsid w:val="00950328"/>
    <w:rsid w:val="00986281"/>
    <w:rsid w:val="009C0EFA"/>
    <w:rsid w:val="009F4242"/>
    <w:rsid w:val="00A1708B"/>
    <w:rsid w:val="00A24ECB"/>
    <w:rsid w:val="00A475F5"/>
    <w:rsid w:val="00A72016"/>
    <w:rsid w:val="00AA1DE6"/>
    <w:rsid w:val="00AA3019"/>
    <w:rsid w:val="00AA30FC"/>
    <w:rsid w:val="00AA3A69"/>
    <w:rsid w:val="00B1663B"/>
    <w:rsid w:val="00B27D37"/>
    <w:rsid w:val="00B67AB1"/>
    <w:rsid w:val="00B76D92"/>
    <w:rsid w:val="00BC79F3"/>
    <w:rsid w:val="00C11CC0"/>
    <w:rsid w:val="00C44804"/>
    <w:rsid w:val="00C453C2"/>
    <w:rsid w:val="00C63AF8"/>
    <w:rsid w:val="00CB2C7D"/>
    <w:rsid w:val="00CD10FD"/>
    <w:rsid w:val="00CE40FE"/>
    <w:rsid w:val="00D9147B"/>
    <w:rsid w:val="00E01BF0"/>
    <w:rsid w:val="00E40E56"/>
    <w:rsid w:val="00EE50A6"/>
    <w:rsid w:val="00F00D96"/>
    <w:rsid w:val="00F76716"/>
    <w:rsid w:val="00FF1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39"/>
    <w:pPr>
      <w:widowControl w:val="0"/>
      <w:spacing w:after="120"/>
    </w:pPr>
    <w:rPr>
      <w:rFonts w:ascii="Gill Sans MT" w:eastAsia="Calibri" w:hAnsi="Gill Sans 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1923"/>
    <w:pPr>
      <w:keepNext/>
      <w:keepLines/>
      <w:spacing w:before="720" w:after="0"/>
      <w:ind w:left="851" w:hanging="851"/>
      <w:outlineLvl w:val="0"/>
    </w:pPr>
    <w:rPr>
      <w:rFonts w:ascii="Book Antiqua" w:eastAsiaTheme="majorEastAsia" w:hAnsi="Book Antiqua" w:cs="Arial"/>
      <w:bCs/>
      <w:color w:val="7FC241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6659"/>
    <w:pPr>
      <w:keepNext/>
      <w:keepLines/>
      <w:spacing w:before="360" w:after="60"/>
      <w:outlineLvl w:val="1"/>
    </w:pPr>
    <w:rPr>
      <w:rFonts w:ascii="Book Antiqua" w:eastAsiaTheme="majorEastAsia" w:hAnsi="Book Antiqua" w:cstheme="majorBidi"/>
      <w:b/>
      <w:bCs/>
      <w:color w:val="000000" w:themeColor="text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6659"/>
    <w:pPr>
      <w:keepNext/>
      <w:keepLines/>
      <w:spacing w:before="360" w:after="0"/>
      <w:outlineLvl w:val="2"/>
    </w:pPr>
    <w:rPr>
      <w:rFonts w:ascii="Book Antiqua" w:eastAsiaTheme="majorEastAsia" w:hAnsi="Book Antiqua" w:cstheme="majorBidi"/>
      <w:i/>
      <w:color w:val="7FC24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1923"/>
    <w:rPr>
      <w:rFonts w:ascii="Book Antiqua" w:eastAsiaTheme="majorEastAsia" w:hAnsi="Book Antiqua" w:cs="Arial"/>
      <w:bCs/>
      <w:color w:val="7FC24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6659"/>
    <w:rPr>
      <w:rFonts w:ascii="Book Antiqua" w:eastAsiaTheme="majorEastAsia" w:hAnsi="Book Antiqua" w:cstheme="majorBidi"/>
      <w:b/>
      <w:b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1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F44"/>
  </w:style>
  <w:style w:type="paragraph" w:styleId="Footer">
    <w:name w:val="footer"/>
    <w:basedOn w:val="Normal"/>
    <w:link w:val="FooterChar"/>
    <w:uiPriority w:val="99"/>
    <w:unhideWhenUsed/>
    <w:rsid w:val="00FF1F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F44"/>
  </w:style>
  <w:style w:type="character" w:customStyle="1" w:styleId="Heading3Char">
    <w:name w:val="Heading 3 Char"/>
    <w:basedOn w:val="DefaultParagraphFont"/>
    <w:link w:val="Heading3"/>
    <w:uiPriority w:val="9"/>
    <w:rsid w:val="00216659"/>
    <w:rPr>
      <w:rFonts w:ascii="Book Antiqua" w:eastAsiaTheme="majorEastAsia" w:hAnsi="Book Antiqua" w:cstheme="majorBidi"/>
      <w:i/>
      <w:color w:val="7FC241"/>
      <w:sz w:val="24"/>
      <w:szCs w:val="24"/>
    </w:rPr>
  </w:style>
  <w:style w:type="paragraph" w:customStyle="1" w:styleId="Bullets">
    <w:name w:val="Bullets"/>
    <w:basedOn w:val="NoSpacing"/>
    <w:qFormat/>
    <w:rsid w:val="00216659"/>
    <w:pPr>
      <w:numPr>
        <w:numId w:val="9"/>
      </w:numPr>
      <w:spacing w:before="240" w:after="120"/>
    </w:pPr>
  </w:style>
  <w:style w:type="table" w:styleId="TableGrid">
    <w:name w:val="Table Grid"/>
    <w:basedOn w:val="TableNormal"/>
    <w:uiPriority w:val="59"/>
    <w:rsid w:val="00827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1BF0"/>
    <w:pPr>
      <w:ind w:left="720"/>
      <w:contextualSpacing/>
    </w:pPr>
  </w:style>
  <w:style w:type="paragraph" w:customStyle="1" w:styleId="TableText">
    <w:name w:val="Table Text"/>
    <w:basedOn w:val="Normal"/>
    <w:qFormat/>
    <w:rsid w:val="00827939"/>
    <w:pPr>
      <w:spacing w:before="60" w:after="60" w:line="240" w:lineRule="auto"/>
    </w:pPr>
  </w:style>
  <w:style w:type="paragraph" w:customStyle="1" w:styleId="TableHead">
    <w:name w:val="Table Head"/>
    <w:basedOn w:val="Normal"/>
    <w:qFormat/>
    <w:rsid w:val="00827939"/>
    <w:pPr>
      <w:spacing w:before="60" w:after="60" w:line="240" w:lineRule="auto"/>
    </w:pPr>
    <w:rPr>
      <w:rFonts w:ascii="Book Antiqua" w:hAnsi="Book Antiqua"/>
      <w:b/>
      <w:color w:val="FFFFFF" w:themeColor="background1"/>
      <w:sz w:val="24"/>
    </w:rPr>
  </w:style>
  <w:style w:type="paragraph" w:styleId="NoSpacing">
    <w:name w:val="No Spacing"/>
    <w:uiPriority w:val="1"/>
    <w:qFormat/>
    <w:rsid w:val="008C0BB1"/>
    <w:pPr>
      <w:autoSpaceDE w:val="0"/>
      <w:autoSpaceDN w:val="0"/>
      <w:adjustRightInd w:val="0"/>
      <w:spacing w:after="0" w:line="240" w:lineRule="auto"/>
    </w:pPr>
    <w:rPr>
      <w:rFonts w:ascii="Gill Sans MT" w:eastAsia="Times New Roman" w:hAnsi="Gill Sans MT" w:cs="Arial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11CC0"/>
    <w:pPr>
      <w:spacing w:before="9000" w:after="2040" w:line="240" w:lineRule="auto"/>
      <w:contextualSpacing/>
      <w:jc w:val="center"/>
    </w:pPr>
    <w:rPr>
      <w:rFonts w:ascii="Book Antiqua" w:eastAsiaTheme="majorEastAsia" w:hAnsi="Book Antiqua" w:cstheme="majorBidi"/>
      <w:color w:val="000000" w:themeColor="tex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CC0"/>
    <w:rPr>
      <w:rFonts w:ascii="Book Antiqua" w:eastAsiaTheme="majorEastAsia" w:hAnsi="Book Antiqua" w:cstheme="majorBidi"/>
      <w:color w:val="000000" w:themeColor="text1"/>
      <w:spacing w:val="-10"/>
      <w:kern w:val="28"/>
      <w:sz w:val="56"/>
      <w:szCs w:val="56"/>
    </w:rPr>
  </w:style>
  <w:style w:type="paragraph" w:customStyle="1" w:styleId="p1">
    <w:name w:val="p1"/>
    <w:basedOn w:val="Normal"/>
    <w:rsid w:val="00EE50A6"/>
    <w:pPr>
      <w:spacing w:after="0" w:line="240" w:lineRule="auto"/>
      <w:ind w:left="588"/>
    </w:pPr>
    <w:rPr>
      <w:rFonts w:ascii="Times New Roman" w:hAnsi="Times New Roman" w:cs="Times New Roman"/>
      <w:sz w:val="15"/>
      <w:szCs w:val="15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D37"/>
    <w:pPr>
      <w:jc w:val="center"/>
    </w:pPr>
    <w:rPr>
      <w:rFonts w:ascii="Book Antiqua" w:hAnsi="Book Antiqua" w:cs="Arial"/>
      <w:color w:val="7FC241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27D37"/>
    <w:rPr>
      <w:rFonts w:ascii="Book Antiqua" w:eastAsia="Calibri" w:hAnsi="Book Antiqua" w:cs="Arial"/>
      <w:color w:val="7FC241"/>
      <w:sz w:val="40"/>
    </w:rPr>
  </w:style>
  <w:style w:type="paragraph" w:styleId="Quote">
    <w:name w:val="Quote"/>
    <w:basedOn w:val="Normal"/>
    <w:next w:val="Normal"/>
    <w:link w:val="QuoteChar"/>
    <w:uiPriority w:val="29"/>
    <w:qFormat/>
    <w:rsid w:val="00B27D37"/>
    <w:pPr>
      <w:spacing w:before="200" w:after="160"/>
      <w:ind w:left="1134" w:right="864"/>
      <w:jc w:val="center"/>
    </w:pPr>
    <w:rPr>
      <w:rFonts w:ascii="Book Antiqua" w:hAnsi="Book Antiqua"/>
      <w:i/>
      <w:iCs/>
      <w:color w:val="7FC241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B27D37"/>
    <w:rPr>
      <w:rFonts w:ascii="Book Antiqua" w:eastAsia="Calibri" w:hAnsi="Book Antiqua"/>
      <w:i/>
      <w:iCs/>
      <w:color w:val="7FC241"/>
      <w:lang w:eastAsia="ja-JP"/>
    </w:rPr>
  </w:style>
  <w:style w:type="paragraph" w:customStyle="1" w:styleId="Style1">
    <w:name w:val="Style1"/>
    <w:qFormat/>
    <w:rsid w:val="00CD10FD"/>
    <w:pPr>
      <w:tabs>
        <w:tab w:val="num" w:pos="360"/>
      </w:tabs>
      <w:ind w:left="360" w:hanging="360"/>
      <w:contextualSpacing/>
      <w:jc w:val="both"/>
    </w:pPr>
    <w:rPr>
      <w:rFonts w:ascii="Book Antiqua" w:eastAsia="Calibri" w:hAnsi="Book Antiqua" w:cs="Times New Roman"/>
      <w:b/>
      <w:sz w:val="24"/>
      <w:szCs w:val="24"/>
      <w:lang w:eastAsia="en-US"/>
    </w:rPr>
  </w:style>
  <w:style w:type="character" w:customStyle="1" w:styleId="ColorfulList-Accent1Char">
    <w:name w:val="Colorful List - Accent 1 Char"/>
    <w:uiPriority w:val="34"/>
    <w:rsid w:val="00CD10FD"/>
    <w:rPr>
      <w:rFonts w:ascii="Times New Roman" w:hAnsi="Times New Roman" w:cs="Times New Roman"/>
      <w:sz w:val="24"/>
      <w:szCs w:val="24"/>
      <w:lang w:eastAsia="en-US"/>
    </w:rPr>
  </w:style>
  <w:style w:type="table" w:styleId="ColorfulList-Accent1">
    <w:name w:val="Colorful List Accent 1"/>
    <w:basedOn w:val="TableNormal"/>
    <w:uiPriority w:val="72"/>
    <w:semiHidden/>
    <w:unhideWhenUsed/>
    <w:rsid w:val="00CD10F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nhideWhenUsed/>
    <w:rsid w:val="00950328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950328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950328"/>
    <w:rPr>
      <w:rFonts w:ascii="Gill Sans MT" w:eastAsia="Calibri" w:hAnsi="Gill Sans MT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32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328"/>
    <w:rPr>
      <w:rFonts w:ascii="Gill Sans MT" w:eastAsia="Calibri" w:hAnsi="Gill Sans M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931AD7-D180-4038-A0E2-98F27F099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585</Words>
  <Characters>3341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Parks</Company>
  <LinksUpToDate>false</LinksUpToDate>
  <CharactersWithSpaces>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krogers</dc:creator>
  <cp:lastModifiedBy>pberry</cp:lastModifiedBy>
  <cp:revision>2</cp:revision>
  <dcterms:created xsi:type="dcterms:W3CDTF">2017-04-26T13:02:00Z</dcterms:created>
  <dcterms:modified xsi:type="dcterms:W3CDTF">2017-04-26T13:02:00Z</dcterms:modified>
</cp:coreProperties>
</file>