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25A88868" w:rsidR="00A57128" w:rsidRPr="007E0083" w:rsidRDefault="00A57128" w:rsidP="00EE71A2">
      <w:pPr>
        <w:pStyle w:val="Heading1"/>
      </w:pPr>
      <w:r w:rsidRPr="007E0083">
        <w:t>Title:</w:t>
      </w:r>
      <w:r w:rsidR="002D751B" w:rsidRPr="002D751B">
        <w:rPr>
          <w:rFonts w:cs="Arial"/>
          <w:bCs/>
        </w:rPr>
        <w:t xml:space="preserve"> </w:t>
      </w:r>
      <w:r w:rsidR="002D751B" w:rsidRPr="00E04177">
        <w:rPr>
          <w:rFonts w:cs="Arial"/>
          <w:bCs/>
        </w:rPr>
        <w:t>Evaluation of the E</w:t>
      </w:r>
      <w:r w:rsidR="005C11AD">
        <w:rPr>
          <w:rFonts w:cs="Arial"/>
          <w:bCs/>
        </w:rPr>
        <w:t xml:space="preserve">arly </w:t>
      </w:r>
      <w:r w:rsidR="002D751B" w:rsidRPr="00E04177">
        <w:rPr>
          <w:rFonts w:cs="Arial"/>
          <w:bCs/>
        </w:rPr>
        <w:t>Y</w:t>
      </w:r>
      <w:r w:rsidR="005C11AD">
        <w:rPr>
          <w:rFonts w:cs="Arial"/>
          <w:bCs/>
        </w:rPr>
        <w:t>ears</w:t>
      </w:r>
      <w:r w:rsidR="002D751B" w:rsidRPr="00E04177">
        <w:rPr>
          <w:rFonts w:cs="Arial"/>
          <w:bCs/>
        </w:rPr>
        <w:t xml:space="preserve"> Professional Development </w:t>
      </w:r>
      <w:r w:rsidR="002D751B">
        <w:rPr>
          <w:rFonts w:cs="Arial"/>
          <w:bCs/>
        </w:rPr>
        <w:t>Programme</w:t>
      </w:r>
      <w:r w:rsidR="005C11AD">
        <w:rPr>
          <w:rFonts w:cs="Arial"/>
          <w:bCs/>
        </w:rPr>
        <w:t xml:space="preserve"> (EY PDP)</w:t>
      </w:r>
    </w:p>
    <w:p w14:paraId="2B434E3D" w14:textId="01E9A0AD" w:rsidR="00A57128" w:rsidRPr="007E0083" w:rsidRDefault="00A57128" w:rsidP="00A57128">
      <w:pPr>
        <w:rPr>
          <w:b/>
        </w:rPr>
      </w:pPr>
      <w:r w:rsidRPr="007E0083">
        <w:rPr>
          <w:b/>
        </w:rPr>
        <w:t xml:space="preserve">Project reference: </w:t>
      </w:r>
      <w:r w:rsidR="002D751B" w:rsidRPr="007B5008">
        <w:rPr>
          <w:rFonts w:cs="Arial"/>
          <w:b/>
          <w:sz w:val="24"/>
        </w:rPr>
        <w:t>2018/059</w:t>
      </w:r>
    </w:p>
    <w:p w14:paraId="501D40E4" w14:textId="17E02036" w:rsidR="00A57128" w:rsidRPr="00940473" w:rsidRDefault="00A57128" w:rsidP="00A57128">
      <w:pPr>
        <w:rPr>
          <w:b/>
        </w:rPr>
      </w:pPr>
      <w:r w:rsidRPr="007E0083">
        <w:rPr>
          <w:b/>
        </w:rPr>
        <w:t>Deadline for expressions of interest:</w:t>
      </w:r>
      <w:r w:rsidR="00B8000F" w:rsidRPr="00B8000F">
        <w:rPr>
          <w:b/>
          <w:color w:val="C0504D" w:themeColor="accent2"/>
        </w:rPr>
        <w:t xml:space="preserve"> </w:t>
      </w:r>
      <w:r w:rsidR="009D352B" w:rsidRPr="00940473">
        <w:rPr>
          <w:b/>
        </w:rPr>
        <w:t xml:space="preserve">27 </w:t>
      </w:r>
      <w:r w:rsidR="009E7F21" w:rsidRPr="00940473">
        <w:rPr>
          <w:b/>
        </w:rPr>
        <w:t>June 2019</w:t>
      </w:r>
    </w:p>
    <w:p w14:paraId="0CFBF484" w14:textId="608DD69F" w:rsidR="00A57128" w:rsidRDefault="00A57128" w:rsidP="001F2CE2">
      <w:pPr>
        <w:pStyle w:val="Heading2"/>
      </w:pPr>
      <w:r w:rsidRPr="001F2CE2">
        <w:t>Summary</w:t>
      </w:r>
    </w:p>
    <w:p w14:paraId="1C068785" w14:textId="72DE83E7" w:rsidR="00B8000F" w:rsidRPr="00B8000F" w:rsidRDefault="00B8000F" w:rsidP="00B8000F">
      <w:pPr>
        <w:spacing w:line="276" w:lineRule="auto"/>
        <w:rPr>
          <w:szCs w:val="22"/>
        </w:rPr>
      </w:pPr>
      <w:r w:rsidRPr="00B8000F">
        <w:rPr>
          <w:szCs w:val="22"/>
        </w:rPr>
        <w:t>Expressions of interest are sought for a contractor</w:t>
      </w:r>
      <w:r w:rsidR="00F33C1E">
        <w:rPr>
          <w:szCs w:val="22"/>
        </w:rPr>
        <w:t>, or consortium with lead contractor,</w:t>
      </w:r>
      <w:r w:rsidRPr="00B8000F">
        <w:rPr>
          <w:szCs w:val="22"/>
        </w:rPr>
        <w:t xml:space="preserve"> to conduct an evaluation of the Department </w:t>
      </w:r>
      <w:r w:rsidR="00C87BF2">
        <w:rPr>
          <w:szCs w:val="22"/>
        </w:rPr>
        <w:t>for</w:t>
      </w:r>
      <w:r w:rsidRPr="00B8000F">
        <w:rPr>
          <w:szCs w:val="22"/>
        </w:rPr>
        <w:t xml:space="preserve"> Education’s </w:t>
      </w:r>
      <w:r>
        <w:rPr>
          <w:szCs w:val="22"/>
        </w:rPr>
        <w:t>Early Years Professional Development Programme (PDP</w:t>
      </w:r>
      <w:r w:rsidR="007E35F0">
        <w:rPr>
          <w:szCs w:val="22"/>
        </w:rPr>
        <w:t xml:space="preserve"> – known formerly as the Professional Development Fund Programme</w:t>
      </w:r>
      <w:r>
        <w:rPr>
          <w:szCs w:val="22"/>
        </w:rPr>
        <w:t>)</w:t>
      </w:r>
      <w:r w:rsidR="00F33C1E">
        <w:rPr>
          <w:szCs w:val="22"/>
        </w:rPr>
        <w:t>. This programme</w:t>
      </w:r>
      <w:r w:rsidR="00C676C3">
        <w:rPr>
          <w:szCs w:val="22"/>
        </w:rPr>
        <w:t xml:space="preserve"> will </w:t>
      </w:r>
      <w:r w:rsidR="00C676C3" w:rsidRPr="00984C23">
        <w:t xml:space="preserve">support pre-reception early years practitioners to improve their practice in working with </w:t>
      </w:r>
      <w:r w:rsidR="00C676C3" w:rsidRPr="00B305A8">
        <w:t>children between the ages of 2 and 4</w:t>
      </w:r>
      <w:r w:rsidR="003D3271">
        <w:t>,</w:t>
      </w:r>
      <w:r w:rsidR="00C676C3">
        <w:t xml:space="preserve"> between </w:t>
      </w:r>
      <w:r w:rsidR="00C676C3" w:rsidRPr="00703527">
        <w:rPr>
          <w:rFonts w:cs="Arial"/>
        </w:rPr>
        <w:t>January 2020 and July 2021</w:t>
      </w:r>
      <w:r w:rsidR="00F33C1E">
        <w:rPr>
          <w:rFonts w:cs="Arial"/>
        </w:rPr>
        <w:t>, and</w:t>
      </w:r>
      <w:r w:rsidR="00C676C3">
        <w:t xml:space="preserve"> aims to</w:t>
      </w:r>
      <w:r w:rsidR="00C676C3" w:rsidRPr="008C4931">
        <w:t xml:space="preserve"> improve outcomes in language, literacy and numeracy for the children</w:t>
      </w:r>
      <w:r w:rsidR="00322E05">
        <w:t xml:space="preserve"> in disadvantaged areas</w:t>
      </w:r>
      <w:r w:rsidR="00C676C3" w:rsidRPr="008C4931">
        <w:t>, with an emphasi</w:t>
      </w:r>
      <w:r w:rsidR="00C676C3">
        <w:t>s on improving school readines</w:t>
      </w:r>
      <w:bookmarkStart w:id="0" w:name="_GoBack"/>
      <w:bookmarkEnd w:id="0"/>
      <w:r w:rsidR="00C676C3">
        <w:t>s</w:t>
      </w:r>
      <w:r>
        <w:rPr>
          <w:szCs w:val="22"/>
        </w:rPr>
        <w:t>.</w:t>
      </w:r>
    </w:p>
    <w:p w14:paraId="4189CC30" w14:textId="7F76B4B7" w:rsidR="00B8000F" w:rsidRDefault="00B8000F" w:rsidP="00B8000F">
      <w:pPr>
        <w:spacing w:line="276" w:lineRule="auto"/>
      </w:pPr>
      <w:r w:rsidRPr="00B8000F">
        <w:t xml:space="preserve">We are seeking expressions of interest from organisations who can demonstrate the capacity, knowledge, experience and flexibility to </w:t>
      </w:r>
      <w:r w:rsidR="003D3271">
        <w:t xml:space="preserve">conduct a </w:t>
      </w:r>
      <w:r w:rsidR="008D113C">
        <w:t xml:space="preserve">mixed-methodology evaluation of the PDP including </w:t>
      </w:r>
      <w:r w:rsidR="0087581D">
        <w:t xml:space="preserve">a </w:t>
      </w:r>
      <w:r w:rsidR="000B1323">
        <w:t>randomised controlled trial of impact on child outcomes</w:t>
      </w:r>
      <w:r w:rsidR="0087581D">
        <w:t xml:space="preserve">, a pre- and post-programme observational evaluation of quality in early years settings, and </w:t>
      </w:r>
      <w:r w:rsidR="008D113C">
        <w:t>a process evaluation</w:t>
      </w:r>
      <w:r w:rsidR="00BE6FA2">
        <w:t>.</w:t>
      </w:r>
      <w:r w:rsidR="008D113C">
        <w:t xml:space="preserve"> </w:t>
      </w:r>
    </w:p>
    <w:p w14:paraId="0070751C" w14:textId="5106FBC4" w:rsidR="00FE593F" w:rsidRPr="00B8000F" w:rsidRDefault="00FE593F" w:rsidP="00B8000F">
      <w:pPr>
        <w:spacing w:line="276" w:lineRule="auto"/>
      </w:pPr>
      <w:r>
        <w:t xml:space="preserve">The Department has a budget </w:t>
      </w:r>
      <w:r w:rsidR="009D352B">
        <w:t>in the region of</w:t>
      </w:r>
      <w:r>
        <w:t xml:space="preserve"> £500,000 excluding VAT to conduct this evaluation</w:t>
      </w:r>
      <w:r w:rsidR="009D352B">
        <w:t xml:space="preserve"> (with value for money a key consideration)</w:t>
      </w:r>
      <w:r>
        <w:t xml:space="preserve">. </w:t>
      </w:r>
    </w:p>
    <w:p w14:paraId="3C6F7C76" w14:textId="2A94DB0B" w:rsidR="00B8000F" w:rsidRPr="00B8000F" w:rsidRDefault="00B8000F" w:rsidP="00B8000F">
      <w:pPr>
        <w:spacing w:line="276" w:lineRule="auto"/>
      </w:pPr>
      <w:r w:rsidRPr="00B8000F">
        <w:rPr>
          <w:szCs w:val="22"/>
        </w:rPr>
        <w:t>This expression of interest was posted on</w:t>
      </w:r>
      <w:r w:rsidRPr="00B8000F">
        <w:rPr>
          <w:color w:val="C0504D" w:themeColor="accent2"/>
          <w:szCs w:val="22"/>
        </w:rPr>
        <w:t xml:space="preserve"> </w:t>
      </w:r>
      <w:r w:rsidR="00C87BF2" w:rsidRPr="00940473">
        <w:rPr>
          <w:szCs w:val="22"/>
        </w:rPr>
        <w:t>7 June 2019</w:t>
      </w:r>
      <w:r w:rsidRPr="00940473">
        <w:rPr>
          <w:szCs w:val="22"/>
        </w:rPr>
        <w:t>.</w:t>
      </w:r>
    </w:p>
    <w:p w14:paraId="0BF9ADD3" w14:textId="73FA7D0D" w:rsidR="00A57128" w:rsidRDefault="00A57128" w:rsidP="001F2CE2">
      <w:pPr>
        <w:pStyle w:val="Heading2"/>
      </w:pPr>
      <w:r>
        <w:t>Background</w:t>
      </w:r>
    </w:p>
    <w:p w14:paraId="2152509A" w14:textId="49697317" w:rsidR="00F00EFF" w:rsidRPr="00573C27" w:rsidRDefault="00F00EFF" w:rsidP="00F00EFF">
      <w:pPr>
        <w:rPr>
          <w:rFonts w:cs="Arial"/>
          <w:b/>
          <w:color w:val="1F497D" w:themeColor="text2"/>
          <w:sz w:val="24"/>
          <w:szCs w:val="22"/>
        </w:rPr>
      </w:pPr>
      <w:r>
        <w:rPr>
          <w:rFonts w:cs="Arial"/>
          <w:b/>
          <w:color w:val="1F497D" w:themeColor="text2"/>
          <w:sz w:val="24"/>
          <w:szCs w:val="22"/>
        </w:rPr>
        <w:t>Context</w:t>
      </w:r>
    </w:p>
    <w:p w14:paraId="6B64B6D7" w14:textId="1070D720" w:rsidR="00703527" w:rsidRPr="00703527" w:rsidRDefault="005363DB" w:rsidP="00F00EFF">
      <w:pPr>
        <w:pStyle w:val="Numbered"/>
        <w:spacing w:before="240" w:after="120" w:line="276" w:lineRule="auto"/>
        <w:rPr>
          <w:rFonts w:cs="Arial"/>
        </w:rPr>
      </w:pPr>
      <w:r w:rsidRPr="005363DB">
        <w:rPr>
          <w:rFonts w:cs="Arial"/>
        </w:rPr>
        <w:t>Disadvantaged children are behind their peers in language development as early as age two</w:t>
      </w:r>
      <w:r w:rsidRPr="005363DB">
        <w:rPr>
          <w:rStyle w:val="FootnoteReference"/>
          <w:rFonts w:cs="Arial"/>
        </w:rPr>
        <w:footnoteReference w:id="1"/>
      </w:r>
      <w:r w:rsidRPr="005363DB">
        <w:rPr>
          <w:rFonts w:cs="Arial"/>
        </w:rPr>
        <w:t>. However, good quality early years provision can benefit children’s later outcomes</w:t>
      </w:r>
      <w:r w:rsidRPr="005363DB">
        <w:rPr>
          <w:rStyle w:val="FootnoteReference"/>
          <w:rFonts w:cs="Arial"/>
        </w:rPr>
        <w:footnoteReference w:id="2"/>
      </w:r>
      <w:r w:rsidRPr="005363DB">
        <w:rPr>
          <w:rFonts w:cs="Arial"/>
        </w:rPr>
        <w:t xml:space="preserve">, suggesting the </w:t>
      </w:r>
      <w:r w:rsidRPr="005363DB">
        <w:rPr>
          <w:rFonts w:cs="Arial"/>
        </w:rPr>
        <w:lastRenderedPageBreak/>
        <w:t>importance of good quality early years provision for disadvantaged children. Early years setting structural characteristics such as availability of training has been linked to observations of process quality</w:t>
      </w:r>
      <w:r w:rsidRPr="005363DB">
        <w:rPr>
          <w:rStyle w:val="FootnoteReference"/>
          <w:rFonts w:cs="Arial"/>
        </w:rPr>
        <w:footnoteReference w:id="3"/>
      </w:r>
      <w:r w:rsidRPr="005363DB">
        <w:rPr>
          <w:rFonts w:cs="Arial"/>
        </w:rPr>
        <w:t>, and evidence suggests that preparatory and in-service training are both associated with increased positive outcomes for children in certain circumstances</w:t>
      </w:r>
      <w:r w:rsidRPr="005363DB">
        <w:rPr>
          <w:rStyle w:val="FootnoteReference"/>
          <w:rFonts w:cs="Arial"/>
        </w:rPr>
        <w:footnoteReference w:id="4"/>
      </w:r>
      <w:r w:rsidRPr="005363DB">
        <w:rPr>
          <w:rFonts w:cs="Arial"/>
        </w:rPr>
        <w:t xml:space="preserve">. The EEF suggest that training existing staff is a more promising way to raise quality than increasing the number of hours children attend or improving the physical environment in </w:t>
      </w:r>
      <w:r w:rsidR="00322E05">
        <w:rPr>
          <w:rFonts w:cs="Arial"/>
        </w:rPr>
        <w:t>s</w:t>
      </w:r>
      <w:r w:rsidRPr="005363DB">
        <w:rPr>
          <w:rFonts w:cs="Arial"/>
        </w:rPr>
        <w:t>ettings.</w:t>
      </w:r>
      <w:r w:rsidRPr="005363DB">
        <w:rPr>
          <w:rStyle w:val="FootnoteReference"/>
          <w:rFonts w:cs="Arial"/>
        </w:rPr>
        <w:footnoteReference w:id="5"/>
      </w:r>
      <w:r w:rsidRPr="005363DB">
        <w:rPr>
          <w:rFonts w:cs="Arial"/>
        </w:rPr>
        <w:t xml:space="preserve"> Recent evidence shows that investing in focused professional development activity in the early years, to improve skills and practice in the existing workforce, can lead to rapid improvements in setting-level quality, children’s cognitive outcomes in language and numeracy development, and their socio-emotional</w:t>
      </w:r>
      <w:r w:rsidRPr="009F2DE3">
        <w:rPr>
          <w:rFonts w:asciiTheme="minorHAnsi" w:hAnsiTheme="minorHAnsi" w:cstheme="minorHAnsi"/>
        </w:rPr>
        <w:t xml:space="preserve"> </w:t>
      </w:r>
      <w:r w:rsidRPr="005363DB">
        <w:rPr>
          <w:rFonts w:cs="Arial"/>
        </w:rPr>
        <w:t>development.</w:t>
      </w:r>
      <w:r w:rsidRPr="005363DB">
        <w:rPr>
          <w:rStyle w:val="FootnoteReference"/>
          <w:rFonts w:cs="Arial"/>
        </w:rPr>
        <w:footnoteReference w:id="6"/>
      </w:r>
    </w:p>
    <w:p w14:paraId="6208AED0" w14:textId="2B92AC07" w:rsidR="005048B4" w:rsidRDefault="00590B25" w:rsidP="003929E9">
      <w:pPr>
        <w:rPr>
          <w:rFonts w:cs="Arial"/>
        </w:rPr>
      </w:pPr>
      <w:r>
        <w:rPr>
          <w:rFonts w:cs="Arial"/>
        </w:rPr>
        <w:t>T</w:t>
      </w:r>
      <w:r w:rsidRPr="008C3A7A">
        <w:rPr>
          <w:rFonts w:cs="Arial"/>
        </w:rPr>
        <w:t>he Secretary of State has set</w:t>
      </w:r>
      <w:r>
        <w:rPr>
          <w:rFonts w:cs="Arial"/>
        </w:rPr>
        <w:t xml:space="preserve"> out his ambition to halve the number of </w:t>
      </w:r>
      <w:r w:rsidRPr="00BF4CA2">
        <w:rPr>
          <w:rFonts w:cs="Arial"/>
        </w:rPr>
        <w:t>children finish</w:t>
      </w:r>
      <w:r>
        <w:rPr>
          <w:rFonts w:cs="Arial"/>
        </w:rPr>
        <w:t xml:space="preserve">ing their Reception year </w:t>
      </w:r>
      <w:r w:rsidRPr="00BF4CA2">
        <w:rPr>
          <w:rFonts w:cs="Arial"/>
        </w:rPr>
        <w:t>without the early communication and reading skills they need to thrive</w:t>
      </w:r>
      <w:r w:rsidRPr="008C3A7A">
        <w:rPr>
          <w:rFonts w:cs="Arial"/>
        </w:rPr>
        <w:t xml:space="preserve"> by 2028.</w:t>
      </w:r>
      <w:r>
        <w:rPr>
          <w:rFonts w:cs="Arial"/>
        </w:rPr>
        <w:t xml:space="preserve">  </w:t>
      </w:r>
      <w:r w:rsidR="002C21B9">
        <w:rPr>
          <w:rFonts w:cs="Arial"/>
          <w:i/>
        </w:rPr>
        <w:t>‘</w:t>
      </w:r>
      <w:r w:rsidRPr="00B8000F">
        <w:rPr>
          <w:rFonts w:cs="Arial"/>
          <w:i/>
        </w:rPr>
        <w:t>Unlocking talent, fulfilling potential’</w:t>
      </w:r>
      <w:r>
        <w:rPr>
          <w:rFonts w:cs="Arial"/>
        </w:rPr>
        <w:t xml:space="preserve"> </w:t>
      </w:r>
      <w:r w:rsidRPr="00814FA8">
        <w:rPr>
          <w:rFonts w:cs="Arial"/>
        </w:rPr>
        <w:t>set out DfE’s strategic aim to close the ‘word gap’ for disadvantaged children in early years</w:t>
      </w:r>
      <w:r>
        <w:rPr>
          <w:rFonts w:cs="Arial"/>
        </w:rPr>
        <w:t xml:space="preserve">. </w:t>
      </w:r>
      <w:r w:rsidR="007B17F9">
        <w:rPr>
          <w:rFonts w:cs="Arial"/>
          <w:szCs w:val="22"/>
        </w:rPr>
        <w:t>The approach to implementing this succe</w:t>
      </w:r>
      <w:r w:rsidR="00396EA7">
        <w:rPr>
          <w:rFonts w:cs="Arial"/>
          <w:szCs w:val="22"/>
        </w:rPr>
        <w:t>s</w:t>
      </w:r>
      <w:r w:rsidR="007B17F9">
        <w:rPr>
          <w:rFonts w:cs="Arial"/>
          <w:szCs w:val="22"/>
        </w:rPr>
        <w:t>sful</w:t>
      </w:r>
      <w:r w:rsidR="005048B4">
        <w:rPr>
          <w:rFonts w:cs="Arial"/>
          <w:szCs w:val="22"/>
        </w:rPr>
        <w:t>l</w:t>
      </w:r>
      <w:r w:rsidR="007B17F9">
        <w:rPr>
          <w:rFonts w:cs="Arial"/>
          <w:szCs w:val="22"/>
        </w:rPr>
        <w:t xml:space="preserve">y has focused around </w:t>
      </w:r>
      <w:r w:rsidR="007B17F9">
        <w:rPr>
          <w:rFonts w:cs="Arial"/>
        </w:rPr>
        <w:t>i</w:t>
      </w:r>
      <w:r w:rsidR="002B7303">
        <w:rPr>
          <w:rFonts w:cs="Arial"/>
        </w:rPr>
        <w:t>mproving the quality of early years provis</w:t>
      </w:r>
      <w:r w:rsidR="00BC7FC8">
        <w:rPr>
          <w:rFonts w:cs="Arial"/>
        </w:rPr>
        <w:t xml:space="preserve">ion </w:t>
      </w:r>
      <w:r w:rsidR="002B7303">
        <w:rPr>
          <w:rFonts w:cs="Arial"/>
        </w:rPr>
        <w:t>in disadvantaged ar</w:t>
      </w:r>
      <w:r w:rsidR="005056F2">
        <w:rPr>
          <w:rFonts w:cs="Arial"/>
        </w:rPr>
        <w:t xml:space="preserve">eas through the means of </w:t>
      </w:r>
      <w:r w:rsidR="002A57F4">
        <w:rPr>
          <w:rFonts w:cs="Arial"/>
        </w:rPr>
        <w:t xml:space="preserve">in-service </w:t>
      </w:r>
      <w:r w:rsidR="005056F2">
        <w:rPr>
          <w:rFonts w:cs="Arial"/>
        </w:rPr>
        <w:t>training</w:t>
      </w:r>
      <w:r w:rsidR="007B17F9">
        <w:rPr>
          <w:rFonts w:cs="Arial"/>
        </w:rPr>
        <w:t xml:space="preserve"> </w:t>
      </w:r>
      <w:r w:rsidR="002A57F4">
        <w:rPr>
          <w:rFonts w:cs="Arial"/>
        </w:rPr>
        <w:t xml:space="preserve">which </w:t>
      </w:r>
      <w:r w:rsidR="0043343D">
        <w:rPr>
          <w:rFonts w:cs="Arial"/>
        </w:rPr>
        <w:t xml:space="preserve">is </w:t>
      </w:r>
      <w:r w:rsidR="00CE4D59">
        <w:rPr>
          <w:rFonts w:cs="Arial"/>
        </w:rPr>
        <w:t>associated with increased positive outomes for children in certain circumstances</w:t>
      </w:r>
      <w:r w:rsidR="002A57F4">
        <w:rPr>
          <w:rFonts w:cs="Arial"/>
        </w:rPr>
        <w:t>.</w:t>
      </w:r>
      <w:r w:rsidR="00CE4D59">
        <w:rPr>
          <w:rFonts w:cs="Arial"/>
        </w:rPr>
        <w:t xml:space="preserve"> </w:t>
      </w:r>
      <w:r w:rsidR="00C077B1">
        <w:rPr>
          <w:rFonts w:cs="Arial"/>
        </w:rPr>
        <w:t xml:space="preserve">Early years settings structural </w:t>
      </w:r>
      <w:r w:rsidR="002738F2">
        <w:rPr>
          <w:rFonts w:cs="Arial"/>
        </w:rPr>
        <w:t xml:space="preserve">characteristics such as the availability </w:t>
      </w:r>
      <w:r w:rsidR="00596CD8">
        <w:rPr>
          <w:rFonts w:cs="Arial"/>
        </w:rPr>
        <w:t>of training has been linked to observation</w:t>
      </w:r>
      <w:r w:rsidR="00F54CC0">
        <w:rPr>
          <w:rFonts w:cs="Arial"/>
        </w:rPr>
        <w:t>s of process quali</w:t>
      </w:r>
      <w:r w:rsidR="00993604">
        <w:rPr>
          <w:rFonts w:cs="Arial"/>
        </w:rPr>
        <w:t>ty</w:t>
      </w:r>
      <w:r w:rsidR="004355DB">
        <w:rPr>
          <w:rFonts w:cs="Arial"/>
        </w:rPr>
        <w:t>.</w:t>
      </w:r>
    </w:p>
    <w:p w14:paraId="34DE4BC1" w14:textId="77777777" w:rsidR="006C7111" w:rsidRDefault="006C7111" w:rsidP="003929E9">
      <w:pPr>
        <w:rPr>
          <w:rFonts w:cs="Arial"/>
        </w:rPr>
      </w:pPr>
    </w:p>
    <w:p w14:paraId="5F240869" w14:textId="0BB362CE" w:rsidR="00F00EFF" w:rsidRPr="00573C27" w:rsidRDefault="00F00EFF" w:rsidP="00F00EFF">
      <w:pPr>
        <w:rPr>
          <w:rFonts w:cs="Arial"/>
          <w:b/>
          <w:color w:val="1F497D" w:themeColor="text2"/>
          <w:sz w:val="24"/>
          <w:szCs w:val="22"/>
        </w:rPr>
      </w:pPr>
      <w:r>
        <w:rPr>
          <w:rFonts w:cs="Arial"/>
          <w:b/>
          <w:color w:val="1F497D" w:themeColor="text2"/>
          <w:sz w:val="24"/>
          <w:szCs w:val="22"/>
        </w:rPr>
        <w:t>The Early Years Professional Development Programme</w:t>
      </w:r>
    </w:p>
    <w:p w14:paraId="42E6C209" w14:textId="0E316F9D" w:rsidR="00703527" w:rsidRPr="00814FA8" w:rsidRDefault="00F45625" w:rsidP="00703527">
      <w:pPr>
        <w:rPr>
          <w:rFonts w:cs="Arial"/>
        </w:rPr>
      </w:pPr>
      <w:r w:rsidRPr="00C52397">
        <w:rPr>
          <w:rFonts w:eastAsia="Calibri"/>
          <w:lang w:eastAsia="en-US"/>
        </w:rPr>
        <w:t xml:space="preserve">The main purpose of the </w:t>
      </w:r>
      <w:r>
        <w:rPr>
          <w:rFonts w:eastAsia="Calibri"/>
          <w:lang w:eastAsia="en-US"/>
        </w:rPr>
        <w:t>Early Years Professional Development P</w:t>
      </w:r>
      <w:r w:rsidRPr="00C52397">
        <w:rPr>
          <w:rFonts w:eastAsia="Calibri"/>
          <w:lang w:eastAsia="en-US"/>
        </w:rPr>
        <w:t xml:space="preserve">rogramme is to </w:t>
      </w:r>
      <w:r w:rsidRPr="00984C23">
        <w:t xml:space="preserve">support pre-reception early years practitioners </w:t>
      </w:r>
      <w:r w:rsidR="007E4BF7">
        <w:t xml:space="preserve">(EYPs) </w:t>
      </w:r>
      <w:r w:rsidRPr="00984C23">
        <w:t xml:space="preserve">to improve their practice in working with </w:t>
      </w:r>
      <w:r w:rsidRPr="00B305A8">
        <w:t>children between the ages of 2 and 4</w:t>
      </w:r>
      <w:r>
        <w:t>. This aims to</w:t>
      </w:r>
      <w:r w:rsidRPr="008C4931">
        <w:t xml:space="preserve"> improve outcomes in language, literacy and numeracy for children</w:t>
      </w:r>
      <w:r w:rsidR="00322E05">
        <w:t xml:space="preserve"> in disadvantaged areas</w:t>
      </w:r>
      <w:r w:rsidRPr="008C4931">
        <w:t>, with an emphasis on improving school readiness.</w:t>
      </w:r>
      <w:r w:rsidR="00703527" w:rsidRPr="00814FA8">
        <w:rPr>
          <w:rFonts w:cs="Arial"/>
        </w:rPr>
        <w:t xml:space="preserve"> The PD</w:t>
      </w:r>
      <w:r w:rsidR="00703527">
        <w:rPr>
          <w:rFonts w:cs="Arial"/>
        </w:rPr>
        <w:t>P</w:t>
      </w:r>
      <w:r w:rsidR="00703527" w:rsidRPr="00814FA8">
        <w:rPr>
          <w:rFonts w:cs="Arial"/>
        </w:rPr>
        <w:t xml:space="preserve"> delivery approach consists of</w:t>
      </w:r>
      <w:r w:rsidR="00703527">
        <w:rPr>
          <w:rFonts w:cs="Arial"/>
        </w:rPr>
        <w:t>:</w:t>
      </w:r>
      <w:r w:rsidR="00703527" w:rsidRPr="00814FA8">
        <w:rPr>
          <w:rFonts w:cs="Arial"/>
        </w:rPr>
        <w:t xml:space="preserve"> </w:t>
      </w:r>
    </w:p>
    <w:p w14:paraId="29AE9C54" w14:textId="6DB18119" w:rsidR="00703527" w:rsidRPr="00703527" w:rsidRDefault="00703527" w:rsidP="002C21B9">
      <w:pPr>
        <w:pStyle w:val="ListParagraph"/>
        <w:numPr>
          <w:ilvl w:val="0"/>
          <w:numId w:val="34"/>
        </w:numPr>
        <w:spacing w:line="276" w:lineRule="auto"/>
        <w:ind w:left="1077" w:hanging="357"/>
        <w:rPr>
          <w:rFonts w:cs="Arial"/>
        </w:rPr>
      </w:pPr>
      <w:r w:rsidRPr="00703527">
        <w:rPr>
          <w:rFonts w:cs="Arial"/>
        </w:rPr>
        <w:t xml:space="preserve">DfE </w:t>
      </w:r>
      <w:r w:rsidR="00F00EFF">
        <w:rPr>
          <w:rFonts w:cs="Arial"/>
        </w:rPr>
        <w:t xml:space="preserve">grant </w:t>
      </w:r>
      <w:r w:rsidRPr="00703527">
        <w:rPr>
          <w:rFonts w:cs="Arial"/>
        </w:rPr>
        <w:t xml:space="preserve">funding </w:t>
      </w:r>
      <w:r w:rsidR="00F00EFF">
        <w:rPr>
          <w:rFonts w:cs="Arial"/>
        </w:rPr>
        <w:t xml:space="preserve">for </w:t>
      </w:r>
      <w:r w:rsidRPr="00703527">
        <w:rPr>
          <w:rFonts w:cs="Arial"/>
        </w:rPr>
        <w:t>local authorities (</w:t>
      </w:r>
      <w:r w:rsidR="00F00EFF">
        <w:rPr>
          <w:rFonts w:cs="Arial"/>
        </w:rPr>
        <w:t>LAs</w:t>
      </w:r>
      <w:r w:rsidRPr="00703527">
        <w:rPr>
          <w:rFonts w:cs="Arial"/>
        </w:rPr>
        <w:t>) to convene local partnerships between early years settings</w:t>
      </w:r>
      <w:r w:rsidR="00FF7E5E">
        <w:rPr>
          <w:rStyle w:val="FootnoteReference"/>
          <w:rFonts w:cs="Arial"/>
        </w:rPr>
        <w:footnoteReference w:id="7"/>
      </w:r>
      <w:r w:rsidRPr="00703527">
        <w:rPr>
          <w:rFonts w:cs="Arial"/>
        </w:rPr>
        <w:t>, and identify local ‘champions’ who will receive Continued Professional Development (CPD) tra</w:t>
      </w:r>
      <w:r w:rsidR="00F00EFF">
        <w:rPr>
          <w:rFonts w:cs="Arial"/>
        </w:rPr>
        <w:t>ining</w:t>
      </w:r>
      <w:r w:rsidR="00934BF3">
        <w:rPr>
          <w:rFonts w:cs="Arial"/>
        </w:rPr>
        <w:t xml:space="preserve"> and </w:t>
      </w:r>
      <w:r w:rsidR="00F00EFF">
        <w:rPr>
          <w:rFonts w:cs="Arial"/>
        </w:rPr>
        <w:t>cascade this to early years staff</w:t>
      </w:r>
      <w:r w:rsidRPr="00703527">
        <w:rPr>
          <w:rFonts w:cs="Arial"/>
        </w:rPr>
        <w:t xml:space="preserve"> within the local partnerships</w:t>
      </w:r>
      <w:r w:rsidR="005453F9">
        <w:rPr>
          <w:rFonts w:cs="Arial"/>
        </w:rPr>
        <w:t xml:space="preserve"> of approximately 10-1</w:t>
      </w:r>
      <w:r w:rsidR="00FF7E5E">
        <w:rPr>
          <w:rFonts w:cs="Arial"/>
        </w:rPr>
        <w:t>5</w:t>
      </w:r>
      <w:r w:rsidR="005453F9">
        <w:rPr>
          <w:rFonts w:cs="Arial"/>
        </w:rPr>
        <w:t xml:space="preserve"> settings</w:t>
      </w:r>
      <w:r w:rsidRPr="00703527">
        <w:rPr>
          <w:rFonts w:cs="Arial"/>
        </w:rPr>
        <w:t xml:space="preserve"> </w:t>
      </w:r>
    </w:p>
    <w:p w14:paraId="7BD53B90" w14:textId="22BAC25A" w:rsidR="00703527" w:rsidRPr="00703527" w:rsidRDefault="00703527" w:rsidP="002C21B9">
      <w:pPr>
        <w:pStyle w:val="ListParagraph"/>
        <w:numPr>
          <w:ilvl w:val="0"/>
          <w:numId w:val="34"/>
        </w:numPr>
        <w:spacing w:line="276" w:lineRule="auto"/>
        <w:ind w:left="1077" w:hanging="357"/>
        <w:rPr>
          <w:rFonts w:cs="Arial"/>
        </w:rPr>
      </w:pPr>
      <w:r w:rsidRPr="00703527">
        <w:rPr>
          <w:rFonts w:cs="Arial"/>
        </w:rPr>
        <w:t xml:space="preserve">DfE procuring a national delivery partner to provide CPD to the ‘champions’ who will then cascade the CPD within their local partnerships.  </w:t>
      </w:r>
    </w:p>
    <w:p w14:paraId="694B6457" w14:textId="69BDA814" w:rsidR="00F45625" w:rsidRDefault="00F45625" w:rsidP="00703527">
      <w:r w:rsidRPr="0040323B">
        <w:rPr>
          <w:rFonts w:cs="Arial"/>
        </w:rPr>
        <w:t xml:space="preserve">The </w:t>
      </w:r>
      <w:r>
        <w:rPr>
          <w:rFonts w:cs="Arial"/>
        </w:rPr>
        <w:t xml:space="preserve">PDP </w:t>
      </w:r>
      <w:r w:rsidR="007E4BF7">
        <w:rPr>
          <w:rFonts w:cs="Arial"/>
        </w:rPr>
        <w:t>will provide</w:t>
      </w:r>
      <w:r w:rsidRPr="0040323B">
        <w:rPr>
          <w:rFonts w:cs="Arial"/>
        </w:rPr>
        <w:t xml:space="preserve"> a comprehensive and sustained programme of </w:t>
      </w:r>
      <w:r w:rsidR="007656C2">
        <w:rPr>
          <w:rFonts w:cs="Arial"/>
        </w:rPr>
        <w:t>CPD</w:t>
      </w:r>
      <w:r w:rsidRPr="0040323B">
        <w:rPr>
          <w:rFonts w:cs="Arial"/>
        </w:rPr>
        <w:t xml:space="preserve"> for early years practitioners working in selected pre-reception settings </w:t>
      </w:r>
      <w:r w:rsidR="00322E05">
        <w:rPr>
          <w:rFonts w:cs="Arial"/>
        </w:rPr>
        <w:t>in disadvantaged areas</w:t>
      </w:r>
      <w:r w:rsidRPr="0040323B">
        <w:rPr>
          <w:rFonts w:cs="Arial"/>
        </w:rPr>
        <w:t>.</w:t>
      </w:r>
      <w:r w:rsidRPr="0040323B">
        <w:t xml:space="preserve"> </w:t>
      </w:r>
      <w:r>
        <w:t>The key purpose of this is to equip prac</w:t>
      </w:r>
      <w:r w:rsidR="007E4BF7">
        <w:t>ti</w:t>
      </w:r>
      <w:r>
        <w:t xml:space="preserve">tioners with the right skills through training in order to improve workforce capability to ensure the 2-4 year olds attending these settings are better prepared for their school reception year. The programme is specifically designed to help address some of the barriers that can make it difficult for early years practioners to access effective CPD. These can include settings not knowing the best CPD to access, and cost pressures that make it difficult for them to purchase training and cover the supply costs to relase staff to attend. Delivering high quality CPD is focused </w:t>
      </w:r>
      <w:r>
        <w:lastRenderedPageBreak/>
        <w:t xml:space="preserve">on improving workforce skills in </w:t>
      </w:r>
      <w:r w:rsidR="00934BF3">
        <w:t xml:space="preserve">supporting children’s </w:t>
      </w:r>
      <w:r>
        <w:t>language development, early literacy and numeracy.</w:t>
      </w:r>
      <w:r w:rsidR="00934BF3">
        <w:t xml:space="preserve"> The champions will be responsible for providing ongoing support and mentoring to the EYPs as part of the CPD programme.</w:t>
      </w:r>
      <w:r w:rsidR="00E83750">
        <w:t xml:space="preserve"> The national delivery partner will provide advice and support to the champions as they cascade.</w:t>
      </w:r>
    </w:p>
    <w:p w14:paraId="48820866" w14:textId="205D8FE0" w:rsidR="00E83750" w:rsidRDefault="00F00EFF" w:rsidP="00703527">
      <w:pPr>
        <w:rPr>
          <w:rFonts w:cs="Arial"/>
        </w:rPr>
      </w:pPr>
      <w:r>
        <w:rPr>
          <w:rFonts w:cs="Arial"/>
        </w:rPr>
        <w:t>A total of 53 LAs have been selected to receive PDP funding</w:t>
      </w:r>
      <w:r w:rsidR="00D93149">
        <w:rPr>
          <w:rFonts w:cs="Arial"/>
        </w:rPr>
        <w:t xml:space="preserve">. They were selected </w:t>
      </w:r>
      <w:r w:rsidR="00E83750" w:rsidRPr="00E83750">
        <w:rPr>
          <w:rFonts w:cs="Arial"/>
        </w:rPr>
        <w:t>based on</w:t>
      </w:r>
      <w:r w:rsidR="00E83750">
        <w:rPr>
          <w:rFonts w:cs="Arial"/>
        </w:rPr>
        <w:t xml:space="preserve"> </w:t>
      </w:r>
      <w:r w:rsidR="00D93149">
        <w:rPr>
          <w:rFonts w:cs="Arial"/>
        </w:rPr>
        <w:t>criteria at LA level which</w:t>
      </w:r>
      <w:r w:rsidR="00E83750">
        <w:rPr>
          <w:rFonts w:cs="Arial"/>
        </w:rPr>
        <w:t xml:space="preserve"> included:</w:t>
      </w:r>
    </w:p>
    <w:p w14:paraId="4BE96B98" w14:textId="0959CF8D" w:rsidR="00E83750" w:rsidRDefault="00D93149" w:rsidP="00E83750">
      <w:pPr>
        <w:pStyle w:val="ListParagraph"/>
        <w:numPr>
          <w:ilvl w:val="0"/>
          <w:numId w:val="39"/>
        </w:numPr>
        <w:rPr>
          <w:rFonts w:cs="Arial"/>
        </w:rPr>
      </w:pPr>
      <w:r>
        <w:rPr>
          <w:rFonts w:cs="Arial"/>
        </w:rPr>
        <w:t>Having low</w:t>
      </w:r>
      <w:r w:rsidR="00E83750" w:rsidRPr="00E83750">
        <w:rPr>
          <w:rFonts w:cs="Arial"/>
        </w:rPr>
        <w:t xml:space="preserve"> Early Years Foundation Stage Profile (EYFSP) scores for children eligible for free school meals (FSM), </w:t>
      </w:r>
    </w:p>
    <w:p w14:paraId="0E80E502" w14:textId="43C0F73C" w:rsidR="00E83750" w:rsidRDefault="00D93149" w:rsidP="00E83750">
      <w:pPr>
        <w:pStyle w:val="ListParagraph"/>
        <w:numPr>
          <w:ilvl w:val="0"/>
          <w:numId w:val="39"/>
        </w:numPr>
        <w:rPr>
          <w:rFonts w:cs="Arial"/>
        </w:rPr>
      </w:pPr>
      <w:r>
        <w:rPr>
          <w:rFonts w:cs="Arial"/>
        </w:rPr>
        <w:t>Having large</w:t>
      </w:r>
      <w:r w:rsidR="00E83750" w:rsidRPr="00E83750">
        <w:rPr>
          <w:rFonts w:cs="Arial"/>
        </w:rPr>
        <w:t xml:space="preserve"> gaps between the Good Level of Development and Communication and Language Development scores for FSM and non-FSM eligible children,</w:t>
      </w:r>
    </w:p>
    <w:p w14:paraId="14EA3B35" w14:textId="6EC9D5D2" w:rsidR="00E83750" w:rsidRDefault="00D93149" w:rsidP="00E83750">
      <w:pPr>
        <w:pStyle w:val="ListParagraph"/>
        <w:numPr>
          <w:ilvl w:val="0"/>
          <w:numId w:val="39"/>
        </w:numPr>
        <w:rPr>
          <w:rFonts w:cs="Arial"/>
        </w:rPr>
      </w:pPr>
      <w:r>
        <w:rPr>
          <w:rFonts w:cs="Arial"/>
        </w:rPr>
        <w:t>Having high</w:t>
      </w:r>
      <w:r w:rsidR="00E83750" w:rsidRPr="00E83750">
        <w:rPr>
          <w:rFonts w:cs="Arial"/>
        </w:rPr>
        <w:t xml:space="preserve"> total numbers of FSM children and </w:t>
      </w:r>
      <w:r>
        <w:rPr>
          <w:rFonts w:cs="Arial"/>
        </w:rPr>
        <w:t>high</w:t>
      </w:r>
      <w:r w:rsidR="00E83750" w:rsidRPr="00E83750">
        <w:rPr>
          <w:rFonts w:cs="Arial"/>
        </w:rPr>
        <w:t xml:space="preserve"> % of FSM children in each area; </w:t>
      </w:r>
    </w:p>
    <w:p w14:paraId="2A4473DA" w14:textId="1FDA7CD2" w:rsidR="00E83750" w:rsidRPr="00E83750" w:rsidRDefault="00D93149" w:rsidP="00E83750">
      <w:pPr>
        <w:pStyle w:val="ListParagraph"/>
        <w:numPr>
          <w:ilvl w:val="0"/>
          <w:numId w:val="39"/>
        </w:numPr>
        <w:rPr>
          <w:rFonts w:cs="Arial"/>
        </w:rPr>
      </w:pPr>
      <w:r>
        <w:rPr>
          <w:rFonts w:cs="Arial"/>
        </w:rPr>
        <w:t>Being identified as one of</w:t>
      </w:r>
      <w:r w:rsidR="00E83750" w:rsidRPr="00E83750">
        <w:rPr>
          <w:rFonts w:cs="Arial"/>
        </w:rPr>
        <w:t xml:space="preserve"> the </w:t>
      </w:r>
      <w:r w:rsidR="00E83750">
        <w:rPr>
          <w:rFonts w:cs="Arial"/>
        </w:rPr>
        <w:t xml:space="preserve">Government’s </w:t>
      </w:r>
      <w:r w:rsidR="00E83750" w:rsidRPr="00E83750">
        <w:rPr>
          <w:rFonts w:cs="Arial"/>
        </w:rPr>
        <w:t>Opportunity Areas (if not already included through the preceding metrics).</w:t>
      </w:r>
    </w:p>
    <w:p w14:paraId="0664D556" w14:textId="29CFCFF3" w:rsidR="00703527" w:rsidRDefault="005453F9" w:rsidP="00703527">
      <w:pPr>
        <w:rPr>
          <w:rFonts w:cs="Arial"/>
        </w:rPr>
      </w:pPr>
      <w:r>
        <w:rPr>
          <w:rFonts w:cs="Arial"/>
        </w:rPr>
        <w:t>Each LA will set up between 1 and 4 partnerships of approximately 10-1</w:t>
      </w:r>
      <w:r w:rsidR="00E83750">
        <w:rPr>
          <w:rFonts w:cs="Arial"/>
        </w:rPr>
        <w:t>5</w:t>
      </w:r>
      <w:r>
        <w:rPr>
          <w:rFonts w:cs="Arial"/>
        </w:rPr>
        <w:t xml:space="preserve"> settings per partnership. </w:t>
      </w:r>
      <w:r w:rsidR="00F00EFF">
        <w:rPr>
          <w:rFonts w:cs="Arial"/>
        </w:rPr>
        <w:t>Across these 53 LAs</w:t>
      </w:r>
      <w:r w:rsidR="00E83750">
        <w:rPr>
          <w:rFonts w:cs="Arial"/>
        </w:rPr>
        <w:t>,</w:t>
      </w:r>
      <w:r w:rsidR="00F00EFF">
        <w:rPr>
          <w:rFonts w:cs="Arial"/>
        </w:rPr>
        <w:t xml:space="preserve"> t</w:t>
      </w:r>
      <w:r w:rsidR="00703527" w:rsidRPr="00703527">
        <w:rPr>
          <w:rFonts w:cs="Arial"/>
        </w:rPr>
        <w:t xml:space="preserve">he </w:t>
      </w:r>
      <w:r w:rsidR="0097249E">
        <w:rPr>
          <w:rFonts w:cs="Arial"/>
        </w:rPr>
        <w:t>PDP</w:t>
      </w:r>
      <w:r w:rsidR="00703527" w:rsidRPr="00703527">
        <w:rPr>
          <w:rFonts w:cs="Arial"/>
        </w:rPr>
        <w:t xml:space="preserve"> will be rolled out to about 400-450 Champions</w:t>
      </w:r>
      <w:r w:rsidR="008145AC">
        <w:rPr>
          <w:rFonts w:cs="Arial"/>
        </w:rPr>
        <w:t xml:space="preserve"> in approximately 1</w:t>
      </w:r>
      <w:r w:rsidR="00E83750">
        <w:rPr>
          <w:rFonts w:cs="Arial"/>
        </w:rPr>
        <w:t>12</w:t>
      </w:r>
      <w:r w:rsidR="008145AC">
        <w:rPr>
          <w:rFonts w:cs="Arial"/>
        </w:rPr>
        <w:t xml:space="preserve"> partnerships (up to 4 champions per partnership)</w:t>
      </w:r>
      <w:r w:rsidR="00703527" w:rsidRPr="00703527">
        <w:rPr>
          <w:rFonts w:cs="Arial"/>
        </w:rPr>
        <w:t>,</w:t>
      </w:r>
      <w:r w:rsidR="008145AC">
        <w:rPr>
          <w:rFonts w:cs="Arial"/>
        </w:rPr>
        <w:t xml:space="preserve"> reaching a total of approximately</w:t>
      </w:r>
      <w:r w:rsidR="00703527" w:rsidRPr="00703527">
        <w:rPr>
          <w:rFonts w:cs="Arial"/>
        </w:rPr>
        <w:t xml:space="preserve"> 1,200-1,</w:t>
      </w:r>
      <w:r w:rsidR="00E83750">
        <w:rPr>
          <w:rFonts w:cs="Arial"/>
        </w:rPr>
        <w:t>7</w:t>
      </w:r>
      <w:r w:rsidR="00703527" w:rsidRPr="00703527">
        <w:rPr>
          <w:rFonts w:cs="Arial"/>
        </w:rPr>
        <w:t>00 sett</w:t>
      </w:r>
      <w:r w:rsidR="00F00EFF">
        <w:rPr>
          <w:rFonts w:cs="Arial"/>
        </w:rPr>
        <w:t>ings and around 60,000 children</w:t>
      </w:r>
      <w:r w:rsidR="00703527" w:rsidRPr="00703527">
        <w:rPr>
          <w:rFonts w:cs="Arial"/>
        </w:rPr>
        <w:t xml:space="preserve"> between January 2020 and July 2021.</w:t>
      </w:r>
    </w:p>
    <w:p w14:paraId="13B6A675" w14:textId="257DEFF5" w:rsidR="00D93149" w:rsidRDefault="00D93149" w:rsidP="00703527">
      <w:pPr>
        <w:rPr>
          <w:rFonts w:cs="Arial"/>
        </w:rPr>
      </w:pPr>
      <w:r>
        <w:rPr>
          <w:rFonts w:cs="Arial"/>
        </w:rPr>
        <w:t xml:space="preserve">All types of early years provision for 2, 3 and 4 year olds are eligible for the PDP. We expect the </w:t>
      </w:r>
      <w:r w:rsidRPr="00D93149">
        <w:rPr>
          <w:rFonts w:cs="Arial"/>
        </w:rPr>
        <w:t xml:space="preserve">private, voulntary and independent (PVI) </w:t>
      </w:r>
      <w:r>
        <w:rPr>
          <w:rFonts w:cs="Arial"/>
        </w:rPr>
        <w:t>settings to make up the majority of those involved</w:t>
      </w:r>
      <w:r w:rsidRPr="00D93149">
        <w:rPr>
          <w:rFonts w:cs="Arial"/>
        </w:rPr>
        <w:t>, with maintained settings and childminders also included</w:t>
      </w:r>
      <w:r>
        <w:rPr>
          <w:rFonts w:cs="Arial"/>
        </w:rPr>
        <w:t>.</w:t>
      </w:r>
    </w:p>
    <w:p w14:paraId="7819E784" w14:textId="40BF1266" w:rsidR="00934BF3" w:rsidRDefault="00934BF3" w:rsidP="00703527">
      <w:pPr>
        <w:rPr>
          <w:rFonts w:cs="Arial"/>
        </w:rPr>
      </w:pPr>
      <w:r>
        <w:rPr>
          <w:rFonts w:cs="Arial"/>
        </w:rPr>
        <w:t xml:space="preserve">Champions will be trained between January to May 2020. They will cascade CPD to EYPs </w:t>
      </w:r>
      <w:r w:rsidR="001A2C9E">
        <w:rPr>
          <w:rFonts w:cs="Arial"/>
        </w:rPr>
        <w:t>between April 2020 and May 2021</w:t>
      </w:r>
      <w:r>
        <w:rPr>
          <w:rFonts w:cs="Arial"/>
        </w:rPr>
        <w:t>.</w:t>
      </w:r>
    </w:p>
    <w:p w14:paraId="03FF3459" w14:textId="5B287CA3" w:rsidR="00CD68D1" w:rsidRPr="00CD68D1" w:rsidRDefault="00CD68D1" w:rsidP="00703527">
      <w:pPr>
        <w:rPr>
          <w:rFonts w:cs="Arial"/>
          <w:b/>
          <w:color w:val="1F497D" w:themeColor="text2"/>
          <w:sz w:val="24"/>
          <w:szCs w:val="22"/>
        </w:rPr>
      </w:pPr>
      <w:r w:rsidRPr="00CD68D1">
        <w:rPr>
          <w:rFonts w:cs="Arial"/>
          <w:b/>
          <w:color w:val="1F497D" w:themeColor="text2"/>
          <w:sz w:val="24"/>
          <w:szCs w:val="22"/>
        </w:rPr>
        <w:t xml:space="preserve">Additional information about the </w:t>
      </w:r>
      <w:r>
        <w:rPr>
          <w:rFonts w:cs="Arial"/>
          <w:b/>
          <w:color w:val="1F497D" w:themeColor="text2"/>
          <w:sz w:val="24"/>
          <w:szCs w:val="22"/>
        </w:rPr>
        <w:t>programme</w:t>
      </w:r>
    </w:p>
    <w:p w14:paraId="033F67DE" w14:textId="77777777" w:rsidR="00CD68D1" w:rsidRPr="00CD68D1" w:rsidRDefault="00CD68D1" w:rsidP="00CD68D1">
      <w:pPr>
        <w:rPr>
          <w:rFonts w:cs="Arial"/>
        </w:rPr>
      </w:pPr>
      <w:r w:rsidRPr="00CD68D1">
        <w:rPr>
          <w:rFonts w:cs="Arial"/>
        </w:rPr>
        <w:t xml:space="preserve">The CPD champions’ training will be a minimum of 45 hours of face-to-face activity delivered by the national training provider as 7 full days split over a 13-week period, with intervals built in for practice-based learning and reflection to build on the learning input.  The training will have a focus on supporting children’s early language, literacy and numeracy and the practical approaches practitioners can take to improve children’s skills in these areas, teaching the best pedagogical knowledge.  </w:t>
      </w:r>
    </w:p>
    <w:p w14:paraId="7FF4F07D" w14:textId="1421CFA4" w:rsidR="00CD68D1" w:rsidRPr="00CD68D1" w:rsidRDefault="00CD68D1" w:rsidP="00CD68D1">
      <w:pPr>
        <w:rPr>
          <w:rFonts w:cs="Arial"/>
        </w:rPr>
      </w:pPr>
      <w:r w:rsidRPr="00CD68D1">
        <w:rPr>
          <w:rFonts w:cs="Arial"/>
        </w:rPr>
        <w:t>The CPD champions will be serving practitioners in early years settings in the selected local authority areas and we believe that, as far as possible, they will be trained in all 53 areas at the same time</w:t>
      </w:r>
      <w:r w:rsidR="00951C34">
        <w:rPr>
          <w:rFonts w:cs="Arial"/>
        </w:rPr>
        <w:t xml:space="preserve"> </w:t>
      </w:r>
      <w:r w:rsidR="00951C34" w:rsidRPr="00951C34">
        <w:rPr>
          <w:rFonts w:cs="Arial"/>
        </w:rPr>
        <w:t>(with the exception of any selected for the evaluation control group waiting list)</w:t>
      </w:r>
      <w:r w:rsidRPr="00CD68D1">
        <w:rPr>
          <w:rFonts w:cs="Arial"/>
        </w:rPr>
        <w:t xml:space="preserve">.  </w:t>
      </w:r>
    </w:p>
    <w:p w14:paraId="7ACF773C" w14:textId="0E765F29" w:rsidR="00CD68D1" w:rsidRDefault="00CD68D1" w:rsidP="00CD68D1">
      <w:pPr>
        <w:rPr>
          <w:rFonts w:cs="Arial"/>
        </w:rPr>
      </w:pPr>
      <w:r w:rsidRPr="00CD68D1">
        <w:rPr>
          <w:rFonts w:cs="Arial"/>
        </w:rPr>
        <w:t>The national training delivery partner will provide appropriate resources that support the CPD Champions to put the learning into practice in their own setting and will also support and monitor them to cascade the training to other practitioners in their CPD partnership of early years providers.  There will be 4 CPD Champions for each CPD partnership of 10-15 early years settings.  The precise model for the cascade is still to be finalised but we expect the Champions to cascade directly to approximately two nominated practitioners in each setting and to support these practitioners in implementing their learning and transforming their setting practice to the communication friendly setting standard.</w:t>
      </w:r>
    </w:p>
    <w:p w14:paraId="6E2D6A21" w14:textId="1E6021F0" w:rsidR="00CD68D1" w:rsidRPr="00703527" w:rsidRDefault="00CD68D1" w:rsidP="00CD68D1">
      <w:pPr>
        <w:rPr>
          <w:rFonts w:cs="Arial"/>
        </w:rPr>
      </w:pPr>
      <w:r>
        <w:rPr>
          <w:rFonts w:cs="Arial"/>
        </w:rPr>
        <w:t xml:space="preserve">The content of the training will be similar to the Talking Matters programme delivered by Elklan: </w:t>
      </w:r>
      <w:hyperlink r:id="rId14" w:history="1">
        <w:r w:rsidRPr="00876A5B">
          <w:rPr>
            <w:rStyle w:val="Hyperlink"/>
            <w:rFonts w:cs="Arial"/>
            <w:sz w:val="22"/>
          </w:rPr>
          <w:t>https://www.elklan.co.uk/reviews/talking-matters</w:t>
        </w:r>
      </w:hyperlink>
      <w:r>
        <w:rPr>
          <w:rFonts w:cs="Arial"/>
        </w:rPr>
        <w:t xml:space="preserve">  </w:t>
      </w:r>
    </w:p>
    <w:p w14:paraId="2DA3BB87" w14:textId="08E7A3EF" w:rsidR="00A57128" w:rsidRDefault="00A57128" w:rsidP="001F2CE2">
      <w:pPr>
        <w:pStyle w:val="Heading2"/>
      </w:pPr>
      <w:r w:rsidRPr="003E05F9">
        <w:lastRenderedPageBreak/>
        <w:t>Evaluation aims</w:t>
      </w:r>
    </w:p>
    <w:p w14:paraId="4F17E0A8" w14:textId="0239BAFB" w:rsidR="005718EA" w:rsidRDefault="003D3271" w:rsidP="003D3271">
      <w:r w:rsidRPr="00125F64">
        <w:t>The aim of th</w:t>
      </w:r>
      <w:r w:rsidR="007E4BF7">
        <w:t>is</w:t>
      </w:r>
      <w:r w:rsidRPr="00125F64">
        <w:t xml:space="preserve"> project is to</w:t>
      </w:r>
      <w:r>
        <w:t xml:space="preserve"> conduct a full evaluation of the PDP</w:t>
      </w:r>
      <w:r w:rsidR="00F33C1E">
        <w:t>,</w:t>
      </w:r>
      <w:r w:rsidR="00C149E2">
        <w:t xml:space="preserve"> comprising a process evaluation of the delivery model</w:t>
      </w:r>
      <w:r w:rsidR="007656C2">
        <w:t>,</w:t>
      </w:r>
      <w:r w:rsidR="00C149E2">
        <w:t xml:space="preserve"> an evaluation of </w:t>
      </w:r>
      <w:r w:rsidR="007656C2">
        <w:t>its</w:t>
      </w:r>
      <w:r w:rsidR="00C149E2">
        <w:t xml:space="preserve"> impact on</w:t>
      </w:r>
      <w:r w:rsidR="007656C2">
        <w:t xml:space="preserve"> the observed</w:t>
      </w:r>
      <w:r w:rsidR="00C149E2">
        <w:t xml:space="preserve"> </w:t>
      </w:r>
      <w:r w:rsidR="00F33C1E" w:rsidRPr="007656C2">
        <w:t>quality</w:t>
      </w:r>
      <w:r w:rsidR="00846DE9" w:rsidRPr="007656C2">
        <w:t xml:space="preserve"> of EY settings</w:t>
      </w:r>
      <w:r w:rsidR="007656C2">
        <w:t>,</w:t>
      </w:r>
      <w:r w:rsidR="00C149E2">
        <w:t xml:space="preserve"> and </w:t>
      </w:r>
      <w:r w:rsidR="007656C2">
        <w:t xml:space="preserve">a randomised controlled trial of the impact </w:t>
      </w:r>
      <w:r w:rsidR="00B75B2A">
        <w:t xml:space="preserve">on </w:t>
      </w:r>
      <w:r w:rsidR="00C149E2" w:rsidRPr="007656C2">
        <w:t>children’s outcomes</w:t>
      </w:r>
      <w:r w:rsidR="00C149E2">
        <w:t xml:space="preserve">. </w:t>
      </w:r>
    </w:p>
    <w:p w14:paraId="0E6B3F4B" w14:textId="6C9AFDF1" w:rsidR="004A600B" w:rsidRDefault="004A600B" w:rsidP="001F2CE2">
      <w:pPr>
        <w:pStyle w:val="Heading2"/>
      </w:pPr>
      <w:r>
        <w:t>Methodology</w:t>
      </w:r>
    </w:p>
    <w:p w14:paraId="110D07BB" w14:textId="625A4FE2" w:rsidR="004F1001" w:rsidRDefault="004F1001" w:rsidP="004F1001">
      <w:r>
        <w:t xml:space="preserve">The successful bidder will be responsible for working with the department’s project manager to design and conduct </w:t>
      </w:r>
      <w:r w:rsidR="00652316">
        <w:t>the</w:t>
      </w:r>
      <w:r>
        <w:t xml:space="preserve"> evaluation.</w:t>
      </w:r>
      <w:r w:rsidR="00D10653">
        <w:t xml:space="preserve"> </w:t>
      </w:r>
      <w:r w:rsidR="008D113C" w:rsidRPr="00520CF7">
        <w:t xml:space="preserve">We will, at the tender stage, </w:t>
      </w:r>
      <w:r w:rsidR="004223E7">
        <w:t>ask bidders for a full description of their proposed</w:t>
      </w:r>
      <w:r w:rsidR="00B75B2A">
        <w:t xml:space="preserve"> methodogy</w:t>
      </w:r>
      <w:r w:rsidR="008D113C">
        <w:t>.</w:t>
      </w:r>
      <w:r w:rsidR="008D113C" w:rsidRPr="00520CF7">
        <w:t xml:space="preserve"> </w:t>
      </w:r>
      <w:r w:rsidR="008D113C">
        <w:t xml:space="preserve">The final </w:t>
      </w:r>
      <w:r w:rsidR="00F33C1E">
        <w:t xml:space="preserve">evaluation </w:t>
      </w:r>
      <w:r w:rsidR="008D113C">
        <w:rPr>
          <w:rFonts w:cstheme="minorHAnsi"/>
        </w:rPr>
        <w:t xml:space="preserve">design will be subject to </w:t>
      </w:r>
      <w:r w:rsidR="00B75B2A">
        <w:rPr>
          <w:rFonts w:cstheme="minorHAnsi"/>
        </w:rPr>
        <w:t>agreement</w:t>
      </w:r>
      <w:r w:rsidR="008D113C">
        <w:rPr>
          <w:rFonts w:cstheme="minorHAnsi"/>
        </w:rPr>
        <w:t xml:space="preserve"> between the Department, the PDP delivery partner and the evaluation contractor</w:t>
      </w:r>
      <w:r w:rsidR="00F33C1E">
        <w:rPr>
          <w:rFonts w:cstheme="minorHAnsi"/>
        </w:rPr>
        <w:t xml:space="preserve"> to ensure it is both robust and deliverable</w:t>
      </w:r>
      <w:r w:rsidR="008D113C">
        <w:rPr>
          <w:rFonts w:cstheme="minorHAnsi"/>
        </w:rPr>
        <w:t>.</w:t>
      </w:r>
      <w:r w:rsidR="008D113C">
        <w:t xml:space="preserve"> </w:t>
      </w:r>
    </w:p>
    <w:p w14:paraId="657F264A" w14:textId="0EE5FA16" w:rsidR="00846DE9" w:rsidRDefault="00803B57" w:rsidP="00652316">
      <w:pPr>
        <w:pStyle w:val="Heading3"/>
      </w:pPr>
      <w:r>
        <w:t xml:space="preserve">Summary </w:t>
      </w:r>
    </w:p>
    <w:p w14:paraId="27B7D5E4" w14:textId="073D48E0" w:rsidR="00803B57" w:rsidRPr="00814FA8" w:rsidRDefault="00803B57" w:rsidP="00846DE9">
      <w:pPr>
        <w:rPr>
          <w:rFonts w:cs="Arial"/>
        </w:rPr>
      </w:pPr>
      <w:r>
        <w:rPr>
          <w:rFonts w:cs="Arial"/>
        </w:rPr>
        <w:t xml:space="preserve">The </w:t>
      </w:r>
      <w:r w:rsidR="004223E7">
        <w:rPr>
          <w:rFonts w:cs="Arial"/>
        </w:rPr>
        <w:t>following aspects of</w:t>
      </w:r>
      <w:r>
        <w:rPr>
          <w:rFonts w:cs="Arial"/>
        </w:rPr>
        <w:t xml:space="preserve"> process and impact evaluation</w:t>
      </w:r>
      <w:r w:rsidR="004223E7">
        <w:rPr>
          <w:rFonts w:cs="Arial"/>
        </w:rPr>
        <w:t xml:space="preserve"> will be required</w:t>
      </w:r>
      <w:r>
        <w:rPr>
          <w:rFonts w:cs="Arial"/>
        </w:rPr>
        <w:t>:</w:t>
      </w:r>
    </w:p>
    <w:p w14:paraId="74DE3667" w14:textId="0258A81A" w:rsidR="00846DE9" w:rsidRPr="00814FA8" w:rsidRDefault="00846DE9" w:rsidP="00846DE9">
      <w:pPr>
        <w:pStyle w:val="ListParagraph"/>
        <w:numPr>
          <w:ilvl w:val="0"/>
          <w:numId w:val="35"/>
        </w:numPr>
        <w:spacing w:before="240" w:after="160" w:line="259" w:lineRule="auto"/>
        <w:ind w:left="426"/>
        <w:contextualSpacing w:val="0"/>
        <w:rPr>
          <w:rFonts w:cs="Arial"/>
        </w:rPr>
      </w:pPr>
      <w:r w:rsidRPr="00814FA8">
        <w:rPr>
          <w:rFonts w:cs="Arial"/>
          <w:b/>
          <w:bCs/>
        </w:rPr>
        <w:t>Impact evaluation</w:t>
      </w:r>
      <w:r w:rsidR="00803B57">
        <w:rPr>
          <w:rFonts w:cs="Arial"/>
        </w:rPr>
        <w:t xml:space="preserve"> covering the following aspects of impact:</w:t>
      </w:r>
    </w:p>
    <w:p w14:paraId="02392DA7" w14:textId="2A56F7F2" w:rsidR="00846DE9" w:rsidDel="0087581D" w:rsidRDefault="00846DE9" w:rsidP="00994AEF">
      <w:pPr>
        <w:pStyle w:val="ListParagraph"/>
        <w:numPr>
          <w:ilvl w:val="0"/>
          <w:numId w:val="32"/>
        </w:numPr>
        <w:spacing w:after="160" w:line="276" w:lineRule="auto"/>
        <w:ind w:hanging="357"/>
        <w:rPr>
          <w:rFonts w:cs="Arial"/>
        </w:rPr>
      </w:pPr>
      <w:r w:rsidRPr="00814FA8" w:rsidDel="0087581D">
        <w:rPr>
          <w:rFonts w:cs="Arial"/>
        </w:rPr>
        <w:t xml:space="preserve">What is the impact of the PDF on </w:t>
      </w:r>
      <w:r w:rsidRPr="00803B57" w:rsidDel="0087581D">
        <w:rPr>
          <w:rFonts w:cs="Arial"/>
          <w:b/>
        </w:rPr>
        <w:t>children’s cognitive outcomes</w:t>
      </w:r>
      <w:r w:rsidR="00803B57" w:rsidDel="0087581D">
        <w:rPr>
          <w:rFonts w:cs="Arial"/>
        </w:rPr>
        <w:t>?</w:t>
      </w:r>
    </w:p>
    <w:p w14:paraId="42EE10B0" w14:textId="1E98E1C0" w:rsidR="00846DE9" w:rsidDel="0087581D" w:rsidRDefault="00803B57" w:rsidP="00994AEF">
      <w:pPr>
        <w:pStyle w:val="ListParagraph"/>
        <w:numPr>
          <w:ilvl w:val="1"/>
          <w:numId w:val="32"/>
        </w:numPr>
        <w:spacing w:after="160" w:line="276" w:lineRule="auto"/>
        <w:ind w:hanging="357"/>
        <w:rPr>
          <w:rFonts w:cs="Arial"/>
        </w:rPr>
      </w:pPr>
      <w:r w:rsidDel="0087581D">
        <w:rPr>
          <w:rFonts w:cs="Arial"/>
        </w:rPr>
        <w:t>E</w:t>
      </w:r>
      <w:r w:rsidR="00846DE9" w:rsidRPr="00814FA8" w:rsidDel="0087581D">
        <w:rPr>
          <w:rFonts w:cs="Arial"/>
        </w:rPr>
        <w:t xml:space="preserve">arly </w:t>
      </w:r>
      <w:r w:rsidR="005D4F42" w:rsidDel="0087581D">
        <w:rPr>
          <w:rFonts w:cs="Arial"/>
        </w:rPr>
        <w:t>receptive and expressive language</w:t>
      </w:r>
      <w:r w:rsidR="00846DE9" w:rsidDel="0087581D">
        <w:rPr>
          <w:rFonts w:cs="Arial"/>
        </w:rPr>
        <w:t xml:space="preserve"> (</w:t>
      </w:r>
      <w:r w:rsidR="005D4F42" w:rsidDel="0087581D">
        <w:rPr>
          <w:rFonts w:cs="Arial"/>
        </w:rPr>
        <w:t xml:space="preserve">required </w:t>
      </w:r>
      <w:r w:rsidR="00846DE9" w:rsidDel="0087581D">
        <w:rPr>
          <w:rFonts w:cs="Arial"/>
        </w:rPr>
        <w:t>primary objective)</w:t>
      </w:r>
      <w:r w:rsidR="00846DE9" w:rsidRPr="00814FA8" w:rsidDel="0087581D">
        <w:rPr>
          <w:rFonts w:cs="Arial"/>
        </w:rPr>
        <w:t xml:space="preserve"> </w:t>
      </w:r>
    </w:p>
    <w:p w14:paraId="756A517F" w14:textId="376484EE" w:rsidR="00846DE9" w:rsidRPr="00814FA8" w:rsidDel="0087581D" w:rsidRDefault="00846DE9" w:rsidP="00994AEF">
      <w:pPr>
        <w:pStyle w:val="ListParagraph"/>
        <w:numPr>
          <w:ilvl w:val="1"/>
          <w:numId w:val="32"/>
        </w:numPr>
        <w:spacing w:after="160" w:line="276" w:lineRule="auto"/>
        <w:ind w:hanging="357"/>
        <w:rPr>
          <w:rFonts w:cs="Arial"/>
        </w:rPr>
      </w:pPr>
      <w:r w:rsidDel="0087581D">
        <w:rPr>
          <w:rFonts w:cs="Arial"/>
        </w:rPr>
        <w:t>Early numeracy (</w:t>
      </w:r>
      <w:r w:rsidR="005D4F42" w:rsidDel="0087581D">
        <w:rPr>
          <w:rFonts w:cs="Arial"/>
        </w:rPr>
        <w:t xml:space="preserve">optional </w:t>
      </w:r>
      <w:r w:rsidDel="0087581D">
        <w:rPr>
          <w:rFonts w:cs="Arial"/>
        </w:rPr>
        <w:t>secondary objective)</w:t>
      </w:r>
    </w:p>
    <w:p w14:paraId="0FFB13CA" w14:textId="568AC94A" w:rsidR="00846DE9" w:rsidRDefault="00652316" w:rsidP="000B1323">
      <w:pPr>
        <w:ind w:left="720"/>
      </w:pPr>
      <w:r>
        <w:t>It is essential that the evaluation of impact on children’s outcomes includes a language assessment</w:t>
      </w:r>
      <w:r w:rsidR="004223E7">
        <w:t>,</w:t>
      </w:r>
      <w:r w:rsidR="007E4BF7">
        <w:t xml:space="preserve"> and we are also interested in assessing</w:t>
      </w:r>
      <w:r>
        <w:t xml:space="preserve"> </w:t>
      </w:r>
      <w:r w:rsidR="005D4F42">
        <w:t xml:space="preserve">a secondary objective </w:t>
      </w:r>
      <w:r>
        <w:t>numeracy</w:t>
      </w:r>
      <w:r w:rsidR="005D4F42">
        <w:t xml:space="preserve"> if this can be delivered at a reasonable cost</w:t>
      </w:r>
      <w:r>
        <w:t>.</w:t>
      </w:r>
    </w:p>
    <w:p w14:paraId="55A1FFC9" w14:textId="6BC6B987" w:rsidR="000B1323" w:rsidRDefault="000B1323" w:rsidP="00D743FA">
      <w:pPr>
        <w:pStyle w:val="ListParagraph"/>
        <w:numPr>
          <w:ilvl w:val="0"/>
          <w:numId w:val="32"/>
        </w:numPr>
        <w:spacing w:after="160" w:line="276" w:lineRule="auto"/>
      </w:pPr>
      <w:r w:rsidRPr="000B1323">
        <w:rPr>
          <w:rFonts w:cs="Arial"/>
        </w:rPr>
        <w:t xml:space="preserve">What is the impact of the PDP on the </w:t>
      </w:r>
      <w:r w:rsidRPr="000B1323">
        <w:rPr>
          <w:rFonts w:cs="Arial"/>
          <w:b/>
        </w:rPr>
        <w:t>observed quality of early years settings</w:t>
      </w:r>
      <w:r w:rsidRPr="000B1323">
        <w:rPr>
          <w:rFonts w:cs="Arial"/>
        </w:rPr>
        <w:t>?</w:t>
      </w:r>
      <w:r>
        <w:rPr>
          <w:rFonts w:cs="Arial"/>
        </w:rPr>
        <w:br/>
      </w:r>
    </w:p>
    <w:p w14:paraId="54CC51A1" w14:textId="178A106C" w:rsidR="0087581D" w:rsidRDefault="0087581D" w:rsidP="0087581D">
      <w:pPr>
        <w:pStyle w:val="ListParagraph"/>
        <w:numPr>
          <w:ilvl w:val="0"/>
          <w:numId w:val="35"/>
        </w:numPr>
        <w:spacing w:after="160" w:line="259" w:lineRule="auto"/>
        <w:ind w:left="426"/>
        <w:rPr>
          <w:rFonts w:cs="Arial"/>
        </w:rPr>
      </w:pPr>
      <w:r w:rsidRPr="00814FA8">
        <w:rPr>
          <w:rFonts w:cs="Arial"/>
          <w:b/>
          <w:bCs/>
        </w:rPr>
        <w:t xml:space="preserve">Process </w:t>
      </w:r>
      <w:r>
        <w:rPr>
          <w:rFonts w:cs="Arial"/>
          <w:b/>
          <w:bCs/>
        </w:rPr>
        <w:t>e</w:t>
      </w:r>
      <w:r w:rsidRPr="00814FA8">
        <w:rPr>
          <w:rFonts w:cs="Arial"/>
          <w:b/>
          <w:bCs/>
        </w:rPr>
        <w:t>valuation</w:t>
      </w:r>
      <w:r>
        <w:rPr>
          <w:rFonts w:cs="Arial"/>
          <w:bCs/>
        </w:rPr>
        <w:t xml:space="preserve"> covering aspects of the delivery model</w:t>
      </w:r>
      <w:r w:rsidR="004223E7">
        <w:rPr>
          <w:rFonts w:cs="Arial"/>
          <w:bCs/>
        </w:rPr>
        <w:t xml:space="preserve"> such as</w:t>
      </w:r>
      <w:r>
        <w:rPr>
          <w:rFonts w:cs="Arial"/>
          <w:bCs/>
        </w:rPr>
        <w:t>:</w:t>
      </w:r>
      <w:r>
        <w:rPr>
          <w:rFonts w:cs="Arial"/>
          <w:bCs/>
        </w:rPr>
        <w:br/>
      </w:r>
    </w:p>
    <w:p w14:paraId="3D6466F4" w14:textId="77777777" w:rsidR="0087581D" w:rsidRPr="004223E7" w:rsidRDefault="0087581D" w:rsidP="0087581D">
      <w:pPr>
        <w:pStyle w:val="ListParagraph"/>
        <w:numPr>
          <w:ilvl w:val="0"/>
          <w:numId w:val="23"/>
        </w:numPr>
        <w:spacing w:after="160" w:line="259" w:lineRule="auto"/>
        <w:ind w:left="709" w:hanging="357"/>
        <w:contextualSpacing w:val="0"/>
        <w:rPr>
          <w:rFonts w:cs="Arial"/>
        </w:rPr>
      </w:pPr>
      <w:r w:rsidRPr="004223E7">
        <w:rPr>
          <w:rFonts w:cs="Arial"/>
        </w:rPr>
        <w:t>Delivery Framework</w:t>
      </w:r>
    </w:p>
    <w:p w14:paraId="4FCE73D5" w14:textId="77777777" w:rsidR="0087581D" w:rsidRPr="004223E7" w:rsidRDefault="0087581D" w:rsidP="0087581D">
      <w:pPr>
        <w:pStyle w:val="ListParagraph"/>
        <w:numPr>
          <w:ilvl w:val="0"/>
          <w:numId w:val="23"/>
        </w:numPr>
        <w:spacing w:after="160" w:line="259" w:lineRule="auto"/>
        <w:ind w:left="709" w:hanging="357"/>
        <w:contextualSpacing w:val="0"/>
        <w:rPr>
          <w:rFonts w:cs="Arial"/>
        </w:rPr>
      </w:pPr>
      <w:r w:rsidRPr="004223E7">
        <w:rPr>
          <w:rFonts w:cs="Arial"/>
        </w:rPr>
        <w:t>Training of “Champions”</w:t>
      </w:r>
    </w:p>
    <w:p w14:paraId="3E3EA060" w14:textId="1B607319" w:rsidR="0087581D" w:rsidRDefault="0087581D" w:rsidP="0087581D">
      <w:pPr>
        <w:pStyle w:val="ListParagraph"/>
        <w:numPr>
          <w:ilvl w:val="0"/>
          <w:numId w:val="23"/>
        </w:numPr>
        <w:spacing w:after="160" w:line="259" w:lineRule="auto"/>
        <w:ind w:left="709" w:hanging="357"/>
        <w:contextualSpacing w:val="0"/>
        <w:rPr>
          <w:rFonts w:cs="Arial"/>
        </w:rPr>
      </w:pPr>
      <w:r w:rsidRPr="004223E7">
        <w:rPr>
          <w:rFonts w:cs="Arial"/>
        </w:rPr>
        <w:t xml:space="preserve">Cascade of training to early years professionals within settings  </w:t>
      </w:r>
    </w:p>
    <w:p w14:paraId="5E2C52E2" w14:textId="77777777" w:rsidR="006C7111" w:rsidRPr="006C7111" w:rsidRDefault="006C7111" w:rsidP="006C7111">
      <w:pPr>
        <w:spacing w:line="259" w:lineRule="auto"/>
        <w:rPr>
          <w:rFonts w:cs="Arial"/>
        </w:rPr>
      </w:pPr>
    </w:p>
    <w:p w14:paraId="135DC8B2" w14:textId="652E2A38" w:rsidR="00BE5FDE" w:rsidRPr="00573C27" w:rsidRDefault="00846DE9" w:rsidP="00BE5FDE">
      <w:pPr>
        <w:rPr>
          <w:rFonts w:cs="Arial"/>
          <w:b/>
          <w:color w:val="1F497D" w:themeColor="text2"/>
          <w:sz w:val="24"/>
          <w:szCs w:val="22"/>
        </w:rPr>
      </w:pPr>
      <w:r>
        <w:rPr>
          <w:rFonts w:cs="Arial"/>
          <w:b/>
          <w:color w:val="1F497D" w:themeColor="text2"/>
          <w:sz w:val="24"/>
          <w:szCs w:val="22"/>
        </w:rPr>
        <w:t>Feasibility stage</w:t>
      </w:r>
    </w:p>
    <w:p w14:paraId="501010B5" w14:textId="31FE6FFB" w:rsidR="00BE5FDE" w:rsidRPr="00D674B1" w:rsidRDefault="008D113C" w:rsidP="004F1001">
      <w:pPr>
        <w:rPr>
          <w:rFonts w:cstheme="minorHAnsi"/>
        </w:rPr>
      </w:pPr>
      <w:r>
        <w:rPr>
          <w:rFonts w:cs="Arial"/>
        </w:rPr>
        <w:t xml:space="preserve">We expect the </w:t>
      </w:r>
      <w:r w:rsidR="004223E7">
        <w:rPr>
          <w:rFonts w:cs="Arial"/>
        </w:rPr>
        <w:t>project</w:t>
      </w:r>
      <w:r>
        <w:rPr>
          <w:rFonts w:cs="Arial"/>
        </w:rPr>
        <w:t xml:space="preserve"> to</w:t>
      </w:r>
      <w:r w:rsidR="00BE5FDE">
        <w:rPr>
          <w:rFonts w:cs="Arial"/>
        </w:rPr>
        <w:t xml:space="preserve"> include a feasibility stage</w:t>
      </w:r>
      <w:r w:rsidR="007E4BF7">
        <w:rPr>
          <w:rFonts w:cs="Arial"/>
        </w:rPr>
        <w:t>,</w:t>
      </w:r>
      <w:r w:rsidR="00652316">
        <w:rPr>
          <w:rFonts w:cs="Arial"/>
        </w:rPr>
        <w:t xml:space="preserve"> </w:t>
      </w:r>
      <w:r w:rsidR="00BE5FDE" w:rsidRPr="0087478C">
        <w:rPr>
          <w:rFonts w:cs="Arial"/>
        </w:rPr>
        <w:t xml:space="preserve">in which the evaluation contractor </w:t>
      </w:r>
      <w:r w:rsidR="00F33C1E">
        <w:rPr>
          <w:rFonts w:cs="Arial"/>
        </w:rPr>
        <w:t>will be</w:t>
      </w:r>
      <w:r w:rsidR="00BE5FDE" w:rsidRPr="0087478C">
        <w:rPr>
          <w:rFonts w:cs="Arial"/>
        </w:rPr>
        <w:t xml:space="preserve"> required to work with the Department and the PDP delivery partner to </w:t>
      </w:r>
      <w:r w:rsidR="00652316">
        <w:rPr>
          <w:rFonts w:cs="Arial"/>
        </w:rPr>
        <w:t>explore the feasibility of implementing the</w:t>
      </w:r>
      <w:r w:rsidR="004223E7">
        <w:rPr>
          <w:rFonts w:cs="Arial"/>
        </w:rPr>
        <w:t>ir</w:t>
      </w:r>
      <w:r w:rsidR="00652316">
        <w:rPr>
          <w:rFonts w:cs="Arial"/>
        </w:rPr>
        <w:t xml:space="preserve"> proposed design for evaluating </w:t>
      </w:r>
      <w:r w:rsidR="007E4BF7">
        <w:rPr>
          <w:rFonts w:cs="Arial"/>
        </w:rPr>
        <w:t xml:space="preserve">impact on </w:t>
      </w:r>
      <w:r w:rsidR="00652316">
        <w:rPr>
          <w:rFonts w:cs="Arial"/>
        </w:rPr>
        <w:t>children’s outcomes</w:t>
      </w:r>
      <w:r w:rsidR="00F33C1E">
        <w:rPr>
          <w:rFonts w:cs="Arial"/>
        </w:rPr>
        <w:t>.</w:t>
      </w:r>
      <w:r w:rsidR="007E4BF7">
        <w:rPr>
          <w:rFonts w:cs="Arial"/>
        </w:rPr>
        <w:t xml:space="preserve"> The evaluation of impact on children’s outcomes would go ahead only if we are satisfied that it is possible to deliver an evaluation of the required quality within the time and budget parameters of the project. </w:t>
      </w:r>
      <w:r w:rsidR="00544A21">
        <w:rPr>
          <w:rFonts w:cs="Arial"/>
        </w:rPr>
        <w:t>The feasibility stage would also involve finalising the programme’s theory of change and agreeing measures of fidelity.</w:t>
      </w:r>
    </w:p>
    <w:p w14:paraId="46F796E6" w14:textId="5344816C" w:rsidR="004F1001" w:rsidRPr="00D10653" w:rsidRDefault="004F1001" w:rsidP="004F1001">
      <w:pPr>
        <w:rPr>
          <w:b/>
          <w:color w:val="1F497D" w:themeColor="text2"/>
          <w:sz w:val="24"/>
        </w:rPr>
      </w:pPr>
      <w:r w:rsidRPr="00D10653">
        <w:rPr>
          <w:b/>
          <w:color w:val="1F497D" w:themeColor="text2"/>
          <w:sz w:val="24"/>
        </w:rPr>
        <w:t>Process evaluation</w:t>
      </w:r>
    </w:p>
    <w:p w14:paraId="64DE42DF" w14:textId="11A6A3C3" w:rsidR="004022AC" w:rsidRPr="004022AC" w:rsidRDefault="00F33C1E" w:rsidP="00D50FFB">
      <w:pPr>
        <w:rPr>
          <w:rFonts w:cstheme="minorHAnsi"/>
        </w:rPr>
      </w:pPr>
      <w:r>
        <w:rPr>
          <w:rFonts w:cstheme="minorHAnsi"/>
        </w:rPr>
        <w:lastRenderedPageBreak/>
        <w:t xml:space="preserve">A </w:t>
      </w:r>
      <w:r w:rsidR="004022AC" w:rsidRPr="00630DE4">
        <w:rPr>
          <w:rFonts w:cstheme="minorHAnsi"/>
        </w:rPr>
        <w:t xml:space="preserve">process </w:t>
      </w:r>
      <w:r>
        <w:rPr>
          <w:rFonts w:cstheme="minorHAnsi"/>
        </w:rPr>
        <w:t>evaluation</w:t>
      </w:r>
      <w:r w:rsidR="004022AC" w:rsidRPr="00630DE4">
        <w:rPr>
          <w:rFonts w:cstheme="minorHAnsi"/>
        </w:rPr>
        <w:t xml:space="preserve"> </w:t>
      </w:r>
      <w:r w:rsidR="007E4BF7">
        <w:rPr>
          <w:rFonts w:cstheme="minorHAnsi"/>
        </w:rPr>
        <w:t>will be</w:t>
      </w:r>
      <w:r>
        <w:rPr>
          <w:rFonts w:cstheme="minorHAnsi"/>
        </w:rPr>
        <w:t xml:space="preserve"> required</w:t>
      </w:r>
      <w:r w:rsidR="004022AC" w:rsidRPr="00630DE4">
        <w:rPr>
          <w:rFonts w:cstheme="minorHAnsi"/>
        </w:rPr>
        <w:t xml:space="preserve"> to</w:t>
      </w:r>
      <w:r>
        <w:rPr>
          <w:rFonts w:cstheme="minorHAnsi"/>
        </w:rPr>
        <w:t xml:space="preserve"> provide evidence </w:t>
      </w:r>
      <w:r w:rsidR="00D50FFB">
        <w:rPr>
          <w:rFonts w:cstheme="minorHAnsi"/>
        </w:rPr>
        <w:t xml:space="preserve">on programme delivery, including </w:t>
      </w:r>
      <w:r w:rsidR="00994AEF">
        <w:rPr>
          <w:rFonts w:cstheme="minorHAnsi"/>
        </w:rPr>
        <w:t>inputs, outputs, fidelity to the aims of the programme, perceived outcomes, identification of</w:t>
      </w:r>
      <w:r w:rsidR="004022AC">
        <w:rPr>
          <w:rFonts w:cstheme="minorHAnsi"/>
        </w:rPr>
        <w:t xml:space="preserve"> facilitators and challenges/barriers and how </w:t>
      </w:r>
      <w:r w:rsidR="00D50FFB">
        <w:rPr>
          <w:rFonts w:cstheme="minorHAnsi"/>
        </w:rPr>
        <w:t xml:space="preserve">they </w:t>
      </w:r>
      <w:r w:rsidR="004022AC">
        <w:rPr>
          <w:rFonts w:cstheme="minorHAnsi"/>
        </w:rPr>
        <w:t>have been addressed</w:t>
      </w:r>
      <w:r w:rsidR="00D50FFB">
        <w:rPr>
          <w:rFonts w:cstheme="minorHAnsi"/>
        </w:rPr>
        <w:t xml:space="preserve">. </w:t>
      </w:r>
      <w:r w:rsidR="00994AEF">
        <w:rPr>
          <w:rFonts w:cstheme="minorHAnsi"/>
        </w:rPr>
        <w:t>This should cover all elements of the delivery:</w:t>
      </w:r>
    </w:p>
    <w:p w14:paraId="49E6CC36" w14:textId="41C6EE14" w:rsidR="004022AC" w:rsidRPr="004022AC" w:rsidRDefault="004022AC" w:rsidP="00994AEF">
      <w:pPr>
        <w:spacing w:line="276" w:lineRule="auto"/>
        <w:rPr>
          <w:rFonts w:cstheme="minorHAnsi"/>
        </w:rPr>
      </w:pPr>
      <w:r w:rsidRPr="004022AC">
        <w:rPr>
          <w:b/>
        </w:rPr>
        <w:t>A</w:t>
      </w:r>
      <w:r>
        <w:t xml:space="preserve">: </w:t>
      </w:r>
      <w:r w:rsidRPr="00994AEF">
        <w:rPr>
          <w:b/>
        </w:rPr>
        <w:t xml:space="preserve">Delivery </w:t>
      </w:r>
      <w:r w:rsidR="00994AEF" w:rsidRPr="00994AEF">
        <w:rPr>
          <w:b/>
        </w:rPr>
        <w:t>f</w:t>
      </w:r>
      <w:r w:rsidRPr="00994AEF">
        <w:rPr>
          <w:b/>
        </w:rPr>
        <w:t>ramework</w:t>
      </w:r>
      <w:r>
        <w:t xml:space="preserve">: </w:t>
      </w:r>
      <w:r w:rsidR="00994AEF">
        <w:t>h</w:t>
      </w:r>
      <w:r>
        <w:t xml:space="preserve">ow was the delivery framework implemented? </w:t>
      </w:r>
      <w:r w:rsidR="00D50FFB">
        <w:t>What is the level of fidelity to the aims of the programme</w:t>
      </w:r>
      <w:r>
        <w:t>?</w:t>
      </w:r>
      <w:r w:rsidR="00994AEF">
        <w:t xml:space="preserve"> </w:t>
      </w:r>
      <w:r>
        <w:t>What roles were played by the LA, National Delivery Partner and Local Partnerships?</w:t>
      </w:r>
      <w:r w:rsidR="00994AEF">
        <w:t xml:space="preserve"> </w:t>
      </w:r>
      <w:r w:rsidRPr="004022AC">
        <w:rPr>
          <w:rFonts w:cstheme="minorHAnsi"/>
        </w:rPr>
        <w:t xml:space="preserve">Was there consistency in implementation and delivery across different locations? </w:t>
      </w:r>
    </w:p>
    <w:p w14:paraId="1A92300C" w14:textId="7D8ABBFF" w:rsidR="004022AC" w:rsidRDefault="004022AC" w:rsidP="00994AEF">
      <w:pPr>
        <w:spacing w:after="0" w:line="276" w:lineRule="auto"/>
        <w:rPr>
          <w:rFonts w:cstheme="minorHAnsi"/>
        </w:rPr>
      </w:pPr>
      <w:r w:rsidRPr="004022AC">
        <w:rPr>
          <w:rFonts w:cstheme="minorHAnsi"/>
          <w:b/>
        </w:rPr>
        <w:t>B:</w:t>
      </w:r>
      <w:r>
        <w:rPr>
          <w:rFonts w:cstheme="minorHAnsi"/>
        </w:rPr>
        <w:t xml:space="preserve"> </w:t>
      </w:r>
      <w:r w:rsidRPr="00994AEF">
        <w:rPr>
          <w:rFonts w:cstheme="minorHAnsi"/>
          <w:b/>
        </w:rPr>
        <w:t>Training</w:t>
      </w:r>
      <w:r w:rsidR="00994AEF" w:rsidRPr="00994AEF">
        <w:rPr>
          <w:rFonts w:cstheme="minorHAnsi"/>
          <w:b/>
        </w:rPr>
        <w:t xml:space="preserve"> the</w:t>
      </w:r>
      <w:r w:rsidRPr="00994AEF">
        <w:rPr>
          <w:rFonts w:cstheme="minorHAnsi"/>
          <w:b/>
        </w:rPr>
        <w:t xml:space="preserve"> </w:t>
      </w:r>
      <w:r w:rsidR="00D50FFB" w:rsidRPr="00994AEF">
        <w:rPr>
          <w:rFonts w:cstheme="minorHAnsi"/>
          <w:b/>
        </w:rPr>
        <w:t>“</w:t>
      </w:r>
      <w:r w:rsidRPr="00994AEF">
        <w:rPr>
          <w:rFonts w:cstheme="minorHAnsi"/>
          <w:b/>
        </w:rPr>
        <w:t>Champions</w:t>
      </w:r>
      <w:r w:rsidR="00D50FFB" w:rsidRPr="00994AEF">
        <w:rPr>
          <w:rFonts w:cstheme="minorHAnsi"/>
          <w:b/>
        </w:rPr>
        <w:t>”</w:t>
      </w:r>
      <w:r w:rsidRPr="004022AC">
        <w:rPr>
          <w:rFonts w:cstheme="minorHAnsi"/>
        </w:rPr>
        <w:t xml:space="preserve">: </w:t>
      </w:r>
      <w:r w:rsidR="00994AEF">
        <w:rPr>
          <w:rFonts w:cstheme="minorHAnsi"/>
        </w:rPr>
        <w:t>h</w:t>
      </w:r>
      <w:r w:rsidRPr="004022AC">
        <w:rPr>
          <w:rFonts w:cstheme="minorHAnsi"/>
        </w:rPr>
        <w:t>ow was the training delivered?</w:t>
      </w:r>
      <w:r w:rsidR="00994AEF">
        <w:rPr>
          <w:rFonts w:cstheme="minorHAnsi"/>
        </w:rPr>
        <w:t xml:space="preserve"> What was the level of variation in content, delivery format, duration? Attendance and completion rates. </w:t>
      </w:r>
      <w:r w:rsidRPr="004022AC">
        <w:rPr>
          <w:rFonts w:cstheme="minorHAnsi"/>
        </w:rPr>
        <w:t>What is the self-reported effect of the training on champions’ knowledge and skills to disseminate this learning?</w:t>
      </w:r>
    </w:p>
    <w:p w14:paraId="4E5B1ECC" w14:textId="77777777" w:rsidR="00994AEF" w:rsidRPr="004022AC" w:rsidRDefault="00994AEF" w:rsidP="00994AEF">
      <w:pPr>
        <w:spacing w:after="0" w:line="276" w:lineRule="auto"/>
        <w:rPr>
          <w:rFonts w:cstheme="minorHAnsi"/>
          <w:b/>
        </w:rPr>
      </w:pPr>
    </w:p>
    <w:p w14:paraId="0D29D9E1" w14:textId="23EE7695" w:rsidR="004022AC" w:rsidRPr="004022AC" w:rsidRDefault="004022AC" w:rsidP="00994AEF">
      <w:pPr>
        <w:spacing w:after="0" w:line="276" w:lineRule="auto"/>
        <w:rPr>
          <w:rFonts w:cstheme="minorHAnsi"/>
          <w:b/>
        </w:rPr>
      </w:pPr>
      <w:r w:rsidRPr="004022AC">
        <w:rPr>
          <w:rFonts w:cstheme="minorHAnsi"/>
          <w:b/>
        </w:rPr>
        <w:t>C</w:t>
      </w:r>
      <w:r>
        <w:rPr>
          <w:rFonts w:cstheme="minorHAnsi"/>
        </w:rPr>
        <w:t xml:space="preserve">: </w:t>
      </w:r>
      <w:r w:rsidRPr="00994AEF">
        <w:rPr>
          <w:rFonts w:cstheme="minorHAnsi"/>
          <w:b/>
        </w:rPr>
        <w:t>Cascade</w:t>
      </w:r>
      <w:r w:rsidRPr="004022AC">
        <w:rPr>
          <w:rFonts w:cstheme="minorHAnsi"/>
        </w:rPr>
        <w:t xml:space="preserve">: How was the cascade implemented? What was the reach and take-up of training among practitioners? </w:t>
      </w:r>
      <w:r w:rsidR="00994AEF">
        <w:rPr>
          <w:rFonts w:cstheme="minorHAnsi"/>
        </w:rPr>
        <w:t xml:space="preserve">Was the cascated training delivered with fidelity? </w:t>
      </w:r>
      <w:r w:rsidRPr="004022AC">
        <w:rPr>
          <w:rFonts w:cstheme="minorHAnsi"/>
        </w:rPr>
        <w:t xml:space="preserve">What is the self-reported effect of cascaded training on practitioners’ awareness, knowledge and confidence? </w:t>
      </w:r>
    </w:p>
    <w:p w14:paraId="41ECDFEF" w14:textId="77777777" w:rsidR="00994AEF" w:rsidRDefault="00994AEF" w:rsidP="00D50FFB">
      <w:pPr>
        <w:rPr>
          <w:rFonts w:cstheme="minorHAnsi"/>
        </w:rPr>
      </w:pPr>
    </w:p>
    <w:p w14:paraId="02106F52" w14:textId="517DB054" w:rsidR="00D50FFB" w:rsidRDefault="00D50FFB" w:rsidP="00D50FFB">
      <w:pPr>
        <w:rPr>
          <w:rFonts w:cstheme="minorHAnsi"/>
        </w:rPr>
      </w:pPr>
      <w:r w:rsidRPr="00D50FFB">
        <w:rPr>
          <w:rFonts w:cstheme="minorHAnsi"/>
        </w:rPr>
        <w:t>The proce</w:t>
      </w:r>
      <w:r>
        <w:rPr>
          <w:rFonts w:cstheme="minorHAnsi"/>
        </w:rPr>
        <w:t xml:space="preserve">ss evaluation will </w:t>
      </w:r>
      <w:r w:rsidR="00652316">
        <w:rPr>
          <w:rFonts w:cstheme="minorHAnsi"/>
        </w:rPr>
        <w:t>include</w:t>
      </w:r>
      <w:r>
        <w:rPr>
          <w:rFonts w:cstheme="minorHAnsi"/>
        </w:rPr>
        <w:t xml:space="preserve"> both qualitative and quantitative elements. </w:t>
      </w:r>
      <w:r w:rsidR="00544A21">
        <w:rPr>
          <w:rFonts w:cstheme="minorHAnsi"/>
        </w:rPr>
        <w:t>T</w:t>
      </w:r>
      <w:r w:rsidR="00CE7F9C">
        <w:rPr>
          <w:rFonts w:cstheme="minorHAnsi"/>
        </w:rPr>
        <w:t xml:space="preserve">he process evaluation </w:t>
      </w:r>
      <w:r w:rsidR="00544A21">
        <w:rPr>
          <w:rFonts w:cstheme="minorHAnsi"/>
        </w:rPr>
        <w:t>sh</w:t>
      </w:r>
      <w:r w:rsidR="00CE7F9C">
        <w:rPr>
          <w:rFonts w:cstheme="minorHAnsi"/>
        </w:rPr>
        <w:t>ould be integrated with the impact evaluation</w:t>
      </w:r>
      <w:r w:rsidR="000B1323">
        <w:rPr>
          <w:rFonts w:cstheme="minorHAnsi"/>
        </w:rPr>
        <w:t>,</w:t>
      </w:r>
      <w:r w:rsidR="00544A21">
        <w:rPr>
          <w:rFonts w:cstheme="minorHAnsi"/>
        </w:rPr>
        <w:t xml:space="preserve"> f</w:t>
      </w:r>
      <w:r w:rsidR="00CE7F9C">
        <w:rPr>
          <w:rFonts w:cstheme="minorHAnsi"/>
        </w:rPr>
        <w:t xml:space="preserve">or example, </w:t>
      </w:r>
      <w:r w:rsidR="00AD6B22">
        <w:rPr>
          <w:rFonts w:cstheme="minorHAnsi"/>
        </w:rPr>
        <w:t xml:space="preserve">to enable secondary analyses </w:t>
      </w:r>
      <w:r w:rsidR="00544A21">
        <w:rPr>
          <w:rFonts w:cstheme="minorHAnsi"/>
        </w:rPr>
        <w:t xml:space="preserve">of impact </w:t>
      </w:r>
      <w:r w:rsidR="00AD6B22">
        <w:rPr>
          <w:rFonts w:cstheme="minorHAnsi"/>
        </w:rPr>
        <w:t>based on aspects of delivery.</w:t>
      </w:r>
    </w:p>
    <w:p w14:paraId="16CF9377" w14:textId="31A40949" w:rsidR="00D50FFB" w:rsidRPr="009746C4" w:rsidRDefault="00D50FFB" w:rsidP="00D50FFB">
      <w:pPr>
        <w:rPr>
          <w:rFonts w:cs="Arial"/>
        </w:rPr>
      </w:pPr>
      <w:r w:rsidRPr="009746C4">
        <w:rPr>
          <w:rFonts w:cs="Arial"/>
        </w:rPr>
        <w:t xml:space="preserve">The </w:t>
      </w:r>
      <w:r w:rsidRPr="009746C4">
        <w:rPr>
          <w:rFonts w:cs="Arial"/>
          <w:u w:val="single"/>
        </w:rPr>
        <w:t>qualitative</w:t>
      </w:r>
      <w:r w:rsidRPr="009746C4">
        <w:rPr>
          <w:rFonts w:cs="Arial"/>
        </w:rPr>
        <w:t xml:space="preserve"> element of the process evaluation </w:t>
      </w:r>
      <w:r w:rsidR="007E4BF7">
        <w:rPr>
          <w:rFonts w:cs="Arial"/>
        </w:rPr>
        <w:t>should</w:t>
      </w:r>
      <w:r w:rsidRPr="009746C4">
        <w:rPr>
          <w:rFonts w:cs="Arial"/>
        </w:rPr>
        <w:t xml:space="preserve"> focus on understanding different actors’ roles and experiences of the implementation and the delivery framework and training. </w:t>
      </w:r>
      <w:r w:rsidR="00D41A7A">
        <w:rPr>
          <w:rFonts w:cs="Arial"/>
        </w:rPr>
        <w:t xml:space="preserve">For example </w:t>
      </w:r>
      <w:r w:rsidRPr="009746C4">
        <w:rPr>
          <w:rFonts w:cs="Arial"/>
        </w:rPr>
        <w:t xml:space="preserve">LA staff involved with setting up the partnerships, representatives of the CPD partner, managerial staff, champions and EY practitioners receiving cascaded training (approx. 60-75 interviews). </w:t>
      </w:r>
    </w:p>
    <w:p w14:paraId="7B669137" w14:textId="62C64B8C" w:rsidR="00D41A7A" w:rsidRPr="009746C4" w:rsidRDefault="00D41A7A" w:rsidP="00D41A7A">
      <w:pPr>
        <w:spacing w:before="240"/>
        <w:rPr>
          <w:rFonts w:cs="Arial"/>
        </w:rPr>
      </w:pPr>
      <w:r w:rsidRPr="009746C4">
        <w:rPr>
          <w:rFonts w:cs="Arial"/>
        </w:rPr>
        <w:t xml:space="preserve">The </w:t>
      </w:r>
      <w:r w:rsidRPr="009746C4">
        <w:rPr>
          <w:rFonts w:cs="Arial"/>
          <w:u w:val="single"/>
        </w:rPr>
        <w:t>quantitative</w:t>
      </w:r>
      <w:r w:rsidRPr="009746C4">
        <w:rPr>
          <w:rFonts w:cs="Arial"/>
        </w:rPr>
        <w:t xml:space="preserve"> element of the process evaluation </w:t>
      </w:r>
      <w:r>
        <w:rPr>
          <w:rFonts w:cs="Arial"/>
        </w:rPr>
        <w:t>may include</w:t>
      </w:r>
      <w:r w:rsidRPr="009746C4">
        <w:rPr>
          <w:rFonts w:cs="Arial"/>
        </w:rPr>
        <w:t>:</w:t>
      </w:r>
    </w:p>
    <w:p w14:paraId="28DDF5E6" w14:textId="2B169D68" w:rsidR="00D41A7A" w:rsidRPr="009746C4" w:rsidRDefault="00D41A7A" w:rsidP="00D41A7A">
      <w:pPr>
        <w:pStyle w:val="ListParagraph"/>
        <w:numPr>
          <w:ilvl w:val="0"/>
          <w:numId w:val="36"/>
        </w:numPr>
        <w:spacing w:after="160" w:line="259" w:lineRule="auto"/>
        <w:ind w:left="454"/>
        <w:rPr>
          <w:rFonts w:cs="Arial"/>
        </w:rPr>
      </w:pPr>
      <w:r w:rsidRPr="009746C4">
        <w:rPr>
          <w:rFonts w:cs="Arial"/>
        </w:rPr>
        <w:t>A</w:t>
      </w:r>
      <w:r>
        <w:rPr>
          <w:rFonts w:cs="Arial"/>
        </w:rPr>
        <w:t>nalysis of a</w:t>
      </w:r>
      <w:r w:rsidRPr="009746C4">
        <w:rPr>
          <w:rFonts w:cs="Arial"/>
        </w:rPr>
        <w:t xml:space="preserve">dmin data from LAs and CPD partner. </w:t>
      </w:r>
    </w:p>
    <w:p w14:paraId="662F4966" w14:textId="3BFEF96C" w:rsidR="00D41A7A" w:rsidRPr="009746C4" w:rsidRDefault="00D41A7A" w:rsidP="00D41A7A">
      <w:pPr>
        <w:pStyle w:val="ListParagraph"/>
        <w:numPr>
          <w:ilvl w:val="0"/>
          <w:numId w:val="36"/>
        </w:numPr>
        <w:spacing w:after="160" w:line="259" w:lineRule="auto"/>
        <w:ind w:left="454"/>
        <w:rPr>
          <w:rFonts w:cs="Arial"/>
        </w:rPr>
      </w:pPr>
      <w:r>
        <w:rPr>
          <w:rFonts w:cs="Arial"/>
        </w:rPr>
        <w:t>S</w:t>
      </w:r>
      <w:r w:rsidRPr="009746C4">
        <w:rPr>
          <w:rFonts w:cs="Arial"/>
        </w:rPr>
        <w:t xml:space="preserve">urveys </w:t>
      </w:r>
      <w:r>
        <w:rPr>
          <w:rFonts w:cs="Arial"/>
        </w:rPr>
        <w:t>of</w:t>
      </w:r>
      <w:r w:rsidRPr="009746C4">
        <w:rPr>
          <w:rFonts w:cs="Arial"/>
        </w:rPr>
        <w:t xml:space="preserve"> </w:t>
      </w:r>
      <w:r>
        <w:rPr>
          <w:rFonts w:cs="Arial"/>
        </w:rPr>
        <w:t>“</w:t>
      </w:r>
      <w:r w:rsidRPr="009746C4">
        <w:rPr>
          <w:rFonts w:cs="Arial"/>
        </w:rPr>
        <w:t>champions</w:t>
      </w:r>
      <w:r>
        <w:rPr>
          <w:rFonts w:cs="Arial"/>
        </w:rPr>
        <w:t>”</w:t>
      </w:r>
      <w:r w:rsidRPr="009746C4">
        <w:rPr>
          <w:rFonts w:cs="Arial"/>
        </w:rPr>
        <w:t xml:space="preserve">.  </w:t>
      </w:r>
    </w:p>
    <w:p w14:paraId="3F1FCDE2" w14:textId="2B5DDD48" w:rsidR="00D41A7A" w:rsidRPr="009746C4" w:rsidRDefault="00D41A7A" w:rsidP="00D41A7A">
      <w:pPr>
        <w:pStyle w:val="ListParagraph"/>
        <w:numPr>
          <w:ilvl w:val="0"/>
          <w:numId w:val="36"/>
        </w:numPr>
        <w:spacing w:after="160" w:line="259" w:lineRule="auto"/>
        <w:ind w:left="454"/>
        <w:rPr>
          <w:rFonts w:cs="Arial"/>
        </w:rPr>
      </w:pPr>
      <w:r>
        <w:rPr>
          <w:rFonts w:cs="Arial"/>
        </w:rPr>
        <w:t>Survey</w:t>
      </w:r>
      <w:r w:rsidR="007E4BF7">
        <w:rPr>
          <w:rFonts w:cs="Arial"/>
        </w:rPr>
        <w:t>s</w:t>
      </w:r>
      <w:r>
        <w:rPr>
          <w:rFonts w:cs="Arial"/>
        </w:rPr>
        <w:t xml:space="preserve"> of EY</w:t>
      </w:r>
      <w:r w:rsidRPr="009746C4">
        <w:rPr>
          <w:rFonts w:cs="Arial"/>
        </w:rPr>
        <w:t xml:space="preserve"> </w:t>
      </w:r>
      <w:r>
        <w:rPr>
          <w:rFonts w:cs="Arial"/>
        </w:rPr>
        <w:t>practitioners</w:t>
      </w:r>
      <w:r w:rsidRPr="009746C4">
        <w:rPr>
          <w:rFonts w:cs="Arial"/>
        </w:rPr>
        <w:t xml:space="preserve">. </w:t>
      </w:r>
    </w:p>
    <w:p w14:paraId="1EFF3DD8" w14:textId="02BA8000" w:rsidR="00D50FFB" w:rsidRPr="00D50FFB" w:rsidRDefault="00D50FFB" w:rsidP="00D50FFB">
      <w:pPr>
        <w:spacing w:line="259" w:lineRule="auto"/>
        <w:rPr>
          <w:rFonts w:cstheme="minorHAnsi"/>
        </w:rPr>
      </w:pPr>
    </w:p>
    <w:p w14:paraId="7108048B" w14:textId="476B1FE6" w:rsidR="00D10653" w:rsidRDefault="00D10653" w:rsidP="004F1001">
      <w:pPr>
        <w:rPr>
          <w:rFonts w:cs="Arial"/>
          <w:b/>
          <w:color w:val="1F497D" w:themeColor="text2"/>
          <w:sz w:val="24"/>
        </w:rPr>
      </w:pPr>
      <w:r w:rsidRPr="00D10653">
        <w:rPr>
          <w:rFonts w:cs="Arial"/>
          <w:b/>
          <w:color w:val="1F497D" w:themeColor="text2"/>
          <w:sz w:val="24"/>
        </w:rPr>
        <w:t>Impact evaluation</w:t>
      </w:r>
    </w:p>
    <w:p w14:paraId="7DC37065" w14:textId="421E0D54" w:rsidR="00846DE9" w:rsidRDefault="00D50FFB" w:rsidP="004F1001">
      <w:pPr>
        <w:rPr>
          <w:rFonts w:cs="Arial"/>
          <w:color w:val="000000" w:themeColor="text1"/>
          <w:szCs w:val="22"/>
        </w:rPr>
      </w:pPr>
      <w:r>
        <w:rPr>
          <w:rFonts w:cs="Arial"/>
          <w:color w:val="000000" w:themeColor="text1"/>
          <w:szCs w:val="22"/>
        </w:rPr>
        <w:t>Two aspects of</w:t>
      </w:r>
      <w:r w:rsidR="00D10653" w:rsidRPr="00D10653">
        <w:rPr>
          <w:rFonts w:cs="Arial"/>
          <w:color w:val="000000" w:themeColor="text1"/>
          <w:szCs w:val="22"/>
        </w:rPr>
        <w:t xml:space="preserve"> impact evaluation </w:t>
      </w:r>
      <w:r>
        <w:rPr>
          <w:rFonts w:cs="Arial"/>
          <w:color w:val="000000" w:themeColor="text1"/>
          <w:szCs w:val="22"/>
        </w:rPr>
        <w:t xml:space="preserve">will be required, </w:t>
      </w:r>
      <w:r w:rsidR="00D10653" w:rsidRPr="00D10653">
        <w:rPr>
          <w:rFonts w:cs="Arial"/>
          <w:color w:val="000000" w:themeColor="text1"/>
          <w:szCs w:val="22"/>
        </w:rPr>
        <w:t>cover</w:t>
      </w:r>
      <w:r>
        <w:rPr>
          <w:rFonts w:cs="Arial"/>
          <w:color w:val="000000" w:themeColor="text1"/>
          <w:szCs w:val="22"/>
        </w:rPr>
        <w:t>ing</w:t>
      </w:r>
      <w:r w:rsidR="00D10653" w:rsidRPr="00D10653">
        <w:rPr>
          <w:rFonts w:cs="Arial"/>
          <w:color w:val="000000" w:themeColor="text1"/>
          <w:szCs w:val="22"/>
        </w:rPr>
        <w:t xml:space="preserve"> the impact </w:t>
      </w:r>
      <w:r w:rsidR="00F62549" w:rsidRPr="00D10653">
        <w:rPr>
          <w:rFonts w:cs="Arial"/>
          <w:color w:val="000000" w:themeColor="text1"/>
          <w:szCs w:val="22"/>
        </w:rPr>
        <w:t xml:space="preserve">on children’s outcomes and </w:t>
      </w:r>
      <w:r w:rsidR="00F62549">
        <w:rPr>
          <w:rFonts w:cs="Arial"/>
          <w:color w:val="000000" w:themeColor="text1"/>
          <w:szCs w:val="22"/>
        </w:rPr>
        <w:t>the impact</w:t>
      </w:r>
      <w:r w:rsidR="00F62549" w:rsidRPr="00D10653">
        <w:rPr>
          <w:rFonts w:cs="Arial"/>
          <w:color w:val="000000" w:themeColor="text1"/>
          <w:szCs w:val="22"/>
        </w:rPr>
        <w:t xml:space="preserve"> </w:t>
      </w:r>
      <w:r w:rsidR="00D10653" w:rsidRPr="00D10653">
        <w:rPr>
          <w:rFonts w:cs="Arial"/>
          <w:color w:val="000000" w:themeColor="text1"/>
          <w:szCs w:val="22"/>
        </w:rPr>
        <w:t xml:space="preserve">on </w:t>
      </w:r>
      <w:r>
        <w:rPr>
          <w:rFonts w:cs="Arial"/>
          <w:color w:val="000000" w:themeColor="text1"/>
          <w:szCs w:val="22"/>
        </w:rPr>
        <w:t xml:space="preserve">observed quality of EY </w:t>
      </w:r>
      <w:r w:rsidR="00D10653" w:rsidRPr="00D10653">
        <w:rPr>
          <w:rFonts w:cs="Arial"/>
          <w:color w:val="000000" w:themeColor="text1"/>
          <w:szCs w:val="22"/>
        </w:rPr>
        <w:t xml:space="preserve">settings. </w:t>
      </w:r>
    </w:p>
    <w:p w14:paraId="7D1E1DEE" w14:textId="77777777" w:rsidR="00470CC8" w:rsidRPr="009746C4" w:rsidRDefault="00470CC8" w:rsidP="00470CC8">
      <w:pPr>
        <w:rPr>
          <w:rFonts w:cs="Arial"/>
        </w:rPr>
      </w:pPr>
      <w:r w:rsidRPr="009746C4">
        <w:rPr>
          <w:rFonts w:cs="Arial"/>
          <w:u w:val="single"/>
        </w:rPr>
        <w:t xml:space="preserve">Impact on </w:t>
      </w:r>
      <w:r>
        <w:rPr>
          <w:rFonts w:cs="Arial"/>
          <w:u w:val="single"/>
        </w:rPr>
        <w:t>children’s outcomes</w:t>
      </w:r>
      <w:r w:rsidRPr="009746C4">
        <w:rPr>
          <w:rFonts w:cs="Arial"/>
        </w:rPr>
        <w:t xml:space="preserve">: </w:t>
      </w:r>
    </w:p>
    <w:p w14:paraId="076F4127" w14:textId="13FFDE6F" w:rsidR="00470CC8" w:rsidRDefault="00470CC8" w:rsidP="00470CC8">
      <w:pPr>
        <w:rPr>
          <w:rFonts w:cs="Arial"/>
        </w:rPr>
      </w:pPr>
      <w:r>
        <w:rPr>
          <w:rFonts w:cs="Arial"/>
          <w:color w:val="000000" w:themeColor="text1"/>
          <w:szCs w:val="22"/>
        </w:rPr>
        <w:t xml:space="preserve">Subject to the feasibility stage outlined above, the evaluation contractor will be required to conduct a randomised controlled trial (RCT) to evaluate the impact of the PDP on children’s outcomes to assess whether there is an improvement for children in PDP settings and whether any improvement is greater than for children in non-PDP settings. The evaluation must include an assesement of impact on early language development, and may include an assessment of impact on early numeracy, using valid and reliable measures. Validated scales such as the British Ability Scales or Preschool Language Scale may be considered. </w:t>
      </w:r>
    </w:p>
    <w:p w14:paraId="52233B3A" w14:textId="47C7C048" w:rsidR="00470CC8" w:rsidRDefault="00470CC8" w:rsidP="00470CC8">
      <w:pPr>
        <w:rPr>
          <w:rFonts w:cs="Arial"/>
        </w:rPr>
      </w:pPr>
      <w:r>
        <w:rPr>
          <w:rFonts w:cs="Arial"/>
        </w:rPr>
        <w:t xml:space="preserve">To facilitate the evaluation design, we anticipate adapting the delivery of the PDP so that in a sample of participating LAs, eligible settings would be randomly assigned to either the PDP or a control group. We currently expect to use a waiting list design, where control group settings would </w:t>
      </w:r>
      <w:r>
        <w:rPr>
          <w:rFonts w:cs="Arial"/>
        </w:rPr>
        <w:lastRenderedPageBreak/>
        <w:t xml:space="preserve">receive the cascaded element of the PDP at a later point in time, however the final approach will be agreed in collaboration beween DfE, the PDP delivery partner and the evaluation contractor. </w:t>
      </w:r>
    </w:p>
    <w:p w14:paraId="0209BA99" w14:textId="4FC0FBEA" w:rsidR="00D41A7A" w:rsidRPr="009746C4" w:rsidRDefault="00D41A7A" w:rsidP="00D41A7A">
      <w:pPr>
        <w:rPr>
          <w:rFonts w:cs="Arial"/>
        </w:rPr>
      </w:pPr>
      <w:r w:rsidRPr="009746C4">
        <w:rPr>
          <w:rFonts w:cs="Arial"/>
          <w:u w:val="single"/>
        </w:rPr>
        <w:t xml:space="preserve">Impact on </w:t>
      </w:r>
      <w:r>
        <w:rPr>
          <w:rFonts w:cs="Arial"/>
          <w:u w:val="single"/>
        </w:rPr>
        <w:t>quality of early years settings</w:t>
      </w:r>
      <w:r w:rsidRPr="009746C4">
        <w:rPr>
          <w:rFonts w:cs="Arial"/>
        </w:rPr>
        <w:t xml:space="preserve">: </w:t>
      </w:r>
    </w:p>
    <w:p w14:paraId="7D188BCE" w14:textId="4FDFE2D8" w:rsidR="00846DE9" w:rsidRDefault="00D41A7A" w:rsidP="00D41A7A">
      <w:pPr>
        <w:rPr>
          <w:rFonts w:cs="Arial"/>
          <w:color w:val="000000" w:themeColor="text1"/>
          <w:szCs w:val="22"/>
        </w:rPr>
      </w:pPr>
      <w:r>
        <w:rPr>
          <w:rFonts w:cs="Arial"/>
        </w:rPr>
        <w:t>In order for child</w:t>
      </w:r>
      <w:r w:rsidR="007E4BF7">
        <w:rPr>
          <w:rFonts w:cs="Arial"/>
        </w:rPr>
        <w:t>ren’s</w:t>
      </w:r>
      <w:r>
        <w:rPr>
          <w:rFonts w:cs="Arial"/>
        </w:rPr>
        <w:t xml:space="preserve"> developmental outcomes to improve, the PDP must first have a sufficient positive impact on EY practitioners to </w:t>
      </w:r>
      <w:r w:rsidR="00426852">
        <w:rPr>
          <w:rFonts w:cs="Arial"/>
        </w:rPr>
        <w:t xml:space="preserve">lead to an </w:t>
      </w:r>
      <w:r>
        <w:rPr>
          <w:rFonts w:cs="Arial"/>
        </w:rPr>
        <w:t>increase</w:t>
      </w:r>
      <w:r w:rsidRPr="009746C4">
        <w:rPr>
          <w:rFonts w:cs="Arial"/>
        </w:rPr>
        <w:t xml:space="preserve"> </w:t>
      </w:r>
      <w:r w:rsidR="00426852">
        <w:rPr>
          <w:rFonts w:cs="Arial"/>
        </w:rPr>
        <w:t xml:space="preserve">in </w:t>
      </w:r>
      <w:r w:rsidRPr="009746C4">
        <w:rPr>
          <w:rFonts w:cs="Arial"/>
        </w:rPr>
        <w:t xml:space="preserve">setting quality. </w:t>
      </w:r>
      <w:r w:rsidR="000B1323">
        <w:rPr>
          <w:rFonts w:cs="Arial"/>
        </w:rPr>
        <w:t>The evaluation contractor will be required to design an evaluation</w:t>
      </w:r>
      <w:r w:rsidR="000B1323" w:rsidRPr="009746C4">
        <w:rPr>
          <w:rFonts w:cs="Arial"/>
        </w:rPr>
        <w:t xml:space="preserve"> </w:t>
      </w:r>
      <w:r w:rsidRPr="009746C4">
        <w:rPr>
          <w:rFonts w:cs="Arial"/>
        </w:rPr>
        <w:t xml:space="preserve">to measure this interim outcome, </w:t>
      </w:r>
      <w:r w:rsidR="00B5705C">
        <w:rPr>
          <w:rFonts w:cs="Arial"/>
        </w:rPr>
        <w:t>for example</w:t>
      </w:r>
      <w:r w:rsidR="000B1323">
        <w:rPr>
          <w:rFonts w:cs="Arial"/>
        </w:rPr>
        <w:t xml:space="preserve"> involv</w:t>
      </w:r>
      <w:r w:rsidR="00B5705C">
        <w:rPr>
          <w:rFonts w:cs="Arial"/>
        </w:rPr>
        <w:t>ing</w:t>
      </w:r>
      <w:r w:rsidRPr="009746C4">
        <w:rPr>
          <w:rFonts w:cs="Arial"/>
        </w:rPr>
        <w:t xml:space="preserve"> </w:t>
      </w:r>
      <w:r w:rsidRPr="009746C4">
        <w:rPr>
          <w:rFonts w:eastAsia="Arial" w:cs="Arial"/>
        </w:rPr>
        <w:t>pre</w:t>
      </w:r>
      <w:r>
        <w:rPr>
          <w:rFonts w:eastAsia="Arial" w:cs="Arial"/>
        </w:rPr>
        <w:t>-</w:t>
      </w:r>
      <w:r w:rsidRPr="009746C4">
        <w:rPr>
          <w:rFonts w:eastAsia="Arial" w:cs="Arial"/>
        </w:rPr>
        <w:t xml:space="preserve"> and post</w:t>
      </w:r>
      <w:r>
        <w:rPr>
          <w:rFonts w:eastAsia="Arial" w:cs="Arial"/>
        </w:rPr>
        <w:t>-PDP</w:t>
      </w:r>
      <w:r w:rsidRPr="009746C4">
        <w:rPr>
          <w:rFonts w:eastAsia="Arial" w:cs="Arial"/>
        </w:rPr>
        <w:t xml:space="preserve"> </w:t>
      </w:r>
      <w:r>
        <w:rPr>
          <w:rFonts w:eastAsia="Arial" w:cs="Arial"/>
        </w:rPr>
        <w:t xml:space="preserve">observational </w:t>
      </w:r>
      <w:r w:rsidRPr="009746C4">
        <w:rPr>
          <w:rFonts w:eastAsia="Arial" w:cs="Arial"/>
        </w:rPr>
        <w:t>evaluations of setting quality</w:t>
      </w:r>
      <w:r w:rsidR="00AD6B22">
        <w:rPr>
          <w:rFonts w:eastAsia="Arial" w:cs="Arial"/>
        </w:rPr>
        <w:t>, across treatment and control settings,</w:t>
      </w:r>
      <w:r w:rsidRPr="009746C4">
        <w:rPr>
          <w:rFonts w:eastAsia="Arial" w:cs="Arial"/>
        </w:rPr>
        <w:t xml:space="preserve"> </w:t>
      </w:r>
      <w:r w:rsidRPr="009746C4">
        <w:rPr>
          <w:rFonts w:cs="Arial"/>
        </w:rPr>
        <w:t xml:space="preserve">using </w:t>
      </w:r>
      <w:r w:rsidR="00B5705C" w:rsidRPr="00B5705C">
        <w:rPr>
          <w:rFonts w:cs="Arial"/>
        </w:rPr>
        <w:t>valid and reliable measures</w:t>
      </w:r>
      <w:r w:rsidR="00B5705C">
        <w:rPr>
          <w:rFonts w:cs="Arial"/>
        </w:rPr>
        <w:t xml:space="preserve"> to quantify</w:t>
      </w:r>
      <w:r w:rsidR="00B5705C" w:rsidRPr="00B5705C">
        <w:rPr>
          <w:rFonts w:cs="Arial"/>
        </w:rPr>
        <w:t xml:space="preserve"> </w:t>
      </w:r>
      <w:r w:rsidR="00B5705C">
        <w:rPr>
          <w:rFonts w:cs="Arial"/>
        </w:rPr>
        <w:t>the impact of the PDP. O</w:t>
      </w:r>
      <w:r w:rsidR="0027444D">
        <w:rPr>
          <w:rFonts w:cs="Arial"/>
        </w:rPr>
        <w:t>bservational rating scales such as</w:t>
      </w:r>
      <w:r w:rsidR="000B1323">
        <w:rPr>
          <w:rFonts w:cs="Arial"/>
        </w:rPr>
        <w:t xml:space="preserve"> </w:t>
      </w:r>
      <w:r w:rsidRPr="009746C4">
        <w:rPr>
          <w:rFonts w:cs="Arial"/>
        </w:rPr>
        <w:t>the Early Childhood Environmental Rating scale extension (ECERS-E) and the Sustained Shared Thinking and Emotional Wellbeing scale (SSTEW)</w:t>
      </w:r>
      <w:r>
        <w:rPr>
          <w:rFonts w:cs="Arial"/>
        </w:rPr>
        <w:t xml:space="preserve"> </w:t>
      </w:r>
      <w:r w:rsidR="00B5705C">
        <w:rPr>
          <w:rFonts w:cs="Arial"/>
        </w:rPr>
        <w:t>may be considered</w:t>
      </w:r>
      <w:r w:rsidRPr="009746C4">
        <w:rPr>
          <w:rFonts w:cs="Arial"/>
        </w:rPr>
        <w:t>.</w:t>
      </w:r>
    </w:p>
    <w:p w14:paraId="291693E6" w14:textId="77777777" w:rsidR="006C7111" w:rsidRDefault="006C7111">
      <w:pPr>
        <w:spacing w:after="0" w:line="240" w:lineRule="auto"/>
        <w:rPr>
          <w:rFonts w:cs="Arial"/>
          <w:b/>
        </w:rPr>
      </w:pPr>
      <w:r>
        <w:rPr>
          <w:rFonts w:cs="Arial"/>
          <w:b/>
        </w:rPr>
        <w:br w:type="page"/>
      </w:r>
    </w:p>
    <w:p w14:paraId="75FA558B" w14:textId="0C475F10" w:rsidR="00EE24C7" w:rsidRPr="00EE24C7" w:rsidRDefault="00EE24C7" w:rsidP="00426852">
      <w:pPr>
        <w:rPr>
          <w:rFonts w:cs="Arial"/>
          <w:b/>
        </w:rPr>
      </w:pPr>
      <w:r>
        <w:rPr>
          <w:rFonts w:cs="Arial"/>
          <w:b/>
        </w:rPr>
        <w:lastRenderedPageBreak/>
        <w:t>Figure 1: Proposed e</w:t>
      </w:r>
      <w:r w:rsidRPr="00EE24C7">
        <w:rPr>
          <w:rFonts w:cs="Arial"/>
          <w:b/>
        </w:rPr>
        <w:t>valuation and programme activity in intervention and control group settings</w:t>
      </w:r>
    </w:p>
    <w:p w14:paraId="6040D16E" w14:textId="42F8A4D3" w:rsidR="001F114A" w:rsidRDefault="001F114A" w:rsidP="0089198B">
      <w:pPr>
        <w:jc w:val="center"/>
        <w:rPr>
          <w:rFonts w:cs="Arial"/>
        </w:rPr>
      </w:pPr>
      <w:r>
        <w:rPr>
          <w:rFonts w:cs="Arial"/>
          <w:noProof/>
        </w:rPr>
        <w:drawing>
          <wp:inline distT="0" distB="0" distL="0" distR="0" wp14:anchorId="33E5E71E" wp14:editId="24E32857">
            <wp:extent cx="6482268" cy="4105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3710" cy="4112522"/>
                    </a:xfrm>
                    <a:prstGeom prst="rect">
                      <a:avLst/>
                    </a:prstGeom>
                    <a:noFill/>
                  </pic:spPr>
                </pic:pic>
              </a:graphicData>
            </a:graphic>
          </wp:inline>
        </w:drawing>
      </w:r>
    </w:p>
    <w:p w14:paraId="1050ACA8" w14:textId="133E0A02" w:rsidR="001F114A" w:rsidRDefault="001F114A" w:rsidP="00426852">
      <w:pPr>
        <w:rPr>
          <w:rFonts w:cs="Arial"/>
          <w:szCs w:val="22"/>
        </w:rPr>
      </w:pPr>
    </w:p>
    <w:p w14:paraId="4E12B9CE" w14:textId="66FA5814" w:rsidR="00C41399" w:rsidRPr="005363DB" w:rsidRDefault="00C41399" w:rsidP="00426852">
      <w:pPr>
        <w:rPr>
          <w:rFonts w:cs="Arial"/>
          <w:szCs w:val="22"/>
        </w:rPr>
      </w:pPr>
      <w:r>
        <w:rPr>
          <w:rFonts w:cs="Arial"/>
        </w:rPr>
        <w:t>An alternative to the waiting list design would be for the control group settings not to receive the PDP</w:t>
      </w:r>
      <w:r w:rsidR="00E10471">
        <w:rPr>
          <w:rFonts w:cs="Arial"/>
        </w:rPr>
        <w:t>, or to receive an alternative condition or incentive for their participation in the research elements of the project</w:t>
      </w:r>
      <w:r w:rsidR="00470CC8">
        <w:rPr>
          <w:rFonts w:cs="Arial"/>
        </w:rPr>
        <w:t>. F</w:t>
      </w:r>
      <w:r>
        <w:rPr>
          <w:rFonts w:cs="Arial"/>
        </w:rPr>
        <w:t xml:space="preserve">or example LAs </w:t>
      </w:r>
      <w:r w:rsidR="0027444D">
        <w:rPr>
          <w:rFonts w:cs="Arial"/>
        </w:rPr>
        <w:t xml:space="preserve">could </w:t>
      </w:r>
      <w:r w:rsidR="007C5786">
        <w:rPr>
          <w:rFonts w:cs="Arial"/>
        </w:rPr>
        <w:t xml:space="preserve">identify </w:t>
      </w:r>
      <w:r>
        <w:rPr>
          <w:rFonts w:cs="Arial"/>
        </w:rPr>
        <w:t>50 eligible settings, of which 25 are randomly selected to receive the</w:t>
      </w:r>
      <w:r w:rsidR="007C5786">
        <w:rPr>
          <w:rFonts w:cs="Arial"/>
        </w:rPr>
        <w:t xml:space="preserve"> PDP</w:t>
      </w:r>
      <w:r>
        <w:rPr>
          <w:rFonts w:cs="Arial"/>
        </w:rPr>
        <w:t xml:space="preserve"> intervention).</w:t>
      </w:r>
    </w:p>
    <w:p w14:paraId="3D615A07" w14:textId="77777777" w:rsidR="00573C27" w:rsidRPr="00D10653" w:rsidRDefault="00573C27" w:rsidP="00573C27">
      <w:pPr>
        <w:rPr>
          <w:b/>
          <w:color w:val="1F497D" w:themeColor="text2"/>
          <w:sz w:val="24"/>
        </w:rPr>
      </w:pPr>
      <w:r w:rsidRPr="00D10653">
        <w:rPr>
          <w:b/>
          <w:color w:val="1F497D" w:themeColor="text2"/>
          <w:sz w:val="24"/>
        </w:rPr>
        <w:t>Sample size</w:t>
      </w:r>
    </w:p>
    <w:p w14:paraId="5AC78AD2" w14:textId="62C449B9" w:rsidR="00573C27" w:rsidRDefault="007C5786" w:rsidP="00573C27">
      <w:pPr>
        <w:rPr>
          <w:rFonts w:cs="Arial"/>
        </w:rPr>
      </w:pPr>
      <w:r>
        <w:rPr>
          <w:rFonts w:cs="Arial"/>
        </w:rPr>
        <w:t xml:space="preserve">The evaluation contractor will be required to determine the optimum sample size and to implement strategies to minimise attrition. </w:t>
      </w:r>
      <w:r w:rsidR="000B251F">
        <w:rPr>
          <w:rFonts w:cs="Arial"/>
        </w:rPr>
        <w:t xml:space="preserve">We </w:t>
      </w:r>
      <w:r w:rsidR="004223E7">
        <w:rPr>
          <w:rFonts w:cs="Arial"/>
        </w:rPr>
        <w:t xml:space="preserve">anticipate that </w:t>
      </w:r>
      <w:r w:rsidR="000B251F">
        <w:rPr>
          <w:rFonts w:cs="Arial"/>
        </w:rPr>
        <w:t xml:space="preserve">the </w:t>
      </w:r>
      <w:r w:rsidR="000B251F" w:rsidRPr="00470CC8">
        <w:rPr>
          <w:rFonts w:cs="Arial"/>
          <w:i/>
        </w:rPr>
        <w:t>minimum</w:t>
      </w:r>
      <w:r w:rsidR="000B251F">
        <w:rPr>
          <w:rFonts w:cs="Arial"/>
        </w:rPr>
        <w:t xml:space="preserve"> sample size required t</w:t>
      </w:r>
      <w:r w:rsidR="00573C27" w:rsidRPr="0087478C">
        <w:rPr>
          <w:rFonts w:cs="Arial"/>
        </w:rPr>
        <w:t xml:space="preserve">o </w:t>
      </w:r>
      <w:r w:rsidR="005C11AD">
        <w:rPr>
          <w:rFonts w:cs="Arial"/>
        </w:rPr>
        <w:t>provide</w:t>
      </w:r>
      <w:r w:rsidR="00573C27" w:rsidRPr="0087478C">
        <w:rPr>
          <w:rFonts w:cs="Arial"/>
        </w:rPr>
        <w:t xml:space="preserve"> sufficient power to detect impact on child development</w:t>
      </w:r>
      <w:r w:rsidR="000B251F">
        <w:rPr>
          <w:rFonts w:cs="Arial"/>
        </w:rPr>
        <w:t xml:space="preserve"> would be an achieved sample of 1,300 children</w:t>
      </w:r>
      <w:r w:rsidR="005C11AD">
        <w:rPr>
          <w:rFonts w:cs="Arial"/>
        </w:rPr>
        <w:t xml:space="preserve"> with both a baseline and follow-up assessment (approximately 650 children, from up to 165 settings</w:t>
      </w:r>
      <w:r w:rsidR="004223E7">
        <w:rPr>
          <w:rFonts w:cs="Arial"/>
        </w:rPr>
        <w:t>,</w:t>
      </w:r>
      <w:r w:rsidR="004223E7" w:rsidRPr="004223E7">
        <w:rPr>
          <w:rFonts w:cs="Arial"/>
        </w:rPr>
        <w:t xml:space="preserve"> </w:t>
      </w:r>
      <w:r w:rsidR="004223E7">
        <w:rPr>
          <w:rFonts w:cs="Arial"/>
        </w:rPr>
        <w:t>in each arm</w:t>
      </w:r>
      <w:r w:rsidR="005C11AD">
        <w:rPr>
          <w:rFonts w:cs="Arial"/>
        </w:rPr>
        <w:t>)</w:t>
      </w:r>
      <w:r w:rsidR="00A87131">
        <w:rPr>
          <w:rFonts w:cs="Arial"/>
        </w:rPr>
        <w:t>.</w:t>
      </w:r>
      <w:r>
        <w:rPr>
          <w:rFonts w:cs="Arial"/>
        </w:rPr>
        <w:t xml:space="preserve"> </w:t>
      </w:r>
      <w:r w:rsidR="00A87131">
        <w:rPr>
          <w:rFonts w:cs="Arial"/>
        </w:rPr>
        <w:t xml:space="preserve">Given the number of settings expected per LA, we </w:t>
      </w:r>
      <w:r w:rsidR="004223E7">
        <w:rPr>
          <w:rFonts w:cs="Arial"/>
        </w:rPr>
        <w:t xml:space="preserve">anticipate </w:t>
      </w:r>
      <w:r w:rsidR="00A87131">
        <w:rPr>
          <w:rFonts w:cs="Arial"/>
        </w:rPr>
        <w:t>this sample to be</w:t>
      </w:r>
      <w:r w:rsidR="000B251F">
        <w:rPr>
          <w:rFonts w:cs="Arial"/>
        </w:rPr>
        <w:t xml:space="preserve"> spread across </w:t>
      </w:r>
      <w:r w:rsidR="00A87131">
        <w:rPr>
          <w:rFonts w:cs="Arial"/>
        </w:rPr>
        <w:t xml:space="preserve">a subsample of </w:t>
      </w:r>
      <w:r w:rsidR="000B251F">
        <w:rPr>
          <w:rFonts w:cs="Arial"/>
        </w:rPr>
        <w:t xml:space="preserve">9 to 12 </w:t>
      </w:r>
      <w:r w:rsidR="00A87131">
        <w:rPr>
          <w:rFonts w:cs="Arial"/>
        </w:rPr>
        <w:t xml:space="preserve">of the PDP </w:t>
      </w:r>
      <w:r w:rsidR="005C11AD">
        <w:rPr>
          <w:rFonts w:cs="Arial"/>
        </w:rPr>
        <w:t>LAs</w:t>
      </w:r>
      <w:r w:rsidR="000B251F">
        <w:rPr>
          <w:rFonts w:cs="Arial"/>
        </w:rPr>
        <w:t xml:space="preserve">. </w:t>
      </w:r>
      <w:r w:rsidR="00470CC8">
        <w:rPr>
          <w:rFonts w:cs="Arial"/>
        </w:rPr>
        <w:t>Note that these figures are indicative and w</w:t>
      </w:r>
      <w:r w:rsidR="000B251F">
        <w:rPr>
          <w:rFonts w:cs="Arial"/>
        </w:rPr>
        <w:t xml:space="preserve">e will seek </w:t>
      </w:r>
      <w:r w:rsidR="005C11AD">
        <w:rPr>
          <w:rFonts w:cs="Arial"/>
        </w:rPr>
        <w:t xml:space="preserve">detailed </w:t>
      </w:r>
      <w:r w:rsidR="000B251F">
        <w:rPr>
          <w:rFonts w:cs="Arial"/>
        </w:rPr>
        <w:t xml:space="preserve">recommendations </w:t>
      </w:r>
      <w:r w:rsidR="00BD4214">
        <w:rPr>
          <w:rFonts w:cs="Arial"/>
        </w:rPr>
        <w:t xml:space="preserve">on sample </w:t>
      </w:r>
      <w:r w:rsidR="00652316">
        <w:rPr>
          <w:rFonts w:cs="Arial"/>
        </w:rPr>
        <w:t xml:space="preserve">design, including sample </w:t>
      </w:r>
      <w:r w:rsidR="00BD4214">
        <w:rPr>
          <w:rFonts w:cs="Arial"/>
        </w:rPr>
        <w:t>size</w:t>
      </w:r>
      <w:r w:rsidR="00652316">
        <w:rPr>
          <w:rFonts w:cs="Arial"/>
        </w:rPr>
        <w:t>,</w:t>
      </w:r>
      <w:r w:rsidR="000B251F">
        <w:rPr>
          <w:rFonts w:cs="Arial"/>
        </w:rPr>
        <w:t xml:space="preserve"> </w:t>
      </w:r>
      <w:r w:rsidR="00BD4214">
        <w:rPr>
          <w:rFonts w:cs="Arial"/>
        </w:rPr>
        <w:t>at the tender stage</w:t>
      </w:r>
      <w:r w:rsidR="00573C27">
        <w:rPr>
          <w:rFonts w:cs="Arial"/>
        </w:rPr>
        <w:t>.</w:t>
      </w:r>
      <w:r w:rsidR="00652316">
        <w:rPr>
          <w:rFonts w:cs="Arial"/>
        </w:rPr>
        <w:t xml:space="preserve"> Note that we </w:t>
      </w:r>
      <w:r w:rsidR="0010231F">
        <w:rPr>
          <w:rFonts w:cs="Arial"/>
        </w:rPr>
        <w:t>assume</w:t>
      </w:r>
      <w:r w:rsidR="00652316">
        <w:rPr>
          <w:rFonts w:cs="Arial"/>
        </w:rPr>
        <w:t xml:space="preserve"> </w:t>
      </w:r>
      <w:r w:rsidR="0010231F">
        <w:rPr>
          <w:rFonts w:cs="Arial"/>
        </w:rPr>
        <w:t xml:space="preserve">the </w:t>
      </w:r>
      <w:r w:rsidR="00652316">
        <w:rPr>
          <w:rFonts w:cs="Arial"/>
        </w:rPr>
        <w:t xml:space="preserve">children </w:t>
      </w:r>
      <w:r w:rsidR="0010231F">
        <w:rPr>
          <w:rFonts w:cs="Arial"/>
        </w:rPr>
        <w:t xml:space="preserve">sampled for the impact study </w:t>
      </w:r>
      <w:r w:rsidR="00652316">
        <w:rPr>
          <w:rFonts w:cs="Arial"/>
        </w:rPr>
        <w:t>will be aged 2 to 3 years at the time the first (baseline) assessments are conducted</w:t>
      </w:r>
      <w:r w:rsidR="005453F9">
        <w:rPr>
          <w:rFonts w:cs="Arial"/>
        </w:rPr>
        <w:t xml:space="preserve"> in order that they are more likely to be </w:t>
      </w:r>
      <w:r w:rsidR="00C43ED6">
        <w:rPr>
          <w:rFonts w:cs="Arial"/>
        </w:rPr>
        <w:t>attending the same</w:t>
      </w:r>
      <w:r w:rsidR="005453F9">
        <w:rPr>
          <w:rFonts w:cs="Arial"/>
        </w:rPr>
        <w:t xml:space="preserve"> settings at the follow-up time point</w:t>
      </w:r>
      <w:r w:rsidR="004223E7">
        <w:rPr>
          <w:rFonts w:cs="Arial"/>
        </w:rPr>
        <w:t>; intention to treat analysis may be required for any children that change settings during the study</w:t>
      </w:r>
      <w:r w:rsidR="00652316">
        <w:rPr>
          <w:rFonts w:cs="Arial"/>
        </w:rPr>
        <w:t xml:space="preserve">. </w:t>
      </w:r>
    </w:p>
    <w:p w14:paraId="799A01E5" w14:textId="77777777" w:rsidR="006C7111" w:rsidRDefault="006C7111">
      <w:pPr>
        <w:spacing w:after="0" w:line="240" w:lineRule="auto"/>
        <w:rPr>
          <w:rFonts w:cs="Arial"/>
          <w:b/>
          <w:color w:val="1F497D" w:themeColor="text2"/>
          <w:sz w:val="24"/>
        </w:rPr>
      </w:pPr>
      <w:r>
        <w:rPr>
          <w:rFonts w:cs="Arial"/>
          <w:b/>
          <w:color w:val="1F497D" w:themeColor="text2"/>
          <w:sz w:val="24"/>
        </w:rPr>
        <w:br w:type="page"/>
      </w:r>
    </w:p>
    <w:p w14:paraId="342570AF" w14:textId="71D0FD80" w:rsidR="00573C27" w:rsidRDefault="00EE24C7" w:rsidP="00573C27">
      <w:pPr>
        <w:rPr>
          <w:rFonts w:cs="Arial"/>
          <w:b/>
          <w:color w:val="1F497D" w:themeColor="text2"/>
          <w:sz w:val="24"/>
        </w:rPr>
      </w:pPr>
      <w:r>
        <w:rPr>
          <w:rFonts w:cs="Arial"/>
          <w:b/>
          <w:color w:val="1F497D" w:themeColor="text2"/>
          <w:sz w:val="24"/>
        </w:rPr>
        <w:lastRenderedPageBreak/>
        <w:t>Data c</w:t>
      </w:r>
      <w:r w:rsidR="00573C27" w:rsidRPr="00D10653">
        <w:rPr>
          <w:rFonts w:cs="Arial"/>
          <w:b/>
          <w:color w:val="1F497D" w:themeColor="text2"/>
          <w:sz w:val="24"/>
        </w:rPr>
        <w:t>ollection</w:t>
      </w:r>
    </w:p>
    <w:p w14:paraId="45924427" w14:textId="77777777" w:rsidR="004223E7" w:rsidRDefault="00BD4214" w:rsidP="006B3554">
      <w:pPr>
        <w:rPr>
          <w:rFonts w:cs="Arial"/>
        </w:rPr>
      </w:pPr>
      <w:r>
        <w:rPr>
          <w:rFonts w:cs="Arial"/>
        </w:rPr>
        <w:t>We expect the project to involve</w:t>
      </w:r>
      <w:r w:rsidR="004223E7">
        <w:rPr>
          <w:rFonts w:cs="Arial"/>
        </w:rPr>
        <w:t>:</w:t>
      </w:r>
      <w:r>
        <w:rPr>
          <w:rFonts w:cs="Arial"/>
        </w:rPr>
        <w:t xml:space="preserve"> </w:t>
      </w:r>
    </w:p>
    <w:p w14:paraId="42DD8334" w14:textId="7572B68F" w:rsidR="004223E7" w:rsidRDefault="00BD4214" w:rsidP="004223E7">
      <w:pPr>
        <w:pStyle w:val="ListParagraph"/>
        <w:numPr>
          <w:ilvl w:val="0"/>
          <w:numId w:val="41"/>
        </w:numPr>
        <w:rPr>
          <w:rFonts w:cs="Arial"/>
        </w:rPr>
      </w:pPr>
      <w:r w:rsidRPr="004223E7">
        <w:rPr>
          <w:rFonts w:cs="Arial"/>
        </w:rPr>
        <w:t>f</w:t>
      </w:r>
      <w:r w:rsidR="006B3554" w:rsidRPr="004223E7">
        <w:rPr>
          <w:rFonts w:cs="Arial"/>
        </w:rPr>
        <w:t xml:space="preserve">ace-to-face child assessments </w:t>
      </w:r>
      <w:r w:rsidRPr="004223E7">
        <w:rPr>
          <w:rFonts w:cs="Arial"/>
        </w:rPr>
        <w:t>before and after the PDP intervention</w:t>
      </w:r>
      <w:r w:rsidR="005453F9" w:rsidRPr="004223E7">
        <w:rPr>
          <w:rFonts w:cs="Arial"/>
        </w:rPr>
        <w:t xml:space="preserve">, </w:t>
      </w:r>
      <w:r w:rsidR="0027444D" w:rsidRPr="004223E7">
        <w:rPr>
          <w:rFonts w:cs="Arial"/>
        </w:rPr>
        <w:t xml:space="preserve">likely to be </w:t>
      </w:r>
      <w:r w:rsidR="005453F9" w:rsidRPr="004223E7">
        <w:rPr>
          <w:rFonts w:cs="Arial"/>
        </w:rPr>
        <w:t>carried out within EY settings,</w:t>
      </w:r>
      <w:r w:rsidRPr="004223E7">
        <w:rPr>
          <w:rFonts w:cs="Arial"/>
        </w:rPr>
        <w:t xml:space="preserve"> </w:t>
      </w:r>
    </w:p>
    <w:p w14:paraId="66306397" w14:textId="126A2D2E" w:rsidR="006B3554" w:rsidRPr="004223E7" w:rsidRDefault="00470CC8" w:rsidP="004223E7">
      <w:pPr>
        <w:pStyle w:val="ListParagraph"/>
        <w:numPr>
          <w:ilvl w:val="0"/>
          <w:numId w:val="41"/>
        </w:numPr>
        <w:rPr>
          <w:rFonts w:cs="Arial"/>
        </w:rPr>
      </w:pPr>
      <w:r>
        <w:rPr>
          <w:rFonts w:cs="Arial"/>
        </w:rPr>
        <w:t>collection of data</w:t>
      </w:r>
      <w:r w:rsidR="00BD4214" w:rsidRPr="004223E7">
        <w:rPr>
          <w:rFonts w:cs="Arial"/>
        </w:rPr>
        <w:t xml:space="preserve"> </w:t>
      </w:r>
      <w:r w:rsidR="006B3554" w:rsidRPr="004223E7">
        <w:rPr>
          <w:rFonts w:cs="Arial"/>
        </w:rPr>
        <w:t xml:space="preserve">to measure </w:t>
      </w:r>
      <w:r w:rsidR="005453F9" w:rsidRPr="004223E7">
        <w:rPr>
          <w:rFonts w:cs="Arial"/>
        </w:rPr>
        <w:t xml:space="preserve">factors </w:t>
      </w:r>
      <w:r>
        <w:rPr>
          <w:rFonts w:cs="Arial"/>
        </w:rPr>
        <w:t xml:space="preserve">that are </w:t>
      </w:r>
      <w:r w:rsidR="005453F9" w:rsidRPr="004223E7">
        <w:rPr>
          <w:rFonts w:cs="Arial"/>
        </w:rPr>
        <w:t xml:space="preserve">expected to affect childrens outcomes such as </w:t>
      </w:r>
      <w:r w:rsidR="006B3554" w:rsidRPr="004223E7">
        <w:rPr>
          <w:rFonts w:cs="Arial"/>
        </w:rPr>
        <w:t xml:space="preserve">demographics, socio-economic </w:t>
      </w:r>
      <w:r>
        <w:rPr>
          <w:rFonts w:cs="Arial"/>
        </w:rPr>
        <w:t>status</w:t>
      </w:r>
      <w:r w:rsidR="006B3554" w:rsidRPr="004223E7">
        <w:rPr>
          <w:rFonts w:cs="Arial"/>
        </w:rPr>
        <w:t xml:space="preserve">, use of childcare, and the Home Learning Environment. </w:t>
      </w:r>
      <w:r w:rsidR="0027444D" w:rsidRPr="004223E7">
        <w:rPr>
          <w:rFonts w:cs="Arial"/>
        </w:rPr>
        <w:t>Some data may be available in administrative data and/or from settings</w:t>
      </w:r>
      <w:r w:rsidR="004223E7">
        <w:rPr>
          <w:rFonts w:cs="Arial"/>
        </w:rPr>
        <w:t>, while some</w:t>
      </w:r>
      <w:r w:rsidR="0027444D" w:rsidRPr="004223E7">
        <w:rPr>
          <w:rFonts w:cs="Arial"/>
        </w:rPr>
        <w:t xml:space="preserve"> direct data collection from parents</w:t>
      </w:r>
      <w:r w:rsidR="004223E7">
        <w:rPr>
          <w:rFonts w:cs="Arial"/>
        </w:rPr>
        <w:t xml:space="preserve"> (or a sample of parents) may also be required</w:t>
      </w:r>
      <w:r w:rsidR="0027444D" w:rsidRPr="004223E7">
        <w:rPr>
          <w:rFonts w:cs="Arial"/>
        </w:rPr>
        <w:t>.</w:t>
      </w:r>
    </w:p>
    <w:p w14:paraId="67C2D8C0" w14:textId="5D3FF3B5" w:rsidR="006C7111" w:rsidRDefault="006B3554" w:rsidP="004F1001">
      <w:pPr>
        <w:rPr>
          <w:rFonts w:cs="Arial"/>
        </w:rPr>
      </w:pPr>
      <w:r w:rsidRPr="0087478C">
        <w:rPr>
          <w:rFonts w:cs="Arial"/>
        </w:rPr>
        <w:t xml:space="preserve">The follow-up child assessment would be conducted </w:t>
      </w:r>
      <w:r w:rsidR="00BD4214">
        <w:rPr>
          <w:rFonts w:cs="Arial"/>
        </w:rPr>
        <w:t>6 months to</w:t>
      </w:r>
      <w:r w:rsidRPr="0087478C">
        <w:rPr>
          <w:rFonts w:cs="Arial"/>
        </w:rPr>
        <w:t xml:space="preserve"> a year after commencement of the intervention, subject to the advice of the evaluator and PDP delivery partner. </w:t>
      </w:r>
      <w:r w:rsidR="00BD4214">
        <w:rPr>
          <w:rFonts w:cs="Arial"/>
        </w:rPr>
        <w:t>Considerations include allowing</w:t>
      </w:r>
      <w:r w:rsidRPr="0087478C">
        <w:rPr>
          <w:rFonts w:cs="Arial"/>
        </w:rPr>
        <w:t xml:space="preserve"> sufficient time for the intervention to be delivered and be embedded, as well as pragmatic requirements </w:t>
      </w:r>
      <w:r w:rsidR="00BD4214">
        <w:rPr>
          <w:rFonts w:cs="Arial"/>
        </w:rPr>
        <w:t>to ensure the</w:t>
      </w:r>
      <w:r w:rsidRPr="0087478C">
        <w:rPr>
          <w:rFonts w:cs="Arial"/>
        </w:rPr>
        <w:t xml:space="preserve"> </w:t>
      </w:r>
      <w:r w:rsidR="0010231F">
        <w:rPr>
          <w:rFonts w:cs="Arial"/>
        </w:rPr>
        <w:t>PDP</w:t>
      </w:r>
      <w:r w:rsidR="00BD4214">
        <w:rPr>
          <w:rFonts w:cs="Arial"/>
        </w:rPr>
        <w:t xml:space="preserve"> </w:t>
      </w:r>
      <w:r w:rsidR="005C11AD">
        <w:rPr>
          <w:rFonts w:cs="Arial"/>
        </w:rPr>
        <w:t>delivery to</w:t>
      </w:r>
      <w:r w:rsidRPr="0087478C">
        <w:rPr>
          <w:rFonts w:cs="Arial"/>
        </w:rPr>
        <w:t xml:space="preserve"> the wait</w:t>
      </w:r>
      <w:r w:rsidR="00BD4214">
        <w:rPr>
          <w:rFonts w:cs="Arial"/>
        </w:rPr>
        <w:t xml:space="preserve">ing </w:t>
      </w:r>
      <w:r w:rsidRPr="0087478C">
        <w:rPr>
          <w:rFonts w:cs="Arial"/>
        </w:rPr>
        <w:t xml:space="preserve">list control group </w:t>
      </w:r>
      <w:r w:rsidR="005C11AD">
        <w:rPr>
          <w:rFonts w:cs="Arial"/>
        </w:rPr>
        <w:t xml:space="preserve">is completed </w:t>
      </w:r>
      <w:r w:rsidR="00BD4214">
        <w:rPr>
          <w:rFonts w:cs="Arial"/>
        </w:rPr>
        <w:t>within an acceptable time period</w:t>
      </w:r>
      <w:r w:rsidR="005453F9">
        <w:rPr>
          <w:rFonts w:cs="Arial"/>
        </w:rPr>
        <w:t xml:space="preserve"> and that children who were assessed at baseline are likely to still be within </w:t>
      </w:r>
      <w:r w:rsidR="00C43ED6">
        <w:rPr>
          <w:rFonts w:cs="Arial"/>
        </w:rPr>
        <w:t xml:space="preserve">the same </w:t>
      </w:r>
      <w:r w:rsidR="005453F9">
        <w:rPr>
          <w:rFonts w:cs="Arial"/>
        </w:rPr>
        <w:t>settings at the follow-up time point</w:t>
      </w:r>
      <w:r w:rsidRPr="0087478C">
        <w:rPr>
          <w:rFonts w:cs="Arial"/>
        </w:rPr>
        <w:t>.</w:t>
      </w:r>
      <w:r w:rsidR="0027444D">
        <w:rPr>
          <w:rFonts w:cs="Arial"/>
        </w:rPr>
        <w:t xml:space="preserve"> The evaluator would need to implement strategies to </w:t>
      </w:r>
      <w:r w:rsidR="0027444D" w:rsidRPr="0027444D">
        <w:rPr>
          <w:rFonts w:cs="Arial"/>
        </w:rPr>
        <w:t xml:space="preserve">minimise attrition </w:t>
      </w:r>
      <w:r w:rsidR="0027444D">
        <w:rPr>
          <w:rFonts w:cs="Arial"/>
        </w:rPr>
        <w:t>between pre- and post-test</w:t>
      </w:r>
      <w:r w:rsidR="0027444D" w:rsidRPr="0027444D">
        <w:rPr>
          <w:rFonts w:cs="Arial"/>
        </w:rPr>
        <w:t>, and to follow-up children that may be absent on test days, or have moved settings</w:t>
      </w:r>
      <w:r w:rsidR="0027444D">
        <w:rPr>
          <w:rFonts w:cs="Arial"/>
        </w:rPr>
        <w:t>.</w:t>
      </w:r>
      <w:r w:rsidR="006C7111">
        <w:rPr>
          <w:rFonts w:cs="Arial"/>
        </w:rPr>
        <w:br/>
      </w:r>
    </w:p>
    <w:p w14:paraId="07AC4880" w14:textId="31955D50" w:rsidR="00BD4214" w:rsidRDefault="00BD4214" w:rsidP="00BD4214">
      <w:pPr>
        <w:rPr>
          <w:rFonts w:cs="Arial"/>
          <w:b/>
          <w:color w:val="1F497D" w:themeColor="text2"/>
          <w:sz w:val="24"/>
        </w:rPr>
      </w:pPr>
      <w:r w:rsidRPr="00D10653">
        <w:rPr>
          <w:rFonts w:cs="Arial"/>
          <w:b/>
          <w:color w:val="1F497D" w:themeColor="text2"/>
          <w:sz w:val="24"/>
        </w:rPr>
        <w:t xml:space="preserve">Data </w:t>
      </w:r>
      <w:r>
        <w:rPr>
          <w:rFonts w:cs="Arial"/>
          <w:b/>
          <w:color w:val="1F497D" w:themeColor="text2"/>
          <w:sz w:val="24"/>
        </w:rPr>
        <w:t>analysis and linking</w:t>
      </w:r>
    </w:p>
    <w:p w14:paraId="216FF4B1" w14:textId="0111EF1F" w:rsidR="00BD4214" w:rsidRDefault="00EE24C7" w:rsidP="004F1001">
      <w:pPr>
        <w:rPr>
          <w:rFonts w:cs="Arial"/>
        </w:rPr>
      </w:pPr>
      <w:r>
        <w:rPr>
          <w:rFonts w:cs="Arial"/>
        </w:rPr>
        <w:t xml:space="preserve">Bidders will be required to demonstrate that they have expertise in relevant statistical analysis techniques to measure impact. </w:t>
      </w:r>
    </w:p>
    <w:p w14:paraId="71744F9A" w14:textId="3BE7E66F" w:rsidR="00EE24C7" w:rsidRPr="00D674B1" w:rsidRDefault="00EE24C7" w:rsidP="004F1001">
      <w:pPr>
        <w:rPr>
          <w:rFonts w:cs="Arial"/>
        </w:rPr>
      </w:pPr>
      <w:r>
        <w:rPr>
          <w:rFonts w:cs="Arial"/>
        </w:rPr>
        <w:t xml:space="preserve">At the data collection stage we intend to ensure the relevant permissions are in place to enable data linking between the sampled children and the National Pupil Database, for example to be able to </w:t>
      </w:r>
      <w:r w:rsidR="007F5220">
        <w:rPr>
          <w:rFonts w:cs="Arial"/>
        </w:rPr>
        <w:t>compare the</w:t>
      </w:r>
      <w:r>
        <w:rPr>
          <w:rFonts w:cs="Arial"/>
        </w:rPr>
        <w:t xml:space="preserve"> Early Years Foundation Stage Profile (EYFSP) results </w:t>
      </w:r>
      <w:r w:rsidR="007F5220">
        <w:rPr>
          <w:rFonts w:cs="Arial"/>
        </w:rPr>
        <w:t xml:space="preserve">for the intervention and control groups </w:t>
      </w:r>
      <w:r>
        <w:rPr>
          <w:rFonts w:cs="Arial"/>
        </w:rPr>
        <w:t>in future</w:t>
      </w:r>
      <w:r w:rsidR="007F5220">
        <w:rPr>
          <w:rFonts w:cs="Arial"/>
        </w:rPr>
        <w:t>.</w:t>
      </w:r>
      <w:r>
        <w:rPr>
          <w:rFonts w:cs="Arial"/>
        </w:rPr>
        <w:t xml:space="preserve"> </w:t>
      </w:r>
    </w:p>
    <w:p w14:paraId="502BE6FA" w14:textId="767CE4E9" w:rsidR="004A600B" w:rsidRDefault="004A600B" w:rsidP="001F2CE2">
      <w:pPr>
        <w:pStyle w:val="Heading2"/>
      </w:pPr>
      <w:r>
        <w:t>Timing</w:t>
      </w:r>
    </w:p>
    <w:p w14:paraId="3066B4E2" w14:textId="184B1F4D" w:rsidR="00D674B1" w:rsidRPr="00D674B1" w:rsidRDefault="00D674B1" w:rsidP="00D674B1">
      <w:r>
        <w:t>Please find a provisional evaluation timetable below:</w:t>
      </w:r>
    </w:p>
    <w:p w14:paraId="6DB3DA3D" w14:textId="779D7A52" w:rsidR="007E0083" w:rsidRPr="007E0083" w:rsidRDefault="007E0083" w:rsidP="007E0083">
      <w:pPr>
        <w:pStyle w:val="ListParagraph"/>
        <w:numPr>
          <w:ilvl w:val="0"/>
          <w:numId w:val="18"/>
        </w:numPr>
      </w:pPr>
      <w:r w:rsidRPr="007E0083">
        <w:t>Deadline for EOIs</w:t>
      </w:r>
      <w:r w:rsidR="00D93149">
        <w:t>:</w:t>
      </w:r>
      <w:r w:rsidRPr="007E0083">
        <w:t xml:space="preserve"> 5pm</w:t>
      </w:r>
      <w:r w:rsidR="00D40A02">
        <w:t xml:space="preserve"> </w:t>
      </w:r>
      <w:r w:rsidR="00D93149">
        <w:t>on 2</w:t>
      </w:r>
      <w:r w:rsidR="00DE35DC">
        <w:t>7</w:t>
      </w:r>
      <w:r w:rsidR="00D93149">
        <w:t xml:space="preserve"> June 2019</w:t>
      </w:r>
    </w:p>
    <w:p w14:paraId="1AD7D7F8" w14:textId="6DA75450" w:rsidR="007E0083" w:rsidRPr="007E0083" w:rsidRDefault="00D674B1" w:rsidP="007E0083">
      <w:pPr>
        <w:pStyle w:val="ListParagraph"/>
        <w:numPr>
          <w:ilvl w:val="0"/>
          <w:numId w:val="18"/>
        </w:numPr>
      </w:pPr>
      <w:r>
        <w:t>Invitation to Tender Issued</w:t>
      </w:r>
      <w:r w:rsidR="00D93149">
        <w:t>:</w:t>
      </w:r>
      <w:r w:rsidR="007E0083" w:rsidRPr="007E0083">
        <w:t xml:space="preserve"> </w:t>
      </w:r>
      <w:r w:rsidR="00DE35DC">
        <w:t>w/c 8</w:t>
      </w:r>
      <w:r w:rsidR="00D93149">
        <w:t xml:space="preserve"> July 2019</w:t>
      </w:r>
    </w:p>
    <w:p w14:paraId="658500A9" w14:textId="1735744C" w:rsidR="007E0083" w:rsidRPr="007E0083" w:rsidRDefault="007E0083" w:rsidP="007E0083">
      <w:pPr>
        <w:pStyle w:val="ListParagraph"/>
        <w:numPr>
          <w:ilvl w:val="0"/>
          <w:numId w:val="18"/>
        </w:numPr>
      </w:pPr>
      <w:r w:rsidRPr="007E0083">
        <w:t>Deadline for</w:t>
      </w:r>
      <w:r w:rsidR="00D674B1">
        <w:t xml:space="preserve"> ITT submission</w:t>
      </w:r>
      <w:r w:rsidR="00D93149">
        <w:t>:</w:t>
      </w:r>
      <w:r w:rsidRPr="007E0083">
        <w:t xml:space="preserve"> </w:t>
      </w:r>
      <w:r w:rsidR="00DE35DC">
        <w:t>w/c 5</w:t>
      </w:r>
      <w:r w:rsidR="00D93149">
        <w:t xml:space="preserve"> August 2019</w:t>
      </w:r>
    </w:p>
    <w:p w14:paraId="3A773CBF" w14:textId="12FE0382" w:rsidR="007E0083" w:rsidRPr="007E0083" w:rsidRDefault="00D674B1" w:rsidP="007E0083">
      <w:pPr>
        <w:pStyle w:val="ListParagraph"/>
        <w:numPr>
          <w:ilvl w:val="0"/>
          <w:numId w:val="18"/>
        </w:numPr>
      </w:pPr>
      <w:r>
        <w:t>Tender panel interviews, if required</w:t>
      </w:r>
      <w:r w:rsidR="00D93149">
        <w:t>:</w:t>
      </w:r>
      <w:r>
        <w:t xml:space="preserve"> w/c</w:t>
      </w:r>
      <w:r w:rsidR="00DE35DC">
        <w:t xml:space="preserve"> 16</w:t>
      </w:r>
      <w:r w:rsidR="00D93149">
        <w:t xml:space="preserve"> September</w:t>
      </w:r>
      <w:r w:rsidR="007E0083" w:rsidRPr="007E0083">
        <w:t xml:space="preserve"> </w:t>
      </w:r>
    </w:p>
    <w:p w14:paraId="0B622DB4" w14:textId="5EDF81DE" w:rsidR="007E0083" w:rsidRDefault="00D674B1" w:rsidP="007E0083">
      <w:pPr>
        <w:pStyle w:val="ListParagraph"/>
        <w:numPr>
          <w:ilvl w:val="0"/>
          <w:numId w:val="18"/>
        </w:numPr>
      </w:pPr>
      <w:r>
        <w:t>Contract awarded</w:t>
      </w:r>
      <w:r w:rsidR="00D93149">
        <w:t xml:space="preserve">: w/c </w:t>
      </w:r>
      <w:r w:rsidR="00DE35DC">
        <w:t>23</w:t>
      </w:r>
      <w:r w:rsidR="00D93149">
        <w:t xml:space="preserve"> September</w:t>
      </w:r>
    </w:p>
    <w:p w14:paraId="5A7E17B3" w14:textId="264B2404" w:rsidR="00470CC8" w:rsidRDefault="00470CC8" w:rsidP="00D674B1">
      <w:pPr>
        <w:pStyle w:val="ListParagraph"/>
        <w:numPr>
          <w:ilvl w:val="0"/>
          <w:numId w:val="18"/>
        </w:numPr>
      </w:pPr>
      <w:r>
        <w:t>Interim</w:t>
      </w:r>
      <w:r w:rsidR="00D674B1">
        <w:t xml:space="preserve"> report</w:t>
      </w:r>
      <w:r w:rsidR="00704040">
        <w:t>ing</w:t>
      </w:r>
      <w:r w:rsidR="002F4C63">
        <w:t xml:space="preserve"> (impact evaluation)</w:t>
      </w:r>
      <w:r w:rsidR="00C41399">
        <w:t xml:space="preserve">: </w:t>
      </w:r>
      <w:r w:rsidR="002F4C63">
        <w:t xml:space="preserve">late </w:t>
      </w:r>
      <w:r w:rsidR="00C41399">
        <w:t>summer 2021</w:t>
      </w:r>
      <w:r w:rsidR="005C11AD">
        <w:t xml:space="preserve"> </w:t>
      </w:r>
    </w:p>
    <w:p w14:paraId="26521898" w14:textId="4C875FC2" w:rsidR="00D674B1" w:rsidRDefault="00470CC8" w:rsidP="00D674B1">
      <w:pPr>
        <w:pStyle w:val="ListParagraph"/>
        <w:numPr>
          <w:ilvl w:val="0"/>
          <w:numId w:val="18"/>
        </w:numPr>
      </w:pPr>
      <w:r>
        <w:t>Final reporting: December 2021</w:t>
      </w:r>
    </w:p>
    <w:p w14:paraId="0A40BA4B" w14:textId="13C87CCA" w:rsidR="00D674B1" w:rsidRPr="007E0083" w:rsidRDefault="00D674B1" w:rsidP="00D674B1">
      <w:r>
        <w:t>We will require regular progress reporting throughout the project</w:t>
      </w:r>
      <w:r w:rsidR="00D93149">
        <w:t xml:space="preserve"> and interim reporting </w:t>
      </w:r>
      <w:r w:rsidR="002F4C63">
        <w:t>(</w:t>
      </w:r>
      <w:r w:rsidR="00940473">
        <w:t xml:space="preserve">e.g. on the </w:t>
      </w:r>
      <w:r w:rsidR="002F4C63">
        <w:t xml:space="preserve">process evaluation) </w:t>
      </w:r>
      <w:r w:rsidR="00D93149">
        <w:t>at milestones to be agreed</w:t>
      </w:r>
      <w:r>
        <w:t xml:space="preserve">. </w:t>
      </w:r>
    </w:p>
    <w:p w14:paraId="033C154A" w14:textId="77777777" w:rsidR="006C7111" w:rsidRDefault="006C7111">
      <w:pPr>
        <w:spacing w:after="0" w:line="240" w:lineRule="auto"/>
        <w:rPr>
          <w:b/>
          <w:color w:val="104F75"/>
          <w:sz w:val="32"/>
          <w:szCs w:val="32"/>
        </w:rPr>
      </w:pPr>
      <w:r>
        <w:br w:type="page"/>
      </w:r>
    </w:p>
    <w:p w14:paraId="0D2B2C65" w14:textId="25994014" w:rsidR="004A600B" w:rsidRPr="004A600B" w:rsidRDefault="004A600B" w:rsidP="007E0083">
      <w:pPr>
        <w:pStyle w:val="Heading2"/>
      </w:pPr>
      <w:r w:rsidRPr="004A600B">
        <w:lastRenderedPageBreak/>
        <w:t>Assessment criteria</w:t>
      </w:r>
    </w:p>
    <w:p w14:paraId="24F04A37" w14:textId="6759371A" w:rsidR="00BE5FDE" w:rsidRPr="009E7F21" w:rsidRDefault="00BE5FDE" w:rsidP="00BE5FDE">
      <w:pPr>
        <w:spacing w:line="276" w:lineRule="auto"/>
        <w:rPr>
          <w:szCs w:val="22"/>
        </w:rPr>
      </w:pPr>
      <w:r w:rsidRPr="009E7F21">
        <w:rPr>
          <w:szCs w:val="22"/>
        </w:rPr>
        <w:t xml:space="preserve">Expressions of interest will be assessed </w:t>
      </w:r>
      <w:r w:rsidR="00B75B2A" w:rsidRPr="009E7F21">
        <w:rPr>
          <w:szCs w:val="22"/>
        </w:rPr>
        <w:t>against the following criteria</w:t>
      </w:r>
      <w:r w:rsidRPr="009E7F21">
        <w:rPr>
          <w:szCs w:val="22"/>
        </w:rPr>
        <w:t xml:space="preserve">. </w:t>
      </w:r>
    </w:p>
    <w:p w14:paraId="0AC9B7B1" w14:textId="77610BF6" w:rsidR="0087720B" w:rsidRPr="009E7F21" w:rsidRDefault="0087720B" w:rsidP="00746410">
      <w:pPr>
        <w:spacing w:after="0" w:line="240" w:lineRule="auto"/>
        <w:rPr>
          <w:rFonts w:cs="Arial"/>
          <w:szCs w:val="22"/>
          <w:lang w:eastAsia="en-US"/>
        </w:rPr>
      </w:pPr>
      <w:r w:rsidRPr="009E7F21">
        <w:rPr>
          <w:rFonts w:cs="Arial"/>
          <w:szCs w:val="22"/>
          <w:lang w:eastAsia="en-US"/>
        </w:rPr>
        <w:t xml:space="preserve">To proceed to the </w:t>
      </w:r>
      <w:r w:rsidR="00746410" w:rsidRPr="009E7F21">
        <w:rPr>
          <w:rFonts w:cs="Arial"/>
          <w:szCs w:val="22"/>
          <w:lang w:eastAsia="en-US"/>
        </w:rPr>
        <w:t>invitation to tender (</w:t>
      </w:r>
      <w:r w:rsidRPr="009E7F21">
        <w:rPr>
          <w:rFonts w:cs="Arial"/>
          <w:szCs w:val="22"/>
          <w:lang w:eastAsia="en-US"/>
        </w:rPr>
        <w:t>ITT</w:t>
      </w:r>
      <w:r w:rsidR="00746410" w:rsidRPr="009E7F21">
        <w:rPr>
          <w:rFonts w:cs="Arial"/>
          <w:szCs w:val="22"/>
          <w:lang w:eastAsia="en-US"/>
        </w:rPr>
        <w:t>)</w:t>
      </w:r>
      <w:r w:rsidRPr="009E7F21">
        <w:rPr>
          <w:rFonts w:cs="Arial"/>
          <w:szCs w:val="22"/>
          <w:lang w:eastAsia="en-US"/>
        </w:rPr>
        <w:t xml:space="preserve"> stage, bidders are required to provide </w:t>
      </w:r>
      <w:r w:rsidR="00D055E1" w:rsidRPr="009E7F21">
        <w:rPr>
          <w:rFonts w:cs="Arial"/>
          <w:szCs w:val="22"/>
          <w:lang w:eastAsia="en-US"/>
        </w:rPr>
        <w:t xml:space="preserve">specific </w:t>
      </w:r>
      <w:r w:rsidRPr="009E7F21">
        <w:rPr>
          <w:rFonts w:cs="Arial"/>
          <w:szCs w:val="22"/>
          <w:lang w:eastAsia="en-US"/>
        </w:rPr>
        <w:t>evidence</w:t>
      </w:r>
      <w:r w:rsidR="009155B0" w:rsidRPr="009E7F21">
        <w:rPr>
          <w:rFonts w:cs="Arial"/>
          <w:szCs w:val="22"/>
          <w:lang w:eastAsia="en-US"/>
        </w:rPr>
        <w:t xml:space="preserve"> that they have the </w:t>
      </w:r>
      <w:r w:rsidR="00D055E1" w:rsidRPr="009E7F21">
        <w:rPr>
          <w:rFonts w:cs="Arial"/>
          <w:szCs w:val="22"/>
          <w:lang w:eastAsia="en-US"/>
        </w:rPr>
        <w:t>required</w:t>
      </w:r>
      <w:r w:rsidR="009155B0" w:rsidRPr="009E7F21">
        <w:rPr>
          <w:rFonts w:cs="Arial"/>
          <w:szCs w:val="22"/>
          <w:lang w:eastAsia="en-US"/>
        </w:rPr>
        <w:t xml:space="preserve"> experience and expertise.</w:t>
      </w:r>
      <w:r w:rsidRPr="009E7F21">
        <w:rPr>
          <w:rFonts w:cs="Arial"/>
          <w:szCs w:val="22"/>
          <w:lang w:eastAsia="en-US"/>
        </w:rPr>
        <w:t xml:space="preserve"> </w:t>
      </w:r>
    </w:p>
    <w:p w14:paraId="5A549377" w14:textId="77777777" w:rsidR="009155B0" w:rsidRPr="009E7F21" w:rsidRDefault="009155B0" w:rsidP="0087720B">
      <w:pPr>
        <w:spacing w:after="0" w:line="240" w:lineRule="auto"/>
        <w:jc w:val="both"/>
        <w:rPr>
          <w:rFonts w:cs="Arial"/>
          <w:szCs w:val="22"/>
          <w:lang w:eastAsia="en-US"/>
        </w:rPr>
      </w:pPr>
    </w:p>
    <w:p w14:paraId="0B785444" w14:textId="7A6A993B" w:rsidR="009155B0" w:rsidRPr="009E7F21" w:rsidRDefault="009155B0" w:rsidP="003E33CC">
      <w:pPr>
        <w:spacing w:after="200" w:line="276" w:lineRule="auto"/>
        <w:ind w:left="720"/>
        <w:contextualSpacing/>
        <w:jc w:val="both"/>
        <w:rPr>
          <w:rFonts w:eastAsia="Calibri" w:cs="Arial"/>
          <w:b/>
          <w:szCs w:val="22"/>
          <w:lang w:eastAsia="en-US"/>
        </w:rPr>
      </w:pPr>
      <w:r w:rsidRPr="009E7F21">
        <w:rPr>
          <w:rFonts w:eastAsia="Calibri" w:cs="Arial"/>
          <w:b/>
          <w:szCs w:val="22"/>
          <w:lang w:eastAsia="en-US"/>
        </w:rPr>
        <w:t xml:space="preserve">Project management, organisational capacity and risk management </w:t>
      </w:r>
    </w:p>
    <w:p w14:paraId="3FC4D465" w14:textId="2AF9138E" w:rsidR="003575E4" w:rsidRPr="009E7F21" w:rsidRDefault="0087720B" w:rsidP="00C43ED6">
      <w:pPr>
        <w:numPr>
          <w:ilvl w:val="0"/>
          <w:numId w:val="37"/>
        </w:numPr>
        <w:spacing w:after="200" w:line="276" w:lineRule="auto"/>
        <w:contextualSpacing/>
        <w:rPr>
          <w:rFonts w:eastAsia="Calibri" w:cs="Arial"/>
          <w:szCs w:val="22"/>
          <w:lang w:eastAsia="en-US"/>
        </w:rPr>
      </w:pPr>
      <w:r w:rsidRPr="009E7F21">
        <w:rPr>
          <w:rFonts w:eastAsia="Calibri" w:cs="Arial"/>
          <w:szCs w:val="22"/>
          <w:lang w:eastAsia="en-US"/>
        </w:rPr>
        <w:t xml:space="preserve">Organisational capacity, effective project management skills and experience of </w:t>
      </w:r>
      <w:r w:rsidR="00285A85" w:rsidRPr="009E7F21">
        <w:rPr>
          <w:rFonts w:eastAsia="Calibri" w:cs="Arial"/>
          <w:szCs w:val="22"/>
          <w:lang w:eastAsia="en-US"/>
        </w:rPr>
        <w:t>implementing</w:t>
      </w:r>
      <w:r w:rsidRPr="009E7F21">
        <w:rPr>
          <w:rFonts w:eastAsia="Calibri" w:cs="Arial"/>
          <w:szCs w:val="22"/>
          <w:lang w:eastAsia="en-US"/>
        </w:rPr>
        <w:t xml:space="preserve"> a policy evaluation of </w:t>
      </w:r>
      <w:r w:rsidR="009155B0" w:rsidRPr="009E7F21">
        <w:rPr>
          <w:rFonts w:eastAsia="Calibri" w:cs="Arial"/>
          <w:szCs w:val="22"/>
          <w:lang w:eastAsia="en-US"/>
        </w:rPr>
        <w:t>this</w:t>
      </w:r>
      <w:r w:rsidRPr="009E7F21">
        <w:rPr>
          <w:rFonts w:eastAsia="Calibri" w:cs="Arial"/>
          <w:szCs w:val="22"/>
          <w:lang w:eastAsia="en-US"/>
        </w:rPr>
        <w:t xml:space="preserve"> </w:t>
      </w:r>
      <w:r w:rsidR="00285A85" w:rsidRPr="009E7F21">
        <w:rPr>
          <w:rFonts w:eastAsia="Calibri" w:cs="Arial"/>
          <w:szCs w:val="22"/>
          <w:lang w:eastAsia="en-US"/>
        </w:rPr>
        <w:t>scope</w:t>
      </w:r>
      <w:r w:rsidRPr="009E7F21">
        <w:rPr>
          <w:rFonts w:eastAsia="Calibri" w:cs="Arial"/>
          <w:szCs w:val="22"/>
          <w:lang w:eastAsia="en-US"/>
        </w:rPr>
        <w:t xml:space="preserve"> and complexity</w:t>
      </w:r>
      <w:r w:rsidR="009155B0" w:rsidRPr="009E7F21">
        <w:rPr>
          <w:rFonts w:eastAsia="Calibri" w:cs="Arial"/>
          <w:szCs w:val="22"/>
          <w:lang w:eastAsia="en-US"/>
        </w:rPr>
        <w:t>, meeting quality requirements</w:t>
      </w:r>
      <w:r w:rsidRPr="009E7F21">
        <w:rPr>
          <w:rFonts w:eastAsia="Calibri" w:cs="Arial"/>
          <w:szCs w:val="22"/>
          <w:lang w:eastAsia="en-US"/>
        </w:rPr>
        <w:t xml:space="preserve"> within specified time constraints.</w:t>
      </w:r>
      <w:r w:rsidR="00C43ED6" w:rsidRPr="009E7F21">
        <w:rPr>
          <w:rFonts w:eastAsia="Calibri" w:cs="Arial"/>
          <w:szCs w:val="22"/>
          <w:lang w:eastAsia="en-US"/>
        </w:rPr>
        <w:t xml:space="preserve"> </w:t>
      </w:r>
      <w:r w:rsidR="009155B0" w:rsidRPr="009E7F21">
        <w:rPr>
          <w:szCs w:val="22"/>
        </w:rPr>
        <w:t>Clear identification of risks and contingencies</w:t>
      </w:r>
      <w:r w:rsidR="00C43ED6" w:rsidRPr="009E7F21">
        <w:rPr>
          <w:szCs w:val="22"/>
        </w:rPr>
        <w:t>.</w:t>
      </w:r>
      <w:r w:rsidR="009155B0" w:rsidRPr="009E7F21">
        <w:rPr>
          <w:szCs w:val="22"/>
        </w:rPr>
        <w:t xml:space="preserve"> </w:t>
      </w:r>
      <w:r w:rsidR="003575E4" w:rsidRPr="009E7F21">
        <w:rPr>
          <w:szCs w:val="22"/>
        </w:rPr>
        <w:t xml:space="preserve">Evidence of successfully </w:t>
      </w:r>
      <w:r w:rsidR="00230696" w:rsidRPr="009E7F21">
        <w:rPr>
          <w:szCs w:val="22"/>
        </w:rPr>
        <w:t>working in partnership</w:t>
      </w:r>
      <w:r w:rsidR="00C43ED6" w:rsidRPr="009E7F21">
        <w:rPr>
          <w:szCs w:val="22"/>
        </w:rPr>
        <w:t xml:space="preserve"> with delivery organisations</w:t>
      </w:r>
      <w:r w:rsidR="00230696" w:rsidRPr="009E7F21">
        <w:rPr>
          <w:szCs w:val="22"/>
        </w:rPr>
        <w:t xml:space="preserve"> and </w:t>
      </w:r>
      <w:r w:rsidR="003575E4" w:rsidRPr="009E7F21">
        <w:rPr>
          <w:szCs w:val="22"/>
        </w:rPr>
        <w:t>responding flexibly to changes to policies and programmes affecting evaluation design/implementation</w:t>
      </w:r>
      <w:r w:rsidR="00C43ED6" w:rsidRPr="009E7F21">
        <w:rPr>
          <w:szCs w:val="22"/>
        </w:rPr>
        <w:t>.</w:t>
      </w:r>
      <w:r w:rsidR="003575E4" w:rsidRPr="009E7F21">
        <w:rPr>
          <w:szCs w:val="22"/>
        </w:rPr>
        <w:t xml:space="preserve"> </w:t>
      </w:r>
      <w:r w:rsidR="007C5786">
        <w:rPr>
          <w:szCs w:val="22"/>
        </w:rPr>
        <w:t>Evidence of organisational procedures for ethics and safeguarding.</w:t>
      </w:r>
    </w:p>
    <w:p w14:paraId="6F2E50C3" w14:textId="77777777" w:rsidR="003E33CC" w:rsidRPr="009E7F21" w:rsidRDefault="003E33CC" w:rsidP="0087720B">
      <w:pPr>
        <w:spacing w:after="200" w:line="276" w:lineRule="auto"/>
        <w:ind w:left="720"/>
        <w:contextualSpacing/>
        <w:jc w:val="both"/>
        <w:rPr>
          <w:rFonts w:eastAsia="Calibri" w:cs="Arial"/>
          <w:b/>
          <w:szCs w:val="22"/>
          <w:lang w:eastAsia="en-US"/>
        </w:rPr>
      </w:pPr>
    </w:p>
    <w:p w14:paraId="51FA6F7F" w14:textId="77777777" w:rsidR="001D7615" w:rsidRPr="009E7F21" w:rsidRDefault="001D7615" w:rsidP="001D7615">
      <w:pPr>
        <w:spacing w:after="200" w:line="276" w:lineRule="auto"/>
        <w:ind w:left="720"/>
        <w:contextualSpacing/>
        <w:rPr>
          <w:rFonts w:eastAsia="Calibri" w:cs="Arial"/>
          <w:b/>
          <w:szCs w:val="22"/>
          <w:lang w:eastAsia="en-US"/>
        </w:rPr>
      </w:pPr>
      <w:r w:rsidRPr="009E7F21">
        <w:rPr>
          <w:rFonts w:eastAsia="Calibri" w:cs="Arial"/>
          <w:b/>
          <w:szCs w:val="22"/>
          <w:lang w:eastAsia="en-US"/>
        </w:rPr>
        <w:t>Technical expertise in evaluation methodology and analysis</w:t>
      </w:r>
    </w:p>
    <w:p w14:paraId="0F943E92" w14:textId="77777777" w:rsidR="001D7615" w:rsidRPr="009E7F21" w:rsidRDefault="001D7615" w:rsidP="001D7615">
      <w:pPr>
        <w:numPr>
          <w:ilvl w:val="0"/>
          <w:numId w:val="37"/>
        </w:numPr>
        <w:spacing w:after="200" w:line="276" w:lineRule="auto"/>
        <w:contextualSpacing/>
        <w:rPr>
          <w:rFonts w:eastAsia="Calibri" w:cs="Arial"/>
          <w:szCs w:val="22"/>
          <w:lang w:eastAsia="en-US"/>
        </w:rPr>
      </w:pPr>
      <w:r w:rsidRPr="009E7F21">
        <w:rPr>
          <w:rFonts w:eastAsia="Calibri" w:cs="Arial"/>
          <w:szCs w:val="22"/>
          <w:lang w:eastAsia="en-US"/>
        </w:rPr>
        <w:t>Proven technical expertise in mixed-methods evaluation design and analysis relevant to the project, including RCT design and process evaluation, sampling, research instrument design, choice of assessment tools, qualitative and statistical analysis, and ability to report the results clearly, accessibly and accurately to a range of stakeholders.</w:t>
      </w:r>
    </w:p>
    <w:p w14:paraId="45311BF0" w14:textId="77777777" w:rsidR="001D7615" w:rsidRPr="009E7F21" w:rsidRDefault="001D7615" w:rsidP="001D7615">
      <w:pPr>
        <w:spacing w:after="200" w:line="276" w:lineRule="auto"/>
        <w:ind w:left="720"/>
        <w:contextualSpacing/>
        <w:rPr>
          <w:rFonts w:eastAsia="Calibri" w:cs="Arial"/>
          <w:szCs w:val="22"/>
          <w:lang w:eastAsia="en-US"/>
        </w:rPr>
      </w:pPr>
    </w:p>
    <w:p w14:paraId="49903515" w14:textId="16DBFD09" w:rsidR="0087720B" w:rsidRPr="009E7F21" w:rsidRDefault="009155B0" w:rsidP="0087720B">
      <w:pPr>
        <w:spacing w:after="200" w:line="276" w:lineRule="auto"/>
        <w:ind w:left="720"/>
        <w:contextualSpacing/>
        <w:jc w:val="both"/>
        <w:rPr>
          <w:rFonts w:eastAsia="Calibri" w:cs="Arial"/>
          <w:b/>
          <w:szCs w:val="22"/>
          <w:lang w:eastAsia="en-US"/>
        </w:rPr>
      </w:pPr>
      <w:r w:rsidRPr="009E7F21">
        <w:rPr>
          <w:rFonts w:eastAsia="Calibri" w:cs="Arial"/>
          <w:b/>
          <w:szCs w:val="22"/>
          <w:lang w:eastAsia="en-US"/>
        </w:rPr>
        <w:t>Experience conducting</w:t>
      </w:r>
      <w:r w:rsidR="00566F35" w:rsidRPr="009E7F21">
        <w:rPr>
          <w:rFonts w:eastAsia="Calibri" w:cs="Arial"/>
          <w:b/>
          <w:szCs w:val="22"/>
          <w:lang w:eastAsia="en-US"/>
        </w:rPr>
        <w:t xml:space="preserve"> relevant</w:t>
      </w:r>
      <w:r w:rsidRPr="009E7F21">
        <w:rPr>
          <w:rFonts w:eastAsia="Calibri" w:cs="Arial"/>
          <w:b/>
          <w:szCs w:val="22"/>
          <w:lang w:eastAsia="en-US"/>
        </w:rPr>
        <w:t xml:space="preserve"> research with </w:t>
      </w:r>
      <w:r w:rsidR="00566F35" w:rsidRPr="009E7F21">
        <w:rPr>
          <w:rFonts w:eastAsia="Calibri" w:cs="Arial"/>
          <w:b/>
          <w:szCs w:val="22"/>
          <w:lang w:eastAsia="en-US"/>
        </w:rPr>
        <w:t>similar</w:t>
      </w:r>
      <w:r w:rsidRPr="009E7F21">
        <w:rPr>
          <w:rFonts w:eastAsia="Calibri" w:cs="Arial"/>
          <w:b/>
          <w:szCs w:val="22"/>
          <w:lang w:eastAsia="en-US"/>
        </w:rPr>
        <w:t xml:space="preserve"> respondent groups</w:t>
      </w:r>
      <w:r w:rsidR="0087720B" w:rsidRPr="009E7F21">
        <w:rPr>
          <w:rFonts w:eastAsia="Calibri" w:cs="Arial"/>
          <w:b/>
          <w:szCs w:val="22"/>
          <w:lang w:eastAsia="en-US"/>
        </w:rPr>
        <w:t xml:space="preserve"> </w:t>
      </w:r>
    </w:p>
    <w:p w14:paraId="3C51324F" w14:textId="12482D88" w:rsidR="0087720B" w:rsidRPr="009E7F21" w:rsidRDefault="0087720B" w:rsidP="00F734AC">
      <w:pPr>
        <w:numPr>
          <w:ilvl w:val="0"/>
          <w:numId w:val="37"/>
        </w:numPr>
        <w:spacing w:after="200" w:line="276" w:lineRule="auto"/>
        <w:contextualSpacing/>
        <w:rPr>
          <w:rFonts w:eastAsia="Calibri" w:cs="Arial"/>
          <w:szCs w:val="22"/>
          <w:lang w:eastAsia="en-US"/>
        </w:rPr>
      </w:pPr>
      <w:r w:rsidRPr="009E7F21">
        <w:rPr>
          <w:rFonts w:eastAsia="Calibri" w:cs="Arial"/>
          <w:szCs w:val="22"/>
          <w:lang w:eastAsia="en-US"/>
        </w:rPr>
        <w:t xml:space="preserve">A record of success in conducting </w:t>
      </w:r>
      <w:r w:rsidR="00EB1CB2" w:rsidRPr="009E7F21">
        <w:rPr>
          <w:rFonts w:eastAsia="Calibri" w:cs="Arial"/>
          <w:szCs w:val="22"/>
          <w:lang w:eastAsia="en-US"/>
        </w:rPr>
        <w:t xml:space="preserve">direct </w:t>
      </w:r>
      <w:r w:rsidR="00566F35" w:rsidRPr="009E7F21">
        <w:rPr>
          <w:rFonts w:eastAsia="Calibri" w:cs="Arial"/>
          <w:szCs w:val="22"/>
          <w:lang w:eastAsia="en-US"/>
        </w:rPr>
        <w:t>assessments of pre-school children</w:t>
      </w:r>
      <w:r w:rsidR="009220F6" w:rsidRPr="009E7F21">
        <w:rPr>
          <w:rFonts w:eastAsia="Calibri" w:cs="Arial"/>
          <w:szCs w:val="22"/>
          <w:lang w:eastAsia="en-US"/>
        </w:rPr>
        <w:t>;</w:t>
      </w:r>
      <w:r w:rsidR="0063073C" w:rsidRPr="009E7F21">
        <w:rPr>
          <w:rFonts w:eastAsia="Calibri" w:cs="Arial"/>
          <w:szCs w:val="22"/>
          <w:lang w:eastAsia="en-US"/>
        </w:rPr>
        <w:t xml:space="preserve"> </w:t>
      </w:r>
      <w:r w:rsidR="00566F35" w:rsidRPr="009E7F21">
        <w:rPr>
          <w:rFonts w:eastAsia="Calibri" w:cs="Arial"/>
          <w:szCs w:val="22"/>
          <w:lang w:eastAsia="en-US"/>
        </w:rPr>
        <w:t>using observational rating scales to assess early years settings</w:t>
      </w:r>
      <w:r w:rsidR="009220F6" w:rsidRPr="009E7F21">
        <w:rPr>
          <w:rFonts w:eastAsia="Calibri" w:cs="Arial"/>
          <w:szCs w:val="22"/>
          <w:lang w:eastAsia="en-US"/>
        </w:rPr>
        <w:t>;</w:t>
      </w:r>
      <w:r w:rsidR="00566F35" w:rsidRPr="009E7F21">
        <w:rPr>
          <w:rFonts w:eastAsia="Calibri" w:cs="Arial"/>
          <w:szCs w:val="22"/>
          <w:lang w:eastAsia="en-US"/>
        </w:rPr>
        <w:t xml:space="preserve"> and of carrying out </w:t>
      </w:r>
      <w:r w:rsidRPr="009E7F21">
        <w:rPr>
          <w:rFonts w:eastAsia="Calibri" w:cs="Arial"/>
          <w:szCs w:val="22"/>
          <w:lang w:eastAsia="en-US"/>
        </w:rPr>
        <w:t>research with local authorities</w:t>
      </w:r>
      <w:r w:rsidR="00566F35" w:rsidRPr="009E7F21">
        <w:rPr>
          <w:rFonts w:eastAsia="Calibri" w:cs="Arial"/>
          <w:szCs w:val="22"/>
          <w:lang w:eastAsia="en-US"/>
        </w:rPr>
        <w:t>,</w:t>
      </w:r>
      <w:r w:rsidRPr="009E7F21">
        <w:rPr>
          <w:rFonts w:eastAsia="Calibri" w:cs="Arial"/>
          <w:szCs w:val="22"/>
          <w:lang w:eastAsia="en-US"/>
        </w:rPr>
        <w:t xml:space="preserve"> early years providers/practitioners</w:t>
      </w:r>
      <w:r w:rsidR="00260EBD" w:rsidRPr="009E7F21">
        <w:rPr>
          <w:rFonts w:eastAsia="Calibri" w:cs="Arial"/>
          <w:szCs w:val="22"/>
          <w:lang w:eastAsia="en-US"/>
        </w:rPr>
        <w:t>,</w:t>
      </w:r>
      <w:r w:rsidR="00566F35" w:rsidRPr="009E7F21">
        <w:rPr>
          <w:rFonts w:eastAsia="Calibri" w:cs="Arial"/>
          <w:szCs w:val="22"/>
          <w:lang w:eastAsia="en-US"/>
        </w:rPr>
        <w:t xml:space="preserve"> and </w:t>
      </w:r>
      <w:r w:rsidRPr="009E7F21">
        <w:rPr>
          <w:rFonts w:eastAsia="Calibri" w:cs="Arial"/>
          <w:szCs w:val="22"/>
          <w:lang w:eastAsia="en-US"/>
        </w:rPr>
        <w:t>parents</w:t>
      </w:r>
      <w:r w:rsidR="00566F35" w:rsidRPr="009E7F21">
        <w:rPr>
          <w:rFonts w:eastAsia="Calibri" w:cs="Arial"/>
          <w:szCs w:val="22"/>
          <w:lang w:eastAsia="en-US"/>
        </w:rPr>
        <w:t xml:space="preserve"> of young children</w:t>
      </w:r>
      <w:r w:rsidR="004B72DC" w:rsidRPr="009E7F21">
        <w:rPr>
          <w:rFonts w:eastAsia="Calibri" w:cs="Arial"/>
          <w:szCs w:val="22"/>
          <w:lang w:eastAsia="en-US"/>
        </w:rPr>
        <w:t>. E</w:t>
      </w:r>
      <w:r w:rsidR="0063073C" w:rsidRPr="009E7F21">
        <w:rPr>
          <w:rFonts w:eastAsia="Calibri" w:cs="Arial"/>
          <w:szCs w:val="22"/>
          <w:lang w:eastAsia="en-US"/>
        </w:rPr>
        <w:t>xamples of previous projects</w:t>
      </w:r>
      <w:r w:rsidR="004B72DC" w:rsidRPr="009E7F21">
        <w:rPr>
          <w:rFonts w:eastAsia="Calibri" w:cs="Arial"/>
          <w:szCs w:val="22"/>
          <w:lang w:eastAsia="en-US"/>
        </w:rPr>
        <w:t xml:space="preserve"> securing</w:t>
      </w:r>
      <w:r w:rsidRPr="009E7F21">
        <w:rPr>
          <w:rFonts w:eastAsia="Calibri" w:cs="Arial"/>
          <w:szCs w:val="22"/>
          <w:lang w:eastAsia="en-US"/>
        </w:rPr>
        <w:t xml:space="preserve"> high response rates </w:t>
      </w:r>
      <w:r w:rsidR="009220F6" w:rsidRPr="009E7F21">
        <w:rPr>
          <w:rFonts w:eastAsia="Calibri" w:cs="Arial"/>
          <w:szCs w:val="22"/>
          <w:lang w:eastAsia="en-US"/>
        </w:rPr>
        <w:t>and minimis</w:t>
      </w:r>
      <w:r w:rsidR="004B72DC" w:rsidRPr="009E7F21">
        <w:rPr>
          <w:rFonts w:eastAsia="Calibri" w:cs="Arial"/>
          <w:szCs w:val="22"/>
          <w:lang w:eastAsia="en-US"/>
        </w:rPr>
        <w:t>ing</w:t>
      </w:r>
      <w:r w:rsidR="009220F6" w:rsidRPr="009E7F21">
        <w:rPr>
          <w:rFonts w:eastAsia="Calibri" w:cs="Arial"/>
          <w:szCs w:val="22"/>
          <w:lang w:eastAsia="en-US"/>
        </w:rPr>
        <w:t xml:space="preserve"> attrition, </w:t>
      </w:r>
      <w:r w:rsidRPr="009E7F21">
        <w:rPr>
          <w:rFonts w:eastAsia="Calibri" w:cs="Arial"/>
          <w:szCs w:val="22"/>
          <w:lang w:eastAsia="en-US"/>
        </w:rPr>
        <w:t>particularly from harder-to-reach respondent groups.</w:t>
      </w:r>
    </w:p>
    <w:p w14:paraId="1203C5B6" w14:textId="4E74A320" w:rsidR="0087720B" w:rsidRPr="009E7F21" w:rsidRDefault="0087720B" w:rsidP="00F734AC">
      <w:pPr>
        <w:spacing w:after="200" w:line="276" w:lineRule="auto"/>
        <w:ind w:left="720"/>
        <w:contextualSpacing/>
        <w:rPr>
          <w:rFonts w:eastAsia="Calibri" w:cs="Arial"/>
          <w:szCs w:val="22"/>
          <w:lang w:eastAsia="en-US"/>
        </w:rPr>
      </w:pPr>
    </w:p>
    <w:p w14:paraId="65E8CAD2" w14:textId="13DB107E" w:rsidR="009155B0" w:rsidRPr="009E7F21" w:rsidRDefault="009155B0" w:rsidP="00F734AC">
      <w:pPr>
        <w:spacing w:after="200" w:line="276" w:lineRule="auto"/>
        <w:ind w:left="720"/>
        <w:contextualSpacing/>
        <w:rPr>
          <w:rFonts w:eastAsia="Calibri" w:cs="Arial"/>
          <w:b/>
          <w:szCs w:val="22"/>
          <w:lang w:eastAsia="en-US"/>
        </w:rPr>
      </w:pPr>
      <w:r w:rsidRPr="009E7F21">
        <w:rPr>
          <w:rFonts w:eastAsia="Calibri" w:cs="Arial"/>
          <w:b/>
          <w:szCs w:val="22"/>
          <w:lang w:eastAsia="en-US"/>
        </w:rPr>
        <w:t xml:space="preserve">Subject knowledge </w:t>
      </w:r>
      <w:r w:rsidR="0063073C" w:rsidRPr="009E7F21">
        <w:rPr>
          <w:rFonts w:eastAsia="Calibri" w:cs="Arial"/>
          <w:b/>
          <w:szCs w:val="22"/>
          <w:lang w:eastAsia="en-US"/>
        </w:rPr>
        <w:t>relevant to the project</w:t>
      </w:r>
    </w:p>
    <w:p w14:paraId="35DB37ED" w14:textId="7D08C641" w:rsidR="0087720B" w:rsidRPr="009E7F21" w:rsidRDefault="0063073C" w:rsidP="00F734AC">
      <w:pPr>
        <w:numPr>
          <w:ilvl w:val="0"/>
          <w:numId w:val="37"/>
        </w:numPr>
        <w:spacing w:after="200" w:line="276" w:lineRule="auto"/>
        <w:contextualSpacing/>
        <w:rPr>
          <w:szCs w:val="22"/>
        </w:rPr>
      </w:pPr>
      <w:r w:rsidRPr="009E7F21">
        <w:rPr>
          <w:rFonts w:eastAsia="Calibri" w:cs="Arial"/>
          <w:szCs w:val="22"/>
          <w:lang w:eastAsia="en-US"/>
        </w:rPr>
        <w:t>Sufficient k</w:t>
      </w:r>
      <w:r w:rsidR="0087720B" w:rsidRPr="009E7F21">
        <w:rPr>
          <w:rFonts w:eastAsia="Calibri" w:cs="Arial"/>
          <w:szCs w:val="22"/>
          <w:lang w:eastAsia="en-US"/>
        </w:rPr>
        <w:t xml:space="preserve">nowledge </w:t>
      </w:r>
      <w:r w:rsidRPr="009E7F21">
        <w:rPr>
          <w:rFonts w:eastAsia="Calibri" w:cs="Arial"/>
          <w:szCs w:val="22"/>
          <w:lang w:eastAsia="en-US"/>
        </w:rPr>
        <w:t xml:space="preserve">and understanding </w:t>
      </w:r>
      <w:r w:rsidR="0087720B" w:rsidRPr="009E7F21">
        <w:rPr>
          <w:rFonts w:eastAsia="Calibri" w:cs="Arial"/>
          <w:szCs w:val="22"/>
          <w:lang w:eastAsia="en-US"/>
        </w:rPr>
        <w:t>of current policies</w:t>
      </w:r>
      <w:r w:rsidR="00285A85" w:rsidRPr="009E7F21">
        <w:rPr>
          <w:rFonts w:eastAsia="Calibri" w:cs="Arial"/>
          <w:szCs w:val="22"/>
          <w:lang w:eastAsia="en-US"/>
        </w:rPr>
        <w:t xml:space="preserve">, </w:t>
      </w:r>
      <w:r w:rsidR="00566F35" w:rsidRPr="009E7F21">
        <w:rPr>
          <w:rFonts w:eastAsia="Calibri" w:cs="Arial"/>
          <w:szCs w:val="22"/>
          <w:lang w:eastAsia="en-US"/>
        </w:rPr>
        <w:t xml:space="preserve">trends and </w:t>
      </w:r>
      <w:r w:rsidR="00285A85" w:rsidRPr="009E7F21">
        <w:rPr>
          <w:rFonts w:eastAsia="Calibri" w:cs="Arial"/>
          <w:szCs w:val="22"/>
          <w:lang w:eastAsia="en-US"/>
        </w:rPr>
        <w:t>issues</w:t>
      </w:r>
      <w:r w:rsidR="0087720B" w:rsidRPr="009E7F21">
        <w:rPr>
          <w:rFonts w:eastAsia="Calibri" w:cs="Arial"/>
          <w:szCs w:val="22"/>
          <w:lang w:eastAsia="en-US"/>
        </w:rPr>
        <w:t xml:space="preserve"> </w:t>
      </w:r>
      <w:r w:rsidR="00B75B2A" w:rsidRPr="009E7F21">
        <w:rPr>
          <w:rFonts w:eastAsia="Calibri" w:cs="Arial"/>
          <w:szCs w:val="22"/>
          <w:lang w:eastAsia="en-US"/>
        </w:rPr>
        <w:t xml:space="preserve">in the early years sector </w:t>
      </w:r>
      <w:r w:rsidRPr="009E7F21">
        <w:rPr>
          <w:rFonts w:eastAsia="Calibri" w:cs="Arial"/>
          <w:szCs w:val="22"/>
          <w:lang w:eastAsia="en-US"/>
        </w:rPr>
        <w:t>to inform the design, implementation and reporting of the project (</w:t>
      </w:r>
      <w:r w:rsidR="00B75B2A" w:rsidRPr="009E7F21">
        <w:rPr>
          <w:rFonts w:eastAsia="Calibri" w:cs="Arial"/>
          <w:szCs w:val="22"/>
          <w:lang w:eastAsia="en-US"/>
        </w:rPr>
        <w:t>including professional development</w:t>
      </w:r>
      <w:r w:rsidRPr="009E7F21">
        <w:rPr>
          <w:rFonts w:eastAsia="Calibri" w:cs="Arial"/>
          <w:szCs w:val="22"/>
          <w:lang w:eastAsia="en-US"/>
        </w:rPr>
        <w:t xml:space="preserve"> for early years practitioners</w:t>
      </w:r>
      <w:r w:rsidR="00C43ED6" w:rsidRPr="009E7F21">
        <w:rPr>
          <w:rFonts w:eastAsia="Calibri" w:cs="Arial"/>
          <w:szCs w:val="22"/>
          <w:lang w:eastAsia="en-US"/>
        </w:rPr>
        <w:t>;</w:t>
      </w:r>
      <w:r w:rsidRPr="009E7F21">
        <w:rPr>
          <w:rFonts w:eastAsia="Calibri" w:cs="Arial"/>
          <w:szCs w:val="22"/>
          <w:lang w:eastAsia="en-US"/>
        </w:rPr>
        <w:t xml:space="preserve"> child development</w:t>
      </w:r>
      <w:r w:rsidR="00C43ED6" w:rsidRPr="009E7F21">
        <w:rPr>
          <w:rFonts w:eastAsia="Calibri" w:cs="Arial"/>
          <w:szCs w:val="22"/>
          <w:lang w:eastAsia="en-US"/>
        </w:rPr>
        <w:t>;</w:t>
      </w:r>
      <w:r w:rsidRPr="009E7F21">
        <w:rPr>
          <w:rFonts w:eastAsia="Calibri" w:cs="Arial"/>
          <w:szCs w:val="22"/>
          <w:lang w:eastAsia="en-US"/>
        </w:rPr>
        <w:t xml:space="preserve"> disadvantage</w:t>
      </w:r>
      <w:r w:rsidR="00C43ED6" w:rsidRPr="009E7F21">
        <w:rPr>
          <w:rFonts w:eastAsia="Calibri" w:cs="Arial"/>
          <w:szCs w:val="22"/>
          <w:lang w:eastAsia="en-US"/>
        </w:rPr>
        <w:t>/deprivation</w:t>
      </w:r>
      <w:r w:rsidRPr="009E7F21">
        <w:rPr>
          <w:rFonts w:eastAsia="Calibri" w:cs="Arial"/>
          <w:szCs w:val="22"/>
          <w:lang w:eastAsia="en-US"/>
        </w:rPr>
        <w:t>)</w:t>
      </w:r>
      <w:r w:rsidR="0087720B" w:rsidRPr="009E7F21">
        <w:rPr>
          <w:rFonts w:eastAsia="Calibri" w:cs="Arial"/>
          <w:szCs w:val="22"/>
          <w:lang w:eastAsia="en-US"/>
        </w:rPr>
        <w:t>.</w:t>
      </w:r>
      <w:r w:rsidR="00B75B2A" w:rsidRPr="009E7F21">
        <w:rPr>
          <w:rFonts w:eastAsia="Calibri" w:cs="Arial"/>
          <w:szCs w:val="22"/>
          <w:lang w:eastAsia="en-US"/>
        </w:rPr>
        <w:t xml:space="preserve"> </w:t>
      </w:r>
    </w:p>
    <w:p w14:paraId="35FD5EC8" w14:textId="77777777" w:rsidR="0087720B" w:rsidRPr="009E7F21" w:rsidRDefault="0087720B" w:rsidP="00F734AC">
      <w:pPr>
        <w:spacing w:after="0" w:line="240" w:lineRule="auto"/>
        <w:ind w:left="720"/>
        <w:contextualSpacing/>
        <w:rPr>
          <w:rFonts w:cs="Arial"/>
          <w:szCs w:val="22"/>
          <w:lang w:eastAsia="en-US"/>
        </w:rPr>
      </w:pPr>
    </w:p>
    <w:p w14:paraId="5429F6C5" w14:textId="2162675F" w:rsidR="0087720B" w:rsidRPr="009E7F21" w:rsidRDefault="003E33CC" w:rsidP="00F734AC">
      <w:pPr>
        <w:spacing w:after="0" w:line="240" w:lineRule="auto"/>
        <w:rPr>
          <w:rFonts w:cs="Arial"/>
          <w:szCs w:val="22"/>
          <w:lang w:eastAsia="en-US"/>
        </w:rPr>
      </w:pPr>
      <w:r w:rsidRPr="009E7F21">
        <w:rPr>
          <w:rFonts w:cs="Arial"/>
          <w:szCs w:val="22"/>
          <w:lang w:eastAsia="en-US"/>
        </w:rPr>
        <w:t xml:space="preserve">Each criterion has equal weighting. </w:t>
      </w:r>
      <w:r w:rsidR="0087720B" w:rsidRPr="009E7F21">
        <w:rPr>
          <w:rFonts w:cs="Arial"/>
          <w:szCs w:val="22"/>
          <w:lang w:eastAsia="en-US"/>
        </w:rPr>
        <w:t>Evidence against each of these criteria will be scored using the following scale:</w:t>
      </w:r>
    </w:p>
    <w:p w14:paraId="68ECD4C8" w14:textId="77777777" w:rsidR="0087720B" w:rsidRPr="009E7F21" w:rsidRDefault="0087720B" w:rsidP="0087720B">
      <w:pPr>
        <w:spacing w:after="0" w:line="240" w:lineRule="auto"/>
        <w:jc w:val="both"/>
        <w:rPr>
          <w:rFonts w:cs="Arial"/>
          <w:szCs w:val="22"/>
          <w:lang w:eastAsia="en-US"/>
        </w:rPr>
      </w:pPr>
    </w:p>
    <w:p w14:paraId="608D689B" w14:textId="77777777" w:rsidR="0087720B" w:rsidRPr="009E7F21" w:rsidRDefault="0087720B" w:rsidP="0087720B">
      <w:pPr>
        <w:contextualSpacing/>
        <w:rPr>
          <w:szCs w:val="22"/>
        </w:rPr>
      </w:pPr>
      <w:r w:rsidRPr="009E7F21">
        <w:rPr>
          <w:szCs w:val="22"/>
        </w:rPr>
        <w:t>0.</w:t>
      </w:r>
      <w:r w:rsidRPr="009E7F21">
        <w:rPr>
          <w:szCs w:val="22"/>
        </w:rPr>
        <w:tab/>
        <w:t xml:space="preserve">Totally fails to meet the requirement </w:t>
      </w:r>
    </w:p>
    <w:p w14:paraId="2BF2F5D9" w14:textId="77777777" w:rsidR="0087720B" w:rsidRPr="009E7F21" w:rsidRDefault="0087720B" w:rsidP="0087720B">
      <w:pPr>
        <w:contextualSpacing/>
        <w:rPr>
          <w:szCs w:val="22"/>
        </w:rPr>
      </w:pPr>
      <w:r w:rsidRPr="009E7F21">
        <w:rPr>
          <w:szCs w:val="22"/>
        </w:rPr>
        <w:t>1.</w:t>
      </w:r>
      <w:r w:rsidRPr="009E7F21">
        <w:rPr>
          <w:szCs w:val="22"/>
        </w:rPr>
        <w:tab/>
        <w:t xml:space="preserve">Meets some of the requirement, with limited supporting information </w:t>
      </w:r>
    </w:p>
    <w:p w14:paraId="22CE631F" w14:textId="77777777" w:rsidR="0087720B" w:rsidRPr="009E7F21" w:rsidRDefault="0087720B" w:rsidP="0087720B">
      <w:pPr>
        <w:contextualSpacing/>
        <w:rPr>
          <w:szCs w:val="22"/>
        </w:rPr>
      </w:pPr>
      <w:r w:rsidRPr="009E7F21">
        <w:rPr>
          <w:szCs w:val="22"/>
        </w:rPr>
        <w:t>2.</w:t>
      </w:r>
      <w:r w:rsidRPr="009E7F21">
        <w:rPr>
          <w:szCs w:val="22"/>
        </w:rPr>
        <w:tab/>
        <w:t xml:space="preserve">Meets some of the requirement, with reasonable explanation </w:t>
      </w:r>
    </w:p>
    <w:p w14:paraId="62BD5535" w14:textId="77777777" w:rsidR="0087720B" w:rsidRPr="009E7F21" w:rsidRDefault="0087720B" w:rsidP="0087720B">
      <w:pPr>
        <w:contextualSpacing/>
        <w:rPr>
          <w:szCs w:val="22"/>
        </w:rPr>
      </w:pPr>
      <w:r w:rsidRPr="009E7F21">
        <w:rPr>
          <w:szCs w:val="22"/>
        </w:rPr>
        <w:t>3.</w:t>
      </w:r>
      <w:r w:rsidRPr="009E7F21">
        <w:rPr>
          <w:szCs w:val="22"/>
        </w:rPr>
        <w:tab/>
        <w:t xml:space="preserve">Fully meets the requirement, with detailed explanation/evidence in support </w:t>
      </w:r>
    </w:p>
    <w:p w14:paraId="147AADE5" w14:textId="77777777" w:rsidR="0087720B" w:rsidRPr="009E7F21" w:rsidRDefault="0087720B" w:rsidP="0087720B">
      <w:pPr>
        <w:contextualSpacing/>
        <w:rPr>
          <w:szCs w:val="22"/>
        </w:rPr>
      </w:pPr>
      <w:r w:rsidRPr="009E7F21">
        <w:rPr>
          <w:szCs w:val="22"/>
        </w:rPr>
        <w:t>4.</w:t>
      </w:r>
      <w:r w:rsidRPr="009E7F21">
        <w:rPr>
          <w:szCs w:val="22"/>
        </w:rPr>
        <w:tab/>
        <w:t>Exceeds the requirement, with detailed explanation/ evidence in support.</w:t>
      </w:r>
    </w:p>
    <w:p w14:paraId="68D1BE39" w14:textId="139DE21F" w:rsidR="00D055E1" w:rsidRPr="009E7F21" w:rsidRDefault="006C7111" w:rsidP="00741851">
      <w:pPr>
        <w:spacing w:line="276" w:lineRule="auto"/>
        <w:jc w:val="both"/>
        <w:rPr>
          <w:rFonts w:cs="Arial"/>
          <w:szCs w:val="22"/>
          <w:lang w:eastAsia="en-US"/>
        </w:rPr>
      </w:pPr>
      <w:r>
        <w:rPr>
          <w:rFonts w:cs="Arial"/>
          <w:szCs w:val="22"/>
          <w:lang w:eastAsia="en-US"/>
        </w:rPr>
        <w:br/>
      </w:r>
      <w:r w:rsidR="00D055E1" w:rsidRPr="009E7F21">
        <w:rPr>
          <w:rFonts w:cs="Arial"/>
          <w:szCs w:val="22"/>
          <w:lang w:eastAsia="en-US"/>
        </w:rPr>
        <w:t>Expressions of interest that score below 2 on any criteria will not proceed to the ITT stage.</w:t>
      </w:r>
    </w:p>
    <w:p w14:paraId="1C36D794" w14:textId="03A3BE97" w:rsidR="00512A13" w:rsidRDefault="00512A13" w:rsidP="00512A13">
      <w:pPr>
        <w:pStyle w:val="Heading2"/>
      </w:pPr>
      <w:r>
        <w:t>Content, structure and length of EOI</w:t>
      </w:r>
    </w:p>
    <w:p w14:paraId="78D4595E" w14:textId="01BDC35E" w:rsidR="00512A13" w:rsidRPr="00512A13" w:rsidRDefault="007F54F0" w:rsidP="00512A13">
      <w:r>
        <w:t>In your EOI, p</w:t>
      </w:r>
      <w:r w:rsidR="00512A13">
        <w:t xml:space="preserve">lease include a short </w:t>
      </w:r>
      <w:r>
        <w:t>summary of</w:t>
      </w:r>
      <w:r w:rsidR="00512A13">
        <w:t xml:space="preserve"> what you see as the main considerations for the successful design and implementation of this evaluation, including any risks and possible mitigations. The rest of the EOI may be structured according to the </w:t>
      </w:r>
      <w:r>
        <w:t xml:space="preserve">above </w:t>
      </w:r>
      <w:r w:rsidR="00512A13">
        <w:t>assessment criteria.</w:t>
      </w:r>
    </w:p>
    <w:p w14:paraId="26894829" w14:textId="3567FE32" w:rsidR="00BE5FDE" w:rsidRPr="00BE5FDE" w:rsidRDefault="00BE5FDE" w:rsidP="00BE5FDE">
      <w:pPr>
        <w:spacing w:line="276" w:lineRule="auto"/>
        <w:jc w:val="both"/>
        <w:rPr>
          <w:szCs w:val="22"/>
        </w:rPr>
      </w:pPr>
      <w:r w:rsidRPr="00BE5FDE">
        <w:rPr>
          <w:rFonts w:cs="Arial"/>
          <w:b/>
          <w:sz w:val="23"/>
          <w:szCs w:val="23"/>
          <w:u w:val="single"/>
          <w:lang w:eastAsia="en-US"/>
        </w:rPr>
        <w:lastRenderedPageBreak/>
        <w:t>Expressions of interests submitted must be no more than 2,</w:t>
      </w:r>
      <w:r w:rsidR="007F54F0">
        <w:rPr>
          <w:rFonts w:cs="Arial"/>
          <w:b/>
          <w:sz w:val="23"/>
          <w:szCs w:val="23"/>
          <w:u w:val="single"/>
          <w:lang w:eastAsia="en-US"/>
        </w:rPr>
        <w:t>5</w:t>
      </w:r>
      <w:r w:rsidRPr="00BE5FDE">
        <w:rPr>
          <w:rFonts w:cs="Arial"/>
          <w:b/>
          <w:sz w:val="23"/>
          <w:szCs w:val="23"/>
          <w:u w:val="single"/>
          <w:lang w:eastAsia="en-US"/>
        </w:rPr>
        <w:t>00 words overall.</w:t>
      </w:r>
      <w:r w:rsidRPr="00BE5FDE">
        <w:rPr>
          <w:szCs w:val="22"/>
        </w:rPr>
        <w:t xml:space="preserve"> Please note anything longer will be disregarded. We will not consider attachments or follow hyperlinks within proposals.</w:t>
      </w:r>
    </w:p>
    <w:p w14:paraId="40F6F47F" w14:textId="7C5D5E1C"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41AC48B7" w:rsidR="00915C18" w:rsidRDefault="00915C18" w:rsidP="00915C18">
            <w:pPr>
              <w:spacing w:before="160"/>
              <w:rPr>
                <w:b/>
                <w:bCs/>
                <w:sz w:val="28"/>
                <w:szCs w:val="20"/>
              </w:rPr>
            </w:pPr>
            <w:r w:rsidRPr="00915C18">
              <w:rPr>
                <w:b/>
                <w:bCs/>
                <w:sz w:val="28"/>
                <w:szCs w:val="20"/>
              </w:rPr>
              <w:t>Closing date for EOIs:</w:t>
            </w:r>
            <w:r w:rsidR="00C87BF2">
              <w:rPr>
                <w:b/>
                <w:bCs/>
                <w:sz w:val="28"/>
                <w:szCs w:val="20"/>
              </w:rPr>
              <w:t xml:space="preserve"> 5pm on 27 June 2019</w:t>
            </w:r>
          </w:p>
          <w:p w14:paraId="5178F3E6" w14:textId="1AC174D7" w:rsidR="00A85EBD" w:rsidRDefault="00915C18" w:rsidP="009E7F21">
            <w:pPr>
              <w:rPr>
                <w:rFonts w:ascii="Calibri" w:hAnsi="Calibri"/>
              </w:rPr>
            </w:pPr>
            <w:r w:rsidRPr="00915C18">
              <w:rPr>
                <w:b/>
                <w:bCs/>
                <w:sz w:val="28"/>
                <w:szCs w:val="20"/>
              </w:rPr>
              <w:t>Send your EOI form to:</w:t>
            </w:r>
            <w:r w:rsidR="00BE5FDE">
              <w:rPr>
                <w:b/>
                <w:bCs/>
                <w:sz w:val="28"/>
                <w:szCs w:val="20"/>
              </w:rPr>
              <w:t xml:space="preserve"> </w:t>
            </w:r>
            <w:hyperlink r:id="rId16" w:history="1">
              <w:r w:rsidR="009E7F21" w:rsidRPr="009E4AA6">
                <w:rPr>
                  <w:rStyle w:val="Hyperlink"/>
                  <w:b/>
                  <w:bCs/>
                  <w:sz w:val="28"/>
                  <w:szCs w:val="20"/>
                </w:rPr>
                <w:t>frances.forsyth@education.gov.uk</w:t>
              </w:r>
            </w:hyperlink>
            <w:r w:rsidR="00BE5FDE">
              <w:rPr>
                <w:b/>
                <w:bCs/>
                <w:sz w:val="28"/>
                <w:szCs w:val="20"/>
              </w:rPr>
              <w:t xml:space="preserve"> (please email a Microsoft Word compatible copy of your completed EOI)</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7"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0A2094A2" w:rsidR="005D3B59" w:rsidRPr="00531385" w:rsidRDefault="00C2496D" w:rsidP="005D3B59">
      <w:r w:rsidRPr="00995398">
        <w:t>©</w:t>
      </w:r>
      <w:r w:rsidR="005D3B59" w:rsidRPr="005D3B59">
        <w:t xml:space="preserve"> </w:t>
      </w:r>
      <w:r w:rsidR="00EE71A2">
        <w:t xml:space="preserve">Crown copyright </w:t>
      </w:r>
      <w:r w:rsidR="00D674B1">
        <w:t>2019</w:t>
      </w:r>
    </w:p>
    <w:sectPr w:rsidR="005D3B59"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617A0E" w16cid:durableId="209241B0"/>
  <w16cid:commentId w16cid:paraId="38838D5A" w16cid:durableId="209241C9"/>
  <w16cid:commentId w16cid:paraId="2EB786B6" w16cid:durableId="209241B1"/>
  <w16cid:commentId w16cid:paraId="21C7D1B2" w16cid:durableId="209241B2"/>
  <w16cid:commentId w16cid:paraId="615F0D29" w16cid:durableId="209241B3"/>
  <w16cid:commentId w16cid:paraId="77AD0D82" w16cid:durableId="209243B5"/>
  <w16cid:commentId w16cid:paraId="78F7D671" w16cid:durableId="2092450B"/>
  <w16cid:commentId w16cid:paraId="41AED008" w16cid:durableId="209244DE"/>
  <w16cid:commentId w16cid:paraId="62CC9561" w16cid:durableId="20924FCC"/>
  <w16cid:commentId w16cid:paraId="214B799B" w16cid:durableId="20924772"/>
  <w16cid:commentId w16cid:paraId="1F227F08" w16cid:durableId="209248B0"/>
  <w16cid:commentId w16cid:paraId="418739DF" w16cid:durableId="20924998"/>
  <w16cid:commentId w16cid:paraId="2C14D6C1" w16cid:durableId="20924BAD"/>
  <w16cid:commentId w16cid:paraId="2EFA3F7A" w16cid:durableId="20924BEF"/>
  <w16cid:commentId w16cid:paraId="3CF80A60" w16cid:durableId="20924C8B"/>
  <w16cid:commentId w16cid:paraId="02EE9962" w16cid:durableId="20924D7A"/>
  <w16cid:commentId w16cid:paraId="05ED45E0" w16cid:durableId="20924D09"/>
  <w16cid:commentId w16cid:paraId="49032AA6" w16cid:durableId="209241B4"/>
  <w16cid:commentId w16cid:paraId="483D23EE" w16cid:durableId="209241B5"/>
  <w16cid:commentId w16cid:paraId="4082636F" w16cid:durableId="20924DEC"/>
  <w16cid:commentId w16cid:paraId="2C508021" w16cid:durableId="20893FC5"/>
  <w16cid:commentId w16cid:paraId="5D2E6B29" w16cid:durableId="209241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8DF21" w14:textId="77777777" w:rsidR="00863DAB" w:rsidRDefault="00863DAB" w:rsidP="002B6D93">
      <w:r>
        <w:separator/>
      </w:r>
    </w:p>
    <w:p w14:paraId="72C4BFEA" w14:textId="77777777" w:rsidR="00863DAB" w:rsidRDefault="00863DAB"/>
  </w:endnote>
  <w:endnote w:type="continuationSeparator" w:id="0">
    <w:p w14:paraId="7A7D2528" w14:textId="77777777" w:rsidR="00863DAB" w:rsidRDefault="00863DAB" w:rsidP="002B6D93">
      <w:r>
        <w:continuationSeparator/>
      </w:r>
    </w:p>
    <w:p w14:paraId="2E076D43" w14:textId="77777777" w:rsidR="00863DAB" w:rsidRDefault="0086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7E4CD05A"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8E1FE3">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2DA06832" w:rsidR="00DA0AD5" w:rsidRPr="006E6ADB" w:rsidRDefault="00DA0AD5" w:rsidP="004A3626">
    <w:pPr>
      <w:tabs>
        <w:tab w:val="left" w:pos="7088"/>
      </w:tabs>
      <w:spacing w:before="240"/>
      <w:rPr>
        <w:szCs w:val="20"/>
      </w:rPr>
    </w:pPr>
    <w:r w:rsidRPr="006E6ADB">
      <w:rPr>
        <w:szCs w:val="20"/>
      </w:rPr>
      <w:tab/>
      <w:t xml:space="preserve">Published: </w:t>
    </w:r>
    <w:r w:rsidR="00940473">
      <w:rPr>
        <w:szCs w:val="20"/>
      </w:rPr>
      <w:t>June</w:t>
    </w:r>
    <w:r w:rsidR="00F85AA7">
      <w:rPr>
        <w:szCs w:val="20"/>
      </w:rPr>
      <w:t xml:space="preserve"> </w:t>
    </w:r>
    <w:r>
      <w:rPr>
        <w:szCs w:val="20"/>
      </w:rPr>
      <w:t>201</w:t>
    </w:r>
    <w:r w:rsidR="005363DB">
      <w:rPr>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6672E" w14:textId="77777777" w:rsidR="00863DAB" w:rsidRDefault="00863DAB" w:rsidP="002B6D93">
      <w:r>
        <w:separator/>
      </w:r>
    </w:p>
    <w:p w14:paraId="08A14248" w14:textId="77777777" w:rsidR="00863DAB" w:rsidRDefault="00863DAB"/>
  </w:footnote>
  <w:footnote w:type="continuationSeparator" w:id="0">
    <w:p w14:paraId="5380E560" w14:textId="77777777" w:rsidR="00863DAB" w:rsidRDefault="00863DAB" w:rsidP="002B6D93">
      <w:r>
        <w:continuationSeparator/>
      </w:r>
    </w:p>
    <w:p w14:paraId="12EC7C67" w14:textId="77777777" w:rsidR="00863DAB" w:rsidRDefault="00863DAB"/>
  </w:footnote>
  <w:footnote w:id="1">
    <w:p w14:paraId="31EBE078" w14:textId="77777777" w:rsidR="005363DB" w:rsidRPr="00884AFE" w:rsidRDefault="005363DB" w:rsidP="005363DB">
      <w:pPr>
        <w:pStyle w:val="FootnoteText"/>
        <w:rPr>
          <w:rFonts w:asciiTheme="minorHAnsi" w:hAnsiTheme="minorHAnsi" w:cstheme="minorHAnsi"/>
          <w:sz w:val="18"/>
        </w:rPr>
      </w:pPr>
      <w:r w:rsidRPr="00B64E26">
        <w:rPr>
          <w:rStyle w:val="FootnoteReference"/>
          <w:rFonts w:asciiTheme="minorHAnsi" w:hAnsiTheme="minorHAnsi" w:cstheme="minorHAnsi"/>
          <w:sz w:val="18"/>
        </w:rPr>
        <w:footnoteRef/>
      </w:r>
      <w:r w:rsidRPr="00B64E26">
        <w:rPr>
          <w:rFonts w:asciiTheme="minorHAnsi" w:hAnsiTheme="minorHAnsi" w:cstheme="minorHAnsi"/>
          <w:sz w:val="18"/>
        </w:rPr>
        <w:t xml:space="preserve"> </w:t>
      </w:r>
      <w:hyperlink r:id="rId1" w:history="1">
        <w:r w:rsidRPr="00884AFE">
          <w:rPr>
            <w:rStyle w:val="Hyperlink"/>
            <w:rFonts w:asciiTheme="minorHAnsi" w:hAnsiTheme="minorHAnsi" w:cstheme="minorHAnsi"/>
            <w:sz w:val="14"/>
          </w:rPr>
          <w:t>https://www.gov.uk/government/publications/study-of-early-education-and-development-survey-of-families</w:t>
        </w:r>
      </w:hyperlink>
      <w:r w:rsidRPr="00884AFE">
        <w:rPr>
          <w:rFonts w:asciiTheme="minorHAnsi" w:hAnsiTheme="minorHAnsi" w:cstheme="minorHAnsi"/>
          <w:sz w:val="14"/>
        </w:rPr>
        <w:t xml:space="preserve"> </w:t>
      </w:r>
    </w:p>
  </w:footnote>
  <w:footnote w:id="2">
    <w:p w14:paraId="410F1E35" w14:textId="77777777" w:rsidR="005363DB" w:rsidRPr="00884AFE" w:rsidRDefault="005363DB" w:rsidP="005363DB">
      <w:pPr>
        <w:pStyle w:val="FootnoteText"/>
        <w:rPr>
          <w:rFonts w:asciiTheme="minorHAnsi" w:hAnsiTheme="minorHAnsi" w:cstheme="minorHAnsi"/>
          <w:sz w:val="18"/>
        </w:rPr>
      </w:pPr>
      <w:r w:rsidRPr="00B64E26">
        <w:rPr>
          <w:rStyle w:val="FootnoteReference"/>
          <w:rFonts w:asciiTheme="minorHAnsi" w:hAnsiTheme="minorHAnsi" w:cstheme="minorHAnsi"/>
          <w:sz w:val="18"/>
        </w:rPr>
        <w:footnoteRef/>
      </w:r>
      <w:r w:rsidRPr="00884AFE">
        <w:rPr>
          <w:rFonts w:asciiTheme="minorHAnsi" w:hAnsiTheme="minorHAnsi" w:cstheme="minorHAnsi"/>
          <w:sz w:val="18"/>
        </w:rPr>
        <w:t xml:space="preserve"> </w:t>
      </w:r>
      <w:hyperlink r:id="rId2" w:history="1">
        <w:r w:rsidRPr="00884AFE">
          <w:rPr>
            <w:rStyle w:val="Hyperlink"/>
            <w:rFonts w:asciiTheme="minorHAnsi" w:hAnsiTheme="minorHAnsi" w:cstheme="minorHAnsi"/>
            <w:sz w:val="14"/>
          </w:rPr>
          <w:t>https://assets.publishing.service.gov.uk/government/uploads/system/uploads/attachment_data/file/351496/RR354_-_Students__educational_and_developmental_outcomes_at_age_16.pdf</w:t>
        </w:r>
      </w:hyperlink>
      <w:r w:rsidRPr="00884AFE">
        <w:rPr>
          <w:rFonts w:asciiTheme="minorHAnsi" w:hAnsiTheme="minorHAnsi" w:cstheme="minorHAnsi"/>
          <w:sz w:val="14"/>
        </w:rPr>
        <w:t xml:space="preserve"> </w:t>
      </w:r>
    </w:p>
  </w:footnote>
  <w:footnote w:id="3">
    <w:p w14:paraId="7C069D15" w14:textId="77777777" w:rsidR="005363DB" w:rsidRPr="00884AFE" w:rsidRDefault="005363DB" w:rsidP="005363DB">
      <w:pPr>
        <w:pStyle w:val="FootnoteText"/>
        <w:rPr>
          <w:rFonts w:asciiTheme="minorHAnsi" w:hAnsiTheme="minorHAnsi" w:cstheme="minorHAnsi"/>
          <w:i/>
          <w:sz w:val="16"/>
        </w:rPr>
      </w:pPr>
      <w:r w:rsidRPr="00884AFE">
        <w:rPr>
          <w:rStyle w:val="FootnoteReference"/>
          <w:rFonts w:asciiTheme="minorHAnsi" w:hAnsiTheme="minorHAnsi" w:cstheme="minorHAnsi"/>
          <w:sz w:val="16"/>
        </w:rPr>
        <w:footnoteRef/>
      </w:r>
      <w:r w:rsidRPr="00884AFE">
        <w:rPr>
          <w:rFonts w:asciiTheme="minorHAnsi" w:hAnsiTheme="minorHAnsi" w:cstheme="minorHAnsi"/>
          <w:sz w:val="16"/>
        </w:rPr>
        <w:t xml:space="preserve"> </w:t>
      </w:r>
      <w:r w:rsidRPr="00884AFE">
        <w:rPr>
          <w:rFonts w:asciiTheme="minorHAnsi" w:hAnsiTheme="minorHAnsi" w:cstheme="minorHAnsi"/>
          <w:sz w:val="14"/>
        </w:rPr>
        <w:t>Melhuish &amp; Gardiner (2017</w:t>
      </w:r>
      <w:r w:rsidRPr="00884AFE">
        <w:rPr>
          <w:rFonts w:asciiTheme="minorHAnsi" w:hAnsiTheme="minorHAnsi" w:cstheme="minorHAnsi"/>
          <w:i/>
          <w:sz w:val="14"/>
        </w:rPr>
        <w:t xml:space="preserve">)  </w:t>
      </w:r>
      <w:hyperlink r:id="rId3" w:history="1">
        <w:r w:rsidRPr="00884AFE">
          <w:rPr>
            <w:rStyle w:val="Hyperlink"/>
            <w:rFonts w:asciiTheme="minorHAnsi" w:hAnsiTheme="minorHAnsi" w:cstheme="minorHAnsi"/>
            <w:sz w:val="14"/>
          </w:rPr>
          <w:t>Study of Early Education and Development (SEED): Study of Quality of Early Years Provision in England</w:t>
        </w:r>
      </w:hyperlink>
    </w:p>
  </w:footnote>
  <w:footnote w:id="4">
    <w:p w14:paraId="24C539EC" w14:textId="77777777" w:rsidR="005363DB" w:rsidRPr="00884AFE" w:rsidRDefault="005363DB" w:rsidP="005363DB">
      <w:pPr>
        <w:pStyle w:val="FootnoteText"/>
        <w:rPr>
          <w:rFonts w:asciiTheme="minorHAnsi" w:hAnsiTheme="minorHAnsi" w:cstheme="minorHAnsi"/>
          <w:sz w:val="14"/>
        </w:rPr>
      </w:pPr>
      <w:r w:rsidRPr="00B64E26">
        <w:rPr>
          <w:rStyle w:val="FootnoteReference"/>
          <w:rFonts w:asciiTheme="minorHAnsi" w:hAnsiTheme="minorHAnsi" w:cstheme="minorHAnsi"/>
          <w:sz w:val="18"/>
        </w:rPr>
        <w:footnoteRef/>
      </w:r>
      <w:r w:rsidRPr="00884AFE">
        <w:rPr>
          <w:rFonts w:asciiTheme="minorHAnsi" w:hAnsiTheme="minorHAnsi" w:cstheme="minorHAnsi"/>
          <w:sz w:val="18"/>
        </w:rPr>
        <w:t xml:space="preserve"> </w:t>
      </w:r>
      <w:r w:rsidRPr="00884AFE">
        <w:rPr>
          <w:rFonts w:asciiTheme="minorHAnsi" w:hAnsiTheme="minorHAnsi" w:cstheme="minorHAnsi"/>
          <w:sz w:val="14"/>
        </w:rPr>
        <w:t>Bonetti &amp; Brown, EPI (2018)</w:t>
      </w:r>
      <w:r w:rsidRPr="00884AFE">
        <w:rPr>
          <w:rFonts w:asciiTheme="minorHAnsi" w:hAnsiTheme="minorHAnsi" w:cstheme="minorHAnsi"/>
          <w:sz w:val="18"/>
        </w:rPr>
        <w:t xml:space="preserve"> </w:t>
      </w:r>
      <w:hyperlink r:id="rId4" w:history="1">
        <w:r w:rsidRPr="00884AFE">
          <w:rPr>
            <w:rStyle w:val="Hyperlink"/>
            <w:rFonts w:asciiTheme="minorHAnsi" w:hAnsiTheme="minorHAnsi" w:cstheme="minorHAnsi"/>
            <w:sz w:val="14"/>
          </w:rPr>
          <w:t>Structural elements of quality early years provision: A review of the evidence</w:t>
        </w:r>
      </w:hyperlink>
    </w:p>
  </w:footnote>
  <w:footnote w:id="5">
    <w:p w14:paraId="3D4BDFFC" w14:textId="77777777" w:rsidR="005363DB" w:rsidRPr="00884AFE" w:rsidRDefault="005363DB" w:rsidP="005363DB">
      <w:pPr>
        <w:pStyle w:val="FootnoteText"/>
        <w:rPr>
          <w:rFonts w:asciiTheme="minorHAnsi" w:hAnsiTheme="minorHAnsi" w:cstheme="minorHAnsi"/>
          <w:sz w:val="18"/>
        </w:rPr>
      </w:pPr>
      <w:r w:rsidRPr="00884AFE">
        <w:rPr>
          <w:rStyle w:val="FootnoteReference"/>
          <w:rFonts w:asciiTheme="minorHAnsi" w:hAnsiTheme="minorHAnsi" w:cstheme="minorHAnsi"/>
          <w:sz w:val="16"/>
        </w:rPr>
        <w:footnoteRef/>
      </w:r>
      <w:r w:rsidRPr="00884AFE">
        <w:rPr>
          <w:rFonts w:asciiTheme="minorHAnsi" w:hAnsiTheme="minorHAnsi" w:cstheme="minorHAnsi"/>
          <w:sz w:val="16"/>
        </w:rPr>
        <w:t xml:space="preserve"> </w:t>
      </w:r>
      <w:r w:rsidRPr="00884AFE">
        <w:rPr>
          <w:rFonts w:asciiTheme="minorHAnsi" w:hAnsiTheme="minorHAnsi" w:cstheme="minorHAnsi"/>
          <w:color w:val="000000"/>
          <w:sz w:val="14"/>
          <w:szCs w:val="18"/>
        </w:rPr>
        <w:t>EEF</w:t>
      </w:r>
      <w:r w:rsidRPr="00884AFE">
        <w:rPr>
          <w:rStyle w:val="Hyperlink"/>
          <w:rFonts w:asciiTheme="minorHAnsi" w:hAnsiTheme="minorHAnsi" w:cstheme="minorHAnsi"/>
          <w:sz w:val="16"/>
        </w:rPr>
        <w:t xml:space="preserve"> </w:t>
      </w:r>
      <w:hyperlink r:id="rId5" w:history="1">
        <w:r w:rsidRPr="00884AFE">
          <w:rPr>
            <w:rStyle w:val="Hyperlink"/>
            <w:rFonts w:asciiTheme="minorHAnsi" w:hAnsiTheme="minorHAnsi" w:cstheme="minorHAnsi"/>
            <w:sz w:val="14"/>
            <w:szCs w:val="18"/>
          </w:rPr>
          <w:t>Early Years Evidence Summary</w:t>
        </w:r>
      </w:hyperlink>
    </w:p>
  </w:footnote>
  <w:footnote w:id="6">
    <w:p w14:paraId="22DCAACE" w14:textId="77777777" w:rsidR="005363DB" w:rsidRPr="00884AFE" w:rsidRDefault="005363DB" w:rsidP="005363DB">
      <w:pPr>
        <w:pStyle w:val="FootnoteText"/>
        <w:rPr>
          <w:rFonts w:asciiTheme="minorHAnsi" w:hAnsiTheme="minorHAnsi" w:cstheme="minorHAnsi"/>
          <w:sz w:val="18"/>
        </w:rPr>
      </w:pPr>
      <w:r w:rsidRPr="00884AFE">
        <w:rPr>
          <w:rStyle w:val="FootnoteReference"/>
          <w:rFonts w:asciiTheme="minorHAnsi" w:hAnsiTheme="minorHAnsi" w:cstheme="minorHAnsi"/>
          <w:sz w:val="18"/>
        </w:rPr>
        <w:footnoteRef/>
      </w:r>
      <w:r w:rsidRPr="00884AFE">
        <w:rPr>
          <w:rFonts w:asciiTheme="minorHAnsi" w:hAnsiTheme="minorHAnsi" w:cstheme="minorHAnsi"/>
          <w:sz w:val="18"/>
        </w:rPr>
        <w:t xml:space="preserve"> </w:t>
      </w:r>
      <w:r w:rsidRPr="00884AFE">
        <w:rPr>
          <w:rFonts w:asciiTheme="minorHAnsi" w:hAnsiTheme="minorHAnsi" w:cstheme="minorHAnsi"/>
          <w:sz w:val="14"/>
        </w:rPr>
        <w:t xml:space="preserve">NSW Dept. of Education (2018), </w:t>
      </w:r>
      <w:hyperlink r:id="rId6" w:history="1">
        <w:r w:rsidRPr="00884AFE">
          <w:rPr>
            <w:rStyle w:val="Hyperlink"/>
            <w:rFonts w:asciiTheme="minorHAnsi" w:hAnsiTheme="minorHAnsi" w:cstheme="minorHAnsi"/>
            <w:sz w:val="14"/>
          </w:rPr>
          <w:t>Fostering Effective Early Learning Study</w:t>
        </w:r>
      </w:hyperlink>
    </w:p>
  </w:footnote>
  <w:footnote w:id="7">
    <w:p w14:paraId="51CB6CC3" w14:textId="006378C1" w:rsidR="00FF7E5E" w:rsidRDefault="00FF7E5E">
      <w:pPr>
        <w:pStyle w:val="FootnoteText"/>
      </w:pPr>
      <w:r>
        <w:rPr>
          <w:rStyle w:val="FootnoteReference"/>
        </w:rPr>
        <w:footnoteRef/>
      </w:r>
      <w:r>
        <w:t xml:space="preserve"> </w:t>
      </w:r>
      <w:r w:rsidR="009E7F21">
        <w:rPr>
          <w:rFonts w:asciiTheme="minorHAnsi" w:hAnsiTheme="minorHAnsi" w:cstheme="minorHAnsi"/>
          <w:sz w:val="14"/>
        </w:rPr>
        <w:t>“</w:t>
      </w:r>
      <w:r w:rsidRPr="009E7F21">
        <w:rPr>
          <w:rFonts w:asciiTheme="minorHAnsi" w:hAnsiTheme="minorHAnsi" w:cstheme="minorHAnsi"/>
          <w:sz w:val="14"/>
        </w:rPr>
        <w:t>Setting</w:t>
      </w:r>
      <w:r w:rsidR="009E7F21">
        <w:rPr>
          <w:rFonts w:asciiTheme="minorHAnsi" w:hAnsiTheme="minorHAnsi" w:cstheme="minorHAnsi"/>
          <w:sz w:val="14"/>
        </w:rPr>
        <w:t>”</w:t>
      </w:r>
      <w:r w:rsidRPr="009E7F21">
        <w:rPr>
          <w:rFonts w:asciiTheme="minorHAnsi" w:hAnsiTheme="minorHAnsi" w:cstheme="minorHAnsi"/>
          <w:sz w:val="14"/>
        </w:rPr>
        <w:t xml:space="preserve"> means a</w:t>
      </w:r>
      <w:r w:rsidR="009E7F21">
        <w:rPr>
          <w:rFonts w:asciiTheme="minorHAnsi" w:hAnsiTheme="minorHAnsi" w:cstheme="minorHAnsi"/>
          <w:sz w:val="14"/>
        </w:rPr>
        <w:t>ny</w:t>
      </w:r>
      <w:r w:rsidRPr="009E7F21">
        <w:rPr>
          <w:rFonts w:asciiTheme="minorHAnsi" w:hAnsiTheme="minorHAnsi" w:cstheme="minorHAnsi"/>
          <w:sz w:val="14"/>
        </w:rPr>
        <w:t xml:space="preserve"> site of registered childcare provision for 2- , 3- and 4 year olds</w:t>
      </w:r>
      <w:r w:rsidR="009E7F21">
        <w:rPr>
          <w:rFonts w:asciiTheme="minorHAnsi" w:hAnsiTheme="minorHAnsi" w:cstheme="minorHAnsi"/>
          <w:sz w:val="14"/>
        </w:rPr>
        <w:t>.</w:t>
      </w:r>
      <w:r>
        <w:rPr>
          <w:rFonts w:asciiTheme="minorHAnsi" w:hAnsiTheme="minorHAnsi" w:cstheme="minorHAnsi"/>
          <w:sz w:val="14"/>
        </w:rPr>
        <w:t xml:space="preserve"> </w:t>
      </w:r>
      <w:r w:rsidR="009E7F21">
        <w:rPr>
          <w:rFonts w:asciiTheme="minorHAnsi" w:hAnsiTheme="minorHAnsi" w:cstheme="minorHAnsi"/>
          <w:sz w:val="14"/>
        </w:rPr>
        <w:t>T</w:t>
      </w:r>
      <w:r>
        <w:rPr>
          <w:rFonts w:asciiTheme="minorHAnsi" w:hAnsiTheme="minorHAnsi" w:cstheme="minorHAnsi"/>
          <w:sz w:val="14"/>
        </w:rPr>
        <w:t>he focus</w:t>
      </w:r>
      <w:r w:rsidR="009E7F21">
        <w:rPr>
          <w:rFonts w:asciiTheme="minorHAnsi" w:hAnsiTheme="minorHAnsi" w:cstheme="minorHAnsi"/>
          <w:sz w:val="14"/>
        </w:rPr>
        <w:t xml:space="preserve"> of the PDP</w:t>
      </w:r>
      <w:r>
        <w:rPr>
          <w:rFonts w:asciiTheme="minorHAnsi" w:hAnsiTheme="minorHAnsi" w:cstheme="minorHAnsi"/>
          <w:sz w:val="14"/>
        </w:rPr>
        <w:t xml:space="preserve"> will be on private, voulntary and independent (PVI) provision, with maintained settings and childminders also included.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E7D2A"/>
    <w:multiLevelType w:val="hybridMultilevel"/>
    <w:tmpl w:val="BEAA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694D3D"/>
    <w:multiLevelType w:val="hybridMultilevel"/>
    <w:tmpl w:val="196CB300"/>
    <w:lvl w:ilvl="0" w:tplc="3E48B54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E1AFD"/>
    <w:multiLevelType w:val="hybridMultilevel"/>
    <w:tmpl w:val="4784E6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72147"/>
    <w:multiLevelType w:val="hybridMultilevel"/>
    <w:tmpl w:val="A606A2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3030241"/>
    <w:multiLevelType w:val="hybridMultilevel"/>
    <w:tmpl w:val="2A4AE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C3A9C"/>
    <w:multiLevelType w:val="hybridMultilevel"/>
    <w:tmpl w:val="C584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59796C"/>
    <w:multiLevelType w:val="hybridMultilevel"/>
    <w:tmpl w:val="0CA46D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B500F8E"/>
    <w:multiLevelType w:val="hybridMultilevel"/>
    <w:tmpl w:val="F948FB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F263B6D"/>
    <w:multiLevelType w:val="hybridMultilevel"/>
    <w:tmpl w:val="E3340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4343D"/>
    <w:multiLevelType w:val="hybridMultilevel"/>
    <w:tmpl w:val="BA4EBDF8"/>
    <w:lvl w:ilvl="0" w:tplc="E9C270B6">
      <w:start w:val="1"/>
      <w:numFmt w:val="upperLetter"/>
      <w:lvlText w:val="%1."/>
      <w:lvlJc w:val="left"/>
      <w:pPr>
        <w:ind w:left="1808" w:hanging="360"/>
      </w:pPr>
      <w:rPr>
        <w:rFonts w:hint="default"/>
      </w:rPr>
    </w:lvl>
    <w:lvl w:ilvl="1" w:tplc="08090019" w:tentative="1">
      <w:start w:val="1"/>
      <w:numFmt w:val="lowerLetter"/>
      <w:lvlText w:val="%2."/>
      <w:lvlJc w:val="left"/>
      <w:pPr>
        <w:ind w:left="2528" w:hanging="360"/>
      </w:pPr>
    </w:lvl>
    <w:lvl w:ilvl="2" w:tplc="0809001B" w:tentative="1">
      <w:start w:val="1"/>
      <w:numFmt w:val="lowerRoman"/>
      <w:lvlText w:val="%3."/>
      <w:lvlJc w:val="right"/>
      <w:pPr>
        <w:ind w:left="3248" w:hanging="180"/>
      </w:pPr>
    </w:lvl>
    <w:lvl w:ilvl="3" w:tplc="0809000F" w:tentative="1">
      <w:start w:val="1"/>
      <w:numFmt w:val="decimal"/>
      <w:lvlText w:val="%4."/>
      <w:lvlJc w:val="left"/>
      <w:pPr>
        <w:ind w:left="3968" w:hanging="360"/>
      </w:pPr>
    </w:lvl>
    <w:lvl w:ilvl="4" w:tplc="08090019" w:tentative="1">
      <w:start w:val="1"/>
      <w:numFmt w:val="lowerLetter"/>
      <w:lvlText w:val="%5."/>
      <w:lvlJc w:val="left"/>
      <w:pPr>
        <w:ind w:left="4688" w:hanging="360"/>
      </w:pPr>
    </w:lvl>
    <w:lvl w:ilvl="5" w:tplc="0809001B" w:tentative="1">
      <w:start w:val="1"/>
      <w:numFmt w:val="lowerRoman"/>
      <w:lvlText w:val="%6."/>
      <w:lvlJc w:val="right"/>
      <w:pPr>
        <w:ind w:left="5408" w:hanging="180"/>
      </w:pPr>
    </w:lvl>
    <w:lvl w:ilvl="6" w:tplc="0809000F" w:tentative="1">
      <w:start w:val="1"/>
      <w:numFmt w:val="decimal"/>
      <w:lvlText w:val="%7."/>
      <w:lvlJc w:val="left"/>
      <w:pPr>
        <w:ind w:left="6128" w:hanging="360"/>
      </w:pPr>
    </w:lvl>
    <w:lvl w:ilvl="7" w:tplc="08090019" w:tentative="1">
      <w:start w:val="1"/>
      <w:numFmt w:val="lowerLetter"/>
      <w:lvlText w:val="%8."/>
      <w:lvlJc w:val="left"/>
      <w:pPr>
        <w:ind w:left="6848" w:hanging="360"/>
      </w:pPr>
    </w:lvl>
    <w:lvl w:ilvl="8" w:tplc="0809001B" w:tentative="1">
      <w:start w:val="1"/>
      <w:numFmt w:val="lowerRoman"/>
      <w:lvlText w:val="%9."/>
      <w:lvlJc w:val="right"/>
      <w:pPr>
        <w:ind w:left="7568" w:hanging="180"/>
      </w:pPr>
    </w:lvl>
  </w:abstractNum>
  <w:abstractNum w:abstractNumId="18" w15:restartNumberingAfterBreak="0">
    <w:nsid w:val="25A27E7D"/>
    <w:multiLevelType w:val="hybridMultilevel"/>
    <w:tmpl w:val="F65CBE1A"/>
    <w:lvl w:ilvl="0" w:tplc="C6CE5D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6A5FBF"/>
    <w:multiLevelType w:val="hybridMultilevel"/>
    <w:tmpl w:val="C0B6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B368C5"/>
    <w:multiLevelType w:val="hybridMultilevel"/>
    <w:tmpl w:val="303CB7BA"/>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24" w15:restartNumberingAfterBreak="0">
    <w:nsid w:val="34753CD5"/>
    <w:multiLevelType w:val="hybridMultilevel"/>
    <w:tmpl w:val="0066C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2836209"/>
    <w:multiLevelType w:val="hybridMultilevel"/>
    <w:tmpl w:val="255A6E0E"/>
    <w:lvl w:ilvl="0" w:tplc="6672B20E">
      <w:start w:val="1"/>
      <w:numFmt w:val="upperLetter"/>
      <w:lvlText w:val="%1."/>
      <w:lvlJc w:val="left"/>
      <w:pPr>
        <w:ind w:left="1415" w:hanging="360"/>
      </w:pPr>
      <w:rPr>
        <w:rFonts w:hint="default"/>
        <w:b/>
      </w:rPr>
    </w:lvl>
    <w:lvl w:ilvl="1" w:tplc="08090019">
      <w:start w:val="1"/>
      <w:numFmt w:val="lowerLetter"/>
      <w:lvlText w:val="%2."/>
      <w:lvlJc w:val="left"/>
      <w:pPr>
        <w:ind w:left="2135" w:hanging="360"/>
      </w:pPr>
    </w:lvl>
    <w:lvl w:ilvl="2" w:tplc="0809001B" w:tentative="1">
      <w:start w:val="1"/>
      <w:numFmt w:val="lowerRoman"/>
      <w:lvlText w:val="%3."/>
      <w:lvlJc w:val="right"/>
      <w:pPr>
        <w:ind w:left="2855" w:hanging="180"/>
      </w:pPr>
    </w:lvl>
    <w:lvl w:ilvl="3" w:tplc="0809000F" w:tentative="1">
      <w:start w:val="1"/>
      <w:numFmt w:val="decimal"/>
      <w:lvlText w:val="%4."/>
      <w:lvlJc w:val="left"/>
      <w:pPr>
        <w:ind w:left="3575" w:hanging="360"/>
      </w:pPr>
    </w:lvl>
    <w:lvl w:ilvl="4" w:tplc="08090019" w:tentative="1">
      <w:start w:val="1"/>
      <w:numFmt w:val="lowerLetter"/>
      <w:lvlText w:val="%5."/>
      <w:lvlJc w:val="left"/>
      <w:pPr>
        <w:ind w:left="4295" w:hanging="360"/>
      </w:pPr>
    </w:lvl>
    <w:lvl w:ilvl="5" w:tplc="0809001B" w:tentative="1">
      <w:start w:val="1"/>
      <w:numFmt w:val="lowerRoman"/>
      <w:lvlText w:val="%6."/>
      <w:lvlJc w:val="right"/>
      <w:pPr>
        <w:ind w:left="5015" w:hanging="180"/>
      </w:pPr>
    </w:lvl>
    <w:lvl w:ilvl="6" w:tplc="0809000F" w:tentative="1">
      <w:start w:val="1"/>
      <w:numFmt w:val="decimal"/>
      <w:lvlText w:val="%7."/>
      <w:lvlJc w:val="left"/>
      <w:pPr>
        <w:ind w:left="5735" w:hanging="360"/>
      </w:pPr>
    </w:lvl>
    <w:lvl w:ilvl="7" w:tplc="08090019" w:tentative="1">
      <w:start w:val="1"/>
      <w:numFmt w:val="lowerLetter"/>
      <w:lvlText w:val="%8."/>
      <w:lvlJc w:val="left"/>
      <w:pPr>
        <w:ind w:left="6455" w:hanging="360"/>
      </w:pPr>
    </w:lvl>
    <w:lvl w:ilvl="8" w:tplc="0809001B" w:tentative="1">
      <w:start w:val="1"/>
      <w:numFmt w:val="lowerRoman"/>
      <w:lvlText w:val="%9."/>
      <w:lvlJc w:val="right"/>
      <w:pPr>
        <w:ind w:left="7175" w:hanging="180"/>
      </w:p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EAE20D7"/>
    <w:multiLevelType w:val="hybridMultilevel"/>
    <w:tmpl w:val="41BE7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85B64D9"/>
    <w:multiLevelType w:val="hybridMultilevel"/>
    <w:tmpl w:val="6EE4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1C164A"/>
    <w:multiLevelType w:val="hybridMultilevel"/>
    <w:tmpl w:val="5B506C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BCA23EF4">
      <w:start w:val="1"/>
      <w:numFmt w:val="lowerLetter"/>
      <w:lvlText w:val="%3)"/>
      <w:lvlJc w:val="left"/>
      <w:pPr>
        <w:ind w:left="1778" w:hanging="360"/>
      </w:pPr>
      <w:rPr>
        <w:rFonts w:hint="default"/>
      </w:rPr>
    </w:lvl>
    <w:lvl w:ilvl="3" w:tplc="B8A65D26">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56700A"/>
    <w:multiLevelType w:val="hybridMultilevel"/>
    <w:tmpl w:val="12FEE624"/>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BCA23EF4">
      <w:start w:val="1"/>
      <w:numFmt w:val="lowerLetter"/>
      <w:lvlText w:val="%3)"/>
      <w:lvlJc w:val="left"/>
      <w:pPr>
        <w:ind w:left="1778" w:hanging="360"/>
      </w:pPr>
      <w:rPr>
        <w:rFonts w:hint="default"/>
      </w:rPr>
    </w:lvl>
    <w:lvl w:ilvl="3" w:tplc="B8A65D26">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B16766C"/>
    <w:multiLevelType w:val="hybridMultilevel"/>
    <w:tmpl w:val="9954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CC6A56"/>
    <w:multiLevelType w:val="hybridMultilevel"/>
    <w:tmpl w:val="870EA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3FE"/>
    <w:multiLevelType w:val="hybridMultilevel"/>
    <w:tmpl w:val="EB3CDBE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E87173"/>
    <w:multiLevelType w:val="hybridMultilevel"/>
    <w:tmpl w:val="47260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32"/>
  </w:num>
  <w:num w:numId="4">
    <w:abstractNumId w:val="21"/>
  </w:num>
  <w:num w:numId="5">
    <w:abstractNumId w:val="14"/>
  </w:num>
  <w:num w:numId="6">
    <w:abstractNumId w:val="26"/>
  </w:num>
  <w:num w:numId="7">
    <w:abstractNumId w:val="3"/>
  </w:num>
  <w:num w:numId="8">
    <w:abstractNumId w:val="1"/>
  </w:num>
  <w:num w:numId="9">
    <w:abstractNumId w:val="0"/>
  </w:num>
  <w:num w:numId="10">
    <w:abstractNumId w:val="27"/>
  </w:num>
  <w:num w:numId="11">
    <w:abstractNumId w:val="26"/>
  </w:num>
  <w:num w:numId="12">
    <w:abstractNumId w:val="37"/>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20"/>
  </w:num>
  <w:num w:numId="18">
    <w:abstractNumId w:val="22"/>
  </w:num>
  <w:num w:numId="19">
    <w:abstractNumId w:val="34"/>
  </w:num>
  <w:num w:numId="20">
    <w:abstractNumId w:val="35"/>
  </w:num>
  <w:num w:numId="21">
    <w:abstractNumId w:val="29"/>
  </w:num>
  <w:num w:numId="22">
    <w:abstractNumId w:val="23"/>
  </w:num>
  <w:num w:numId="23">
    <w:abstractNumId w:val="25"/>
  </w:num>
  <w:num w:numId="24">
    <w:abstractNumId w:val="10"/>
  </w:num>
  <w:num w:numId="25">
    <w:abstractNumId w:val="15"/>
  </w:num>
  <w:num w:numId="26">
    <w:abstractNumId w:val="28"/>
  </w:num>
  <w:num w:numId="27">
    <w:abstractNumId w:val="38"/>
  </w:num>
  <w:num w:numId="28">
    <w:abstractNumId w:val="11"/>
  </w:num>
  <w:num w:numId="29">
    <w:abstractNumId w:val="24"/>
  </w:num>
  <w:num w:numId="30">
    <w:abstractNumId w:val="5"/>
  </w:num>
  <w:num w:numId="31">
    <w:abstractNumId w:val="16"/>
  </w:num>
  <w:num w:numId="32">
    <w:abstractNumId w:val="30"/>
  </w:num>
  <w:num w:numId="33">
    <w:abstractNumId w:val="6"/>
  </w:num>
  <w:num w:numId="34">
    <w:abstractNumId w:val="13"/>
  </w:num>
  <w:num w:numId="35">
    <w:abstractNumId w:val="18"/>
  </w:num>
  <w:num w:numId="36">
    <w:abstractNumId w:val="17"/>
  </w:num>
  <w:num w:numId="37">
    <w:abstractNumId w:val="36"/>
  </w:num>
  <w:num w:numId="38">
    <w:abstractNumId w:val="12"/>
  </w:num>
  <w:num w:numId="39">
    <w:abstractNumId w:val="7"/>
  </w:num>
  <w:num w:numId="40">
    <w:abstractNumId w:val="31"/>
  </w:num>
  <w:num w:numId="4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4F0A"/>
    <w:rsid w:val="000115C0"/>
    <w:rsid w:val="00011A88"/>
    <w:rsid w:val="00012381"/>
    <w:rsid w:val="00013A6E"/>
    <w:rsid w:val="0002203B"/>
    <w:rsid w:val="00031F36"/>
    <w:rsid w:val="000442BD"/>
    <w:rsid w:val="00057100"/>
    <w:rsid w:val="00065E86"/>
    <w:rsid w:val="00066B1C"/>
    <w:rsid w:val="000720CD"/>
    <w:rsid w:val="00083A73"/>
    <w:rsid w:val="000848E7"/>
    <w:rsid w:val="00094338"/>
    <w:rsid w:val="00095DB9"/>
    <w:rsid w:val="000A10F4"/>
    <w:rsid w:val="000A760D"/>
    <w:rsid w:val="000B1323"/>
    <w:rsid w:val="000B251F"/>
    <w:rsid w:val="000B3DE0"/>
    <w:rsid w:val="000C4C87"/>
    <w:rsid w:val="000D1D30"/>
    <w:rsid w:val="000D4433"/>
    <w:rsid w:val="000E3350"/>
    <w:rsid w:val="000E3E30"/>
    <w:rsid w:val="000F7324"/>
    <w:rsid w:val="000F73F3"/>
    <w:rsid w:val="0010231F"/>
    <w:rsid w:val="00103E77"/>
    <w:rsid w:val="0011494F"/>
    <w:rsid w:val="00121C6C"/>
    <w:rsid w:val="00125CAC"/>
    <w:rsid w:val="001264D9"/>
    <w:rsid w:val="001272A9"/>
    <w:rsid w:val="00133075"/>
    <w:rsid w:val="00147214"/>
    <w:rsid w:val="00147697"/>
    <w:rsid w:val="001534B2"/>
    <w:rsid w:val="001540AB"/>
    <w:rsid w:val="001612C8"/>
    <w:rsid w:val="001747E2"/>
    <w:rsid w:val="0017497E"/>
    <w:rsid w:val="00176EB9"/>
    <w:rsid w:val="0017793A"/>
    <w:rsid w:val="00190C3A"/>
    <w:rsid w:val="00196306"/>
    <w:rsid w:val="001975D1"/>
    <w:rsid w:val="001A2C9E"/>
    <w:rsid w:val="001A3A04"/>
    <w:rsid w:val="001A75F9"/>
    <w:rsid w:val="001B2AE2"/>
    <w:rsid w:val="001B4452"/>
    <w:rsid w:val="001B5C15"/>
    <w:rsid w:val="001B796F"/>
    <w:rsid w:val="001C5A63"/>
    <w:rsid w:val="001C5EB6"/>
    <w:rsid w:val="001D231D"/>
    <w:rsid w:val="001D5770"/>
    <w:rsid w:val="001D7615"/>
    <w:rsid w:val="001F114A"/>
    <w:rsid w:val="001F1B30"/>
    <w:rsid w:val="001F2CE2"/>
    <w:rsid w:val="00203EC9"/>
    <w:rsid w:val="00210EB0"/>
    <w:rsid w:val="002113CF"/>
    <w:rsid w:val="0022255C"/>
    <w:rsid w:val="0022489D"/>
    <w:rsid w:val="002262F3"/>
    <w:rsid w:val="00230559"/>
    <w:rsid w:val="00230696"/>
    <w:rsid w:val="002332F8"/>
    <w:rsid w:val="00234F75"/>
    <w:rsid w:val="00240F4B"/>
    <w:rsid w:val="00241DA3"/>
    <w:rsid w:val="002535DA"/>
    <w:rsid w:val="002575C5"/>
    <w:rsid w:val="00260EBD"/>
    <w:rsid w:val="002639B5"/>
    <w:rsid w:val="00264022"/>
    <w:rsid w:val="002650FF"/>
    <w:rsid w:val="0027231C"/>
    <w:rsid w:val="0027252F"/>
    <w:rsid w:val="002738F2"/>
    <w:rsid w:val="0027444D"/>
    <w:rsid w:val="002839B5"/>
    <w:rsid w:val="00285A85"/>
    <w:rsid w:val="00287788"/>
    <w:rsid w:val="002A28F7"/>
    <w:rsid w:val="002A3153"/>
    <w:rsid w:val="002A57F4"/>
    <w:rsid w:val="002A5858"/>
    <w:rsid w:val="002B6D93"/>
    <w:rsid w:val="002B7303"/>
    <w:rsid w:val="002B7F3D"/>
    <w:rsid w:val="002C21B9"/>
    <w:rsid w:val="002C34D4"/>
    <w:rsid w:val="002C3AA4"/>
    <w:rsid w:val="002D751B"/>
    <w:rsid w:val="002E463F"/>
    <w:rsid w:val="002E4E9A"/>
    <w:rsid w:val="002E508B"/>
    <w:rsid w:val="002E5F9F"/>
    <w:rsid w:val="002E7849"/>
    <w:rsid w:val="002F4C63"/>
    <w:rsid w:val="002F7128"/>
    <w:rsid w:val="00300F99"/>
    <w:rsid w:val="00322E05"/>
    <w:rsid w:val="003373C5"/>
    <w:rsid w:val="00342F8B"/>
    <w:rsid w:val="003575E4"/>
    <w:rsid w:val="00361752"/>
    <w:rsid w:val="00374981"/>
    <w:rsid w:val="003810D8"/>
    <w:rsid w:val="003853A4"/>
    <w:rsid w:val="003929E9"/>
    <w:rsid w:val="00396EA7"/>
    <w:rsid w:val="0039725F"/>
    <w:rsid w:val="003A1CC2"/>
    <w:rsid w:val="003B3CA8"/>
    <w:rsid w:val="003C60B5"/>
    <w:rsid w:val="003D1EFE"/>
    <w:rsid w:val="003D3271"/>
    <w:rsid w:val="003D4DE6"/>
    <w:rsid w:val="003E1329"/>
    <w:rsid w:val="003E33CC"/>
    <w:rsid w:val="003E3B2C"/>
    <w:rsid w:val="003E3ED2"/>
    <w:rsid w:val="003F7B33"/>
    <w:rsid w:val="00400E1D"/>
    <w:rsid w:val="004022AC"/>
    <w:rsid w:val="0040323B"/>
    <w:rsid w:val="00403D1C"/>
    <w:rsid w:val="004216FF"/>
    <w:rsid w:val="004223E7"/>
    <w:rsid w:val="004242C5"/>
    <w:rsid w:val="00426852"/>
    <w:rsid w:val="0043343D"/>
    <w:rsid w:val="004339FB"/>
    <w:rsid w:val="00434B79"/>
    <w:rsid w:val="004355DB"/>
    <w:rsid w:val="004509BE"/>
    <w:rsid w:val="00456560"/>
    <w:rsid w:val="00456D62"/>
    <w:rsid w:val="00470223"/>
    <w:rsid w:val="00470CC8"/>
    <w:rsid w:val="004866AD"/>
    <w:rsid w:val="004A3626"/>
    <w:rsid w:val="004A3E98"/>
    <w:rsid w:val="004A600B"/>
    <w:rsid w:val="004B08AC"/>
    <w:rsid w:val="004B0FE1"/>
    <w:rsid w:val="004B72DC"/>
    <w:rsid w:val="004C5600"/>
    <w:rsid w:val="004D13A3"/>
    <w:rsid w:val="004D73C6"/>
    <w:rsid w:val="004E3C5B"/>
    <w:rsid w:val="004E5405"/>
    <w:rsid w:val="004E6CD9"/>
    <w:rsid w:val="004F1001"/>
    <w:rsid w:val="004F20E3"/>
    <w:rsid w:val="004F211A"/>
    <w:rsid w:val="004F3159"/>
    <w:rsid w:val="004F4AEF"/>
    <w:rsid w:val="004F7408"/>
    <w:rsid w:val="005048B4"/>
    <w:rsid w:val="005056F2"/>
    <w:rsid w:val="00512A13"/>
    <w:rsid w:val="00512D10"/>
    <w:rsid w:val="0051395E"/>
    <w:rsid w:val="005247AD"/>
    <w:rsid w:val="005360B7"/>
    <w:rsid w:val="005363DB"/>
    <w:rsid w:val="00536E0B"/>
    <w:rsid w:val="0054481F"/>
    <w:rsid w:val="00544A21"/>
    <w:rsid w:val="005453F9"/>
    <w:rsid w:val="005535E5"/>
    <w:rsid w:val="00554001"/>
    <w:rsid w:val="0055708A"/>
    <w:rsid w:val="00560451"/>
    <w:rsid w:val="00566F35"/>
    <w:rsid w:val="005718EA"/>
    <w:rsid w:val="0057250B"/>
    <w:rsid w:val="00573C27"/>
    <w:rsid w:val="00574294"/>
    <w:rsid w:val="005749C5"/>
    <w:rsid w:val="0057670A"/>
    <w:rsid w:val="00581D79"/>
    <w:rsid w:val="005905B1"/>
    <w:rsid w:val="00590B25"/>
    <w:rsid w:val="005914F1"/>
    <w:rsid w:val="005946C7"/>
    <w:rsid w:val="00596CD8"/>
    <w:rsid w:val="005A016F"/>
    <w:rsid w:val="005A07FF"/>
    <w:rsid w:val="005A0891"/>
    <w:rsid w:val="005A585C"/>
    <w:rsid w:val="005C0B41"/>
    <w:rsid w:val="005C11AD"/>
    <w:rsid w:val="005C1770"/>
    <w:rsid w:val="005C2D94"/>
    <w:rsid w:val="005C657D"/>
    <w:rsid w:val="005C6616"/>
    <w:rsid w:val="005D3B59"/>
    <w:rsid w:val="005D4F42"/>
    <w:rsid w:val="005E0F03"/>
    <w:rsid w:val="005E3024"/>
    <w:rsid w:val="005F107C"/>
    <w:rsid w:val="0060702F"/>
    <w:rsid w:val="006108B3"/>
    <w:rsid w:val="00622501"/>
    <w:rsid w:val="006237FB"/>
    <w:rsid w:val="0062451E"/>
    <w:rsid w:val="0063073C"/>
    <w:rsid w:val="00635D57"/>
    <w:rsid w:val="00640032"/>
    <w:rsid w:val="006400D9"/>
    <w:rsid w:val="006418B2"/>
    <w:rsid w:val="00642404"/>
    <w:rsid w:val="00647EFA"/>
    <w:rsid w:val="00652316"/>
    <w:rsid w:val="00652973"/>
    <w:rsid w:val="00653AA1"/>
    <w:rsid w:val="006558CA"/>
    <w:rsid w:val="00657E79"/>
    <w:rsid w:val="006606F5"/>
    <w:rsid w:val="00664F1E"/>
    <w:rsid w:val="00670ADC"/>
    <w:rsid w:val="0067185E"/>
    <w:rsid w:val="00671D5B"/>
    <w:rsid w:val="006775FA"/>
    <w:rsid w:val="00684973"/>
    <w:rsid w:val="0068544D"/>
    <w:rsid w:val="00695D08"/>
    <w:rsid w:val="006A27AA"/>
    <w:rsid w:val="006A3602"/>
    <w:rsid w:val="006B1F9F"/>
    <w:rsid w:val="006B3554"/>
    <w:rsid w:val="006C382D"/>
    <w:rsid w:val="006C542F"/>
    <w:rsid w:val="006C7111"/>
    <w:rsid w:val="006D1162"/>
    <w:rsid w:val="006D47C9"/>
    <w:rsid w:val="006E6549"/>
    <w:rsid w:val="006E6ADB"/>
    <w:rsid w:val="006E7F39"/>
    <w:rsid w:val="006F13D4"/>
    <w:rsid w:val="006F1F96"/>
    <w:rsid w:val="006F6BD1"/>
    <w:rsid w:val="00700B01"/>
    <w:rsid w:val="00702EBF"/>
    <w:rsid w:val="00703527"/>
    <w:rsid w:val="00704040"/>
    <w:rsid w:val="00713414"/>
    <w:rsid w:val="00727EC4"/>
    <w:rsid w:val="00730350"/>
    <w:rsid w:val="0073516C"/>
    <w:rsid w:val="007403F5"/>
    <w:rsid w:val="00741851"/>
    <w:rsid w:val="007426B3"/>
    <w:rsid w:val="0074278F"/>
    <w:rsid w:val="00743353"/>
    <w:rsid w:val="00746410"/>
    <w:rsid w:val="0075096B"/>
    <w:rsid w:val="00751648"/>
    <w:rsid w:val="00754145"/>
    <w:rsid w:val="00760615"/>
    <w:rsid w:val="0076231A"/>
    <w:rsid w:val="00764D03"/>
    <w:rsid w:val="007656C2"/>
    <w:rsid w:val="00766597"/>
    <w:rsid w:val="00774F55"/>
    <w:rsid w:val="00775D8A"/>
    <w:rsid w:val="0077659E"/>
    <w:rsid w:val="00776BCF"/>
    <w:rsid w:val="00777AD4"/>
    <w:rsid w:val="00780950"/>
    <w:rsid w:val="007809EF"/>
    <w:rsid w:val="00783D2C"/>
    <w:rsid w:val="00794F29"/>
    <w:rsid w:val="007A2250"/>
    <w:rsid w:val="007A25BE"/>
    <w:rsid w:val="007A5759"/>
    <w:rsid w:val="007B17F9"/>
    <w:rsid w:val="007B3CFE"/>
    <w:rsid w:val="007C19E4"/>
    <w:rsid w:val="007C41A5"/>
    <w:rsid w:val="007C5786"/>
    <w:rsid w:val="007C58BE"/>
    <w:rsid w:val="007D080B"/>
    <w:rsid w:val="007D6107"/>
    <w:rsid w:val="007E0083"/>
    <w:rsid w:val="007E20DC"/>
    <w:rsid w:val="007E35F0"/>
    <w:rsid w:val="007E4BF7"/>
    <w:rsid w:val="007E5903"/>
    <w:rsid w:val="007F5220"/>
    <w:rsid w:val="007F54F0"/>
    <w:rsid w:val="00803B57"/>
    <w:rsid w:val="008145AC"/>
    <w:rsid w:val="00814CCF"/>
    <w:rsid w:val="00816E77"/>
    <w:rsid w:val="00831263"/>
    <w:rsid w:val="00831DB7"/>
    <w:rsid w:val="00832EBF"/>
    <w:rsid w:val="008365A1"/>
    <w:rsid w:val="008366CB"/>
    <w:rsid w:val="00837F3A"/>
    <w:rsid w:val="008420D7"/>
    <w:rsid w:val="00846DE9"/>
    <w:rsid w:val="008620F3"/>
    <w:rsid w:val="00863986"/>
    <w:rsid w:val="00863DAB"/>
    <w:rsid w:val="00866257"/>
    <w:rsid w:val="00874F24"/>
    <w:rsid w:val="0087581D"/>
    <w:rsid w:val="00876230"/>
    <w:rsid w:val="0087720B"/>
    <w:rsid w:val="00877D5B"/>
    <w:rsid w:val="00880441"/>
    <w:rsid w:val="00880B83"/>
    <w:rsid w:val="00885856"/>
    <w:rsid w:val="00886B1E"/>
    <w:rsid w:val="0089198B"/>
    <w:rsid w:val="008A460D"/>
    <w:rsid w:val="008A4CD5"/>
    <w:rsid w:val="008A588F"/>
    <w:rsid w:val="008A644A"/>
    <w:rsid w:val="008A650D"/>
    <w:rsid w:val="008B05BD"/>
    <w:rsid w:val="008B0C03"/>
    <w:rsid w:val="008B0DD1"/>
    <w:rsid w:val="008B349A"/>
    <w:rsid w:val="008B427B"/>
    <w:rsid w:val="008B6009"/>
    <w:rsid w:val="008C46DC"/>
    <w:rsid w:val="008D113C"/>
    <w:rsid w:val="008D15AA"/>
    <w:rsid w:val="008D6968"/>
    <w:rsid w:val="008E1FE3"/>
    <w:rsid w:val="008E3F07"/>
    <w:rsid w:val="008E5F36"/>
    <w:rsid w:val="008F0959"/>
    <w:rsid w:val="008F2757"/>
    <w:rsid w:val="008F2E4F"/>
    <w:rsid w:val="008F7436"/>
    <w:rsid w:val="009055E4"/>
    <w:rsid w:val="00906737"/>
    <w:rsid w:val="009155B0"/>
    <w:rsid w:val="00915C18"/>
    <w:rsid w:val="00917E9C"/>
    <w:rsid w:val="009220F6"/>
    <w:rsid w:val="00925D30"/>
    <w:rsid w:val="00926A3C"/>
    <w:rsid w:val="0093027C"/>
    <w:rsid w:val="00934BF3"/>
    <w:rsid w:val="00940473"/>
    <w:rsid w:val="0094189B"/>
    <w:rsid w:val="00951C34"/>
    <w:rsid w:val="00951C56"/>
    <w:rsid w:val="0095599F"/>
    <w:rsid w:val="0096424B"/>
    <w:rsid w:val="009701C8"/>
    <w:rsid w:val="0097249E"/>
    <w:rsid w:val="00972EFD"/>
    <w:rsid w:val="00985B4B"/>
    <w:rsid w:val="00986616"/>
    <w:rsid w:val="00991270"/>
    <w:rsid w:val="00993604"/>
    <w:rsid w:val="00994AEF"/>
    <w:rsid w:val="00995398"/>
    <w:rsid w:val="009B32FA"/>
    <w:rsid w:val="009C2C02"/>
    <w:rsid w:val="009C665A"/>
    <w:rsid w:val="009C73CF"/>
    <w:rsid w:val="009D352B"/>
    <w:rsid w:val="009E00AE"/>
    <w:rsid w:val="009E09D3"/>
    <w:rsid w:val="009E6E74"/>
    <w:rsid w:val="009E7EE1"/>
    <w:rsid w:val="009E7F21"/>
    <w:rsid w:val="009E7F32"/>
    <w:rsid w:val="00A0541C"/>
    <w:rsid w:val="00A248DB"/>
    <w:rsid w:val="00A30BA1"/>
    <w:rsid w:val="00A34D4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87131"/>
    <w:rsid w:val="00A946A2"/>
    <w:rsid w:val="00AA3484"/>
    <w:rsid w:val="00AA7E7B"/>
    <w:rsid w:val="00AB6D0F"/>
    <w:rsid w:val="00AB7858"/>
    <w:rsid w:val="00AC61A6"/>
    <w:rsid w:val="00AD1BE5"/>
    <w:rsid w:val="00AD1DD2"/>
    <w:rsid w:val="00AD2062"/>
    <w:rsid w:val="00AD2EFE"/>
    <w:rsid w:val="00AD2F1D"/>
    <w:rsid w:val="00AD6B22"/>
    <w:rsid w:val="00AE1E46"/>
    <w:rsid w:val="00AE4296"/>
    <w:rsid w:val="00AF0989"/>
    <w:rsid w:val="00AF2191"/>
    <w:rsid w:val="00AF785C"/>
    <w:rsid w:val="00B15310"/>
    <w:rsid w:val="00B336AF"/>
    <w:rsid w:val="00B3498C"/>
    <w:rsid w:val="00B356D9"/>
    <w:rsid w:val="00B43CAD"/>
    <w:rsid w:val="00B53333"/>
    <w:rsid w:val="00B55A49"/>
    <w:rsid w:val="00B5705C"/>
    <w:rsid w:val="00B64265"/>
    <w:rsid w:val="00B6714D"/>
    <w:rsid w:val="00B67F76"/>
    <w:rsid w:val="00B70EFF"/>
    <w:rsid w:val="00B7558C"/>
    <w:rsid w:val="00B75B2A"/>
    <w:rsid w:val="00B8000F"/>
    <w:rsid w:val="00B818C3"/>
    <w:rsid w:val="00B9194F"/>
    <w:rsid w:val="00BA003B"/>
    <w:rsid w:val="00BB05E2"/>
    <w:rsid w:val="00BC7FC8"/>
    <w:rsid w:val="00BD1111"/>
    <w:rsid w:val="00BD26B6"/>
    <w:rsid w:val="00BD4214"/>
    <w:rsid w:val="00BE01C6"/>
    <w:rsid w:val="00BE4DAC"/>
    <w:rsid w:val="00BE5FDE"/>
    <w:rsid w:val="00BE6FA2"/>
    <w:rsid w:val="00BF13F8"/>
    <w:rsid w:val="00C01CFF"/>
    <w:rsid w:val="00C026F2"/>
    <w:rsid w:val="00C02D89"/>
    <w:rsid w:val="00C077B1"/>
    <w:rsid w:val="00C149E2"/>
    <w:rsid w:val="00C15B78"/>
    <w:rsid w:val="00C2207B"/>
    <w:rsid w:val="00C22BA0"/>
    <w:rsid w:val="00C2496D"/>
    <w:rsid w:val="00C278D7"/>
    <w:rsid w:val="00C30AF3"/>
    <w:rsid w:val="00C41399"/>
    <w:rsid w:val="00C43564"/>
    <w:rsid w:val="00C43ED6"/>
    <w:rsid w:val="00C45B06"/>
    <w:rsid w:val="00C46129"/>
    <w:rsid w:val="00C4624B"/>
    <w:rsid w:val="00C529E8"/>
    <w:rsid w:val="00C5454B"/>
    <w:rsid w:val="00C545C1"/>
    <w:rsid w:val="00C6013F"/>
    <w:rsid w:val="00C676C3"/>
    <w:rsid w:val="00C71238"/>
    <w:rsid w:val="00C71561"/>
    <w:rsid w:val="00C76325"/>
    <w:rsid w:val="00C8124F"/>
    <w:rsid w:val="00C81513"/>
    <w:rsid w:val="00C820B7"/>
    <w:rsid w:val="00C84637"/>
    <w:rsid w:val="00C87BF2"/>
    <w:rsid w:val="00C9276F"/>
    <w:rsid w:val="00C92AD3"/>
    <w:rsid w:val="00CA1009"/>
    <w:rsid w:val="00CA1F32"/>
    <w:rsid w:val="00CA30B4"/>
    <w:rsid w:val="00CA610B"/>
    <w:rsid w:val="00CA72FC"/>
    <w:rsid w:val="00CB56F5"/>
    <w:rsid w:val="00CB6E04"/>
    <w:rsid w:val="00CB6F7E"/>
    <w:rsid w:val="00CC2512"/>
    <w:rsid w:val="00CC547F"/>
    <w:rsid w:val="00CD5D21"/>
    <w:rsid w:val="00CD68D1"/>
    <w:rsid w:val="00CE2652"/>
    <w:rsid w:val="00CE4D59"/>
    <w:rsid w:val="00CE7906"/>
    <w:rsid w:val="00CE7F9C"/>
    <w:rsid w:val="00CF0E19"/>
    <w:rsid w:val="00D055E1"/>
    <w:rsid w:val="00D067D0"/>
    <w:rsid w:val="00D10653"/>
    <w:rsid w:val="00D11353"/>
    <w:rsid w:val="00D1339D"/>
    <w:rsid w:val="00D27D9B"/>
    <w:rsid w:val="00D376DB"/>
    <w:rsid w:val="00D408A5"/>
    <w:rsid w:val="00D40A02"/>
    <w:rsid w:val="00D40DE9"/>
    <w:rsid w:val="00D41212"/>
    <w:rsid w:val="00D41A7A"/>
    <w:rsid w:val="00D42B45"/>
    <w:rsid w:val="00D50FFB"/>
    <w:rsid w:val="00D57EE0"/>
    <w:rsid w:val="00D660A1"/>
    <w:rsid w:val="00D674B1"/>
    <w:rsid w:val="00D75416"/>
    <w:rsid w:val="00D92274"/>
    <w:rsid w:val="00D93149"/>
    <w:rsid w:val="00D94339"/>
    <w:rsid w:val="00D9707F"/>
    <w:rsid w:val="00D97DD2"/>
    <w:rsid w:val="00DA0AD5"/>
    <w:rsid w:val="00DA1B01"/>
    <w:rsid w:val="00DA1F8E"/>
    <w:rsid w:val="00DA549A"/>
    <w:rsid w:val="00DA57A4"/>
    <w:rsid w:val="00DB0D07"/>
    <w:rsid w:val="00DB524F"/>
    <w:rsid w:val="00DB56EB"/>
    <w:rsid w:val="00DC39E8"/>
    <w:rsid w:val="00DC4922"/>
    <w:rsid w:val="00DD3A4E"/>
    <w:rsid w:val="00DD51B7"/>
    <w:rsid w:val="00DD788A"/>
    <w:rsid w:val="00DE2205"/>
    <w:rsid w:val="00DE35DC"/>
    <w:rsid w:val="00DE6998"/>
    <w:rsid w:val="00DF0054"/>
    <w:rsid w:val="00DF3309"/>
    <w:rsid w:val="00DF5124"/>
    <w:rsid w:val="00DF7F39"/>
    <w:rsid w:val="00E10471"/>
    <w:rsid w:val="00E1702C"/>
    <w:rsid w:val="00E20B43"/>
    <w:rsid w:val="00E22EE8"/>
    <w:rsid w:val="00E23ABB"/>
    <w:rsid w:val="00E23E99"/>
    <w:rsid w:val="00E24380"/>
    <w:rsid w:val="00E25A85"/>
    <w:rsid w:val="00E3093A"/>
    <w:rsid w:val="00E33078"/>
    <w:rsid w:val="00E335AB"/>
    <w:rsid w:val="00E33AB6"/>
    <w:rsid w:val="00E361C2"/>
    <w:rsid w:val="00E4012C"/>
    <w:rsid w:val="00E42A8F"/>
    <w:rsid w:val="00E454C0"/>
    <w:rsid w:val="00E5223F"/>
    <w:rsid w:val="00E534F0"/>
    <w:rsid w:val="00E66B4F"/>
    <w:rsid w:val="00E741D5"/>
    <w:rsid w:val="00E74474"/>
    <w:rsid w:val="00E83750"/>
    <w:rsid w:val="00E87A6A"/>
    <w:rsid w:val="00E9232A"/>
    <w:rsid w:val="00EA4D1B"/>
    <w:rsid w:val="00EB1CB2"/>
    <w:rsid w:val="00EB1D11"/>
    <w:rsid w:val="00EC3DC1"/>
    <w:rsid w:val="00ED2F1C"/>
    <w:rsid w:val="00ED3D05"/>
    <w:rsid w:val="00ED7664"/>
    <w:rsid w:val="00ED7E53"/>
    <w:rsid w:val="00EE24C7"/>
    <w:rsid w:val="00EE64AE"/>
    <w:rsid w:val="00EE71A2"/>
    <w:rsid w:val="00EF1777"/>
    <w:rsid w:val="00F00EFF"/>
    <w:rsid w:val="00F06445"/>
    <w:rsid w:val="00F07114"/>
    <w:rsid w:val="00F13E26"/>
    <w:rsid w:val="00F14631"/>
    <w:rsid w:val="00F206A7"/>
    <w:rsid w:val="00F20B7C"/>
    <w:rsid w:val="00F3105E"/>
    <w:rsid w:val="00F33C1E"/>
    <w:rsid w:val="00F37668"/>
    <w:rsid w:val="00F41591"/>
    <w:rsid w:val="00F41A63"/>
    <w:rsid w:val="00F45625"/>
    <w:rsid w:val="00F45BEB"/>
    <w:rsid w:val="00F54523"/>
    <w:rsid w:val="00F54B50"/>
    <w:rsid w:val="00F54CC0"/>
    <w:rsid w:val="00F62549"/>
    <w:rsid w:val="00F734AC"/>
    <w:rsid w:val="00F83B2F"/>
    <w:rsid w:val="00F84544"/>
    <w:rsid w:val="00F85AA7"/>
    <w:rsid w:val="00F954FA"/>
    <w:rsid w:val="00F95B1F"/>
    <w:rsid w:val="00FA05B2"/>
    <w:rsid w:val="00FA14E4"/>
    <w:rsid w:val="00FA68A7"/>
    <w:rsid w:val="00FB3BAF"/>
    <w:rsid w:val="00FC0C51"/>
    <w:rsid w:val="00FC2B3C"/>
    <w:rsid w:val="00FD1CD8"/>
    <w:rsid w:val="00FE1B88"/>
    <w:rsid w:val="00FE593F"/>
    <w:rsid w:val="00FF7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UnresolvedMention1">
    <w:name w:val="Unresolved Mention1"/>
    <w:basedOn w:val="DefaultParagraphFont"/>
    <w:uiPriority w:val="99"/>
    <w:semiHidden/>
    <w:unhideWhenUsed/>
    <w:rsid w:val="00BE5FDE"/>
    <w:rPr>
      <w:color w:val="605E5C"/>
      <w:shd w:val="clear" w:color="auto" w:fill="E1DFDD"/>
    </w:rPr>
  </w:style>
  <w:style w:type="paragraph" w:customStyle="1" w:styleId="Numbered">
    <w:name w:val="Numbered"/>
    <w:basedOn w:val="Normal"/>
    <w:link w:val="NumberedChar"/>
    <w:rsid w:val="005363DB"/>
    <w:pPr>
      <w:widowControl w:val="0"/>
      <w:overflowPunct w:val="0"/>
      <w:autoSpaceDE w:val="0"/>
      <w:autoSpaceDN w:val="0"/>
      <w:adjustRightInd w:val="0"/>
      <w:spacing w:after="240" w:line="240" w:lineRule="auto"/>
      <w:textAlignment w:val="baseline"/>
    </w:pPr>
    <w:rPr>
      <w:rFonts w:cs="Mangal"/>
      <w:szCs w:val="22"/>
    </w:rPr>
  </w:style>
  <w:style w:type="paragraph" w:styleId="FootnoteText">
    <w:name w:val="footnote text"/>
    <w:basedOn w:val="Normal"/>
    <w:link w:val="FootnoteTextChar"/>
    <w:uiPriority w:val="99"/>
    <w:unhideWhenUsed/>
    <w:rsid w:val="005363DB"/>
    <w:pPr>
      <w:spacing w:after="0" w:line="240" w:lineRule="auto"/>
    </w:pPr>
    <w:rPr>
      <w:rFonts w:cs="Arial"/>
      <w:sz w:val="20"/>
      <w:szCs w:val="20"/>
    </w:rPr>
  </w:style>
  <w:style w:type="character" w:customStyle="1" w:styleId="FootnoteTextChar">
    <w:name w:val="Footnote Text Char"/>
    <w:basedOn w:val="DefaultParagraphFont"/>
    <w:link w:val="FootnoteText"/>
    <w:uiPriority w:val="99"/>
    <w:rsid w:val="005363DB"/>
    <w:rPr>
      <w:rFonts w:cs="Arial"/>
    </w:rPr>
  </w:style>
  <w:style w:type="character" w:styleId="FootnoteReference">
    <w:name w:val="footnote reference"/>
    <w:uiPriority w:val="99"/>
    <w:unhideWhenUsed/>
    <w:rsid w:val="005363DB"/>
    <w:rPr>
      <w:vertAlign w:val="superscript"/>
    </w:rPr>
  </w:style>
  <w:style w:type="character" w:customStyle="1" w:styleId="NumberedChar">
    <w:name w:val="Numbered Char"/>
    <w:link w:val="Numbered"/>
    <w:rsid w:val="005363DB"/>
    <w:rPr>
      <w:rFonts w:cs="Mangal"/>
      <w:sz w:val="22"/>
      <w:szCs w:val="22"/>
    </w:rPr>
  </w:style>
  <w:style w:type="paragraph" w:styleId="NormalWeb">
    <w:name w:val="Normal (Web)"/>
    <w:basedOn w:val="Normal"/>
    <w:uiPriority w:val="99"/>
    <w:semiHidden/>
    <w:unhideWhenUsed/>
    <w:rsid w:val="00885856"/>
    <w:pPr>
      <w:spacing w:before="100" w:beforeAutospacing="1" w:after="100" w:afterAutospacing="1" w:line="240" w:lineRule="auto"/>
    </w:pPr>
    <w:rPr>
      <w:rFonts w:ascii="Times New Roman" w:eastAsiaTheme="minorEastAsia"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mailto:frances.forsyth@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klan.co.uk/reviews/talking-matter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723736/Study_of_quality_of_early_years_provision_in_England.pdf" TargetMode="External"/><Relationship Id="rId2" Type="http://schemas.openxmlformats.org/officeDocument/2006/relationships/hyperlink" Target="https://assets.publishing.service.gov.uk/government/uploads/system/uploads/attachment_data/file/351496/RR354_-_Students__educational_and_developmental_outcomes_at_age_16.pdf" TargetMode="External"/><Relationship Id="rId1" Type="http://schemas.openxmlformats.org/officeDocument/2006/relationships/hyperlink" Target="https://www.gov.uk/government/publications/study-of-early-education-and-development-survey-of-families" TargetMode="External"/><Relationship Id="rId6" Type="http://schemas.openxmlformats.org/officeDocument/2006/relationships/hyperlink" Target="file:///C:\Users\CNickson\AppData\Local\Microsoft\Windows\INetCache\Content.Outlook\777JGDZJ\5854-Feel-Study-VFA4-Accessible.pdf" TargetMode="External"/><Relationship Id="rId5" Type="http://schemas.openxmlformats.org/officeDocument/2006/relationships/hyperlink" Target="https://educationendowmentfoundation.org.uk/school-themes/early-years/" TargetMode="External"/><Relationship Id="rId4" Type="http://schemas.openxmlformats.org/officeDocument/2006/relationships/hyperlink" Target="https://epi.org.uk/wp-content/uploads/2018/08/Early-years-structural-quality-review_EP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945a110a73be75cc7d39f10b6d400bca">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9c3a51195b3c2793ad96ba1458843ae8"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01ACA967-02F0-4EB8-9C04-9FBD7CC4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8c566321-f672-4e06-a901-b5e72b4c4357"/>
    <ds:schemaRef ds:uri="http://www.w3.org/XML/1998/namespace"/>
    <ds:schemaRef ds:uri="http://purl.org/dc/dcmitype/"/>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67785571-DC00-4885-BDCF-480E2566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3307</Words>
  <Characters>18852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22115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2019-06-25T09:55:00Z</dcterms:created>
  <dcterms:modified xsi:type="dcterms:W3CDTF">2019-06-25T09:55:00Z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