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41" w:rsidRDefault="00495641">
      <w:pPr>
        <w:rPr>
          <w:b/>
        </w:rPr>
      </w:pPr>
      <w:bookmarkStart w:id="0" w:name="_GoBack"/>
      <w:bookmarkEnd w:id="0"/>
      <w:r>
        <w:rPr>
          <w:b/>
        </w:rPr>
        <w:tab/>
      </w:r>
      <w:r>
        <w:rPr>
          <w:b/>
        </w:rPr>
        <w:tab/>
      </w:r>
      <w:r>
        <w:rPr>
          <w:b/>
        </w:rPr>
        <w:tab/>
      </w:r>
      <w:r>
        <w:rPr>
          <w:b/>
        </w:rPr>
        <w:tab/>
      </w:r>
      <w:r>
        <w:rPr>
          <w:b/>
        </w:rPr>
        <w:tab/>
      </w:r>
      <w:r>
        <w:rPr>
          <w:noProof/>
          <w:lang w:eastAsia="en-GB"/>
        </w:rPr>
        <w:drawing>
          <wp:inline distT="0" distB="0" distL="0" distR="0" wp14:anchorId="1826AE71" wp14:editId="1EFEEDE2">
            <wp:extent cx="1147730" cy="67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567" cy="674888"/>
                    </a:xfrm>
                    <a:prstGeom prst="rect">
                      <a:avLst/>
                    </a:prstGeom>
                    <a:noFill/>
                    <a:ln>
                      <a:noFill/>
                    </a:ln>
                  </pic:spPr>
                </pic:pic>
              </a:graphicData>
            </a:graphic>
          </wp:inline>
        </w:drawing>
      </w:r>
    </w:p>
    <w:p w:rsidR="00495641" w:rsidRPr="00366685" w:rsidRDefault="00E84390">
      <w:pPr>
        <w:rPr>
          <w:rFonts w:cs="Arial"/>
          <w:b/>
          <w:u w:val="single"/>
        </w:rPr>
      </w:pPr>
      <w:r>
        <w:rPr>
          <w:b/>
        </w:rPr>
        <w:tab/>
      </w:r>
      <w:r>
        <w:rPr>
          <w:b/>
        </w:rPr>
        <w:tab/>
      </w:r>
      <w:r w:rsidR="00FD3C8F">
        <w:rPr>
          <w:b/>
        </w:rPr>
        <w:tab/>
      </w:r>
      <w:r w:rsidR="00FD3C8F">
        <w:rPr>
          <w:b/>
        </w:rPr>
        <w:tab/>
      </w:r>
      <w:r w:rsidR="00495641" w:rsidRPr="00366685">
        <w:rPr>
          <w:rFonts w:cs="Arial"/>
          <w:b/>
          <w:u w:val="single"/>
        </w:rPr>
        <w:t xml:space="preserve">Tender for </w:t>
      </w:r>
      <w:r w:rsidR="00980654">
        <w:rPr>
          <w:rFonts w:cs="Arial"/>
          <w:b/>
          <w:u w:val="single"/>
        </w:rPr>
        <w:t>Development Consultancy Services</w:t>
      </w:r>
      <w:r w:rsidR="00AF597D">
        <w:rPr>
          <w:rFonts w:cs="Arial"/>
          <w:b/>
          <w:u w:val="single"/>
        </w:rPr>
        <w:t xml:space="preserve"> </w:t>
      </w:r>
      <w:r w:rsidR="00FD3C8F">
        <w:rPr>
          <w:rFonts w:cs="Arial"/>
          <w:b/>
          <w:u w:val="single"/>
        </w:rPr>
        <w:t>Framework</w:t>
      </w:r>
    </w:p>
    <w:p w:rsidR="00366685" w:rsidRPr="00366685" w:rsidRDefault="00495641" w:rsidP="00366685">
      <w:pPr>
        <w:spacing w:after="0"/>
        <w:rPr>
          <w:rFonts w:cs="Arial"/>
          <w:b/>
          <w:u w:val="single"/>
        </w:rPr>
      </w:pPr>
      <w:r w:rsidRPr="00366685">
        <w:rPr>
          <w:rFonts w:cs="Arial"/>
          <w:b/>
          <w:u w:val="single"/>
        </w:rPr>
        <w:t>Corp</w:t>
      </w:r>
      <w:r w:rsidR="00366685" w:rsidRPr="00366685">
        <w:rPr>
          <w:rFonts w:cs="Arial"/>
          <w:b/>
          <w:u w:val="single"/>
        </w:rPr>
        <w:t>o</w:t>
      </w:r>
      <w:r w:rsidRPr="00366685">
        <w:rPr>
          <w:rFonts w:cs="Arial"/>
          <w:b/>
          <w:u w:val="single"/>
        </w:rPr>
        <w:t>rate Information</w:t>
      </w:r>
    </w:p>
    <w:p w:rsidR="00495641" w:rsidRPr="00366685" w:rsidRDefault="00495641" w:rsidP="00366685">
      <w:pPr>
        <w:spacing w:after="0"/>
        <w:rPr>
          <w:rFonts w:eastAsia="Times New Roman" w:cs="Arial"/>
          <w:b/>
          <w:bCs/>
          <w:i/>
          <w:lang w:eastAsia="en-GB"/>
        </w:rPr>
      </w:pPr>
      <w:r w:rsidRPr="00366685">
        <w:rPr>
          <w:rFonts w:eastAsia="Times New Roman" w:cs="Arial"/>
          <w:iCs/>
          <w:lang w:eastAsia="en-GB"/>
        </w:rPr>
        <w:t>East Midlands Housing Group (t/as emh group) is one of the largest providers of affordable homes and related services in the East Midlands, and has an excellent reputation for working with partners and stakeholders to meet the housing needs of the diverse communities it serves. Its head office is in Coalville, Leicestershire</w:t>
      </w:r>
      <w:r w:rsidRPr="00366685">
        <w:rPr>
          <w:rFonts w:eastAsia="Times New Roman" w:cs="Arial"/>
          <w:iCs/>
          <w:color w:val="1F497D"/>
          <w:lang w:eastAsia="en-GB"/>
        </w:rPr>
        <w:t>.</w:t>
      </w:r>
    </w:p>
    <w:p w:rsidR="00495641" w:rsidRPr="00366685" w:rsidRDefault="00495641" w:rsidP="00A33A10">
      <w:pPr>
        <w:spacing w:before="100" w:beforeAutospacing="1"/>
        <w:rPr>
          <w:rFonts w:cs="Arial"/>
          <w:lang w:eastAsia="en-GB"/>
        </w:rPr>
      </w:pPr>
      <w:r w:rsidRPr="00366685">
        <w:rPr>
          <w:rFonts w:cs="Arial"/>
          <w:lang w:eastAsia="en-GB"/>
        </w:rPr>
        <w:t>The group comprises</w:t>
      </w:r>
      <w:r w:rsidRPr="00366685">
        <w:rPr>
          <w:rFonts w:cs="Arial"/>
          <w:color w:val="1F497D"/>
          <w:lang w:eastAsia="en-GB"/>
        </w:rPr>
        <w:t>:</w:t>
      </w:r>
    </w:p>
    <w:p w:rsidR="005D059E" w:rsidRDefault="005D059E" w:rsidP="005D059E">
      <w:pPr>
        <w:spacing w:after="0"/>
        <w:rPr>
          <w:rFonts w:cs="Arial"/>
          <w:lang w:eastAsia="en-GB"/>
        </w:rPr>
      </w:pPr>
      <w:r>
        <w:rPr>
          <w:rFonts w:cs="Arial"/>
          <w:b/>
          <w:bCs/>
          <w:u w:val="single"/>
          <w:lang w:eastAsia="en-GB"/>
        </w:rPr>
        <w:t>emh homes</w:t>
      </w:r>
      <w:r w:rsidRPr="00366685">
        <w:rPr>
          <w:rFonts w:cs="Arial"/>
          <w:lang w:eastAsia="en-GB"/>
        </w:rPr>
        <w:t xml:space="preserve"> </w:t>
      </w:r>
    </w:p>
    <w:p w:rsidR="005D059E" w:rsidRDefault="005D059E" w:rsidP="005D059E">
      <w:pPr>
        <w:spacing w:after="0"/>
        <w:rPr>
          <w:rFonts w:cs="Arial"/>
          <w:lang w:eastAsia="en-GB"/>
        </w:rPr>
      </w:pPr>
      <w:r>
        <w:rPr>
          <w:rFonts w:cs="Arial"/>
          <w:lang w:eastAsia="en-GB"/>
        </w:rPr>
        <w:t xml:space="preserve">The Housing and Regeneration arm, managing circa 16500 properties throughout the East Midlands </w:t>
      </w:r>
      <w:r w:rsidRPr="00366685">
        <w:rPr>
          <w:rFonts w:cs="Arial"/>
          <w:lang w:eastAsia="en-GB"/>
        </w:rPr>
        <w:t>.</w:t>
      </w:r>
    </w:p>
    <w:p w:rsidR="005D059E" w:rsidRDefault="000E6100" w:rsidP="005D059E">
      <w:pPr>
        <w:spacing w:after="0"/>
        <w:rPr>
          <w:rFonts w:cs="Arial"/>
          <w:lang w:eastAsia="en-GB"/>
        </w:rPr>
      </w:pPr>
      <w:r>
        <w:rPr>
          <w:rFonts w:cs="Arial"/>
          <w:lang w:eastAsia="en-GB"/>
        </w:rPr>
        <w:t>e</w:t>
      </w:r>
      <w:r w:rsidR="005D059E">
        <w:rPr>
          <w:rFonts w:cs="Arial"/>
          <w:lang w:eastAsia="en-GB"/>
        </w:rPr>
        <w:t>mh homes was formed in September 2013 from the amalgamation of the four operating businesses within the group: East Midlands Housing Association, Three Valleys Housing, Three Oaks Homes</w:t>
      </w:r>
      <w:r w:rsidR="0023759B">
        <w:rPr>
          <w:rFonts w:cs="Arial"/>
          <w:lang w:eastAsia="en-GB"/>
        </w:rPr>
        <w:t xml:space="preserve"> </w:t>
      </w:r>
      <w:r w:rsidR="00152CA6">
        <w:rPr>
          <w:rFonts w:cs="Arial"/>
          <w:lang w:eastAsia="en-GB"/>
        </w:rPr>
        <w:t>and</w:t>
      </w:r>
      <w:r w:rsidR="005D059E">
        <w:rPr>
          <w:rFonts w:cs="Arial"/>
          <w:lang w:eastAsia="en-GB"/>
        </w:rPr>
        <w:t xml:space="preserve"> Foundation Housing Association.</w:t>
      </w:r>
    </w:p>
    <w:p w:rsidR="00AD4AB3" w:rsidRDefault="00AD4AB3" w:rsidP="005D059E">
      <w:pPr>
        <w:spacing w:after="0"/>
        <w:rPr>
          <w:rFonts w:cs="Arial"/>
          <w:b/>
          <w:bCs/>
          <w:u w:val="single"/>
          <w:lang w:eastAsia="en-GB"/>
        </w:rPr>
      </w:pPr>
    </w:p>
    <w:p w:rsidR="005D059E" w:rsidRDefault="005D059E" w:rsidP="005D059E">
      <w:pPr>
        <w:spacing w:after="0"/>
        <w:rPr>
          <w:rFonts w:cs="Arial"/>
          <w:lang w:eastAsia="en-GB"/>
        </w:rPr>
      </w:pPr>
      <w:r>
        <w:rPr>
          <w:rFonts w:cs="Arial"/>
          <w:b/>
          <w:bCs/>
          <w:u w:val="single"/>
          <w:lang w:eastAsia="en-GB"/>
        </w:rPr>
        <w:t>enable</w:t>
      </w:r>
      <w:r w:rsidRPr="00366685">
        <w:rPr>
          <w:rFonts w:cs="Arial"/>
          <w:lang w:eastAsia="en-GB"/>
        </w:rPr>
        <w:t xml:space="preserve"> </w:t>
      </w:r>
    </w:p>
    <w:p w:rsidR="005D059E" w:rsidRDefault="005D059E" w:rsidP="00921107">
      <w:pPr>
        <w:spacing w:after="100" w:afterAutospacing="1"/>
        <w:rPr>
          <w:rFonts w:cs="Arial"/>
          <w:b/>
          <w:u w:val="single"/>
          <w:lang w:eastAsia="en-GB"/>
        </w:rPr>
      </w:pPr>
      <w:r>
        <w:rPr>
          <w:rFonts w:cs="Arial"/>
          <w:lang w:eastAsia="en-GB"/>
        </w:rPr>
        <w:t xml:space="preserve">The care and support </w:t>
      </w:r>
      <w:r w:rsidR="000E6100">
        <w:rPr>
          <w:rFonts w:cs="Arial"/>
          <w:lang w:eastAsia="en-GB"/>
        </w:rPr>
        <w:t xml:space="preserve"> </w:t>
      </w:r>
      <w:r>
        <w:rPr>
          <w:rFonts w:cs="Arial"/>
          <w:lang w:eastAsia="en-GB"/>
        </w:rPr>
        <w:t>arm, primarily formed from Enable Housing Association</w:t>
      </w:r>
      <w:r w:rsidR="000E6100">
        <w:rPr>
          <w:rFonts w:cs="Arial"/>
          <w:lang w:eastAsia="en-GB"/>
        </w:rPr>
        <w:t xml:space="preserve"> and Enable Care and Home Support, who joined the group in April 2013.</w:t>
      </w:r>
      <w:r w:rsidRPr="005D059E">
        <w:rPr>
          <w:rFonts w:cs="Arial"/>
          <w:b/>
          <w:u w:val="single"/>
          <w:lang w:eastAsia="en-GB"/>
        </w:rPr>
        <w:t xml:space="preserve"> </w:t>
      </w:r>
    </w:p>
    <w:p w:rsidR="005D059E" w:rsidRDefault="005D059E" w:rsidP="005D059E">
      <w:pPr>
        <w:spacing w:after="0"/>
        <w:rPr>
          <w:rFonts w:cs="Arial"/>
          <w:lang w:eastAsia="en-GB"/>
        </w:rPr>
      </w:pPr>
      <w:r w:rsidRPr="00366685">
        <w:rPr>
          <w:rFonts w:cs="Arial"/>
          <w:b/>
          <w:bCs/>
          <w:u w:val="single"/>
          <w:lang w:eastAsia="en-GB"/>
        </w:rPr>
        <w:t>Midlands Rural Housing</w:t>
      </w:r>
      <w:r w:rsidRPr="00366685">
        <w:rPr>
          <w:rFonts w:cs="Arial"/>
          <w:lang w:eastAsia="en-GB"/>
        </w:rPr>
        <w:t xml:space="preserve"> </w:t>
      </w:r>
    </w:p>
    <w:p w:rsidR="005D059E" w:rsidRDefault="005D059E" w:rsidP="00F96AB0">
      <w:pPr>
        <w:spacing w:after="100" w:afterAutospacing="1"/>
        <w:rPr>
          <w:rFonts w:cs="Arial"/>
          <w:b/>
          <w:u w:val="single"/>
          <w:lang w:eastAsia="en-GB"/>
        </w:rPr>
      </w:pPr>
      <w:r w:rsidRPr="00366685">
        <w:rPr>
          <w:rFonts w:cs="Arial"/>
          <w:lang w:eastAsia="en-GB"/>
        </w:rPr>
        <w:t xml:space="preserve">Specialist </w:t>
      </w:r>
      <w:r>
        <w:rPr>
          <w:rFonts w:cs="Arial"/>
          <w:lang w:eastAsia="en-GB"/>
        </w:rPr>
        <w:t>provider of bespoke rural development, management and maintenance services for 4 rural housing associations in Leicestershire, Northamptonshire, Warwickshire and the Peak District</w:t>
      </w:r>
      <w:r w:rsidRPr="005D059E">
        <w:rPr>
          <w:rFonts w:cs="Arial"/>
          <w:b/>
          <w:u w:val="single"/>
          <w:lang w:eastAsia="en-GB"/>
        </w:rPr>
        <w:t xml:space="preserve"> </w:t>
      </w:r>
    </w:p>
    <w:p w:rsidR="00495641" w:rsidRPr="00366685" w:rsidRDefault="00495641" w:rsidP="005D059E">
      <w:pPr>
        <w:spacing w:after="0"/>
        <w:rPr>
          <w:rFonts w:cs="Arial"/>
          <w:b/>
          <w:bCs/>
          <w:color w:val="1F497D"/>
          <w:u w:val="single"/>
          <w:lang w:eastAsia="en-GB"/>
        </w:rPr>
      </w:pPr>
      <w:r w:rsidRPr="00366685">
        <w:rPr>
          <w:rFonts w:cs="Arial"/>
          <w:b/>
          <w:bCs/>
          <w:u w:val="single"/>
          <w:lang w:eastAsia="en-GB"/>
        </w:rPr>
        <w:t>Hello Homes</w:t>
      </w:r>
    </w:p>
    <w:p w:rsidR="00495641" w:rsidRPr="00366685" w:rsidRDefault="00495641" w:rsidP="00495641">
      <w:pPr>
        <w:rPr>
          <w:rFonts w:cs="Arial"/>
        </w:rPr>
      </w:pPr>
      <w:r w:rsidRPr="00366685">
        <w:rPr>
          <w:rFonts w:cs="Arial"/>
          <w:lang w:eastAsia="en-GB"/>
        </w:rPr>
        <w:t>The low cost home ownership arm of the group.</w:t>
      </w:r>
    </w:p>
    <w:p w:rsidR="00495641" w:rsidRPr="00366685" w:rsidRDefault="00495641" w:rsidP="00495641">
      <w:pPr>
        <w:rPr>
          <w:rFonts w:cs="Arial"/>
        </w:rPr>
      </w:pPr>
      <w:r w:rsidRPr="00366685">
        <w:rPr>
          <w:rFonts w:cs="Arial"/>
        </w:rPr>
        <w:t xml:space="preserve">Further information about emh group can be found at </w:t>
      </w:r>
      <w:hyperlink w:history="1">
        <w:r w:rsidRPr="00366685">
          <w:rPr>
            <w:rStyle w:val="Hyperlink"/>
            <w:rFonts w:cs="Arial"/>
          </w:rPr>
          <w:t>www.emh group.co.uk</w:t>
        </w:r>
      </w:hyperlink>
    </w:p>
    <w:p w:rsidR="00495641" w:rsidRDefault="00285977" w:rsidP="000E6100">
      <w:pPr>
        <w:spacing w:after="0"/>
        <w:rPr>
          <w:b/>
          <w:u w:val="single"/>
        </w:rPr>
      </w:pPr>
      <w:r>
        <w:rPr>
          <w:b/>
          <w:u w:val="single"/>
        </w:rPr>
        <w:t>Service</w:t>
      </w:r>
      <w:r w:rsidR="00495641">
        <w:rPr>
          <w:b/>
          <w:u w:val="single"/>
        </w:rPr>
        <w:t xml:space="preserve"> </w:t>
      </w:r>
      <w:r w:rsidR="00426862">
        <w:rPr>
          <w:b/>
          <w:u w:val="single"/>
        </w:rPr>
        <w:t>Requirements</w:t>
      </w:r>
    </w:p>
    <w:p w:rsidR="00E84390" w:rsidRPr="00002FC3" w:rsidRDefault="003B1204" w:rsidP="00872757">
      <w:pPr>
        <w:spacing w:after="0"/>
      </w:pPr>
      <w:proofErr w:type="spellStart"/>
      <w:r>
        <w:t>e</w:t>
      </w:r>
      <w:r w:rsidR="002D62DD">
        <w:t>mh</w:t>
      </w:r>
      <w:proofErr w:type="spellEnd"/>
      <w:r>
        <w:t xml:space="preserve"> </w:t>
      </w:r>
      <w:r w:rsidR="00872757" w:rsidRPr="00002FC3">
        <w:t>group</w:t>
      </w:r>
      <w:r w:rsidR="006814C6">
        <w:t xml:space="preserve"> </w:t>
      </w:r>
      <w:r>
        <w:t>s</w:t>
      </w:r>
      <w:r w:rsidR="00323154" w:rsidRPr="00002FC3">
        <w:t>eek</w:t>
      </w:r>
      <w:r w:rsidR="00872757" w:rsidRPr="00002FC3">
        <w:t xml:space="preserve"> to engag</w:t>
      </w:r>
      <w:r w:rsidR="00F04988" w:rsidRPr="00002FC3">
        <w:t xml:space="preserve">e with a </w:t>
      </w:r>
      <w:r>
        <w:t>framework</w:t>
      </w:r>
      <w:r w:rsidR="00F04988" w:rsidRPr="00002FC3">
        <w:t xml:space="preserve"> of consultants with expertise in</w:t>
      </w:r>
      <w:r w:rsidR="00872757" w:rsidRPr="00002FC3">
        <w:t xml:space="preserve"> the following categories to carry out </w:t>
      </w:r>
      <w:r w:rsidR="00F04988" w:rsidRPr="00002FC3">
        <w:t>services in connection with new build social housing projects and other development opportunities</w:t>
      </w:r>
      <w:r w:rsidR="00CF3B3C">
        <w:t xml:space="preserve"> across the East Midlands region.</w:t>
      </w:r>
    </w:p>
    <w:p w:rsidR="002C2E87" w:rsidRPr="00002FC3" w:rsidRDefault="00F04988" w:rsidP="00285977">
      <w:pPr>
        <w:pStyle w:val="ListParagraph"/>
        <w:numPr>
          <w:ilvl w:val="0"/>
          <w:numId w:val="7"/>
        </w:numPr>
        <w:spacing w:after="0" w:line="240" w:lineRule="auto"/>
        <w:rPr>
          <w:rFonts w:eastAsia="Times New Roman" w:cs="Arial"/>
        </w:rPr>
      </w:pPr>
      <w:r w:rsidRPr="00002FC3">
        <w:rPr>
          <w:rFonts w:eastAsia="Times New Roman" w:cs="Arial"/>
        </w:rPr>
        <w:t>Project manager</w:t>
      </w:r>
    </w:p>
    <w:p w:rsidR="00F04988" w:rsidRPr="00002FC3" w:rsidRDefault="00F04988" w:rsidP="00285977">
      <w:pPr>
        <w:pStyle w:val="ListParagraph"/>
        <w:numPr>
          <w:ilvl w:val="0"/>
          <w:numId w:val="7"/>
        </w:numPr>
        <w:spacing w:after="0" w:line="240" w:lineRule="auto"/>
        <w:rPr>
          <w:rFonts w:eastAsia="Times New Roman" w:cs="Arial"/>
        </w:rPr>
      </w:pPr>
      <w:r w:rsidRPr="00002FC3">
        <w:rPr>
          <w:rFonts w:eastAsia="Times New Roman" w:cs="Arial"/>
        </w:rPr>
        <w:t>Employers Agent</w:t>
      </w:r>
    </w:p>
    <w:p w:rsidR="00F04988" w:rsidRPr="00002FC3" w:rsidRDefault="00F04988" w:rsidP="00FD3C8F">
      <w:pPr>
        <w:pStyle w:val="ListParagraph"/>
        <w:numPr>
          <w:ilvl w:val="0"/>
          <w:numId w:val="7"/>
        </w:numPr>
        <w:spacing w:after="0"/>
      </w:pPr>
      <w:r w:rsidRPr="00002FC3">
        <w:t>QS/ Cost Consultant</w:t>
      </w:r>
    </w:p>
    <w:p w:rsidR="00E84390" w:rsidRPr="00002FC3" w:rsidRDefault="00F04988" w:rsidP="00FD3C8F">
      <w:pPr>
        <w:pStyle w:val="ListParagraph"/>
        <w:numPr>
          <w:ilvl w:val="0"/>
          <w:numId w:val="7"/>
        </w:numPr>
        <w:spacing w:after="0"/>
      </w:pPr>
      <w:r w:rsidRPr="00002FC3">
        <w:t>Building Surveyor</w:t>
      </w:r>
      <w:r w:rsidR="00872757" w:rsidRPr="00002FC3">
        <w:t xml:space="preserve"> </w:t>
      </w:r>
    </w:p>
    <w:p w:rsidR="00FD3C8F" w:rsidRPr="00002FC3" w:rsidRDefault="00F04988" w:rsidP="00FD3C8F">
      <w:pPr>
        <w:pStyle w:val="ListParagraph"/>
        <w:numPr>
          <w:ilvl w:val="0"/>
          <w:numId w:val="7"/>
        </w:numPr>
        <w:spacing w:after="0"/>
      </w:pPr>
      <w:r w:rsidRPr="00002FC3">
        <w:t>Clerk Of Works</w:t>
      </w:r>
      <w:r w:rsidR="00FD3C8F" w:rsidRPr="00002FC3">
        <w:t xml:space="preserve"> </w:t>
      </w:r>
    </w:p>
    <w:p w:rsidR="00F04988" w:rsidRPr="00002FC3" w:rsidRDefault="00F04988" w:rsidP="00FD3C8F">
      <w:pPr>
        <w:pStyle w:val="ListParagraph"/>
        <w:numPr>
          <w:ilvl w:val="0"/>
          <w:numId w:val="7"/>
        </w:numPr>
        <w:spacing w:after="0"/>
      </w:pPr>
      <w:r w:rsidRPr="00002FC3">
        <w:t>Principle designer / Client Advisor</w:t>
      </w:r>
    </w:p>
    <w:p w:rsidR="00827AB0" w:rsidRPr="00002FC3" w:rsidRDefault="00F04988" w:rsidP="00FD3C8F">
      <w:pPr>
        <w:pStyle w:val="ListParagraph"/>
        <w:numPr>
          <w:ilvl w:val="0"/>
          <w:numId w:val="7"/>
        </w:numPr>
        <w:spacing w:after="0"/>
      </w:pPr>
      <w:r w:rsidRPr="00002FC3">
        <w:t>Sustainability Consultant</w:t>
      </w:r>
      <w:r w:rsidR="00827AB0" w:rsidRPr="00002FC3">
        <w:t xml:space="preserve"> </w:t>
      </w:r>
    </w:p>
    <w:p w:rsidR="00F04988" w:rsidRPr="00002FC3" w:rsidRDefault="00F04988" w:rsidP="00FD3C8F">
      <w:pPr>
        <w:pStyle w:val="ListParagraph"/>
        <w:numPr>
          <w:ilvl w:val="0"/>
          <w:numId w:val="7"/>
        </w:numPr>
        <w:spacing w:after="0"/>
      </w:pPr>
      <w:r w:rsidRPr="00002FC3">
        <w:t>Party Wall Surveyor</w:t>
      </w:r>
    </w:p>
    <w:p w:rsidR="00CF3B3C" w:rsidRDefault="00B82017" w:rsidP="00285977">
      <w:pPr>
        <w:spacing w:after="0"/>
      </w:pPr>
      <w:r>
        <w:t>Depende</w:t>
      </w:r>
      <w:r w:rsidR="00002FC3">
        <w:t>nt of the scale</w:t>
      </w:r>
      <w:r w:rsidR="00F25C7A">
        <w:t>/complexity</w:t>
      </w:r>
      <w:r w:rsidR="00002FC3">
        <w:t xml:space="preserve"> of development project a combination of the servic</w:t>
      </w:r>
      <w:r w:rsidR="007C318B">
        <w:t>es listed above may be required.</w:t>
      </w:r>
      <w:r w:rsidR="003B1204">
        <w:t xml:space="preserve"> Based on current </w:t>
      </w:r>
      <w:r w:rsidR="00CF3B3C">
        <w:t xml:space="preserve"> </w:t>
      </w:r>
      <w:r w:rsidR="003B1204">
        <w:t xml:space="preserve">available information, </w:t>
      </w:r>
      <w:proofErr w:type="spellStart"/>
      <w:r w:rsidR="007C318B">
        <w:t>emhgroup</w:t>
      </w:r>
      <w:proofErr w:type="spellEnd"/>
      <w:r w:rsidR="007C318B">
        <w:t xml:space="preserve"> anticipate a build programme of circa </w:t>
      </w:r>
      <w:r w:rsidR="006814C6">
        <w:t>300-350</w:t>
      </w:r>
      <w:r w:rsidR="007C318B">
        <w:t xml:space="preserve"> units over a 4 year </w:t>
      </w:r>
      <w:r w:rsidR="00323154">
        <w:t xml:space="preserve">framework. </w:t>
      </w:r>
    </w:p>
    <w:p w:rsidR="002115DB" w:rsidRDefault="002115DB" w:rsidP="00285977">
      <w:pPr>
        <w:spacing w:after="0"/>
      </w:pPr>
      <w:r>
        <w:t xml:space="preserve">Note: Architect Services are NOT part of this requirement. </w:t>
      </w:r>
    </w:p>
    <w:p w:rsidR="003B1204" w:rsidRDefault="003B1204" w:rsidP="00285977">
      <w:pPr>
        <w:spacing w:after="0"/>
      </w:pPr>
      <w:r>
        <w:t xml:space="preserve">This framework replaces one previously advertised in August 2012 and awarded from February 2013 to 5 consultants. Spend through that framework during that period has been circa £2m. </w:t>
      </w:r>
    </w:p>
    <w:p w:rsidR="003B1204" w:rsidRPr="005513C3" w:rsidRDefault="003B1204" w:rsidP="00285977">
      <w:pPr>
        <w:spacing w:after="0"/>
      </w:pPr>
      <w:r>
        <w:t>It is proposed that the new framework will be awarded to 4 consultants.</w:t>
      </w:r>
    </w:p>
    <w:p w:rsidR="005513C3" w:rsidRDefault="003B1204" w:rsidP="00FD3C8F">
      <w:pPr>
        <w:spacing w:after="0"/>
      </w:pPr>
      <w:r>
        <w:lastRenderedPageBreak/>
        <w:t xml:space="preserve">It is also proposed that the framework is </w:t>
      </w:r>
      <w:r w:rsidR="00C57EEA">
        <w:t xml:space="preserve">made </w:t>
      </w:r>
      <w:r>
        <w:t xml:space="preserve">available to organisations similar to </w:t>
      </w:r>
      <w:proofErr w:type="spellStart"/>
      <w:r>
        <w:t>emh</w:t>
      </w:r>
      <w:proofErr w:type="spellEnd"/>
      <w:r>
        <w:t xml:space="preserve"> group</w:t>
      </w:r>
    </w:p>
    <w:p w:rsidR="00921107" w:rsidRDefault="00921107" w:rsidP="00921107">
      <w:pPr>
        <w:spacing w:after="0"/>
        <w:rPr>
          <w:b/>
          <w:u w:val="single"/>
        </w:rPr>
      </w:pPr>
      <w:r>
        <w:rPr>
          <w:b/>
          <w:u w:val="single"/>
        </w:rPr>
        <w:t>Further Detail</w:t>
      </w:r>
    </w:p>
    <w:p w:rsidR="00CF3B3C" w:rsidRDefault="00B82017" w:rsidP="00921107">
      <w:pPr>
        <w:spacing w:after="0"/>
      </w:pPr>
      <w:r>
        <w:t>Successful</w:t>
      </w:r>
      <w:r w:rsidR="00AA7ACE" w:rsidRPr="00AA7ACE">
        <w:t xml:space="preserve"> </w:t>
      </w:r>
      <w:r w:rsidR="00AA7ACE">
        <w:t>framework partners will be able to provide any of the services outlined (or</w:t>
      </w:r>
      <w:r w:rsidR="006814C6">
        <w:t xml:space="preserve"> a combination of) for emhgroup.</w:t>
      </w:r>
      <w:r w:rsidR="00AA7ACE" w:rsidRPr="009B22B5">
        <w:rPr>
          <w:color w:val="FF0000"/>
        </w:rPr>
        <w:t xml:space="preserve"> </w:t>
      </w:r>
      <w:r w:rsidR="00AA7ACE">
        <w:t xml:space="preserve">It is also anticipated that emhhomes maintenance departments could </w:t>
      </w:r>
      <w:r>
        <w:t>utilise</w:t>
      </w:r>
      <w:r w:rsidR="00AA7ACE">
        <w:t xml:space="preserve"> this framework </w:t>
      </w:r>
      <w:r w:rsidR="00C57EEA">
        <w:t>for a</w:t>
      </w:r>
      <w:r w:rsidR="00AA7ACE">
        <w:t xml:space="preserve"> </w:t>
      </w:r>
      <w:r w:rsidR="003B1204">
        <w:t>variety of surveying services.</w:t>
      </w:r>
      <w:r w:rsidR="00AA7ACE">
        <w:t xml:space="preserve"> </w:t>
      </w:r>
    </w:p>
    <w:p w:rsidR="003F1985" w:rsidRDefault="00213502" w:rsidP="00921107">
      <w:pPr>
        <w:spacing w:after="0"/>
      </w:pPr>
      <w:r>
        <w:t>It’s</w:t>
      </w:r>
      <w:r w:rsidR="003F1985">
        <w:t xml:space="preserve"> essential that framework partners have considerable experience and knowledge working on new build social housing projects</w:t>
      </w:r>
      <w:r>
        <w:t xml:space="preserve"> and understand the mechanism of how our business o</w:t>
      </w:r>
      <w:r w:rsidR="007D0975">
        <w:t>perates in relation to funding, documentation requirements and timescales</w:t>
      </w:r>
      <w:r w:rsidR="003F1985">
        <w:t>.</w:t>
      </w:r>
    </w:p>
    <w:p w:rsidR="003B1204" w:rsidRDefault="003B1204" w:rsidP="00921107">
      <w:pPr>
        <w:spacing w:after="0"/>
      </w:pPr>
    </w:p>
    <w:p w:rsidR="00C57EEA" w:rsidRDefault="003F1985" w:rsidP="00921107">
      <w:pPr>
        <w:spacing w:after="0"/>
      </w:pPr>
      <w:r>
        <w:t xml:space="preserve">Its expected that our framework partners </w:t>
      </w:r>
      <w:r w:rsidR="003B1204">
        <w:t>have corporate membership of</w:t>
      </w:r>
      <w:r>
        <w:t xml:space="preserve"> relevant professional bodies to suit services provided </w:t>
      </w:r>
      <w:r w:rsidR="00213502">
        <w:t>i.e.</w:t>
      </w:r>
      <w:r>
        <w:t xml:space="preserve"> RICS, CIBSE, CIOB, CIH, RIBA, AECB</w:t>
      </w:r>
      <w:r w:rsidR="00213502">
        <w:t>, ICOW</w:t>
      </w:r>
      <w:r>
        <w:t xml:space="preserve"> etc. </w:t>
      </w:r>
    </w:p>
    <w:p w:rsidR="00170D59" w:rsidRDefault="00C57EEA" w:rsidP="00921107">
      <w:pPr>
        <w:spacing w:after="0"/>
      </w:pPr>
      <w:r>
        <w:t>Delivery structure is expected to reflect the variety of qualification and skills required for the tasks detailed above, along with appropriate range of seniorities.</w:t>
      </w:r>
      <w:r w:rsidR="00170D59">
        <w:t xml:space="preserve"> </w:t>
      </w:r>
    </w:p>
    <w:p w:rsidR="00C57EEA" w:rsidRDefault="00C57EEA" w:rsidP="00FD3C8F">
      <w:pPr>
        <w:spacing w:after="0"/>
        <w:rPr>
          <w:b/>
          <w:u w:val="single"/>
        </w:rPr>
      </w:pPr>
    </w:p>
    <w:p w:rsidR="00285977" w:rsidRPr="00285977" w:rsidRDefault="00285977" w:rsidP="00FD3C8F">
      <w:pPr>
        <w:spacing w:after="0"/>
        <w:rPr>
          <w:b/>
          <w:u w:val="single"/>
        </w:rPr>
      </w:pPr>
      <w:r w:rsidRPr="00285977">
        <w:rPr>
          <w:b/>
          <w:u w:val="single"/>
        </w:rPr>
        <w:t xml:space="preserve">Framework </w:t>
      </w:r>
    </w:p>
    <w:p w:rsidR="00FD3C8F" w:rsidRPr="005513C3" w:rsidRDefault="00FD3C8F" w:rsidP="00FD3C8F">
      <w:pPr>
        <w:spacing w:after="0"/>
      </w:pPr>
      <w:r w:rsidRPr="005513C3">
        <w:t xml:space="preserve">The framework will be awarded under PCR 2015 regulations and last for 4 years </w:t>
      </w:r>
    </w:p>
    <w:p w:rsidR="000E6100" w:rsidRPr="005513C3" w:rsidRDefault="005513C3" w:rsidP="000E6100">
      <w:pPr>
        <w:spacing w:after="0"/>
      </w:pPr>
      <w:r w:rsidRPr="00C95DA4">
        <w:t>We envisage awarding framework places to</w:t>
      </w:r>
      <w:r w:rsidR="00C95DA4" w:rsidRPr="00C95DA4">
        <w:t xml:space="preserve"> </w:t>
      </w:r>
      <w:r w:rsidR="00980654">
        <w:t>4</w:t>
      </w:r>
      <w:r w:rsidRPr="00C95DA4">
        <w:t xml:space="preserve"> organisations</w:t>
      </w:r>
      <w:r w:rsidR="00C57EEA">
        <w:t>.</w:t>
      </w:r>
    </w:p>
    <w:p w:rsidR="00FC5EB1" w:rsidRDefault="00282C7B" w:rsidP="00426862">
      <w:pPr>
        <w:spacing w:after="0"/>
      </w:pPr>
      <w:r>
        <w:t>The Framework Agreement will be a format in line with Crown Commercial Service guidelines.</w:t>
      </w:r>
    </w:p>
    <w:p w:rsidR="00C57EEA" w:rsidRDefault="00C57EEA" w:rsidP="00C57EEA">
      <w:pPr>
        <w:spacing w:after="0"/>
      </w:pPr>
      <w:r>
        <w:t>The value of the framework to individual framework partners may vary and carries no guarantee of business.</w:t>
      </w:r>
    </w:p>
    <w:p w:rsidR="00C57EEA" w:rsidRDefault="00C57EEA" w:rsidP="00C57EEA">
      <w:pPr>
        <w:spacing w:after="0"/>
      </w:pPr>
      <w:r>
        <w:t>Individual projects will be awarded through the tender value for money criteria and added value considerations</w:t>
      </w:r>
    </w:p>
    <w:p w:rsidR="00C57EEA" w:rsidRDefault="00C57EEA" w:rsidP="00C57EEA">
      <w:pPr>
        <w:spacing w:after="0"/>
      </w:pPr>
      <w:r>
        <w:t xml:space="preserve"> on a scheme by scheme basis. Mini-competitions may also be used to award works if timescales allow. </w:t>
      </w:r>
    </w:p>
    <w:p w:rsidR="00285977" w:rsidRDefault="00285977" w:rsidP="000E6100">
      <w:pPr>
        <w:spacing w:after="0"/>
        <w:rPr>
          <w:b/>
          <w:highlight w:val="cyan"/>
          <w:u w:val="single"/>
        </w:rPr>
      </w:pPr>
    </w:p>
    <w:p w:rsidR="00C57EEA" w:rsidRPr="00285977" w:rsidRDefault="00C57EEA" w:rsidP="000E6100">
      <w:pPr>
        <w:spacing w:after="0"/>
        <w:rPr>
          <w:b/>
          <w:highlight w:val="cyan"/>
          <w:u w:val="single"/>
        </w:rPr>
      </w:pPr>
    </w:p>
    <w:p w:rsidR="00426862" w:rsidRPr="00285977" w:rsidRDefault="00426862" w:rsidP="000E6100">
      <w:pPr>
        <w:spacing w:after="0"/>
        <w:rPr>
          <w:b/>
          <w:u w:val="single"/>
        </w:rPr>
      </w:pPr>
      <w:r w:rsidRPr="00285977">
        <w:rPr>
          <w:b/>
          <w:u w:val="single"/>
        </w:rPr>
        <w:t>Tender Process</w:t>
      </w:r>
    </w:p>
    <w:p w:rsidR="00495641" w:rsidRPr="000E6100" w:rsidRDefault="000E6100" w:rsidP="000E6100">
      <w:pPr>
        <w:spacing w:after="0"/>
      </w:pPr>
      <w:r>
        <w:t>The process is being undertaken under the Public Contracts Regulations 2015 using the Restricted Procedures</w:t>
      </w:r>
    </w:p>
    <w:p w:rsidR="00495641" w:rsidRDefault="000E6100" w:rsidP="00921107">
      <w:pPr>
        <w:spacing w:after="120"/>
      </w:pPr>
      <w:r>
        <w:t>A notice ha</w:t>
      </w:r>
      <w:r w:rsidR="00285977">
        <w:t>s been made on the OJEU website and the opportunity is posted on the Governments Contract Finder platform</w:t>
      </w:r>
      <w:r w:rsidR="00921107">
        <w:t>.</w:t>
      </w:r>
    </w:p>
    <w:p w:rsidR="000E6100" w:rsidRDefault="00921107" w:rsidP="000E6100">
      <w:pPr>
        <w:spacing w:after="0"/>
      </w:pPr>
      <w:r>
        <w:t xml:space="preserve">The </w:t>
      </w:r>
      <w:r w:rsidR="000E6100">
        <w:t xml:space="preserve">Invitation to Tender will be based on PQQ submissions - it is proposed that </w:t>
      </w:r>
      <w:r w:rsidR="00AD4EE4">
        <w:t>up to 10</w:t>
      </w:r>
      <w:r w:rsidR="000E6100">
        <w:t xml:space="preserve"> providers </w:t>
      </w:r>
      <w:r w:rsidR="00DA12AE">
        <w:t xml:space="preserve">with the most appropriate submissions </w:t>
      </w:r>
      <w:r w:rsidR="000E6100">
        <w:t>will be invited to tender.</w:t>
      </w:r>
    </w:p>
    <w:p w:rsidR="00FC5EB1" w:rsidRPr="000E6100" w:rsidRDefault="00FC5EB1" w:rsidP="000E6100">
      <w:pPr>
        <w:spacing w:after="0"/>
      </w:pPr>
    </w:p>
    <w:p w:rsidR="00495641" w:rsidRPr="00DA12AE" w:rsidRDefault="000E6100" w:rsidP="00426862">
      <w:pPr>
        <w:spacing w:after="0"/>
      </w:pPr>
      <w:r w:rsidRPr="00DA12AE">
        <w:t xml:space="preserve">The tender evaluation will be made on a </w:t>
      </w:r>
      <w:r w:rsidR="008831A6">
        <w:t>40</w:t>
      </w:r>
      <w:r w:rsidRPr="00DA12AE">
        <w:t>/</w:t>
      </w:r>
      <w:r w:rsidR="008831A6">
        <w:t>6</w:t>
      </w:r>
      <w:r w:rsidRPr="00DA12AE">
        <w:t>0 price</w:t>
      </w:r>
      <w:r w:rsidR="00921107">
        <w:t xml:space="preserve">/quality </w:t>
      </w:r>
      <w:r w:rsidRPr="00DA12AE">
        <w:t xml:space="preserve"> basis.</w:t>
      </w:r>
    </w:p>
    <w:p w:rsidR="00DA12AE" w:rsidRPr="00DA12AE" w:rsidRDefault="00DA12AE" w:rsidP="00DA12AE">
      <w:pPr>
        <w:spacing w:after="0"/>
      </w:pPr>
      <w:r w:rsidRPr="00DA12AE">
        <w:t>The whole process will be managed through a web based portal.</w:t>
      </w:r>
    </w:p>
    <w:p w:rsidR="00DA12AE" w:rsidRDefault="00DA12AE" w:rsidP="00DA12AE">
      <w:pPr>
        <w:spacing w:after="0"/>
      </w:pPr>
      <w:r w:rsidRPr="00DA12AE">
        <w:t xml:space="preserve">You will need to register and access the appropriate public invitation. </w:t>
      </w:r>
    </w:p>
    <w:p w:rsidR="00DA12AE" w:rsidRDefault="00DA12AE" w:rsidP="00DA12AE">
      <w:pPr>
        <w:spacing w:after="0"/>
      </w:pPr>
      <w:r>
        <w:t>You can then access the PQQ documents – you will be required to accept the invitation prior to submission.</w:t>
      </w:r>
    </w:p>
    <w:p w:rsidR="00DA12AE" w:rsidRPr="00DA12AE" w:rsidRDefault="00DA12AE" w:rsidP="00DA12AE">
      <w:pPr>
        <w:spacing w:after="0"/>
      </w:pPr>
      <w:r>
        <w:t xml:space="preserve">The invitation will be open for a minimum of 30 days as required by PCR 2015 </w:t>
      </w:r>
    </w:p>
    <w:p w:rsidR="008831A6" w:rsidRPr="002B6134" w:rsidRDefault="008831A6">
      <w:pPr>
        <w:rPr>
          <w:b/>
          <w:u w:val="single"/>
        </w:rPr>
      </w:pPr>
    </w:p>
    <w:p w:rsidR="00EB14E7" w:rsidRPr="002B6134" w:rsidRDefault="00285977" w:rsidP="00C067E6">
      <w:pPr>
        <w:spacing w:after="0"/>
        <w:rPr>
          <w:b/>
          <w:u w:val="single"/>
        </w:rPr>
      </w:pPr>
      <w:r w:rsidRPr="002B6134">
        <w:rPr>
          <w:b/>
          <w:u w:val="single"/>
        </w:rPr>
        <w:t>Provider</w:t>
      </w:r>
      <w:r w:rsidR="005050C9" w:rsidRPr="002B6134">
        <w:rPr>
          <w:b/>
          <w:u w:val="single"/>
        </w:rPr>
        <w:t xml:space="preserve"> Specification</w:t>
      </w:r>
      <w:r w:rsidR="002B6134" w:rsidRPr="002B6134">
        <w:rPr>
          <w:b/>
          <w:u w:val="single"/>
        </w:rPr>
        <w:t>/Requirements</w:t>
      </w:r>
    </w:p>
    <w:p w:rsidR="002B6134" w:rsidRPr="002B6134" w:rsidRDefault="002B6134" w:rsidP="00C067E6">
      <w:pPr>
        <w:spacing w:after="0"/>
      </w:pPr>
    </w:p>
    <w:p w:rsidR="00C067E6" w:rsidRPr="002B6134" w:rsidRDefault="00C067E6" w:rsidP="00C067E6">
      <w:pPr>
        <w:spacing w:after="0"/>
      </w:pPr>
      <w:r w:rsidRPr="002B6134">
        <w:t xml:space="preserve">The following will </w:t>
      </w:r>
      <w:r w:rsidR="00F96AB0" w:rsidRPr="002B6134">
        <w:t xml:space="preserve">specifically </w:t>
      </w:r>
      <w:r w:rsidRPr="002B6134">
        <w:t>be assessed at PQQ stage</w:t>
      </w:r>
    </w:p>
    <w:p w:rsidR="00C067E6" w:rsidRPr="002B6134" w:rsidRDefault="002B6134" w:rsidP="00E91DD3">
      <w:pPr>
        <w:pStyle w:val="ListParagraph"/>
        <w:numPr>
          <w:ilvl w:val="0"/>
          <w:numId w:val="8"/>
        </w:numPr>
        <w:spacing w:after="0"/>
      </w:pPr>
      <w:r w:rsidRPr="002B6134">
        <w:t xml:space="preserve">Appropriate accreditations and the structure to provide the </w:t>
      </w:r>
      <w:r w:rsidR="00C067E6" w:rsidRPr="002B6134">
        <w:t xml:space="preserve">service </w:t>
      </w:r>
      <w:r w:rsidRPr="002B6134">
        <w:t>in th</w:t>
      </w:r>
      <w:r w:rsidR="00C067E6" w:rsidRPr="002B6134">
        <w:t>e East Midlands</w:t>
      </w:r>
    </w:p>
    <w:p w:rsidR="00AD4EE4" w:rsidRPr="002B6134" w:rsidRDefault="00EC7738" w:rsidP="00EC7738">
      <w:pPr>
        <w:pStyle w:val="ListParagraph"/>
        <w:numPr>
          <w:ilvl w:val="0"/>
          <w:numId w:val="8"/>
        </w:numPr>
        <w:spacing w:after="0"/>
      </w:pPr>
      <w:r w:rsidRPr="002B6134">
        <w:t>E</w:t>
      </w:r>
      <w:r w:rsidR="002B6134" w:rsidRPr="002B6134">
        <w:t>vidence of Social Housing experience</w:t>
      </w:r>
    </w:p>
    <w:p w:rsidR="005E4C8D" w:rsidRPr="002B6134" w:rsidRDefault="005E4C8D" w:rsidP="00EC7738">
      <w:pPr>
        <w:pStyle w:val="ListParagraph"/>
        <w:numPr>
          <w:ilvl w:val="0"/>
          <w:numId w:val="8"/>
        </w:numPr>
        <w:spacing w:after="0"/>
      </w:pPr>
      <w:r w:rsidRPr="002B6134">
        <w:t>Financial Capacity</w:t>
      </w:r>
    </w:p>
    <w:p w:rsidR="005E4C8D" w:rsidRPr="002B6134" w:rsidRDefault="005E4C8D" w:rsidP="00EC7738">
      <w:pPr>
        <w:pStyle w:val="ListParagraph"/>
        <w:numPr>
          <w:ilvl w:val="0"/>
          <w:numId w:val="8"/>
        </w:numPr>
        <w:spacing w:after="0"/>
      </w:pPr>
      <w:r w:rsidRPr="002B6134">
        <w:t>Insurances</w:t>
      </w:r>
    </w:p>
    <w:p w:rsidR="005E4C8D" w:rsidRPr="002B6134" w:rsidRDefault="005E4C8D" w:rsidP="00EC7738">
      <w:pPr>
        <w:pStyle w:val="ListParagraph"/>
        <w:numPr>
          <w:ilvl w:val="0"/>
          <w:numId w:val="8"/>
        </w:numPr>
        <w:spacing w:after="0"/>
      </w:pPr>
      <w:r w:rsidRPr="002B6134">
        <w:t>Processes</w:t>
      </w:r>
    </w:p>
    <w:p w:rsidR="00F96AB0" w:rsidRPr="002B6134" w:rsidRDefault="00F96AB0" w:rsidP="00DA12AE">
      <w:pPr>
        <w:spacing w:after="0"/>
        <w:rPr>
          <w:b/>
        </w:rPr>
      </w:pPr>
    </w:p>
    <w:p w:rsidR="005050C9" w:rsidRPr="002B6134" w:rsidRDefault="002B6134" w:rsidP="00DA12AE">
      <w:pPr>
        <w:spacing w:after="0"/>
      </w:pPr>
      <w:r w:rsidRPr="002B6134">
        <w:t xml:space="preserve">The following will be assessed at the </w:t>
      </w:r>
      <w:r w:rsidR="00C067E6" w:rsidRPr="002B6134">
        <w:t xml:space="preserve">Tender Stage </w:t>
      </w:r>
    </w:p>
    <w:p w:rsidR="00EC7738" w:rsidRPr="002B6134" w:rsidRDefault="00C067E6" w:rsidP="00E63F43">
      <w:pPr>
        <w:pStyle w:val="ListParagraph"/>
        <w:numPr>
          <w:ilvl w:val="0"/>
          <w:numId w:val="8"/>
        </w:numPr>
        <w:spacing w:after="0"/>
      </w:pPr>
      <w:r w:rsidRPr="002B6134">
        <w:t>Pricing</w:t>
      </w:r>
      <w:r w:rsidR="007E5FA8" w:rsidRPr="002B6134">
        <w:t xml:space="preserve"> </w:t>
      </w:r>
      <w:r w:rsidR="002B6134" w:rsidRPr="002B6134">
        <w:t>–</w:t>
      </w:r>
      <w:r w:rsidR="007E5FA8" w:rsidRPr="002B6134">
        <w:t xml:space="preserve"> </w:t>
      </w:r>
      <w:r w:rsidR="002B6134" w:rsidRPr="002B6134">
        <w:t>for specific service</w:t>
      </w:r>
      <w:r w:rsidR="002B6134">
        <w:t>s</w:t>
      </w:r>
      <w:r w:rsidR="002B6134" w:rsidRPr="002B6134">
        <w:t xml:space="preserve"> and project size</w:t>
      </w:r>
    </w:p>
    <w:p w:rsidR="005050C9" w:rsidRPr="002B6134" w:rsidRDefault="007E5FA8" w:rsidP="00E63F43">
      <w:pPr>
        <w:pStyle w:val="ListParagraph"/>
        <w:numPr>
          <w:ilvl w:val="0"/>
          <w:numId w:val="8"/>
        </w:numPr>
        <w:spacing w:after="0"/>
      </w:pPr>
      <w:r w:rsidRPr="002B6134">
        <w:t xml:space="preserve">To further explore </w:t>
      </w:r>
      <w:r w:rsidR="002B6134">
        <w:t xml:space="preserve">capability, </w:t>
      </w:r>
      <w:r w:rsidR="00921107" w:rsidRPr="002B6134">
        <w:t>c</w:t>
      </w:r>
      <w:r w:rsidRPr="002B6134">
        <w:t xml:space="preserve">apacity and delivery </w:t>
      </w:r>
    </w:p>
    <w:p w:rsidR="00C067E6" w:rsidRPr="002B6134" w:rsidRDefault="00E63F43" w:rsidP="00E63F43">
      <w:pPr>
        <w:pStyle w:val="ListParagraph"/>
        <w:numPr>
          <w:ilvl w:val="0"/>
          <w:numId w:val="8"/>
        </w:numPr>
        <w:spacing w:after="0"/>
      </w:pPr>
      <w:r>
        <w:lastRenderedPageBreak/>
        <w:t xml:space="preserve">Resources and </w:t>
      </w:r>
      <w:r w:rsidR="002B6134">
        <w:t>Project Management Capabilities</w:t>
      </w:r>
    </w:p>
    <w:p w:rsidR="00C067E6" w:rsidRPr="002B6134" w:rsidRDefault="00C067E6" w:rsidP="00DA12AE">
      <w:pPr>
        <w:spacing w:after="0"/>
      </w:pPr>
    </w:p>
    <w:p w:rsidR="007958BB" w:rsidRPr="002B6134" w:rsidRDefault="007958BB" w:rsidP="00DA12AE">
      <w:pPr>
        <w:spacing w:after="0"/>
        <w:rPr>
          <w:b/>
        </w:rPr>
      </w:pPr>
    </w:p>
    <w:p w:rsidR="00FD093B" w:rsidRDefault="00C74A33" w:rsidP="00381B5C">
      <w:r w:rsidRPr="002B6134">
        <w:t>Further Information may be obtained from</w:t>
      </w:r>
    </w:p>
    <w:p w:rsidR="00381B5C" w:rsidRDefault="00E63F43" w:rsidP="00381B5C">
      <w:hyperlink r:id="rId8" w:history="1">
        <w:r w:rsidR="00C74A33" w:rsidRPr="00F534E0">
          <w:rPr>
            <w:rStyle w:val="Hyperlink"/>
          </w:rPr>
          <w:t>Bob.crabb@emhgroup.org.uk</w:t>
        </w:r>
      </w:hyperlink>
    </w:p>
    <w:sectPr w:rsidR="00381B5C" w:rsidSect="00495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49D5"/>
    <w:multiLevelType w:val="hybridMultilevel"/>
    <w:tmpl w:val="54800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E36DE3"/>
    <w:multiLevelType w:val="hybridMultilevel"/>
    <w:tmpl w:val="4B06A548"/>
    <w:lvl w:ilvl="0" w:tplc="7228EB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B4FAE"/>
    <w:multiLevelType w:val="hybridMultilevel"/>
    <w:tmpl w:val="5B46164C"/>
    <w:lvl w:ilvl="0" w:tplc="AB927E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BB099A"/>
    <w:multiLevelType w:val="hybridMultilevel"/>
    <w:tmpl w:val="CFD60028"/>
    <w:lvl w:ilvl="0" w:tplc="8416B2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11002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6177C73"/>
    <w:multiLevelType w:val="hybridMultilevel"/>
    <w:tmpl w:val="28382EA8"/>
    <w:lvl w:ilvl="0" w:tplc="21B43C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A4101B"/>
    <w:multiLevelType w:val="hybridMultilevel"/>
    <w:tmpl w:val="2DF8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81203E"/>
    <w:multiLevelType w:val="hybridMultilevel"/>
    <w:tmpl w:val="096CB558"/>
    <w:lvl w:ilvl="0" w:tplc="C70CB6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076531"/>
    <w:multiLevelType w:val="hybridMultilevel"/>
    <w:tmpl w:val="10061552"/>
    <w:lvl w:ilvl="0" w:tplc="1FBE13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EE4381"/>
    <w:multiLevelType w:val="hybridMultilevel"/>
    <w:tmpl w:val="BD8C3018"/>
    <w:lvl w:ilvl="0" w:tplc="7228EB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5"/>
  </w:num>
  <w:num w:numId="6">
    <w:abstractNumId w:val="4"/>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CB"/>
    <w:rsid w:val="00002FC3"/>
    <w:rsid w:val="00047598"/>
    <w:rsid w:val="00070CFE"/>
    <w:rsid w:val="000C4290"/>
    <w:rsid w:val="000C47DF"/>
    <w:rsid w:val="000E6100"/>
    <w:rsid w:val="00152CA6"/>
    <w:rsid w:val="00163059"/>
    <w:rsid w:val="00170D59"/>
    <w:rsid w:val="001773FE"/>
    <w:rsid w:val="00181894"/>
    <w:rsid w:val="002115DB"/>
    <w:rsid w:val="00213502"/>
    <w:rsid w:val="0023759B"/>
    <w:rsid w:val="00282C7B"/>
    <w:rsid w:val="00285977"/>
    <w:rsid w:val="00293390"/>
    <w:rsid w:val="002B6134"/>
    <w:rsid w:val="002B731F"/>
    <w:rsid w:val="002C2E87"/>
    <w:rsid w:val="002D62DD"/>
    <w:rsid w:val="003111BC"/>
    <w:rsid w:val="00323154"/>
    <w:rsid w:val="00355D21"/>
    <w:rsid w:val="00366685"/>
    <w:rsid w:val="00373B1F"/>
    <w:rsid w:val="00381B5C"/>
    <w:rsid w:val="003B1204"/>
    <w:rsid w:val="003F1985"/>
    <w:rsid w:val="00426862"/>
    <w:rsid w:val="00495641"/>
    <w:rsid w:val="00502DF5"/>
    <w:rsid w:val="005050C9"/>
    <w:rsid w:val="005513C3"/>
    <w:rsid w:val="005D059E"/>
    <w:rsid w:val="005E4C8D"/>
    <w:rsid w:val="0060037D"/>
    <w:rsid w:val="006074B2"/>
    <w:rsid w:val="006814C6"/>
    <w:rsid w:val="006835AB"/>
    <w:rsid w:val="006A1A83"/>
    <w:rsid w:val="006B31B4"/>
    <w:rsid w:val="007958BB"/>
    <w:rsid w:val="007C318B"/>
    <w:rsid w:val="007C5DF1"/>
    <w:rsid w:val="007D0975"/>
    <w:rsid w:val="007D5C20"/>
    <w:rsid w:val="007E0347"/>
    <w:rsid w:val="007E5FA8"/>
    <w:rsid w:val="007F3D0D"/>
    <w:rsid w:val="008014DF"/>
    <w:rsid w:val="00827AB0"/>
    <w:rsid w:val="00872757"/>
    <w:rsid w:val="008831A6"/>
    <w:rsid w:val="00921107"/>
    <w:rsid w:val="00980654"/>
    <w:rsid w:val="00996BDA"/>
    <w:rsid w:val="009A67CD"/>
    <w:rsid w:val="009B22B5"/>
    <w:rsid w:val="00A33A10"/>
    <w:rsid w:val="00A912E7"/>
    <w:rsid w:val="00AA7ACE"/>
    <w:rsid w:val="00AD4AB3"/>
    <w:rsid w:val="00AD4EE4"/>
    <w:rsid w:val="00AF597D"/>
    <w:rsid w:val="00B82017"/>
    <w:rsid w:val="00BD3CCF"/>
    <w:rsid w:val="00C067E6"/>
    <w:rsid w:val="00C57EEA"/>
    <w:rsid w:val="00C71ECB"/>
    <w:rsid w:val="00C74A33"/>
    <w:rsid w:val="00C95DA4"/>
    <w:rsid w:val="00CC0A3C"/>
    <w:rsid w:val="00CD28D6"/>
    <w:rsid w:val="00CD5473"/>
    <w:rsid w:val="00CF3B3C"/>
    <w:rsid w:val="00D025D1"/>
    <w:rsid w:val="00DA12AE"/>
    <w:rsid w:val="00E63F43"/>
    <w:rsid w:val="00E84390"/>
    <w:rsid w:val="00E91DD3"/>
    <w:rsid w:val="00EB14E7"/>
    <w:rsid w:val="00EC7738"/>
    <w:rsid w:val="00F04988"/>
    <w:rsid w:val="00F25C7A"/>
    <w:rsid w:val="00F826E3"/>
    <w:rsid w:val="00F96AB0"/>
    <w:rsid w:val="00F97AC7"/>
    <w:rsid w:val="00FA2A33"/>
    <w:rsid w:val="00FB0EB2"/>
    <w:rsid w:val="00FB20B4"/>
    <w:rsid w:val="00FC5EB1"/>
    <w:rsid w:val="00FD093B"/>
    <w:rsid w:val="00FD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crabb@emhgroup.org.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C9B7-7192-4A29-9877-2D032105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11A11E91</Template>
  <TotalTime>293</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Pritti Allen</dc:creator>
  <cp:lastModifiedBy>Bob Crabb</cp:lastModifiedBy>
  <cp:revision>20</cp:revision>
  <cp:lastPrinted>2016-09-29T15:24:00Z</cp:lastPrinted>
  <dcterms:created xsi:type="dcterms:W3CDTF">2016-06-16T14:43:00Z</dcterms:created>
  <dcterms:modified xsi:type="dcterms:W3CDTF">2016-09-29T15:28:00Z</dcterms:modified>
</cp:coreProperties>
</file>