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A62" w:rsidRDefault="0070052E">
      <w:r>
        <w:t xml:space="preserve"> </w:t>
      </w:r>
      <w:r w:rsidR="00D730D7">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D3448B">
      <w:pPr>
        <w:spacing w:after="0"/>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rsidR="00D3448B" w:rsidRDefault="00D3448B" w:rsidP="00D3448B">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EA70A7" w:rsidRDefault="00EA70A7" w:rsidP="007C3ECE">
      <w:pPr>
        <w:spacing w:after="0"/>
        <w:jc w:val="both"/>
        <w:rPr>
          <w:rFonts w:ascii="Arial" w:hAnsi="Arial" w:cs="Arial"/>
          <w:sz w:val="24"/>
          <w:szCs w:val="24"/>
        </w:rPr>
      </w:pPr>
    </w:p>
    <w:p w:rsidR="00EA70A7" w:rsidRDefault="00EA70A7" w:rsidP="007C3ECE">
      <w:pPr>
        <w:spacing w:after="0"/>
        <w:jc w:val="both"/>
        <w:rPr>
          <w:rFonts w:ascii="Arial" w:hAnsi="Arial" w:cs="Arial"/>
          <w:sz w:val="24"/>
          <w:szCs w:val="24"/>
        </w:rPr>
      </w:pPr>
    </w:p>
    <w:p w:rsidR="00EA70A7" w:rsidRDefault="00EA70A7" w:rsidP="007C3ECE">
      <w:pPr>
        <w:spacing w:after="0"/>
        <w:jc w:val="both"/>
        <w:rPr>
          <w:rFonts w:ascii="Arial" w:hAnsi="Arial" w:cs="Arial"/>
          <w:sz w:val="24"/>
          <w:szCs w:val="24"/>
        </w:rPr>
      </w:pP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p>
    <w:p w:rsidR="00114F8A" w:rsidRDefault="00114F8A">
      <w:pPr>
        <w:rPr>
          <w:rFonts w:ascii="Arial" w:hAnsi="Arial" w:cs="Arial"/>
          <w:b/>
          <w:sz w:val="24"/>
          <w:szCs w:val="24"/>
        </w:rPr>
      </w:pPr>
    </w:p>
    <w:p w:rsidR="006173BC" w:rsidRDefault="006173BC" w:rsidP="006173BC">
      <w:pPr>
        <w:jc w:val="center"/>
        <w:rPr>
          <w:rFonts w:ascii="Arial" w:hAnsi="Arial" w:cs="Arial"/>
          <w:b/>
          <w:sz w:val="24"/>
          <w:szCs w:val="24"/>
        </w:rPr>
      </w:pPr>
      <w:r>
        <w:rPr>
          <w:rFonts w:ascii="Arial" w:hAnsi="Arial" w:cs="Arial"/>
          <w:b/>
          <w:sz w:val="24"/>
          <w:szCs w:val="24"/>
        </w:rPr>
        <w:lastRenderedPageBreak/>
        <w:t xml:space="preserve">MCA REFERENCE:  </w:t>
      </w:r>
      <w:r w:rsidR="001351F1">
        <w:rPr>
          <w:rFonts w:ascii="Arial" w:hAnsi="Arial" w:cs="Arial"/>
          <w:b/>
          <w:sz w:val="24"/>
          <w:szCs w:val="24"/>
        </w:rPr>
        <w:t>TCA 3/7/10</w:t>
      </w:r>
      <w:r w:rsidR="00DD3BEF">
        <w:rPr>
          <w:rFonts w:ascii="Arial" w:hAnsi="Arial" w:cs="Arial"/>
          <w:b/>
          <w:sz w:val="24"/>
          <w:szCs w:val="24"/>
        </w:rPr>
        <w:t>32</w:t>
      </w:r>
      <w:r>
        <w:rPr>
          <w:rFonts w:ascii="Arial" w:hAnsi="Arial" w:cs="Arial"/>
          <w:b/>
          <w:sz w:val="24"/>
          <w:szCs w:val="24"/>
        </w:rPr>
        <w:t xml:space="preserve"> </w:t>
      </w:r>
    </w:p>
    <w:p w:rsidR="006173BC" w:rsidRPr="00A66BCE" w:rsidRDefault="005A76AD" w:rsidP="005519BF">
      <w:pPr>
        <w:spacing w:after="0"/>
        <w:jc w:val="center"/>
        <w:rPr>
          <w:rFonts w:ascii="Arial" w:hAnsi="Arial" w:cs="Arial"/>
          <w:b/>
          <w:sz w:val="24"/>
          <w:szCs w:val="24"/>
        </w:rPr>
      </w:pPr>
      <w:bookmarkStart w:id="0" w:name="_Hlk499823005"/>
      <w:r w:rsidRPr="00A66BCE">
        <w:rPr>
          <w:rFonts w:ascii="Arial" w:hAnsi="Arial" w:cs="Arial"/>
          <w:b/>
          <w:sz w:val="24"/>
          <w:szCs w:val="24"/>
        </w:rPr>
        <w:t>400M of Heavy Duty Inflatable Offshore Oil Containment Boom</w:t>
      </w:r>
      <w:r w:rsidR="00207A27" w:rsidRPr="00A66BCE">
        <w:rPr>
          <w:rFonts w:ascii="Arial" w:hAnsi="Arial" w:cs="Arial"/>
          <w:b/>
          <w:sz w:val="24"/>
          <w:szCs w:val="24"/>
        </w:rPr>
        <w:t xml:space="preserve"> and Two Hydraulically Driven Boom Reels</w:t>
      </w:r>
    </w:p>
    <w:bookmarkEnd w:id="0"/>
    <w:p w:rsidR="005519BF" w:rsidRDefault="005519BF" w:rsidP="005519BF">
      <w:pPr>
        <w:spacing w:after="0"/>
        <w:jc w:val="center"/>
        <w:rPr>
          <w:rFonts w:ascii="Arial" w:hAnsi="Arial" w:cs="Arial"/>
          <w:sz w:val="24"/>
          <w:szCs w:val="24"/>
        </w:rPr>
      </w:pPr>
    </w:p>
    <w:p w:rsidR="006173BC" w:rsidRDefault="009C77CD" w:rsidP="00D826AC">
      <w:pPr>
        <w:spacing w:after="0"/>
        <w:jc w:val="both"/>
        <w:rPr>
          <w:rFonts w:ascii="Arial" w:hAnsi="Arial" w:cs="Arial"/>
          <w:b/>
          <w:sz w:val="24"/>
          <w:szCs w:val="24"/>
        </w:rPr>
      </w:pPr>
      <w:r>
        <w:rPr>
          <w:rFonts w:ascii="Arial" w:hAnsi="Arial" w:cs="Arial"/>
          <w:b/>
          <w:sz w:val="24"/>
          <w:szCs w:val="24"/>
        </w:rPr>
        <w:t>Introduction</w:t>
      </w:r>
    </w:p>
    <w:p w:rsidR="001320FC" w:rsidRDefault="001320FC" w:rsidP="00D826AC">
      <w:pPr>
        <w:spacing w:after="0"/>
        <w:jc w:val="both"/>
        <w:rPr>
          <w:rFonts w:ascii="Arial" w:hAnsi="Arial" w:cs="Arial"/>
          <w:sz w:val="24"/>
          <w:szCs w:val="24"/>
        </w:rPr>
      </w:pPr>
    </w:p>
    <w:p w:rsidR="00A50908" w:rsidRDefault="00D1784D" w:rsidP="001154F6">
      <w:pPr>
        <w:pStyle w:val="ListParagraph"/>
        <w:numPr>
          <w:ilvl w:val="0"/>
          <w:numId w:val="38"/>
        </w:numPr>
        <w:spacing w:after="0"/>
        <w:jc w:val="both"/>
        <w:rPr>
          <w:rFonts w:ascii="Arial" w:hAnsi="Arial" w:cs="Arial"/>
          <w:sz w:val="24"/>
          <w:szCs w:val="24"/>
        </w:rPr>
      </w:pPr>
      <w:r w:rsidRPr="001154F6">
        <w:rPr>
          <w:rFonts w:ascii="Arial" w:hAnsi="Arial" w:cs="Arial"/>
          <w:sz w:val="24"/>
          <w:szCs w:val="24"/>
        </w:rPr>
        <w:t xml:space="preserve">The MCA </w:t>
      </w:r>
      <w:r w:rsidR="009C77CD">
        <w:rPr>
          <w:rFonts w:ascii="Arial" w:hAnsi="Arial" w:cs="Arial"/>
          <w:sz w:val="24"/>
          <w:szCs w:val="24"/>
        </w:rPr>
        <w:t>has a requirement</w:t>
      </w:r>
      <w:r w:rsidR="00CA2CAB" w:rsidRPr="001154F6">
        <w:rPr>
          <w:rFonts w:ascii="Arial" w:hAnsi="Arial" w:cs="Arial"/>
          <w:sz w:val="24"/>
          <w:szCs w:val="24"/>
        </w:rPr>
        <w:t xml:space="preserve"> </w:t>
      </w:r>
      <w:r w:rsidRPr="001154F6">
        <w:rPr>
          <w:rFonts w:ascii="Arial" w:hAnsi="Arial" w:cs="Arial"/>
          <w:sz w:val="24"/>
          <w:szCs w:val="24"/>
        </w:rPr>
        <w:t>to purchase 8 x 50 metre lengths</w:t>
      </w:r>
      <w:r w:rsidR="00617091" w:rsidRPr="001154F6">
        <w:rPr>
          <w:rFonts w:ascii="Arial" w:hAnsi="Arial" w:cs="Arial"/>
          <w:sz w:val="24"/>
          <w:szCs w:val="24"/>
        </w:rPr>
        <w:t xml:space="preserve"> (400m in total)</w:t>
      </w:r>
      <w:r w:rsidRPr="001154F6">
        <w:rPr>
          <w:rFonts w:ascii="Arial" w:hAnsi="Arial" w:cs="Arial"/>
          <w:sz w:val="24"/>
          <w:szCs w:val="24"/>
        </w:rPr>
        <w:t xml:space="preserve"> of Heavy Duty Inflatable Offshore Oil Containment Boom and </w:t>
      </w:r>
      <w:r w:rsidR="005C4C11">
        <w:rPr>
          <w:rFonts w:ascii="Arial" w:hAnsi="Arial" w:cs="Arial"/>
          <w:sz w:val="24"/>
          <w:szCs w:val="24"/>
        </w:rPr>
        <w:t>T</w:t>
      </w:r>
      <w:r w:rsidRPr="001154F6">
        <w:rPr>
          <w:rFonts w:ascii="Arial" w:hAnsi="Arial" w:cs="Arial"/>
          <w:sz w:val="24"/>
          <w:szCs w:val="24"/>
        </w:rPr>
        <w:t xml:space="preserve">wo </w:t>
      </w:r>
      <w:r w:rsidR="005C4C11">
        <w:rPr>
          <w:rFonts w:ascii="Arial" w:hAnsi="Arial" w:cs="Arial"/>
          <w:sz w:val="24"/>
          <w:szCs w:val="24"/>
        </w:rPr>
        <w:t>H</w:t>
      </w:r>
      <w:r w:rsidRPr="001154F6">
        <w:rPr>
          <w:rFonts w:ascii="Arial" w:hAnsi="Arial" w:cs="Arial"/>
          <w:sz w:val="24"/>
          <w:szCs w:val="24"/>
        </w:rPr>
        <w:t xml:space="preserve">ydraulically </w:t>
      </w:r>
      <w:r w:rsidR="005C4C11">
        <w:rPr>
          <w:rFonts w:ascii="Arial" w:hAnsi="Arial" w:cs="Arial"/>
          <w:sz w:val="24"/>
          <w:szCs w:val="24"/>
        </w:rPr>
        <w:t>D</w:t>
      </w:r>
      <w:r w:rsidRPr="001154F6">
        <w:rPr>
          <w:rFonts w:ascii="Arial" w:hAnsi="Arial" w:cs="Arial"/>
          <w:sz w:val="24"/>
          <w:szCs w:val="24"/>
        </w:rPr>
        <w:t xml:space="preserve">riven </w:t>
      </w:r>
      <w:r w:rsidR="005C4C11">
        <w:rPr>
          <w:rFonts w:ascii="Arial" w:hAnsi="Arial" w:cs="Arial"/>
          <w:sz w:val="24"/>
          <w:szCs w:val="24"/>
        </w:rPr>
        <w:t>B</w:t>
      </w:r>
      <w:r w:rsidRPr="001154F6">
        <w:rPr>
          <w:rFonts w:ascii="Arial" w:hAnsi="Arial" w:cs="Arial"/>
          <w:sz w:val="24"/>
          <w:szCs w:val="24"/>
        </w:rPr>
        <w:t xml:space="preserve">oom </w:t>
      </w:r>
      <w:r w:rsidR="005C4C11">
        <w:rPr>
          <w:rFonts w:ascii="Arial" w:hAnsi="Arial" w:cs="Arial"/>
          <w:sz w:val="24"/>
          <w:szCs w:val="24"/>
        </w:rPr>
        <w:t>R</w:t>
      </w:r>
      <w:r w:rsidRPr="001154F6">
        <w:rPr>
          <w:rFonts w:ascii="Arial" w:hAnsi="Arial" w:cs="Arial"/>
          <w:sz w:val="24"/>
          <w:szCs w:val="24"/>
        </w:rPr>
        <w:t>eels</w:t>
      </w:r>
      <w:r w:rsidR="00A51BC4" w:rsidRPr="001154F6">
        <w:rPr>
          <w:rFonts w:ascii="Arial" w:hAnsi="Arial" w:cs="Arial"/>
          <w:sz w:val="24"/>
          <w:szCs w:val="24"/>
        </w:rPr>
        <w:t xml:space="preserve"> in two lots.</w:t>
      </w:r>
    </w:p>
    <w:p w:rsidR="004A356E" w:rsidRPr="001154F6" w:rsidRDefault="004A356E" w:rsidP="004A356E">
      <w:pPr>
        <w:pStyle w:val="ListParagraph"/>
        <w:spacing w:after="0"/>
        <w:ind w:left="1080"/>
        <w:jc w:val="both"/>
        <w:rPr>
          <w:rFonts w:ascii="Arial" w:hAnsi="Arial" w:cs="Arial"/>
          <w:sz w:val="24"/>
          <w:szCs w:val="24"/>
        </w:rPr>
      </w:pPr>
    </w:p>
    <w:p w:rsidR="001154F6" w:rsidRDefault="001154F6" w:rsidP="001154F6">
      <w:pPr>
        <w:pStyle w:val="ListParagraph"/>
        <w:numPr>
          <w:ilvl w:val="0"/>
          <w:numId w:val="39"/>
        </w:numPr>
        <w:spacing w:after="0"/>
        <w:jc w:val="both"/>
        <w:rPr>
          <w:rFonts w:ascii="Arial" w:hAnsi="Arial" w:cs="Arial"/>
          <w:sz w:val="24"/>
          <w:szCs w:val="24"/>
        </w:rPr>
      </w:pPr>
      <w:r>
        <w:rPr>
          <w:rFonts w:ascii="Arial" w:hAnsi="Arial" w:cs="Arial"/>
          <w:sz w:val="24"/>
          <w:szCs w:val="24"/>
        </w:rPr>
        <w:t xml:space="preserve">Lot 1 </w:t>
      </w:r>
      <w:r w:rsidR="004A356E">
        <w:rPr>
          <w:rFonts w:ascii="Arial" w:hAnsi="Arial" w:cs="Arial"/>
          <w:sz w:val="24"/>
          <w:szCs w:val="24"/>
        </w:rPr>
        <w:t>–</w:t>
      </w:r>
      <w:r>
        <w:rPr>
          <w:rFonts w:ascii="Arial" w:hAnsi="Arial" w:cs="Arial"/>
          <w:sz w:val="24"/>
          <w:szCs w:val="24"/>
        </w:rPr>
        <w:t xml:space="preserve"> </w:t>
      </w:r>
      <w:bookmarkStart w:id="1" w:name="_Hlk499823947"/>
      <w:r w:rsidR="004A356E">
        <w:rPr>
          <w:rFonts w:ascii="Arial" w:hAnsi="Arial" w:cs="Arial"/>
          <w:sz w:val="24"/>
          <w:szCs w:val="24"/>
        </w:rPr>
        <w:t>400m Heavy Duty Inflatable Offshore Oil Containment Boom</w:t>
      </w:r>
      <w:bookmarkEnd w:id="1"/>
    </w:p>
    <w:p w:rsidR="004A356E" w:rsidRPr="001154F6" w:rsidRDefault="004A356E" w:rsidP="001154F6">
      <w:pPr>
        <w:pStyle w:val="ListParagraph"/>
        <w:numPr>
          <w:ilvl w:val="0"/>
          <w:numId w:val="39"/>
        </w:numPr>
        <w:spacing w:after="0"/>
        <w:jc w:val="both"/>
        <w:rPr>
          <w:rFonts w:ascii="Arial" w:hAnsi="Arial" w:cs="Arial"/>
          <w:sz w:val="24"/>
          <w:szCs w:val="24"/>
        </w:rPr>
      </w:pPr>
      <w:r>
        <w:rPr>
          <w:rFonts w:ascii="Arial" w:hAnsi="Arial" w:cs="Arial"/>
          <w:sz w:val="24"/>
          <w:szCs w:val="24"/>
        </w:rPr>
        <w:t xml:space="preserve">Lot 2 – </w:t>
      </w:r>
      <w:bookmarkStart w:id="2" w:name="_Hlk499824210"/>
      <w:r>
        <w:rPr>
          <w:rFonts w:ascii="Arial" w:hAnsi="Arial" w:cs="Arial"/>
          <w:sz w:val="24"/>
          <w:szCs w:val="24"/>
        </w:rPr>
        <w:t>Two Hydraulically Driven Boom Reels</w:t>
      </w:r>
      <w:bookmarkEnd w:id="2"/>
    </w:p>
    <w:p w:rsidR="00D1784D" w:rsidRDefault="00D1784D" w:rsidP="00A50908">
      <w:pPr>
        <w:spacing w:after="0"/>
        <w:ind w:left="720" w:hanging="720"/>
        <w:jc w:val="both"/>
        <w:rPr>
          <w:rFonts w:ascii="Arial" w:hAnsi="Arial" w:cs="Arial"/>
          <w:sz w:val="24"/>
          <w:szCs w:val="24"/>
        </w:rPr>
      </w:pPr>
    </w:p>
    <w:p w:rsidR="00A51BC4" w:rsidRDefault="00A51BC4" w:rsidP="00C031F6">
      <w:pPr>
        <w:pStyle w:val="ListParagraph"/>
        <w:numPr>
          <w:ilvl w:val="0"/>
          <w:numId w:val="38"/>
        </w:numPr>
        <w:spacing w:after="0"/>
        <w:jc w:val="both"/>
        <w:rPr>
          <w:rFonts w:ascii="Arial" w:hAnsi="Arial" w:cs="Arial"/>
          <w:sz w:val="24"/>
          <w:szCs w:val="24"/>
        </w:rPr>
      </w:pPr>
      <w:r w:rsidRPr="00C031F6">
        <w:rPr>
          <w:rFonts w:ascii="Arial" w:hAnsi="Arial" w:cs="Arial"/>
          <w:sz w:val="24"/>
          <w:szCs w:val="24"/>
        </w:rPr>
        <w:t xml:space="preserve">Potential suppliers may tender for one or </w:t>
      </w:r>
      <w:r w:rsidR="004E1AC6" w:rsidRPr="00C031F6">
        <w:rPr>
          <w:rFonts w:ascii="Arial" w:hAnsi="Arial" w:cs="Arial"/>
          <w:sz w:val="24"/>
          <w:szCs w:val="24"/>
        </w:rPr>
        <w:t>both</w:t>
      </w:r>
      <w:r w:rsidRPr="00C031F6">
        <w:rPr>
          <w:rFonts w:ascii="Arial" w:hAnsi="Arial" w:cs="Arial"/>
          <w:sz w:val="24"/>
          <w:szCs w:val="24"/>
        </w:rPr>
        <w:t xml:space="preserve"> lot(s), and the MCA will award each lot to the potential supplier that submits the most economically advantageous tender for it according to the criteria set out in </w:t>
      </w:r>
      <w:r w:rsidR="00192326" w:rsidRPr="00C031F6">
        <w:rPr>
          <w:rFonts w:ascii="Arial" w:hAnsi="Arial" w:cs="Arial"/>
          <w:sz w:val="24"/>
          <w:szCs w:val="24"/>
        </w:rPr>
        <w:t xml:space="preserve">both </w:t>
      </w:r>
      <w:r w:rsidRPr="00C031F6">
        <w:rPr>
          <w:rFonts w:ascii="Arial" w:hAnsi="Arial" w:cs="Arial"/>
          <w:sz w:val="24"/>
          <w:szCs w:val="24"/>
        </w:rPr>
        <w:t>this document and the Instructions for Tenders</w:t>
      </w:r>
      <w:r w:rsidR="004E1AC6" w:rsidRPr="00C031F6">
        <w:rPr>
          <w:rFonts w:ascii="Arial" w:hAnsi="Arial" w:cs="Arial"/>
          <w:sz w:val="24"/>
          <w:szCs w:val="24"/>
        </w:rPr>
        <w:t>.</w:t>
      </w:r>
    </w:p>
    <w:p w:rsidR="00C26C65" w:rsidRDefault="00C26C65" w:rsidP="00C26C65">
      <w:pPr>
        <w:pStyle w:val="ListParagraph"/>
        <w:spacing w:after="0"/>
        <w:ind w:left="1080"/>
        <w:jc w:val="both"/>
        <w:rPr>
          <w:rFonts w:ascii="Arial" w:hAnsi="Arial" w:cs="Arial"/>
          <w:sz w:val="24"/>
          <w:szCs w:val="24"/>
        </w:rPr>
      </w:pPr>
    </w:p>
    <w:p w:rsidR="00061BED" w:rsidRDefault="00061BED" w:rsidP="009853B1">
      <w:pPr>
        <w:pStyle w:val="ListParagraph"/>
        <w:numPr>
          <w:ilvl w:val="0"/>
          <w:numId w:val="38"/>
        </w:numPr>
        <w:spacing w:after="0"/>
        <w:rPr>
          <w:rFonts w:ascii="Arial" w:hAnsi="Arial" w:cs="Arial"/>
          <w:sz w:val="24"/>
          <w:szCs w:val="24"/>
        </w:rPr>
      </w:pPr>
      <w:r>
        <w:rPr>
          <w:rFonts w:ascii="Arial" w:hAnsi="Arial" w:cs="Arial"/>
          <w:sz w:val="24"/>
          <w:szCs w:val="24"/>
        </w:rPr>
        <w:t xml:space="preserve">Potential suppliers who wish to offer a discount </w:t>
      </w:r>
      <w:r w:rsidR="00C26C65">
        <w:rPr>
          <w:rFonts w:ascii="Arial" w:hAnsi="Arial" w:cs="Arial"/>
          <w:sz w:val="24"/>
          <w:szCs w:val="24"/>
        </w:rPr>
        <w:t>for the purchase of both lots should detail this on the relevant section on the Pricing Schedule.</w:t>
      </w:r>
    </w:p>
    <w:p w:rsidR="00C031F6" w:rsidRDefault="00C031F6" w:rsidP="00C031F6">
      <w:pPr>
        <w:pStyle w:val="ListParagraph"/>
        <w:spacing w:after="0"/>
        <w:ind w:left="1080"/>
        <w:jc w:val="both"/>
        <w:rPr>
          <w:rFonts w:ascii="Arial" w:hAnsi="Arial" w:cs="Arial"/>
          <w:sz w:val="24"/>
          <w:szCs w:val="24"/>
        </w:rPr>
      </w:pPr>
    </w:p>
    <w:p w:rsidR="00C031F6" w:rsidRPr="00C031F6" w:rsidRDefault="00C031F6" w:rsidP="00C031F6">
      <w:pPr>
        <w:spacing w:after="0"/>
        <w:jc w:val="both"/>
        <w:rPr>
          <w:rFonts w:ascii="Arial" w:hAnsi="Arial" w:cs="Arial"/>
          <w:sz w:val="24"/>
          <w:szCs w:val="24"/>
          <w:u w:val="single"/>
        </w:rPr>
      </w:pPr>
      <w:r w:rsidRPr="00C031F6">
        <w:rPr>
          <w:rFonts w:ascii="Arial" w:hAnsi="Arial" w:cs="Arial"/>
          <w:sz w:val="24"/>
          <w:szCs w:val="24"/>
          <w:u w:val="single"/>
        </w:rPr>
        <w:t>LOT 1 – HEAVY DUTY INFLATABLE OFFSHORE OIL CONTAINMENT BOOM</w:t>
      </w:r>
    </w:p>
    <w:p w:rsidR="00C031F6" w:rsidRDefault="00C031F6" w:rsidP="00C031F6">
      <w:pPr>
        <w:spacing w:after="0"/>
        <w:jc w:val="both"/>
        <w:rPr>
          <w:rFonts w:ascii="Arial" w:hAnsi="Arial" w:cs="Arial"/>
          <w:sz w:val="24"/>
          <w:szCs w:val="24"/>
        </w:rPr>
      </w:pPr>
    </w:p>
    <w:p w:rsidR="00C031F6" w:rsidRPr="00C031F6" w:rsidRDefault="00C031F6" w:rsidP="00C031F6">
      <w:pPr>
        <w:spacing w:after="0"/>
        <w:jc w:val="both"/>
        <w:rPr>
          <w:rFonts w:ascii="Arial" w:hAnsi="Arial" w:cs="Arial"/>
          <w:b/>
          <w:sz w:val="24"/>
          <w:szCs w:val="24"/>
          <w:u w:val="single"/>
        </w:rPr>
      </w:pPr>
      <w:r w:rsidRPr="00C031F6">
        <w:rPr>
          <w:rFonts w:ascii="Arial" w:hAnsi="Arial" w:cs="Arial"/>
          <w:b/>
          <w:sz w:val="24"/>
          <w:szCs w:val="24"/>
          <w:u w:val="single"/>
        </w:rPr>
        <w:t>Technical Requirement</w:t>
      </w:r>
    </w:p>
    <w:p w:rsidR="00880474" w:rsidRDefault="00880474" w:rsidP="00A50908">
      <w:pPr>
        <w:spacing w:after="0"/>
        <w:ind w:left="720" w:hanging="720"/>
        <w:jc w:val="both"/>
        <w:rPr>
          <w:rFonts w:ascii="Arial" w:hAnsi="Arial" w:cs="Arial"/>
          <w:sz w:val="24"/>
          <w:szCs w:val="24"/>
        </w:rPr>
      </w:pPr>
    </w:p>
    <w:p w:rsidR="00A50908" w:rsidRPr="00880474" w:rsidRDefault="00C26C65" w:rsidP="00880474">
      <w:pPr>
        <w:spacing w:after="0"/>
        <w:ind w:left="720" w:hanging="720"/>
        <w:jc w:val="both"/>
        <w:rPr>
          <w:rFonts w:ascii="Arial" w:hAnsi="Arial" w:cs="Arial"/>
          <w:sz w:val="24"/>
          <w:szCs w:val="24"/>
        </w:rPr>
      </w:pPr>
      <w:r>
        <w:rPr>
          <w:rFonts w:ascii="Arial" w:hAnsi="Arial" w:cs="Arial"/>
          <w:sz w:val="24"/>
          <w:szCs w:val="24"/>
        </w:rPr>
        <w:t>4</w:t>
      </w:r>
      <w:r w:rsidR="00880474">
        <w:rPr>
          <w:rFonts w:ascii="Arial" w:hAnsi="Arial" w:cs="Arial"/>
          <w:sz w:val="24"/>
          <w:szCs w:val="24"/>
        </w:rPr>
        <w:t>.</w:t>
      </w:r>
      <w:r w:rsidR="00880474">
        <w:rPr>
          <w:rFonts w:ascii="Arial" w:hAnsi="Arial" w:cs="Arial"/>
          <w:sz w:val="24"/>
          <w:szCs w:val="24"/>
        </w:rPr>
        <w:tab/>
      </w:r>
      <w:r w:rsidR="00A51BC4" w:rsidRPr="00880474">
        <w:rPr>
          <w:rFonts w:ascii="Arial" w:hAnsi="Arial" w:cs="Arial"/>
          <w:sz w:val="24"/>
          <w:szCs w:val="24"/>
        </w:rPr>
        <w:t>W</w:t>
      </w:r>
      <w:r w:rsidR="00D1784D" w:rsidRPr="00880474">
        <w:rPr>
          <w:rFonts w:ascii="Arial" w:hAnsi="Arial" w:cs="Arial"/>
          <w:sz w:val="24"/>
          <w:szCs w:val="24"/>
        </w:rPr>
        <w:t xml:space="preserve">e would envision that the </w:t>
      </w:r>
      <w:r w:rsidR="008544EE" w:rsidRPr="00880474">
        <w:rPr>
          <w:rFonts w:ascii="Arial" w:hAnsi="Arial" w:cs="Arial"/>
          <w:sz w:val="24"/>
          <w:szCs w:val="24"/>
        </w:rPr>
        <w:t>boom will be between 1500mm and 2000mm in height</w:t>
      </w:r>
      <w:r w:rsidR="00C40359">
        <w:rPr>
          <w:rFonts w:ascii="Arial" w:hAnsi="Arial" w:cs="Arial"/>
          <w:sz w:val="24"/>
          <w:szCs w:val="24"/>
        </w:rPr>
        <w:t xml:space="preserve"> to be compat</w:t>
      </w:r>
      <w:r w:rsidR="00D97A6C">
        <w:rPr>
          <w:rFonts w:ascii="Arial" w:hAnsi="Arial" w:cs="Arial"/>
          <w:sz w:val="24"/>
          <w:szCs w:val="24"/>
        </w:rPr>
        <w:t xml:space="preserve">ible with existing </w:t>
      </w:r>
      <w:r w:rsidR="001C3AAB">
        <w:rPr>
          <w:rFonts w:ascii="Arial" w:hAnsi="Arial" w:cs="Arial"/>
          <w:sz w:val="24"/>
          <w:szCs w:val="24"/>
        </w:rPr>
        <w:t>equipment</w:t>
      </w:r>
      <w:r w:rsidR="008544EE" w:rsidRPr="00880474">
        <w:rPr>
          <w:rFonts w:ascii="Arial" w:hAnsi="Arial" w:cs="Arial"/>
          <w:sz w:val="24"/>
          <w:szCs w:val="24"/>
        </w:rPr>
        <w:t xml:space="preserve">. If different options are available these should be </w:t>
      </w:r>
      <w:r w:rsidR="008544EE" w:rsidRPr="00AF7272">
        <w:rPr>
          <w:rFonts w:ascii="Arial" w:hAnsi="Arial" w:cs="Arial"/>
          <w:sz w:val="24"/>
          <w:szCs w:val="24"/>
        </w:rPr>
        <w:t>described</w:t>
      </w:r>
      <w:r w:rsidR="008544EE" w:rsidRPr="00880474">
        <w:rPr>
          <w:rFonts w:ascii="Arial" w:hAnsi="Arial" w:cs="Arial"/>
          <w:sz w:val="24"/>
          <w:szCs w:val="24"/>
        </w:rPr>
        <w:t>.</w:t>
      </w:r>
      <w:r w:rsidR="00AA5BBD" w:rsidRPr="00880474">
        <w:rPr>
          <w:rFonts w:ascii="Arial" w:hAnsi="Arial" w:cs="Arial"/>
          <w:sz w:val="24"/>
          <w:szCs w:val="24"/>
        </w:rPr>
        <w:t xml:space="preserve"> </w:t>
      </w:r>
    </w:p>
    <w:p w:rsidR="00A50908" w:rsidRPr="004F499F" w:rsidRDefault="00A50908" w:rsidP="00A50908">
      <w:pPr>
        <w:spacing w:after="0"/>
        <w:ind w:left="720" w:hanging="720"/>
        <w:jc w:val="both"/>
        <w:rPr>
          <w:rFonts w:ascii="Arial" w:hAnsi="Arial" w:cs="Arial"/>
          <w:sz w:val="24"/>
          <w:szCs w:val="24"/>
        </w:rPr>
      </w:pPr>
    </w:p>
    <w:p w:rsidR="003C1A19" w:rsidRDefault="00C26C65" w:rsidP="00617091">
      <w:pPr>
        <w:ind w:left="720" w:hanging="720"/>
        <w:rPr>
          <w:rFonts w:ascii="Arial" w:hAnsi="Arial" w:cs="Arial"/>
          <w:sz w:val="24"/>
          <w:szCs w:val="24"/>
        </w:rPr>
      </w:pPr>
      <w:r>
        <w:rPr>
          <w:rFonts w:ascii="Arial" w:hAnsi="Arial" w:cs="Arial"/>
          <w:sz w:val="24"/>
          <w:szCs w:val="24"/>
        </w:rPr>
        <w:t>5</w:t>
      </w:r>
      <w:r w:rsidR="003C1A19">
        <w:rPr>
          <w:rFonts w:ascii="Arial" w:hAnsi="Arial" w:cs="Arial"/>
          <w:sz w:val="24"/>
          <w:szCs w:val="24"/>
        </w:rPr>
        <w:t>.</w:t>
      </w:r>
      <w:r w:rsidR="003C1A19">
        <w:rPr>
          <w:rFonts w:ascii="Arial" w:hAnsi="Arial" w:cs="Arial"/>
          <w:sz w:val="24"/>
          <w:szCs w:val="24"/>
        </w:rPr>
        <w:tab/>
      </w:r>
      <w:r w:rsidR="00155F6E">
        <w:rPr>
          <w:rFonts w:ascii="Arial" w:hAnsi="Arial" w:cs="Arial"/>
          <w:sz w:val="24"/>
          <w:szCs w:val="24"/>
        </w:rPr>
        <w:t>The boom will be a seamless construction of a material that is durable, resistant to UV and abrasion and has a high tensile strength</w:t>
      </w:r>
      <w:r w:rsidR="00AE6BC8">
        <w:rPr>
          <w:rFonts w:ascii="Arial" w:hAnsi="Arial" w:cs="Arial"/>
          <w:sz w:val="24"/>
          <w:szCs w:val="24"/>
        </w:rPr>
        <w:t>.</w:t>
      </w:r>
      <w:r w:rsidR="00155F6E">
        <w:rPr>
          <w:rFonts w:ascii="Arial" w:hAnsi="Arial" w:cs="Arial"/>
          <w:sz w:val="24"/>
          <w:szCs w:val="24"/>
        </w:rPr>
        <w:t xml:space="preserve"> We envisage that to achieve the required performance levels the use of heavy duty neoprene rubber with an external skin of Hypalon rubber will be required. However, </w:t>
      </w:r>
      <w:r w:rsidR="00155F6E" w:rsidRPr="00155F6E">
        <w:rPr>
          <w:rFonts w:ascii="Arial" w:hAnsi="Arial" w:cs="Arial"/>
          <w:b/>
          <w:sz w:val="24"/>
          <w:szCs w:val="24"/>
        </w:rPr>
        <w:t>suppliers are welcome to propose alternative materials if it can be shown in the tender that they would provide equivalent levels of performance</w:t>
      </w:r>
      <w:r w:rsidR="00155F6E">
        <w:rPr>
          <w:rFonts w:ascii="Arial" w:hAnsi="Arial" w:cs="Arial"/>
          <w:sz w:val="24"/>
          <w:szCs w:val="24"/>
        </w:rPr>
        <w:t xml:space="preserve">.                    </w:t>
      </w:r>
    </w:p>
    <w:p w:rsidR="00603B18" w:rsidRDefault="00C26C65" w:rsidP="00603B18">
      <w:pPr>
        <w:ind w:left="720" w:hanging="720"/>
        <w:rPr>
          <w:rFonts w:ascii="Arial" w:hAnsi="Arial" w:cs="Arial"/>
          <w:sz w:val="24"/>
          <w:szCs w:val="24"/>
        </w:rPr>
      </w:pPr>
      <w:r>
        <w:rPr>
          <w:rFonts w:ascii="Arial" w:hAnsi="Arial" w:cs="Arial"/>
          <w:sz w:val="24"/>
          <w:szCs w:val="24"/>
        </w:rPr>
        <w:t>6</w:t>
      </w:r>
      <w:r w:rsidR="00A50908">
        <w:rPr>
          <w:rFonts w:ascii="Arial" w:hAnsi="Arial" w:cs="Arial"/>
          <w:sz w:val="24"/>
          <w:szCs w:val="24"/>
        </w:rPr>
        <w:t>.</w:t>
      </w:r>
      <w:r w:rsidR="00A50908">
        <w:rPr>
          <w:rFonts w:ascii="Arial" w:hAnsi="Arial" w:cs="Arial"/>
          <w:sz w:val="24"/>
          <w:szCs w:val="24"/>
        </w:rPr>
        <w:tab/>
      </w:r>
      <w:r w:rsidR="00617091">
        <w:rPr>
          <w:rFonts w:ascii="Arial" w:hAnsi="Arial" w:cs="Arial"/>
          <w:sz w:val="24"/>
          <w:szCs w:val="24"/>
        </w:rPr>
        <w:t>The b</w:t>
      </w:r>
      <w:r w:rsidR="00976075">
        <w:rPr>
          <w:rFonts w:ascii="Arial" w:hAnsi="Arial" w:cs="Arial"/>
          <w:sz w:val="24"/>
          <w:szCs w:val="24"/>
        </w:rPr>
        <w:t>oom connectors should be ASTM</w:t>
      </w:r>
      <w:r w:rsidR="002A1EED">
        <w:rPr>
          <w:rFonts w:ascii="Arial" w:hAnsi="Arial" w:cs="Arial"/>
          <w:sz w:val="24"/>
          <w:szCs w:val="24"/>
        </w:rPr>
        <w:t xml:space="preserve"> to be compatible with existing equipment.</w:t>
      </w:r>
    </w:p>
    <w:p w:rsidR="00603B18" w:rsidRDefault="00C26C65" w:rsidP="008706B4">
      <w:pPr>
        <w:ind w:left="720" w:hanging="720"/>
        <w:rPr>
          <w:rFonts w:ascii="Arial" w:hAnsi="Arial" w:cs="Arial"/>
          <w:sz w:val="24"/>
          <w:szCs w:val="24"/>
        </w:rPr>
      </w:pPr>
      <w:r>
        <w:rPr>
          <w:rFonts w:ascii="Arial" w:hAnsi="Arial" w:cs="Arial"/>
          <w:sz w:val="24"/>
          <w:szCs w:val="24"/>
        </w:rPr>
        <w:t>7</w:t>
      </w:r>
      <w:r w:rsidR="00603B18">
        <w:rPr>
          <w:rFonts w:ascii="Arial" w:hAnsi="Arial" w:cs="Arial"/>
          <w:sz w:val="24"/>
          <w:szCs w:val="24"/>
        </w:rPr>
        <w:t>.</w:t>
      </w:r>
      <w:r w:rsidR="00603B18">
        <w:rPr>
          <w:rFonts w:ascii="Arial" w:hAnsi="Arial" w:cs="Arial"/>
          <w:sz w:val="24"/>
          <w:szCs w:val="24"/>
        </w:rPr>
        <w:tab/>
        <w:t xml:space="preserve">The </w:t>
      </w:r>
      <w:r w:rsidR="00193C8A">
        <w:rPr>
          <w:rFonts w:ascii="Arial" w:hAnsi="Arial" w:cs="Arial"/>
          <w:sz w:val="24"/>
          <w:szCs w:val="24"/>
        </w:rPr>
        <w:t xml:space="preserve">maintenance </w:t>
      </w:r>
      <w:r w:rsidR="00835AE7">
        <w:rPr>
          <w:rFonts w:ascii="Arial" w:hAnsi="Arial" w:cs="Arial"/>
          <w:sz w:val="24"/>
          <w:szCs w:val="24"/>
        </w:rPr>
        <w:t xml:space="preserve">of stability and freeboard </w:t>
      </w:r>
      <w:proofErr w:type="gramStart"/>
      <w:r w:rsidR="00835AE7">
        <w:rPr>
          <w:rFonts w:ascii="Arial" w:hAnsi="Arial" w:cs="Arial"/>
          <w:sz w:val="24"/>
          <w:szCs w:val="24"/>
        </w:rPr>
        <w:t>at all times</w:t>
      </w:r>
      <w:proofErr w:type="gramEnd"/>
      <w:r w:rsidR="00835AE7">
        <w:rPr>
          <w:rFonts w:ascii="Arial" w:hAnsi="Arial" w:cs="Arial"/>
          <w:sz w:val="24"/>
          <w:szCs w:val="24"/>
        </w:rPr>
        <w:t xml:space="preserve"> is essential and tenderers should identify how this will be achieved especially in regard to occurrences of deflation.</w:t>
      </w:r>
    </w:p>
    <w:p w:rsidR="00AE7571" w:rsidRDefault="00880474" w:rsidP="00BE5EE6">
      <w:pPr>
        <w:ind w:left="720" w:hanging="720"/>
        <w:rPr>
          <w:rFonts w:ascii="Arial" w:hAnsi="Arial" w:cs="Arial"/>
          <w:sz w:val="24"/>
          <w:szCs w:val="24"/>
        </w:rPr>
      </w:pPr>
      <w:r>
        <w:rPr>
          <w:rFonts w:ascii="Arial" w:hAnsi="Arial" w:cs="Arial"/>
          <w:sz w:val="24"/>
          <w:szCs w:val="24"/>
        </w:rPr>
        <w:t>8</w:t>
      </w:r>
      <w:r w:rsidR="00762958">
        <w:rPr>
          <w:rFonts w:ascii="Arial" w:hAnsi="Arial" w:cs="Arial"/>
          <w:sz w:val="24"/>
          <w:szCs w:val="24"/>
        </w:rPr>
        <w:t>.</w:t>
      </w:r>
      <w:r w:rsidR="00BE5EE6">
        <w:rPr>
          <w:rFonts w:ascii="Arial" w:hAnsi="Arial" w:cs="Arial"/>
          <w:sz w:val="24"/>
          <w:szCs w:val="24"/>
        </w:rPr>
        <w:tab/>
      </w:r>
      <w:r w:rsidR="002D0F93" w:rsidRPr="00710A58">
        <w:rPr>
          <w:rFonts w:ascii="Arial" w:hAnsi="Arial" w:cs="Arial"/>
          <w:sz w:val="24"/>
          <w:szCs w:val="24"/>
        </w:rPr>
        <w:t>Identify the boom’s capability to</w:t>
      </w:r>
      <w:r w:rsidR="00BE5EE6" w:rsidRPr="00710A58">
        <w:rPr>
          <w:rFonts w:ascii="Arial" w:hAnsi="Arial" w:cs="Arial"/>
          <w:sz w:val="24"/>
          <w:szCs w:val="24"/>
        </w:rPr>
        <w:t xml:space="preserve"> follow</w:t>
      </w:r>
      <w:r w:rsidR="00284EE5" w:rsidRPr="00710A58">
        <w:rPr>
          <w:rFonts w:ascii="Arial" w:hAnsi="Arial" w:cs="Arial"/>
          <w:sz w:val="24"/>
          <w:szCs w:val="24"/>
        </w:rPr>
        <w:t xml:space="preserve"> wave movement</w:t>
      </w:r>
    </w:p>
    <w:p w:rsidR="00976075" w:rsidRPr="007E78A1" w:rsidRDefault="00880474" w:rsidP="00976075">
      <w:pPr>
        <w:ind w:left="720" w:hanging="720"/>
        <w:rPr>
          <w:rFonts w:ascii="Arial" w:hAnsi="Arial" w:cs="Arial"/>
          <w:sz w:val="24"/>
          <w:szCs w:val="24"/>
        </w:rPr>
      </w:pPr>
      <w:r>
        <w:rPr>
          <w:rFonts w:ascii="Arial" w:hAnsi="Arial" w:cs="Arial"/>
          <w:sz w:val="24"/>
          <w:szCs w:val="24"/>
        </w:rPr>
        <w:t>9</w:t>
      </w:r>
      <w:r w:rsidR="00976075">
        <w:rPr>
          <w:rFonts w:ascii="Arial" w:hAnsi="Arial" w:cs="Arial"/>
          <w:sz w:val="24"/>
          <w:szCs w:val="24"/>
        </w:rPr>
        <w:t>.</w:t>
      </w:r>
      <w:r w:rsidR="00976075">
        <w:rPr>
          <w:rFonts w:ascii="Arial" w:hAnsi="Arial" w:cs="Arial"/>
          <w:sz w:val="24"/>
          <w:szCs w:val="24"/>
        </w:rPr>
        <w:tab/>
        <w:t xml:space="preserve">The inflation valves should be an aluminium construct and be </w:t>
      </w:r>
      <w:r w:rsidR="00976075" w:rsidRPr="00C26C65">
        <w:rPr>
          <w:rFonts w:ascii="Arial" w:hAnsi="Arial" w:cs="Arial"/>
          <w:sz w:val="24"/>
          <w:szCs w:val="24"/>
        </w:rPr>
        <w:t>interchangeable.</w:t>
      </w:r>
    </w:p>
    <w:p w:rsidR="00214281" w:rsidRPr="007E78A1" w:rsidRDefault="00880474" w:rsidP="00214281">
      <w:pPr>
        <w:spacing w:after="0"/>
        <w:ind w:left="720" w:hanging="720"/>
        <w:jc w:val="both"/>
        <w:rPr>
          <w:rFonts w:ascii="Arial" w:hAnsi="Arial" w:cs="Arial"/>
          <w:sz w:val="24"/>
          <w:szCs w:val="24"/>
        </w:rPr>
      </w:pPr>
      <w:r>
        <w:rPr>
          <w:rFonts w:ascii="Arial" w:hAnsi="Arial" w:cs="Arial"/>
          <w:sz w:val="24"/>
          <w:szCs w:val="24"/>
        </w:rPr>
        <w:lastRenderedPageBreak/>
        <w:t>10</w:t>
      </w:r>
      <w:r w:rsidR="00214281" w:rsidRPr="007E78A1">
        <w:rPr>
          <w:rFonts w:ascii="Arial" w:hAnsi="Arial" w:cs="Arial"/>
          <w:sz w:val="24"/>
          <w:szCs w:val="24"/>
        </w:rPr>
        <w:t>.</w:t>
      </w:r>
      <w:r w:rsidR="00214281" w:rsidRPr="007E78A1">
        <w:rPr>
          <w:rFonts w:ascii="Arial" w:hAnsi="Arial" w:cs="Arial"/>
          <w:sz w:val="24"/>
          <w:szCs w:val="24"/>
        </w:rPr>
        <w:tab/>
        <w:t>Long-term durability of the equipment is a key require</w:t>
      </w:r>
      <w:r w:rsidR="00603B18">
        <w:rPr>
          <w:rFonts w:ascii="Arial" w:hAnsi="Arial" w:cs="Arial"/>
          <w:sz w:val="24"/>
          <w:szCs w:val="24"/>
        </w:rPr>
        <w:t>ment for the MCA, so the boom</w:t>
      </w:r>
      <w:r w:rsidR="00214281" w:rsidRPr="007E78A1">
        <w:rPr>
          <w:rFonts w:ascii="Arial" w:hAnsi="Arial" w:cs="Arial"/>
          <w:sz w:val="24"/>
          <w:szCs w:val="24"/>
        </w:rPr>
        <w:t xml:space="preserve"> must also:</w:t>
      </w:r>
    </w:p>
    <w:p w:rsidR="00214281" w:rsidRPr="007E78A1" w:rsidRDefault="00214281" w:rsidP="00214281">
      <w:pPr>
        <w:pStyle w:val="ListParagraph"/>
        <w:rPr>
          <w:rFonts w:ascii="Arial" w:hAnsi="Arial" w:cs="Arial"/>
          <w:sz w:val="24"/>
          <w:szCs w:val="24"/>
        </w:rPr>
      </w:pPr>
    </w:p>
    <w:p w:rsidR="00214281" w:rsidRPr="007E78A1" w:rsidRDefault="00214281" w:rsidP="00214281">
      <w:pPr>
        <w:pStyle w:val="ListParagraph"/>
        <w:numPr>
          <w:ilvl w:val="0"/>
          <w:numId w:val="34"/>
        </w:numPr>
        <w:spacing w:after="0"/>
        <w:jc w:val="both"/>
        <w:rPr>
          <w:rFonts w:ascii="Arial" w:hAnsi="Arial" w:cs="Arial"/>
          <w:sz w:val="24"/>
          <w:szCs w:val="24"/>
        </w:rPr>
      </w:pPr>
      <w:r w:rsidRPr="007E78A1">
        <w:rPr>
          <w:rFonts w:ascii="Arial" w:hAnsi="Arial" w:cs="Arial"/>
          <w:sz w:val="24"/>
          <w:szCs w:val="24"/>
        </w:rPr>
        <w:t>Have a minimum expected service life of 15 years (barring its use in a pollution incident);</w:t>
      </w:r>
      <w:r w:rsidR="0061600E">
        <w:rPr>
          <w:rFonts w:ascii="Arial" w:hAnsi="Arial" w:cs="Arial"/>
          <w:sz w:val="24"/>
          <w:szCs w:val="24"/>
        </w:rPr>
        <w:t xml:space="preserve"> and</w:t>
      </w:r>
    </w:p>
    <w:p w:rsidR="00214281" w:rsidRPr="007E78A1" w:rsidRDefault="00A41074" w:rsidP="00214281">
      <w:pPr>
        <w:pStyle w:val="ListParagraph"/>
        <w:numPr>
          <w:ilvl w:val="0"/>
          <w:numId w:val="34"/>
        </w:numPr>
        <w:spacing w:after="0"/>
        <w:jc w:val="both"/>
        <w:rPr>
          <w:rFonts w:ascii="Arial" w:hAnsi="Arial" w:cs="Arial"/>
          <w:sz w:val="24"/>
          <w:szCs w:val="24"/>
        </w:rPr>
      </w:pPr>
      <w:r w:rsidRPr="007E78A1">
        <w:rPr>
          <w:rFonts w:ascii="Arial" w:hAnsi="Arial" w:cs="Arial"/>
          <w:sz w:val="24"/>
          <w:szCs w:val="24"/>
        </w:rPr>
        <w:t>Be easy to</w:t>
      </w:r>
      <w:r w:rsidR="00603B18">
        <w:rPr>
          <w:rFonts w:ascii="Arial" w:hAnsi="Arial" w:cs="Arial"/>
          <w:sz w:val="24"/>
          <w:szCs w:val="24"/>
        </w:rPr>
        <w:t xml:space="preserve"> clean and</w:t>
      </w:r>
      <w:r w:rsidRPr="007E78A1">
        <w:rPr>
          <w:rFonts w:ascii="Arial" w:hAnsi="Arial" w:cs="Arial"/>
          <w:sz w:val="24"/>
          <w:szCs w:val="24"/>
        </w:rPr>
        <w:t xml:space="preserve"> maintain</w:t>
      </w:r>
      <w:r w:rsidR="0061600E">
        <w:rPr>
          <w:rFonts w:ascii="Arial" w:hAnsi="Arial" w:cs="Arial"/>
          <w:sz w:val="24"/>
          <w:szCs w:val="24"/>
        </w:rPr>
        <w:t>.</w:t>
      </w:r>
    </w:p>
    <w:p w:rsidR="00EE1767" w:rsidRPr="007E78A1" w:rsidRDefault="00EE1767" w:rsidP="00EE1767">
      <w:pPr>
        <w:pStyle w:val="ListParagraph"/>
        <w:spacing w:after="0"/>
        <w:ind w:left="1440"/>
        <w:jc w:val="both"/>
        <w:rPr>
          <w:rFonts w:ascii="Arial" w:hAnsi="Arial" w:cs="Arial"/>
          <w:sz w:val="24"/>
          <w:szCs w:val="24"/>
        </w:rPr>
      </w:pPr>
    </w:p>
    <w:p w:rsidR="00EE1767" w:rsidRDefault="00976075" w:rsidP="00EE1767">
      <w:pPr>
        <w:spacing w:after="0"/>
        <w:ind w:left="720" w:hanging="720"/>
        <w:jc w:val="both"/>
        <w:rPr>
          <w:rFonts w:ascii="Arial" w:hAnsi="Arial" w:cs="Arial"/>
          <w:color w:val="FF0000"/>
          <w:sz w:val="24"/>
          <w:szCs w:val="24"/>
        </w:rPr>
      </w:pPr>
      <w:r>
        <w:rPr>
          <w:rFonts w:ascii="Arial" w:hAnsi="Arial" w:cs="Arial"/>
          <w:sz w:val="24"/>
          <w:szCs w:val="24"/>
        </w:rPr>
        <w:t>1</w:t>
      </w:r>
      <w:r w:rsidR="00880474">
        <w:rPr>
          <w:rFonts w:ascii="Arial" w:hAnsi="Arial" w:cs="Arial"/>
          <w:sz w:val="24"/>
          <w:szCs w:val="24"/>
        </w:rPr>
        <w:t>1</w:t>
      </w:r>
      <w:r w:rsidR="00EE1767" w:rsidRPr="007E78A1">
        <w:rPr>
          <w:rFonts w:ascii="Arial" w:hAnsi="Arial" w:cs="Arial"/>
          <w:sz w:val="24"/>
          <w:szCs w:val="24"/>
        </w:rPr>
        <w:t>.</w:t>
      </w:r>
      <w:r w:rsidR="00EE1767" w:rsidRPr="007E78A1">
        <w:rPr>
          <w:rFonts w:ascii="Arial" w:hAnsi="Arial" w:cs="Arial"/>
          <w:sz w:val="24"/>
          <w:szCs w:val="24"/>
        </w:rPr>
        <w:tab/>
        <w:t>The MCA wishes to purchase a proven solu</w:t>
      </w:r>
      <w:r w:rsidR="00603B18">
        <w:rPr>
          <w:rFonts w:ascii="Arial" w:hAnsi="Arial" w:cs="Arial"/>
          <w:sz w:val="24"/>
          <w:szCs w:val="24"/>
        </w:rPr>
        <w:t>tion, so evidence of the boom</w:t>
      </w:r>
      <w:r w:rsidR="00EE1767" w:rsidRPr="007E78A1">
        <w:rPr>
          <w:rFonts w:ascii="Arial" w:hAnsi="Arial" w:cs="Arial"/>
          <w:sz w:val="24"/>
          <w:szCs w:val="24"/>
        </w:rPr>
        <w:t xml:space="preserve"> having been tested, either in use or in a realistic simulated environment, must be provided</w:t>
      </w:r>
      <w:r w:rsidR="00EE1767" w:rsidRPr="007E78A1">
        <w:rPr>
          <w:rFonts w:ascii="Arial" w:hAnsi="Arial" w:cs="Arial"/>
          <w:color w:val="FF0000"/>
          <w:sz w:val="24"/>
          <w:szCs w:val="24"/>
        </w:rPr>
        <w:t>.</w:t>
      </w:r>
      <w:r w:rsidR="00922653">
        <w:rPr>
          <w:rFonts w:ascii="Arial" w:hAnsi="Arial" w:cs="Arial"/>
          <w:color w:val="FF0000"/>
          <w:sz w:val="24"/>
          <w:szCs w:val="24"/>
        </w:rPr>
        <w:t xml:space="preserve"> </w:t>
      </w:r>
      <w:r w:rsidR="00864AC7" w:rsidRPr="00864AC7">
        <w:rPr>
          <w:rFonts w:ascii="Arial" w:hAnsi="Arial" w:cs="Arial"/>
          <w:sz w:val="24"/>
          <w:szCs w:val="24"/>
        </w:rPr>
        <w:t xml:space="preserve">This </w:t>
      </w:r>
      <w:r w:rsidR="00794445" w:rsidRPr="00864AC7">
        <w:rPr>
          <w:rFonts w:ascii="Arial" w:hAnsi="Arial" w:cs="Arial"/>
          <w:sz w:val="24"/>
          <w:szCs w:val="24"/>
        </w:rPr>
        <w:t>is</w:t>
      </w:r>
      <w:r w:rsidR="00864AC7" w:rsidRPr="00864AC7">
        <w:rPr>
          <w:rFonts w:ascii="Arial" w:hAnsi="Arial" w:cs="Arial"/>
          <w:sz w:val="24"/>
          <w:szCs w:val="24"/>
        </w:rPr>
        <w:t xml:space="preserve"> a critical requirement.</w:t>
      </w:r>
    </w:p>
    <w:p w:rsidR="000A3AAE" w:rsidRPr="0061600E" w:rsidRDefault="000A3AAE" w:rsidP="0061600E">
      <w:pPr>
        <w:spacing w:after="0" w:line="240" w:lineRule="auto"/>
        <w:rPr>
          <w:rFonts w:ascii="Arial" w:hAnsi="Arial" w:cs="Arial"/>
          <w:color w:val="FF0000"/>
          <w:sz w:val="24"/>
          <w:szCs w:val="24"/>
        </w:rPr>
      </w:pPr>
    </w:p>
    <w:p w:rsidR="000A3AAE" w:rsidRDefault="009A046E" w:rsidP="00D826AC">
      <w:pPr>
        <w:spacing w:after="0" w:line="240" w:lineRule="auto"/>
        <w:jc w:val="both"/>
        <w:rPr>
          <w:rFonts w:ascii="Arial" w:hAnsi="Arial" w:cs="Arial"/>
          <w:sz w:val="24"/>
          <w:szCs w:val="24"/>
        </w:rPr>
      </w:pPr>
      <w:r>
        <w:rPr>
          <w:rFonts w:ascii="Arial" w:hAnsi="Arial" w:cs="Arial"/>
          <w:b/>
          <w:sz w:val="24"/>
          <w:szCs w:val="24"/>
        </w:rPr>
        <w:t>Deployment</w:t>
      </w:r>
    </w:p>
    <w:p w:rsidR="00DA0278" w:rsidRDefault="00DA0278" w:rsidP="00DA0278">
      <w:pPr>
        <w:spacing w:after="0" w:line="240" w:lineRule="auto"/>
        <w:jc w:val="both"/>
        <w:rPr>
          <w:rFonts w:ascii="Arial" w:hAnsi="Arial" w:cs="Arial"/>
          <w:sz w:val="24"/>
          <w:szCs w:val="24"/>
        </w:rPr>
      </w:pPr>
    </w:p>
    <w:p w:rsidR="009A046E" w:rsidRDefault="00976075" w:rsidP="009A046E">
      <w:pPr>
        <w:spacing w:after="0" w:line="240" w:lineRule="auto"/>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2</w:t>
      </w:r>
      <w:r w:rsidR="00173669">
        <w:rPr>
          <w:rFonts w:ascii="Arial" w:hAnsi="Arial" w:cs="Arial"/>
          <w:sz w:val="24"/>
          <w:szCs w:val="24"/>
        </w:rPr>
        <w:t>.</w:t>
      </w:r>
      <w:r w:rsidR="00173669">
        <w:rPr>
          <w:rFonts w:ascii="Arial" w:hAnsi="Arial" w:cs="Arial"/>
          <w:sz w:val="24"/>
          <w:szCs w:val="24"/>
        </w:rPr>
        <w:tab/>
        <w:t xml:space="preserve">The </w:t>
      </w:r>
      <w:r w:rsidR="009A046E">
        <w:rPr>
          <w:rFonts w:ascii="Arial" w:hAnsi="Arial" w:cs="Arial"/>
          <w:sz w:val="24"/>
          <w:szCs w:val="24"/>
        </w:rPr>
        <w:t>boom will be deployable from the deck of a towing vessel. It will be inflated as it is unwound from the reel and deployed over the stern of the vessel. It should be possible for teams of responders to manually handle individual sections of boom with the assistance of the hydraulic reel and a sea anchor or secondary vessel.</w:t>
      </w:r>
    </w:p>
    <w:p w:rsidR="00762958" w:rsidRDefault="00762958" w:rsidP="00762958">
      <w:pPr>
        <w:spacing w:after="0" w:line="240" w:lineRule="auto"/>
        <w:jc w:val="both"/>
        <w:rPr>
          <w:rFonts w:ascii="Arial" w:hAnsi="Arial" w:cs="Arial"/>
          <w:sz w:val="24"/>
          <w:szCs w:val="24"/>
        </w:rPr>
      </w:pPr>
    </w:p>
    <w:p w:rsidR="009A046E" w:rsidRDefault="00976075" w:rsidP="00762958">
      <w:pPr>
        <w:spacing w:after="0" w:line="240" w:lineRule="auto"/>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3</w:t>
      </w:r>
      <w:r w:rsidR="00762958">
        <w:rPr>
          <w:rFonts w:ascii="Arial" w:hAnsi="Arial" w:cs="Arial"/>
          <w:sz w:val="24"/>
          <w:szCs w:val="24"/>
        </w:rPr>
        <w:t>.</w:t>
      </w:r>
      <w:r w:rsidR="00762958">
        <w:rPr>
          <w:rFonts w:ascii="Arial" w:hAnsi="Arial" w:cs="Arial"/>
          <w:sz w:val="24"/>
          <w:szCs w:val="24"/>
        </w:rPr>
        <w:tab/>
      </w:r>
      <w:r w:rsidR="009A046E">
        <w:rPr>
          <w:rFonts w:ascii="Arial" w:hAnsi="Arial" w:cs="Arial"/>
          <w:sz w:val="24"/>
          <w:szCs w:val="24"/>
        </w:rPr>
        <w:t>Inflation of boom sections should be possible with one or two operators equipped with air blowers</w:t>
      </w:r>
      <w:r w:rsidR="00762958">
        <w:rPr>
          <w:rFonts w:ascii="Arial" w:hAnsi="Arial" w:cs="Arial"/>
          <w:sz w:val="24"/>
          <w:szCs w:val="24"/>
        </w:rPr>
        <w:t>.</w:t>
      </w:r>
      <w:r w:rsidR="009A046E">
        <w:rPr>
          <w:rFonts w:ascii="Arial" w:hAnsi="Arial" w:cs="Arial"/>
          <w:sz w:val="24"/>
          <w:szCs w:val="24"/>
        </w:rPr>
        <w:t xml:space="preserve"> Inflation should be quick and </w:t>
      </w:r>
      <w:r w:rsidR="00794445">
        <w:rPr>
          <w:rFonts w:ascii="Arial" w:hAnsi="Arial" w:cs="Arial"/>
          <w:sz w:val="24"/>
          <w:szCs w:val="24"/>
        </w:rPr>
        <w:t>easy,</w:t>
      </w:r>
      <w:r w:rsidR="009A046E">
        <w:rPr>
          <w:rFonts w:ascii="Arial" w:hAnsi="Arial" w:cs="Arial"/>
          <w:sz w:val="24"/>
          <w:szCs w:val="24"/>
        </w:rPr>
        <w:t xml:space="preserve"> and the method should be clearly stated in the tender</w:t>
      </w:r>
      <w:r w:rsidR="00AF7272">
        <w:rPr>
          <w:rFonts w:ascii="Arial" w:hAnsi="Arial" w:cs="Arial"/>
          <w:sz w:val="24"/>
          <w:szCs w:val="24"/>
        </w:rPr>
        <w:t>. Alternative methods of inflation will be considered.</w:t>
      </w:r>
    </w:p>
    <w:p w:rsidR="00AF7272" w:rsidRDefault="00AF7272" w:rsidP="00762958">
      <w:pPr>
        <w:spacing w:after="0" w:line="240" w:lineRule="auto"/>
        <w:ind w:left="720" w:hanging="720"/>
        <w:jc w:val="both"/>
        <w:rPr>
          <w:rFonts w:ascii="Arial" w:hAnsi="Arial" w:cs="Arial"/>
          <w:sz w:val="24"/>
          <w:szCs w:val="24"/>
        </w:rPr>
      </w:pPr>
    </w:p>
    <w:p w:rsidR="009A046E" w:rsidRDefault="009A046E" w:rsidP="00762958">
      <w:pPr>
        <w:spacing w:after="0" w:line="240" w:lineRule="auto"/>
        <w:ind w:left="720" w:hanging="720"/>
        <w:jc w:val="both"/>
        <w:rPr>
          <w:rFonts w:ascii="Arial" w:hAnsi="Arial" w:cs="Arial"/>
          <w:sz w:val="24"/>
          <w:szCs w:val="24"/>
          <w:u w:val="single"/>
        </w:rPr>
      </w:pPr>
      <w:r w:rsidRPr="009A046E">
        <w:rPr>
          <w:rFonts w:ascii="Arial" w:hAnsi="Arial" w:cs="Arial"/>
          <w:sz w:val="24"/>
          <w:szCs w:val="24"/>
          <w:u w:val="single"/>
        </w:rPr>
        <w:t xml:space="preserve">LOT – </w:t>
      </w:r>
      <w:r w:rsidR="000D68EF">
        <w:rPr>
          <w:rFonts w:ascii="Arial" w:hAnsi="Arial" w:cs="Arial"/>
          <w:sz w:val="24"/>
          <w:szCs w:val="24"/>
          <w:u w:val="single"/>
        </w:rPr>
        <w:t>TWO</w:t>
      </w:r>
      <w:r w:rsidRPr="009A046E">
        <w:rPr>
          <w:rFonts w:ascii="Arial" w:hAnsi="Arial" w:cs="Arial"/>
          <w:sz w:val="24"/>
          <w:szCs w:val="24"/>
          <w:u w:val="single"/>
        </w:rPr>
        <w:t xml:space="preserve"> HYDRAULICALLY DRIVEN BOOM REELS</w:t>
      </w:r>
    </w:p>
    <w:p w:rsidR="00E31DAA" w:rsidRDefault="00E31DAA" w:rsidP="00762958">
      <w:pPr>
        <w:spacing w:after="0" w:line="240" w:lineRule="auto"/>
        <w:ind w:left="720" w:hanging="720"/>
        <w:jc w:val="both"/>
        <w:rPr>
          <w:rFonts w:ascii="Arial" w:hAnsi="Arial" w:cs="Arial"/>
          <w:sz w:val="24"/>
          <w:szCs w:val="24"/>
          <w:u w:val="single"/>
        </w:rPr>
      </w:pPr>
    </w:p>
    <w:p w:rsidR="00E31DAA" w:rsidRPr="00E31DAA" w:rsidRDefault="00E31DAA" w:rsidP="00E020EE">
      <w:pPr>
        <w:spacing w:after="0" w:line="240" w:lineRule="auto"/>
        <w:ind w:left="720"/>
        <w:jc w:val="both"/>
        <w:rPr>
          <w:rFonts w:ascii="Arial" w:hAnsi="Arial" w:cs="Arial"/>
          <w:sz w:val="24"/>
          <w:szCs w:val="24"/>
        </w:rPr>
      </w:pPr>
      <w:r w:rsidRPr="00E31DAA">
        <w:rPr>
          <w:rFonts w:ascii="Arial" w:hAnsi="Arial" w:cs="Arial"/>
          <w:sz w:val="24"/>
          <w:szCs w:val="24"/>
        </w:rPr>
        <w:t xml:space="preserve">Tenderers are reminded this is a separate lot and </w:t>
      </w:r>
      <w:r>
        <w:rPr>
          <w:rFonts w:ascii="Arial" w:hAnsi="Arial" w:cs="Arial"/>
          <w:sz w:val="24"/>
          <w:szCs w:val="24"/>
        </w:rPr>
        <w:t xml:space="preserve">bids will be accepted </w:t>
      </w:r>
      <w:r w:rsidR="000D43B8">
        <w:rPr>
          <w:rFonts w:ascii="Arial" w:hAnsi="Arial" w:cs="Arial"/>
          <w:sz w:val="24"/>
          <w:szCs w:val="24"/>
        </w:rPr>
        <w:t>only if submitted as such.</w:t>
      </w:r>
    </w:p>
    <w:p w:rsidR="00762958" w:rsidRDefault="00762958" w:rsidP="00762958">
      <w:pPr>
        <w:spacing w:after="0" w:line="240" w:lineRule="auto"/>
        <w:ind w:left="720" w:hanging="720"/>
        <w:jc w:val="both"/>
        <w:rPr>
          <w:rFonts w:ascii="Arial" w:hAnsi="Arial" w:cs="Arial"/>
          <w:sz w:val="24"/>
          <w:szCs w:val="24"/>
        </w:rPr>
      </w:pPr>
    </w:p>
    <w:p w:rsidR="009A046E" w:rsidRDefault="00976075" w:rsidP="009A046E">
      <w:pPr>
        <w:spacing w:after="0"/>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4</w:t>
      </w:r>
      <w:r w:rsidR="00762958">
        <w:rPr>
          <w:rFonts w:ascii="Arial" w:hAnsi="Arial" w:cs="Arial"/>
          <w:sz w:val="24"/>
          <w:szCs w:val="24"/>
        </w:rPr>
        <w:t>.</w:t>
      </w:r>
      <w:r w:rsidR="00762958">
        <w:rPr>
          <w:rFonts w:ascii="Arial" w:hAnsi="Arial" w:cs="Arial"/>
          <w:sz w:val="24"/>
          <w:szCs w:val="24"/>
        </w:rPr>
        <w:tab/>
      </w:r>
      <w:r w:rsidR="009A046E">
        <w:rPr>
          <w:rFonts w:ascii="Arial" w:hAnsi="Arial" w:cs="Arial"/>
          <w:sz w:val="24"/>
          <w:szCs w:val="24"/>
        </w:rPr>
        <w:t>The total quantity of 400m of boom will be stored on as separate 200m lengths on two hydraulically driven boom reels. Ideally the reels will be powered by the MCA’s Vikoma GP10 2-e hydraulic power packs which have a 150-bar maximum system pressure. See link below for details:</w:t>
      </w:r>
    </w:p>
    <w:p w:rsidR="00762958" w:rsidRDefault="009A046E" w:rsidP="009A046E">
      <w:pPr>
        <w:spacing w:after="0" w:line="240" w:lineRule="auto"/>
        <w:ind w:left="720"/>
        <w:jc w:val="both"/>
        <w:rPr>
          <w:rFonts w:ascii="Arial" w:hAnsi="Arial" w:cs="Arial"/>
          <w:sz w:val="24"/>
          <w:szCs w:val="24"/>
        </w:rPr>
      </w:pPr>
      <w:r w:rsidRPr="007D73B9">
        <w:rPr>
          <w:rFonts w:ascii="Arial" w:hAnsi="Arial" w:cs="Arial"/>
          <w:sz w:val="24"/>
          <w:szCs w:val="24"/>
        </w:rPr>
        <w:t xml:space="preserve"> </w:t>
      </w:r>
      <w:hyperlink r:id="rId7" w:history="1">
        <w:r w:rsidRPr="00D81940">
          <w:rPr>
            <w:rStyle w:val="Hyperlink"/>
            <w:rFonts w:ascii="Arial" w:hAnsi="Arial" w:cs="Arial"/>
            <w:sz w:val="24"/>
            <w:szCs w:val="24"/>
          </w:rPr>
          <w:t>https://opecsystems.com/persistent/catalogue_files/products/gp10-2powerpack7.02.pdf</w:t>
        </w:r>
      </w:hyperlink>
      <w:r>
        <w:rPr>
          <w:rStyle w:val="Hyperlink"/>
          <w:rFonts w:ascii="Arial" w:hAnsi="Arial" w:cs="Arial"/>
          <w:sz w:val="24"/>
          <w:szCs w:val="24"/>
        </w:rPr>
        <w:t xml:space="preserve">  </w:t>
      </w:r>
    </w:p>
    <w:p w:rsidR="00775D64" w:rsidRDefault="00775D64" w:rsidP="00762958">
      <w:pPr>
        <w:spacing w:after="0" w:line="240" w:lineRule="auto"/>
        <w:ind w:left="720" w:hanging="720"/>
        <w:jc w:val="both"/>
        <w:rPr>
          <w:rFonts w:ascii="Arial" w:hAnsi="Arial" w:cs="Arial"/>
          <w:sz w:val="24"/>
          <w:szCs w:val="24"/>
        </w:rPr>
      </w:pPr>
    </w:p>
    <w:p w:rsidR="00775D64" w:rsidRDefault="00775D64" w:rsidP="00762958">
      <w:pPr>
        <w:spacing w:after="0" w:line="240" w:lineRule="auto"/>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5</w:t>
      </w:r>
      <w:r>
        <w:rPr>
          <w:rFonts w:ascii="Arial" w:hAnsi="Arial" w:cs="Arial"/>
          <w:sz w:val="24"/>
          <w:szCs w:val="24"/>
        </w:rPr>
        <w:t>.</w:t>
      </w:r>
      <w:r>
        <w:rPr>
          <w:rFonts w:ascii="Arial" w:hAnsi="Arial" w:cs="Arial"/>
          <w:sz w:val="24"/>
          <w:szCs w:val="24"/>
        </w:rPr>
        <w:tab/>
        <w:t>The reel</w:t>
      </w:r>
      <w:r w:rsidR="0089537C">
        <w:rPr>
          <w:rFonts w:ascii="Arial" w:hAnsi="Arial" w:cs="Arial"/>
          <w:sz w:val="24"/>
          <w:szCs w:val="24"/>
        </w:rPr>
        <w:t>s will be constructed of weather and salt water resistant marine grade materials, with a protective paint or enamel finish. Protective covers should also be provided.</w:t>
      </w:r>
    </w:p>
    <w:p w:rsidR="000A3AAE" w:rsidRDefault="000A3AAE" w:rsidP="00D826AC">
      <w:pPr>
        <w:spacing w:after="0" w:line="240" w:lineRule="auto"/>
        <w:jc w:val="both"/>
        <w:rPr>
          <w:rFonts w:ascii="Arial" w:hAnsi="Arial" w:cs="Arial"/>
          <w:sz w:val="24"/>
          <w:szCs w:val="24"/>
        </w:rPr>
      </w:pPr>
    </w:p>
    <w:p w:rsidR="00657317" w:rsidRDefault="00775D64" w:rsidP="00657317">
      <w:pPr>
        <w:spacing w:after="0"/>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6</w:t>
      </w:r>
      <w:r w:rsidR="008706B4">
        <w:rPr>
          <w:rFonts w:ascii="Arial" w:hAnsi="Arial" w:cs="Arial"/>
          <w:sz w:val="24"/>
          <w:szCs w:val="24"/>
        </w:rPr>
        <w:t>.</w:t>
      </w:r>
      <w:r w:rsidR="008706B4">
        <w:rPr>
          <w:rFonts w:ascii="Arial" w:hAnsi="Arial" w:cs="Arial"/>
          <w:sz w:val="24"/>
          <w:szCs w:val="24"/>
        </w:rPr>
        <w:tab/>
        <w:t xml:space="preserve">The </w:t>
      </w:r>
      <w:r w:rsidR="0089537C">
        <w:rPr>
          <w:rFonts w:ascii="Arial" w:hAnsi="Arial" w:cs="Arial"/>
          <w:sz w:val="24"/>
          <w:szCs w:val="24"/>
        </w:rPr>
        <w:t>reels must feature forklift pockets and attachments for lifting slings.</w:t>
      </w:r>
    </w:p>
    <w:p w:rsidR="00657317" w:rsidRDefault="00657317" w:rsidP="00657317">
      <w:pPr>
        <w:spacing w:after="0"/>
        <w:ind w:left="720" w:hanging="720"/>
        <w:jc w:val="both"/>
        <w:rPr>
          <w:rFonts w:ascii="Arial" w:hAnsi="Arial" w:cs="Arial"/>
          <w:sz w:val="24"/>
          <w:szCs w:val="24"/>
        </w:rPr>
      </w:pPr>
    </w:p>
    <w:p w:rsidR="00657317" w:rsidRDefault="00775D64" w:rsidP="00657317">
      <w:pPr>
        <w:spacing w:after="0"/>
        <w:ind w:left="720" w:hanging="720"/>
        <w:jc w:val="both"/>
        <w:rPr>
          <w:rFonts w:ascii="Arial" w:hAnsi="Arial" w:cs="Arial"/>
          <w:sz w:val="24"/>
          <w:szCs w:val="24"/>
        </w:rPr>
      </w:pPr>
      <w:r>
        <w:rPr>
          <w:rFonts w:ascii="Arial" w:hAnsi="Arial" w:cs="Arial"/>
          <w:sz w:val="24"/>
          <w:szCs w:val="24"/>
        </w:rPr>
        <w:t>1</w:t>
      </w:r>
      <w:r w:rsidR="00880474">
        <w:rPr>
          <w:rFonts w:ascii="Arial" w:hAnsi="Arial" w:cs="Arial"/>
          <w:sz w:val="24"/>
          <w:szCs w:val="24"/>
        </w:rPr>
        <w:t>7</w:t>
      </w:r>
      <w:r w:rsidR="00657317">
        <w:rPr>
          <w:rFonts w:ascii="Arial" w:hAnsi="Arial" w:cs="Arial"/>
          <w:sz w:val="24"/>
          <w:szCs w:val="24"/>
        </w:rPr>
        <w:t xml:space="preserve">. </w:t>
      </w:r>
      <w:r w:rsidR="00657317">
        <w:rPr>
          <w:rFonts w:ascii="Arial" w:hAnsi="Arial" w:cs="Arial"/>
          <w:sz w:val="24"/>
          <w:szCs w:val="24"/>
        </w:rPr>
        <w:tab/>
      </w:r>
      <w:r w:rsidR="0089537C">
        <w:rPr>
          <w:rFonts w:ascii="Arial" w:hAnsi="Arial" w:cs="Arial"/>
          <w:sz w:val="24"/>
          <w:szCs w:val="24"/>
        </w:rPr>
        <w:t xml:space="preserve">The reel will be controlled with a </w:t>
      </w:r>
      <w:r w:rsidR="0089537C" w:rsidRPr="00941019">
        <w:rPr>
          <w:rFonts w:ascii="Arial" w:hAnsi="Arial" w:cs="Arial"/>
          <w:sz w:val="24"/>
          <w:szCs w:val="24"/>
        </w:rPr>
        <w:t>lever</w:t>
      </w:r>
      <w:r w:rsidR="0089537C">
        <w:rPr>
          <w:rFonts w:ascii="Arial" w:hAnsi="Arial" w:cs="Arial"/>
          <w:sz w:val="24"/>
          <w:szCs w:val="24"/>
        </w:rPr>
        <w:t>, allowing smooth operation.</w:t>
      </w:r>
    </w:p>
    <w:p w:rsidR="00AA18B2" w:rsidRDefault="00AA18B2" w:rsidP="00657317">
      <w:pPr>
        <w:spacing w:after="0"/>
        <w:ind w:left="720" w:hanging="720"/>
        <w:jc w:val="both"/>
        <w:rPr>
          <w:rFonts w:ascii="Arial" w:hAnsi="Arial" w:cs="Arial"/>
          <w:sz w:val="24"/>
          <w:szCs w:val="24"/>
        </w:rPr>
      </w:pPr>
    </w:p>
    <w:p w:rsidR="00D9369F" w:rsidRDefault="00D9369F" w:rsidP="00657317">
      <w:pPr>
        <w:spacing w:after="0"/>
        <w:ind w:left="720" w:hanging="720"/>
        <w:jc w:val="both"/>
        <w:rPr>
          <w:rFonts w:ascii="Arial" w:hAnsi="Arial" w:cs="Arial"/>
          <w:sz w:val="24"/>
          <w:szCs w:val="24"/>
        </w:rPr>
      </w:pPr>
      <w:r>
        <w:rPr>
          <w:rFonts w:ascii="Arial" w:hAnsi="Arial" w:cs="Arial"/>
          <w:sz w:val="24"/>
          <w:szCs w:val="24"/>
        </w:rPr>
        <w:t>18.</w:t>
      </w:r>
      <w:r>
        <w:rPr>
          <w:rFonts w:ascii="Arial" w:hAnsi="Arial" w:cs="Arial"/>
          <w:sz w:val="24"/>
          <w:szCs w:val="24"/>
        </w:rPr>
        <w:tab/>
        <w:t xml:space="preserve">The MCA wishes to purchase a proven </w:t>
      </w:r>
      <w:r w:rsidR="00794445">
        <w:rPr>
          <w:rFonts w:ascii="Arial" w:hAnsi="Arial" w:cs="Arial"/>
          <w:sz w:val="24"/>
          <w:szCs w:val="24"/>
        </w:rPr>
        <w:t>solution,</w:t>
      </w:r>
      <w:r>
        <w:rPr>
          <w:rFonts w:ascii="Arial" w:hAnsi="Arial" w:cs="Arial"/>
          <w:sz w:val="24"/>
          <w:szCs w:val="24"/>
        </w:rPr>
        <w:t xml:space="preserve"> so a reference list </w:t>
      </w:r>
      <w:r w:rsidR="00794445">
        <w:rPr>
          <w:rFonts w:ascii="Arial" w:hAnsi="Arial" w:cs="Arial"/>
          <w:sz w:val="24"/>
          <w:szCs w:val="24"/>
        </w:rPr>
        <w:t>is</w:t>
      </w:r>
      <w:r>
        <w:rPr>
          <w:rFonts w:ascii="Arial" w:hAnsi="Arial" w:cs="Arial"/>
          <w:sz w:val="24"/>
          <w:szCs w:val="24"/>
        </w:rPr>
        <w:t xml:space="preserve"> critical for this requirement.</w:t>
      </w:r>
    </w:p>
    <w:p w:rsidR="009A046E" w:rsidRDefault="009A046E" w:rsidP="00657317">
      <w:pPr>
        <w:spacing w:after="0"/>
        <w:ind w:left="720" w:hanging="720"/>
        <w:jc w:val="both"/>
        <w:rPr>
          <w:rFonts w:ascii="Arial" w:hAnsi="Arial" w:cs="Arial"/>
          <w:sz w:val="24"/>
          <w:szCs w:val="24"/>
        </w:rPr>
      </w:pPr>
    </w:p>
    <w:p w:rsidR="009A046E" w:rsidRDefault="009A046E" w:rsidP="00657317">
      <w:pPr>
        <w:spacing w:after="0"/>
        <w:ind w:left="720" w:hanging="720"/>
        <w:jc w:val="both"/>
        <w:rPr>
          <w:rFonts w:ascii="Arial" w:hAnsi="Arial" w:cs="Arial"/>
          <w:sz w:val="24"/>
          <w:szCs w:val="24"/>
        </w:rPr>
      </w:pPr>
    </w:p>
    <w:p w:rsidR="009A046E" w:rsidRPr="00B133CF" w:rsidRDefault="00B133CF" w:rsidP="00657317">
      <w:pPr>
        <w:spacing w:after="0"/>
        <w:ind w:left="720" w:hanging="720"/>
        <w:jc w:val="both"/>
        <w:rPr>
          <w:rFonts w:ascii="Arial" w:hAnsi="Arial" w:cs="Arial"/>
          <w:sz w:val="24"/>
          <w:szCs w:val="24"/>
          <w:u w:val="single"/>
        </w:rPr>
      </w:pPr>
      <w:r w:rsidRPr="00B133CF">
        <w:rPr>
          <w:rFonts w:ascii="Arial" w:hAnsi="Arial" w:cs="Arial"/>
          <w:sz w:val="24"/>
          <w:szCs w:val="24"/>
          <w:u w:val="single"/>
        </w:rPr>
        <w:lastRenderedPageBreak/>
        <w:t>GENERAL REQUIREMENTS APPLICABLE TO BOTH LOTS</w:t>
      </w:r>
    </w:p>
    <w:p w:rsidR="009A046E" w:rsidRPr="00657317" w:rsidRDefault="009A046E" w:rsidP="00657317">
      <w:pPr>
        <w:spacing w:after="0"/>
        <w:ind w:left="720" w:hanging="720"/>
        <w:jc w:val="both"/>
        <w:rPr>
          <w:rFonts w:ascii="Arial" w:hAnsi="Arial" w:cs="Arial"/>
          <w:sz w:val="24"/>
          <w:szCs w:val="24"/>
        </w:rPr>
      </w:pPr>
    </w:p>
    <w:p w:rsidR="008706B4" w:rsidRDefault="008706B4" w:rsidP="00D826AC">
      <w:pPr>
        <w:spacing w:after="0"/>
        <w:jc w:val="both"/>
        <w:rPr>
          <w:rFonts w:ascii="Arial" w:hAnsi="Arial" w:cs="Arial"/>
          <w:b/>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335EC4" w:rsidRDefault="00335EC4" w:rsidP="00335EC4">
      <w:pPr>
        <w:spacing w:after="0"/>
        <w:jc w:val="both"/>
        <w:rPr>
          <w:rFonts w:ascii="Arial" w:hAnsi="Arial" w:cs="Arial"/>
          <w:sz w:val="24"/>
          <w:szCs w:val="24"/>
        </w:rPr>
      </w:pPr>
    </w:p>
    <w:p w:rsidR="00E924F8" w:rsidRPr="00335EC4" w:rsidRDefault="00775D64" w:rsidP="00335EC4">
      <w:pPr>
        <w:spacing w:after="0"/>
        <w:ind w:left="720" w:hanging="720"/>
        <w:jc w:val="both"/>
        <w:rPr>
          <w:rFonts w:ascii="Arial" w:hAnsi="Arial" w:cs="Arial"/>
          <w:sz w:val="24"/>
          <w:szCs w:val="24"/>
        </w:rPr>
      </w:pPr>
      <w:r>
        <w:rPr>
          <w:rFonts w:ascii="Arial" w:hAnsi="Arial" w:cs="Arial"/>
          <w:sz w:val="24"/>
          <w:szCs w:val="24"/>
        </w:rPr>
        <w:t>1</w:t>
      </w:r>
      <w:r w:rsidR="00347CDE">
        <w:rPr>
          <w:rFonts w:ascii="Arial" w:hAnsi="Arial" w:cs="Arial"/>
          <w:sz w:val="24"/>
          <w:szCs w:val="24"/>
        </w:rPr>
        <w:t>9</w:t>
      </w:r>
      <w:r w:rsidR="00335EC4">
        <w:rPr>
          <w:rFonts w:ascii="Arial" w:hAnsi="Arial" w:cs="Arial"/>
          <w:sz w:val="24"/>
          <w:szCs w:val="24"/>
        </w:rPr>
        <w:t xml:space="preserve">. </w:t>
      </w:r>
      <w:r w:rsidR="00335EC4">
        <w:rPr>
          <w:rFonts w:ascii="Arial" w:hAnsi="Arial" w:cs="Arial"/>
          <w:sz w:val="24"/>
          <w:szCs w:val="24"/>
        </w:rPr>
        <w:tab/>
      </w:r>
      <w:r w:rsidR="00E924F8" w:rsidRPr="00335EC4">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A35EE9" w:rsidRDefault="00A35EE9"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C7F53" w:rsidRPr="00A35EE9" w:rsidRDefault="009C7F53"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A35EE9">
        <w:rPr>
          <w:rFonts w:ascii="Arial" w:hAnsi="Arial" w:cs="Arial"/>
          <w:b/>
          <w:sz w:val="24"/>
          <w:szCs w:val="24"/>
        </w:rPr>
        <w:t>Sustainability</w:t>
      </w:r>
    </w:p>
    <w:p w:rsidR="009C7F53" w:rsidRPr="00DC7105"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9C7F53" w:rsidRPr="00EB2913" w:rsidRDefault="00347CDE"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20</w:t>
      </w:r>
      <w:r w:rsidR="009C7F53" w:rsidRPr="009C7F53">
        <w:rPr>
          <w:rFonts w:ascii="Arial" w:hAnsi="Arial" w:cs="Arial"/>
          <w:sz w:val="24"/>
          <w:szCs w:val="24"/>
          <w:lang w:val="en"/>
        </w:rPr>
        <w:t>.</w:t>
      </w:r>
      <w:r w:rsidR="009C7F53" w:rsidRPr="00DC7105">
        <w:rPr>
          <w:rFonts w:ascii="Arial" w:hAnsi="Arial" w:cs="Arial"/>
          <w:lang w:val="en"/>
        </w:rPr>
        <w:tab/>
      </w:r>
      <w:r w:rsidR="009C7F53" w:rsidRPr="00EB2913">
        <w:rPr>
          <w:rFonts w:ascii="Arial" w:hAnsi="Arial" w:cs="Arial"/>
          <w:sz w:val="24"/>
          <w:szCs w:val="24"/>
          <w:lang w:val="en"/>
        </w:rPr>
        <w:t xml:space="preserve">The MCA is committed to sustainable procurement.  This means making the necessary decisions to </w:t>
      </w:r>
      <w:r w:rsidR="009C7F53" w:rsidRPr="00EB2913">
        <w:rPr>
          <w:rFonts w:ascii="Arial" w:hAnsi="Arial" w:cs="Arial"/>
          <w:sz w:val="24"/>
          <w:szCs w:val="24"/>
        </w:rPr>
        <w:t xml:space="preserve">operate our procurement activity in an economically, socially and environmentally responsible way, in accordance with the policy published at </w:t>
      </w:r>
      <w:hyperlink r:id="rId8" w:history="1">
        <w:r w:rsidR="009C7F53" w:rsidRPr="00EB2913">
          <w:rPr>
            <w:rStyle w:val="Hyperlink"/>
            <w:rFonts w:ascii="Arial" w:hAnsi="Arial" w:cs="Arial"/>
            <w:sz w:val="24"/>
            <w:szCs w:val="24"/>
          </w:rPr>
          <w:t>https://www.gov.uk/government/collections/greening-government-commitments</w:t>
        </w:r>
      </w:hyperlink>
      <w:r w:rsidR="009C7F53" w:rsidRPr="00EB2913">
        <w:rPr>
          <w:rFonts w:ascii="Arial" w:hAnsi="Arial" w:cs="Arial"/>
          <w:sz w:val="24"/>
          <w:szCs w:val="24"/>
        </w:rPr>
        <w:t xml:space="preserve">.  </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9C7F53" w:rsidRPr="00EB2913" w:rsidRDefault="00880474"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rPr>
        <w:t>2</w:t>
      </w:r>
      <w:r w:rsidR="00347CDE">
        <w:rPr>
          <w:rFonts w:ascii="Arial" w:hAnsi="Arial" w:cs="Arial"/>
          <w:sz w:val="24"/>
          <w:szCs w:val="24"/>
        </w:rPr>
        <w:t>1</w:t>
      </w:r>
      <w:r w:rsidR="009C7F53" w:rsidRPr="00EB2913">
        <w:rPr>
          <w:rFonts w:ascii="Arial" w:hAnsi="Arial" w:cs="Arial"/>
          <w:sz w:val="24"/>
          <w:szCs w:val="24"/>
        </w:rPr>
        <w:t>.</w:t>
      </w:r>
      <w:r w:rsidR="009C7F53" w:rsidRPr="00EB2913">
        <w:rPr>
          <w:rFonts w:ascii="Arial" w:hAnsi="Arial" w:cs="Arial"/>
          <w:sz w:val="24"/>
          <w:szCs w:val="24"/>
        </w:rPr>
        <w:tab/>
        <w:t>The MCA considers that there are three main areas of sustainability risk in this contract, and suppliers should state in their tender what steps they would take to minimise these risks in the delivery of the contract.  The identified risk areas are:</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in the transport of goods to the MCA site;</w:t>
      </w: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use of energy, water and materials in the manufacture of the product; and</w:t>
      </w:r>
    </w:p>
    <w:p w:rsidR="009C7F53" w:rsidRPr="0061600E"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 xml:space="preserve">Poor working conditions and/or breach of equality and diversity </w:t>
      </w:r>
      <w:bookmarkStart w:id="3" w:name="_GoBack"/>
      <w:bookmarkEnd w:id="3"/>
      <w:r w:rsidRPr="00EB2913">
        <w:rPr>
          <w:rFonts w:ascii="Arial" w:hAnsi="Arial" w:cs="Arial"/>
          <w:sz w:val="24"/>
          <w:szCs w:val="24"/>
        </w:rPr>
        <w:t>principles, in the supplier’s workforce and supply chain.</w:t>
      </w:r>
    </w:p>
    <w:p w:rsidR="00830F22" w:rsidRPr="00CC1BD8" w:rsidRDefault="00830F22" w:rsidP="00CC1BD8">
      <w:pPr>
        <w:spacing w:after="0"/>
        <w:ind w:left="720" w:hanging="72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8B54F4" w:rsidRDefault="00775D64" w:rsidP="008B54F4">
      <w:pPr>
        <w:ind w:left="720" w:hanging="720"/>
        <w:jc w:val="both"/>
        <w:rPr>
          <w:rFonts w:ascii="Arial" w:hAnsi="Arial" w:cs="Arial"/>
          <w:sz w:val="24"/>
          <w:szCs w:val="24"/>
        </w:rPr>
      </w:pPr>
      <w:r>
        <w:rPr>
          <w:rFonts w:ascii="Arial" w:hAnsi="Arial" w:cs="Arial"/>
          <w:sz w:val="24"/>
          <w:szCs w:val="24"/>
        </w:rPr>
        <w:t>2</w:t>
      </w:r>
      <w:r w:rsidR="00347CDE">
        <w:rPr>
          <w:rFonts w:ascii="Arial" w:hAnsi="Arial" w:cs="Arial"/>
          <w:sz w:val="24"/>
          <w:szCs w:val="24"/>
        </w:rPr>
        <w:t>2</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335EC4" w:rsidRDefault="00775D64" w:rsidP="00335EC4">
      <w:pPr>
        <w:ind w:left="720" w:hanging="720"/>
        <w:jc w:val="both"/>
        <w:rPr>
          <w:rFonts w:ascii="Arial" w:hAnsi="Arial" w:cs="Arial"/>
          <w:sz w:val="24"/>
          <w:szCs w:val="24"/>
        </w:rPr>
      </w:pPr>
      <w:r>
        <w:rPr>
          <w:rFonts w:ascii="Arial" w:hAnsi="Arial" w:cs="Arial"/>
          <w:sz w:val="24"/>
          <w:szCs w:val="24"/>
        </w:rPr>
        <w:t>2</w:t>
      </w:r>
      <w:r w:rsidR="00347CDE">
        <w:rPr>
          <w:rFonts w:ascii="Arial" w:hAnsi="Arial" w:cs="Arial"/>
          <w:sz w:val="24"/>
          <w:szCs w:val="24"/>
        </w:rPr>
        <w:t>3</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CC1BD8" w:rsidRPr="00CC1BD8">
        <w:rPr>
          <w:rFonts w:ascii="Arial" w:hAnsi="Arial" w:cs="Arial"/>
          <w:sz w:val="24"/>
          <w:szCs w:val="24"/>
        </w:rPr>
        <w:t xml:space="preserve">o Barnsley, which must be </w:t>
      </w:r>
      <w:r w:rsidR="008714F4">
        <w:rPr>
          <w:rFonts w:ascii="Arial" w:hAnsi="Arial" w:cs="Arial"/>
          <w:sz w:val="24"/>
          <w:szCs w:val="24"/>
        </w:rPr>
        <w:t>by 31</w:t>
      </w:r>
      <w:r w:rsidR="00C21EE9" w:rsidRPr="00C21EE9">
        <w:rPr>
          <w:rFonts w:ascii="Arial" w:hAnsi="Arial" w:cs="Arial"/>
          <w:sz w:val="24"/>
          <w:szCs w:val="24"/>
          <w:vertAlign w:val="superscript"/>
        </w:rPr>
        <w:t>st</w:t>
      </w:r>
      <w:r w:rsidR="008714F4">
        <w:rPr>
          <w:rFonts w:ascii="Arial" w:hAnsi="Arial" w:cs="Arial"/>
          <w:sz w:val="24"/>
          <w:szCs w:val="24"/>
        </w:rPr>
        <w:t xml:space="preserve"> March 2018</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t>Payment</w:t>
      </w:r>
    </w:p>
    <w:p w:rsidR="00D826AC" w:rsidRDefault="00775D64" w:rsidP="00335EC4">
      <w:pPr>
        <w:ind w:left="720" w:hanging="720"/>
        <w:jc w:val="both"/>
        <w:rPr>
          <w:rFonts w:ascii="Arial" w:hAnsi="Arial" w:cs="Arial"/>
          <w:sz w:val="24"/>
          <w:szCs w:val="24"/>
        </w:rPr>
      </w:pPr>
      <w:r>
        <w:rPr>
          <w:rFonts w:ascii="Arial" w:hAnsi="Arial" w:cs="Arial"/>
          <w:sz w:val="24"/>
          <w:szCs w:val="24"/>
        </w:rPr>
        <w:t>2</w:t>
      </w:r>
      <w:r w:rsidR="00347CDE">
        <w:rPr>
          <w:rFonts w:ascii="Arial" w:hAnsi="Arial" w:cs="Arial"/>
          <w:sz w:val="24"/>
          <w:szCs w:val="24"/>
        </w:rPr>
        <w:t>4</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335EC4">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rPr>
        <w:tab/>
      </w:r>
      <w:r w:rsidRPr="003B4F48">
        <w:rPr>
          <w:rFonts w:ascii="Arial" w:hAnsi="Arial" w:cs="Arial"/>
          <w:sz w:val="24"/>
          <w:szCs w:val="24"/>
        </w:rPr>
        <w:t xml:space="preserve">Contractors should note that the MCA has migrated its invoicing activity to the DfT Shared Service Centre (Swansea). Invoices should be sent to the address below and include a case reference number and transaction account code (to </w:t>
      </w:r>
      <w:r w:rsidRPr="003B4F48">
        <w:rPr>
          <w:rFonts w:ascii="Arial" w:hAnsi="Arial" w:cs="Arial"/>
          <w:sz w:val="24"/>
          <w:szCs w:val="24"/>
        </w:rPr>
        <w:lastRenderedPageBreak/>
        <w:t>be assigned by the Agency). Invoices also need to detail the purchase order number issued by the MCA and a full description of items provided:</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DfT Shared Service Centre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Arvato Bertelsmann</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Sandringham Park,</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Swansea Vale,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Swansea, Wales,</w:t>
      </w:r>
    </w:p>
    <w:p w:rsidR="003B4F48" w:rsidRPr="003B4F48" w:rsidRDefault="003B4F48" w:rsidP="003B4F48">
      <w:pPr>
        <w:ind w:left="720"/>
        <w:jc w:val="both"/>
        <w:rPr>
          <w:rFonts w:ascii="Arial" w:hAnsi="Arial" w:cs="Arial"/>
          <w:sz w:val="24"/>
          <w:szCs w:val="24"/>
        </w:rPr>
      </w:pPr>
      <w:r w:rsidRPr="003B4F48">
        <w:rPr>
          <w:rFonts w:ascii="Arial" w:hAnsi="Arial" w:cs="Arial"/>
          <w:sz w:val="24"/>
          <w:szCs w:val="24"/>
        </w:rPr>
        <w:t>SA7 0EA.</w:t>
      </w:r>
    </w:p>
    <w:p w:rsidR="00A212F7" w:rsidRDefault="003B4F48" w:rsidP="00D36504">
      <w:pPr>
        <w:ind w:left="720" w:hanging="720"/>
        <w:jc w:val="both"/>
        <w:rPr>
          <w:rFonts w:ascii="Arial" w:hAnsi="Arial" w:cs="Arial"/>
          <w:sz w:val="24"/>
          <w:szCs w:val="24"/>
        </w:rPr>
      </w:pPr>
      <w:r>
        <w:rPr>
          <w:rFonts w:ascii="Arial" w:hAnsi="Arial" w:cs="Arial"/>
          <w:sz w:val="24"/>
          <w:szCs w:val="24"/>
        </w:rPr>
        <w:t xml:space="preserve"> </w:t>
      </w:r>
      <w:r w:rsidR="006552B5">
        <w:rPr>
          <w:rFonts w:ascii="Arial" w:hAnsi="Arial" w:cs="Arial"/>
          <w:sz w:val="24"/>
          <w:szCs w:val="24"/>
        </w:rPr>
        <w:tab/>
      </w:r>
      <w:r w:rsidR="006552B5" w:rsidRPr="006552B5">
        <w:rPr>
          <w:rFonts w:ascii="Arial" w:hAnsi="Arial" w:cs="Arial"/>
          <w:sz w:val="24"/>
          <w:szCs w:val="24"/>
        </w:rPr>
        <w:t>The MCA will comply fully with statutory legislation on late payment on the basis of claims submitted by the successful tenderer.</w:t>
      </w:r>
    </w:p>
    <w:p w:rsidR="003C6B8F" w:rsidRDefault="003C6B8F" w:rsidP="00D36504">
      <w:pPr>
        <w:ind w:left="720" w:hanging="720"/>
        <w:jc w:val="both"/>
        <w:rPr>
          <w:rFonts w:ascii="Arial" w:hAnsi="Arial" w:cs="Arial"/>
          <w:sz w:val="24"/>
          <w:szCs w:val="24"/>
        </w:rPr>
      </w:pPr>
    </w:p>
    <w:p w:rsidR="003C6B8F" w:rsidRDefault="003C6B8F" w:rsidP="00D671DD">
      <w:pPr>
        <w:jc w:val="both"/>
        <w:rPr>
          <w:rFonts w:ascii="Arial" w:hAnsi="Arial" w:cs="Arial"/>
          <w:sz w:val="24"/>
          <w:szCs w:val="24"/>
        </w:rPr>
      </w:pPr>
    </w:p>
    <w:p w:rsidR="00775D64" w:rsidRDefault="00775D64" w:rsidP="00775D64">
      <w:pPr>
        <w:jc w:val="both"/>
        <w:rPr>
          <w:rFonts w:ascii="Arial" w:hAnsi="Arial" w:cs="Arial"/>
          <w:sz w:val="24"/>
          <w:szCs w:val="24"/>
        </w:rPr>
      </w:pPr>
    </w:p>
    <w:sectPr w:rsidR="00775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555"/>
    <w:multiLevelType w:val="hybridMultilevel"/>
    <w:tmpl w:val="902A1DD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73407FD"/>
    <w:multiLevelType w:val="hybridMultilevel"/>
    <w:tmpl w:val="3C9A6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C163D"/>
    <w:multiLevelType w:val="hybridMultilevel"/>
    <w:tmpl w:val="9C08765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26308"/>
    <w:multiLevelType w:val="hybridMultilevel"/>
    <w:tmpl w:val="DDBC20BC"/>
    <w:lvl w:ilvl="0" w:tplc="CEB80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724E1"/>
    <w:multiLevelType w:val="hybridMultilevel"/>
    <w:tmpl w:val="13EE02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8745B90"/>
    <w:multiLevelType w:val="hybridMultilevel"/>
    <w:tmpl w:val="BFA6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7E7570"/>
    <w:multiLevelType w:val="hybridMultilevel"/>
    <w:tmpl w:val="7076D1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28"/>
  </w:num>
  <w:num w:numId="4">
    <w:abstractNumId w:val="4"/>
  </w:num>
  <w:num w:numId="5">
    <w:abstractNumId w:val="38"/>
  </w:num>
  <w:num w:numId="6">
    <w:abstractNumId w:val="10"/>
  </w:num>
  <w:num w:numId="7">
    <w:abstractNumId w:val="23"/>
  </w:num>
  <w:num w:numId="8">
    <w:abstractNumId w:val="20"/>
  </w:num>
  <w:num w:numId="9">
    <w:abstractNumId w:val="24"/>
  </w:num>
  <w:num w:numId="10">
    <w:abstractNumId w:val="22"/>
  </w:num>
  <w:num w:numId="11">
    <w:abstractNumId w:val="26"/>
  </w:num>
  <w:num w:numId="12">
    <w:abstractNumId w:val="30"/>
  </w:num>
  <w:num w:numId="13">
    <w:abstractNumId w:val="7"/>
  </w:num>
  <w:num w:numId="14">
    <w:abstractNumId w:val="6"/>
  </w:num>
  <w:num w:numId="15">
    <w:abstractNumId w:val="0"/>
  </w:num>
  <w:num w:numId="16">
    <w:abstractNumId w:val="34"/>
  </w:num>
  <w:num w:numId="17">
    <w:abstractNumId w:val="35"/>
  </w:num>
  <w:num w:numId="18">
    <w:abstractNumId w:val="8"/>
  </w:num>
  <w:num w:numId="19">
    <w:abstractNumId w:val="25"/>
  </w:num>
  <w:num w:numId="20">
    <w:abstractNumId w:val="33"/>
  </w:num>
  <w:num w:numId="21">
    <w:abstractNumId w:val="9"/>
  </w:num>
  <w:num w:numId="22">
    <w:abstractNumId w:val="19"/>
  </w:num>
  <w:num w:numId="23">
    <w:abstractNumId w:val="32"/>
  </w:num>
  <w:num w:numId="24">
    <w:abstractNumId w:val="16"/>
  </w:num>
  <w:num w:numId="25">
    <w:abstractNumId w:val="13"/>
  </w:num>
  <w:num w:numId="26">
    <w:abstractNumId w:val="29"/>
  </w:num>
  <w:num w:numId="27">
    <w:abstractNumId w:val="15"/>
  </w:num>
  <w:num w:numId="28">
    <w:abstractNumId w:val="31"/>
  </w:num>
  <w:num w:numId="29">
    <w:abstractNumId w:val="17"/>
  </w:num>
  <w:num w:numId="30">
    <w:abstractNumId w:val="1"/>
  </w:num>
  <w:num w:numId="31">
    <w:abstractNumId w:val="11"/>
  </w:num>
  <w:num w:numId="32">
    <w:abstractNumId w:val="21"/>
  </w:num>
  <w:num w:numId="33">
    <w:abstractNumId w:val="5"/>
  </w:num>
  <w:num w:numId="34">
    <w:abstractNumId w:val="18"/>
  </w:num>
  <w:num w:numId="35">
    <w:abstractNumId w:val="37"/>
  </w:num>
  <w:num w:numId="36">
    <w:abstractNumId w:val="2"/>
  </w:num>
  <w:num w:numId="37">
    <w:abstractNumId w:val="3"/>
  </w:num>
  <w:num w:numId="38">
    <w:abstractNumId w:val="1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29AB"/>
    <w:rsid w:val="000205E5"/>
    <w:rsid w:val="00033489"/>
    <w:rsid w:val="00041C85"/>
    <w:rsid w:val="00046CA2"/>
    <w:rsid w:val="000515D1"/>
    <w:rsid w:val="000550B8"/>
    <w:rsid w:val="00061BED"/>
    <w:rsid w:val="000627C9"/>
    <w:rsid w:val="00094203"/>
    <w:rsid w:val="0009474E"/>
    <w:rsid w:val="000A3AAE"/>
    <w:rsid w:val="000A7640"/>
    <w:rsid w:val="000B21AA"/>
    <w:rsid w:val="000C301B"/>
    <w:rsid w:val="000D43B8"/>
    <w:rsid w:val="000D68EF"/>
    <w:rsid w:val="0011038E"/>
    <w:rsid w:val="00114F8A"/>
    <w:rsid w:val="001154F6"/>
    <w:rsid w:val="001320FC"/>
    <w:rsid w:val="00133AFB"/>
    <w:rsid w:val="001351F1"/>
    <w:rsid w:val="00147CBB"/>
    <w:rsid w:val="00155F6E"/>
    <w:rsid w:val="00173425"/>
    <w:rsid w:val="00173669"/>
    <w:rsid w:val="00176D83"/>
    <w:rsid w:val="0019088C"/>
    <w:rsid w:val="00192326"/>
    <w:rsid w:val="00193C8A"/>
    <w:rsid w:val="001A6C7F"/>
    <w:rsid w:val="001B339B"/>
    <w:rsid w:val="001B380D"/>
    <w:rsid w:val="001C2579"/>
    <w:rsid w:val="001C3AAB"/>
    <w:rsid w:val="001E4637"/>
    <w:rsid w:val="001F0326"/>
    <w:rsid w:val="00207A27"/>
    <w:rsid w:val="00214281"/>
    <w:rsid w:val="00215C3B"/>
    <w:rsid w:val="0023190B"/>
    <w:rsid w:val="002358EA"/>
    <w:rsid w:val="002664D2"/>
    <w:rsid w:val="00284EE5"/>
    <w:rsid w:val="002912DE"/>
    <w:rsid w:val="002A1EED"/>
    <w:rsid w:val="002C2A25"/>
    <w:rsid w:val="002D028F"/>
    <w:rsid w:val="002D0F93"/>
    <w:rsid w:val="002F731C"/>
    <w:rsid w:val="00315719"/>
    <w:rsid w:val="00335EC4"/>
    <w:rsid w:val="00347CDE"/>
    <w:rsid w:val="00351772"/>
    <w:rsid w:val="0035414E"/>
    <w:rsid w:val="00357AAA"/>
    <w:rsid w:val="00370220"/>
    <w:rsid w:val="00373A2B"/>
    <w:rsid w:val="00374822"/>
    <w:rsid w:val="00384459"/>
    <w:rsid w:val="003B084F"/>
    <w:rsid w:val="003B1F5F"/>
    <w:rsid w:val="003B4F48"/>
    <w:rsid w:val="003C1A19"/>
    <w:rsid w:val="003C1D4C"/>
    <w:rsid w:val="003C6B8F"/>
    <w:rsid w:val="003F77DB"/>
    <w:rsid w:val="00405760"/>
    <w:rsid w:val="00410D07"/>
    <w:rsid w:val="00432DE6"/>
    <w:rsid w:val="00435620"/>
    <w:rsid w:val="0045388C"/>
    <w:rsid w:val="004876BC"/>
    <w:rsid w:val="004A300C"/>
    <w:rsid w:val="004A356E"/>
    <w:rsid w:val="004A4389"/>
    <w:rsid w:val="004D557F"/>
    <w:rsid w:val="004E1AC6"/>
    <w:rsid w:val="004E2A3F"/>
    <w:rsid w:val="00523C3C"/>
    <w:rsid w:val="005250FF"/>
    <w:rsid w:val="005501F9"/>
    <w:rsid w:val="005519BF"/>
    <w:rsid w:val="0055472C"/>
    <w:rsid w:val="00566441"/>
    <w:rsid w:val="005711B1"/>
    <w:rsid w:val="0058440D"/>
    <w:rsid w:val="00587341"/>
    <w:rsid w:val="005A5A62"/>
    <w:rsid w:val="005A76AD"/>
    <w:rsid w:val="005B795B"/>
    <w:rsid w:val="005C4C11"/>
    <w:rsid w:val="005C62B8"/>
    <w:rsid w:val="005F0A94"/>
    <w:rsid w:val="00603B18"/>
    <w:rsid w:val="00607DFD"/>
    <w:rsid w:val="00607F48"/>
    <w:rsid w:val="0061600E"/>
    <w:rsid w:val="00617091"/>
    <w:rsid w:val="006173BC"/>
    <w:rsid w:val="00621868"/>
    <w:rsid w:val="00626B19"/>
    <w:rsid w:val="006552B5"/>
    <w:rsid w:val="00657317"/>
    <w:rsid w:val="00657D0B"/>
    <w:rsid w:val="006671D7"/>
    <w:rsid w:val="00667CB1"/>
    <w:rsid w:val="00677C45"/>
    <w:rsid w:val="00691326"/>
    <w:rsid w:val="006A7973"/>
    <w:rsid w:val="006B48F0"/>
    <w:rsid w:val="006E2920"/>
    <w:rsid w:val="006F44E7"/>
    <w:rsid w:val="006F68C2"/>
    <w:rsid w:val="0070052E"/>
    <w:rsid w:val="00704B95"/>
    <w:rsid w:val="007106B2"/>
    <w:rsid w:val="00710A58"/>
    <w:rsid w:val="007261A1"/>
    <w:rsid w:val="00726E66"/>
    <w:rsid w:val="00743B08"/>
    <w:rsid w:val="00745282"/>
    <w:rsid w:val="00751557"/>
    <w:rsid w:val="00761F54"/>
    <w:rsid w:val="00762958"/>
    <w:rsid w:val="00775D64"/>
    <w:rsid w:val="00794445"/>
    <w:rsid w:val="007C12BE"/>
    <w:rsid w:val="007C3ECE"/>
    <w:rsid w:val="007C6884"/>
    <w:rsid w:val="007D73B9"/>
    <w:rsid w:val="007E78A1"/>
    <w:rsid w:val="007F3111"/>
    <w:rsid w:val="00806A02"/>
    <w:rsid w:val="00826A44"/>
    <w:rsid w:val="00830F22"/>
    <w:rsid w:val="00835AE7"/>
    <w:rsid w:val="00837377"/>
    <w:rsid w:val="008440A8"/>
    <w:rsid w:val="008544EE"/>
    <w:rsid w:val="00864AC7"/>
    <w:rsid w:val="008706B4"/>
    <w:rsid w:val="008714F4"/>
    <w:rsid w:val="00880474"/>
    <w:rsid w:val="00883D4E"/>
    <w:rsid w:val="008870EE"/>
    <w:rsid w:val="0089537C"/>
    <w:rsid w:val="00897AC9"/>
    <w:rsid w:val="008B2A81"/>
    <w:rsid w:val="008B3C07"/>
    <w:rsid w:val="008B54F4"/>
    <w:rsid w:val="008B70D4"/>
    <w:rsid w:val="008D5037"/>
    <w:rsid w:val="008E3734"/>
    <w:rsid w:val="00922653"/>
    <w:rsid w:val="00923CDB"/>
    <w:rsid w:val="00941019"/>
    <w:rsid w:val="009421D8"/>
    <w:rsid w:val="00953A49"/>
    <w:rsid w:val="00963B1B"/>
    <w:rsid w:val="00976075"/>
    <w:rsid w:val="009853B1"/>
    <w:rsid w:val="009A046E"/>
    <w:rsid w:val="009A0773"/>
    <w:rsid w:val="009B24E5"/>
    <w:rsid w:val="009C587B"/>
    <w:rsid w:val="009C77CD"/>
    <w:rsid w:val="009C7F53"/>
    <w:rsid w:val="009D4421"/>
    <w:rsid w:val="009D7612"/>
    <w:rsid w:val="009F1F5C"/>
    <w:rsid w:val="009F7768"/>
    <w:rsid w:val="00A212F7"/>
    <w:rsid w:val="00A35EE9"/>
    <w:rsid w:val="00A41074"/>
    <w:rsid w:val="00A47784"/>
    <w:rsid w:val="00A50908"/>
    <w:rsid w:val="00A51BC4"/>
    <w:rsid w:val="00A617A2"/>
    <w:rsid w:val="00A61C51"/>
    <w:rsid w:val="00A66BCE"/>
    <w:rsid w:val="00A72C17"/>
    <w:rsid w:val="00AA18B2"/>
    <w:rsid w:val="00AA5642"/>
    <w:rsid w:val="00AA5BBD"/>
    <w:rsid w:val="00AE6BC8"/>
    <w:rsid w:val="00AE7571"/>
    <w:rsid w:val="00AF3AFD"/>
    <w:rsid w:val="00AF7272"/>
    <w:rsid w:val="00B133CF"/>
    <w:rsid w:val="00B13BB5"/>
    <w:rsid w:val="00B2059A"/>
    <w:rsid w:val="00B212EB"/>
    <w:rsid w:val="00B24963"/>
    <w:rsid w:val="00B30F90"/>
    <w:rsid w:val="00B34F1C"/>
    <w:rsid w:val="00B45311"/>
    <w:rsid w:val="00B52DAE"/>
    <w:rsid w:val="00B55D45"/>
    <w:rsid w:val="00B57CE0"/>
    <w:rsid w:val="00B57DBB"/>
    <w:rsid w:val="00B62DF6"/>
    <w:rsid w:val="00B710FE"/>
    <w:rsid w:val="00B73A92"/>
    <w:rsid w:val="00B82EEE"/>
    <w:rsid w:val="00B82FA8"/>
    <w:rsid w:val="00B92735"/>
    <w:rsid w:val="00BA3DC4"/>
    <w:rsid w:val="00BA723C"/>
    <w:rsid w:val="00BB18EF"/>
    <w:rsid w:val="00BE5EE6"/>
    <w:rsid w:val="00C031F6"/>
    <w:rsid w:val="00C2065C"/>
    <w:rsid w:val="00C217ED"/>
    <w:rsid w:val="00C21EE9"/>
    <w:rsid w:val="00C26C65"/>
    <w:rsid w:val="00C35F42"/>
    <w:rsid w:val="00C37018"/>
    <w:rsid w:val="00C40359"/>
    <w:rsid w:val="00C61769"/>
    <w:rsid w:val="00C6407D"/>
    <w:rsid w:val="00C74D12"/>
    <w:rsid w:val="00C96405"/>
    <w:rsid w:val="00CA2CAB"/>
    <w:rsid w:val="00CA4337"/>
    <w:rsid w:val="00CC0946"/>
    <w:rsid w:val="00CC1BD8"/>
    <w:rsid w:val="00CD31D1"/>
    <w:rsid w:val="00CE7209"/>
    <w:rsid w:val="00D02B7A"/>
    <w:rsid w:val="00D11878"/>
    <w:rsid w:val="00D13AFB"/>
    <w:rsid w:val="00D15C35"/>
    <w:rsid w:val="00D1784D"/>
    <w:rsid w:val="00D3448B"/>
    <w:rsid w:val="00D346F2"/>
    <w:rsid w:val="00D35BD9"/>
    <w:rsid w:val="00D36504"/>
    <w:rsid w:val="00D40F5A"/>
    <w:rsid w:val="00D50096"/>
    <w:rsid w:val="00D60931"/>
    <w:rsid w:val="00D671DD"/>
    <w:rsid w:val="00D730D7"/>
    <w:rsid w:val="00D826AC"/>
    <w:rsid w:val="00D9369F"/>
    <w:rsid w:val="00D93DF3"/>
    <w:rsid w:val="00D97A6C"/>
    <w:rsid w:val="00DA0278"/>
    <w:rsid w:val="00DA4A3C"/>
    <w:rsid w:val="00DB7274"/>
    <w:rsid w:val="00DC2B44"/>
    <w:rsid w:val="00DC4F33"/>
    <w:rsid w:val="00DC4F7C"/>
    <w:rsid w:val="00DD3BEF"/>
    <w:rsid w:val="00DE6EEB"/>
    <w:rsid w:val="00DF13AF"/>
    <w:rsid w:val="00E020EE"/>
    <w:rsid w:val="00E063DE"/>
    <w:rsid w:val="00E2772E"/>
    <w:rsid w:val="00E31DAA"/>
    <w:rsid w:val="00E54D4D"/>
    <w:rsid w:val="00E66789"/>
    <w:rsid w:val="00E8206F"/>
    <w:rsid w:val="00E91B43"/>
    <w:rsid w:val="00E924F8"/>
    <w:rsid w:val="00E92B3D"/>
    <w:rsid w:val="00EA70A7"/>
    <w:rsid w:val="00EB2913"/>
    <w:rsid w:val="00EC61C1"/>
    <w:rsid w:val="00EE1767"/>
    <w:rsid w:val="00EE4B62"/>
    <w:rsid w:val="00F40377"/>
    <w:rsid w:val="00F42D44"/>
    <w:rsid w:val="00F47498"/>
    <w:rsid w:val="00F52B1D"/>
    <w:rsid w:val="00F82824"/>
    <w:rsid w:val="00FB0424"/>
    <w:rsid w:val="00FC28BD"/>
    <w:rsid w:val="00FC5123"/>
    <w:rsid w:val="00FD3F00"/>
    <w:rsid w:val="00FE08F0"/>
    <w:rsid w:val="00FE215C"/>
    <w:rsid w:val="00FE3BD1"/>
    <w:rsid w:val="00FF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0FD4"/>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greening-government-commitments" TargetMode="External"/><Relationship Id="rId3" Type="http://schemas.openxmlformats.org/officeDocument/2006/relationships/styles" Target="styles.xml"/><Relationship Id="rId7" Type="http://schemas.openxmlformats.org/officeDocument/2006/relationships/hyperlink" Target="https://opecsystems.com/persistent/catalogue_files/products/gp10-2powerpack7.0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DD57-CDBE-4E86-B917-2BEBC45C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40</cp:revision>
  <cp:lastPrinted>2017-11-29T11:01:00Z</cp:lastPrinted>
  <dcterms:created xsi:type="dcterms:W3CDTF">2017-11-29T10:44:00Z</dcterms:created>
  <dcterms:modified xsi:type="dcterms:W3CDTF">2017-12-04T16:45:00Z</dcterms:modified>
</cp:coreProperties>
</file>