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25DB1"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2125DB4" w14:textId="77777777" w:rsidTr="00061C01">
        <w:tc>
          <w:tcPr>
            <w:tcW w:w="4539" w:type="dxa"/>
          </w:tcPr>
          <w:p w14:paraId="22125DB2"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2125F9E" wp14:editId="22125F9F">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2125DB3"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22125FA0" wp14:editId="22125FA1">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2125DB5" w14:textId="77777777" w:rsidR="00582B96" w:rsidRDefault="00582B96" w:rsidP="00582B96"/>
    <w:p w14:paraId="22125DB6" w14:textId="77777777" w:rsidR="00582B96" w:rsidRPr="00D144D9" w:rsidRDefault="00582B96" w:rsidP="00582B96">
      <w:pPr>
        <w:rPr>
          <w:color w:val="FF0000"/>
        </w:rPr>
      </w:pPr>
    </w:p>
    <w:p w14:paraId="22125DB7" w14:textId="77777777" w:rsidR="00582B96" w:rsidRDefault="00582B96" w:rsidP="00582B96"/>
    <w:p w14:paraId="22125DB8" w14:textId="77777777" w:rsidR="00582B96" w:rsidRDefault="00582B96" w:rsidP="00582B96"/>
    <w:p w14:paraId="22125DB9" w14:textId="77777777" w:rsidR="00582B96" w:rsidRDefault="00582B96" w:rsidP="00582B96"/>
    <w:p w14:paraId="22125DBA" w14:textId="77777777" w:rsidR="00C5289B" w:rsidRDefault="00C5289B" w:rsidP="00582B96">
      <w:pPr>
        <w:rPr>
          <w:b/>
          <w:sz w:val="52"/>
          <w:szCs w:val="52"/>
        </w:rPr>
      </w:pPr>
    </w:p>
    <w:p w14:paraId="22125DBB" w14:textId="751EE098" w:rsidR="00582B96" w:rsidRPr="007936B0" w:rsidRDefault="00582B96" w:rsidP="00582B96">
      <w:pPr>
        <w:rPr>
          <w:b/>
          <w:sz w:val="48"/>
          <w:szCs w:val="48"/>
        </w:rPr>
      </w:pPr>
      <w:r w:rsidRPr="007936B0">
        <w:rPr>
          <w:b/>
          <w:sz w:val="48"/>
          <w:szCs w:val="48"/>
        </w:rPr>
        <w:t xml:space="preserve">SPECIFICATION </w:t>
      </w:r>
    </w:p>
    <w:p w14:paraId="22125DBC" w14:textId="77777777" w:rsidR="00582B96" w:rsidRDefault="00582B96" w:rsidP="00582B96">
      <w:pPr>
        <w:rPr>
          <w:b/>
          <w:sz w:val="48"/>
          <w:szCs w:val="48"/>
        </w:rPr>
      </w:pPr>
    </w:p>
    <w:p w14:paraId="22125DBD" w14:textId="77777777" w:rsidR="00582B96" w:rsidRDefault="00582B96" w:rsidP="00582B96">
      <w:pPr>
        <w:rPr>
          <w:b/>
          <w:sz w:val="48"/>
          <w:szCs w:val="48"/>
        </w:rPr>
      </w:pPr>
    </w:p>
    <w:p w14:paraId="22125DBE" w14:textId="77777777" w:rsidR="00582B96" w:rsidRDefault="00582B96" w:rsidP="00582B96">
      <w:pPr>
        <w:rPr>
          <w:b/>
          <w:sz w:val="48"/>
          <w:szCs w:val="48"/>
        </w:rPr>
      </w:pPr>
    </w:p>
    <w:p w14:paraId="22125DC0" w14:textId="40223527" w:rsidR="00582B96" w:rsidRPr="007936B0" w:rsidRDefault="00582B96" w:rsidP="007936B0">
      <w:pPr>
        <w:rPr>
          <w:rFonts w:cs="Arial"/>
          <w:b/>
          <w:bCs/>
          <w:color w:val="000000" w:themeColor="text1"/>
          <w:sz w:val="48"/>
          <w:szCs w:val="48"/>
        </w:rPr>
      </w:pPr>
      <w:r w:rsidRPr="00360CDD">
        <w:rPr>
          <w:b/>
          <w:sz w:val="36"/>
          <w:szCs w:val="36"/>
        </w:rPr>
        <w:t xml:space="preserve">INVITATION TO TENDER </w:t>
      </w:r>
      <w:r w:rsidR="007936B0" w:rsidRPr="007936B0">
        <w:rPr>
          <w:b/>
          <w:color w:val="000000" w:themeColor="text1"/>
          <w:sz w:val="36"/>
          <w:szCs w:val="36"/>
        </w:rPr>
        <w:t>itt_30120</w:t>
      </w:r>
    </w:p>
    <w:p w14:paraId="22125DC1" w14:textId="77777777" w:rsidR="00582B96" w:rsidRPr="00360CDD" w:rsidRDefault="00582B96" w:rsidP="00582B96">
      <w:pPr>
        <w:autoSpaceDE w:val="0"/>
        <w:autoSpaceDN w:val="0"/>
        <w:adjustRightInd w:val="0"/>
        <w:rPr>
          <w:rFonts w:cs="Arial"/>
          <w:b/>
          <w:bCs/>
          <w:sz w:val="48"/>
          <w:szCs w:val="48"/>
        </w:rPr>
      </w:pPr>
    </w:p>
    <w:p w14:paraId="22125DC3" w14:textId="08EBFE92" w:rsidR="00582B96" w:rsidRPr="00D3235F" w:rsidRDefault="00204192" w:rsidP="007936B0">
      <w:pPr>
        <w:autoSpaceDE w:val="0"/>
        <w:autoSpaceDN w:val="0"/>
        <w:adjustRightInd w:val="0"/>
        <w:rPr>
          <w:b/>
          <w:sz w:val="36"/>
          <w:szCs w:val="36"/>
        </w:rPr>
      </w:pPr>
      <w:r w:rsidRPr="004F41B6">
        <w:rPr>
          <w:rFonts w:cs="Arial"/>
          <w:b/>
          <w:bCs/>
          <w:sz w:val="36"/>
          <w:szCs w:val="36"/>
        </w:rPr>
        <w:t>Inclusive Labour Markets</w:t>
      </w:r>
      <w:r w:rsidR="007936B0">
        <w:rPr>
          <w:rFonts w:cs="Arial"/>
          <w:b/>
          <w:bCs/>
          <w:sz w:val="36"/>
          <w:szCs w:val="36"/>
        </w:rPr>
        <w:t xml:space="preserve"> </w:t>
      </w:r>
      <w:r w:rsidR="00D3235F" w:rsidRPr="00D3235F">
        <w:rPr>
          <w:b/>
          <w:sz w:val="36"/>
          <w:szCs w:val="36"/>
        </w:rPr>
        <w:t>25-005</w:t>
      </w:r>
    </w:p>
    <w:p w14:paraId="22125DC4" w14:textId="77777777" w:rsidR="00582B96" w:rsidRDefault="00582B96" w:rsidP="00582B96">
      <w:pPr>
        <w:rPr>
          <w:b/>
          <w:sz w:val="48"/>
          <w:szCs w:val="48"/>
        </w:rPr>
      </w:pPr>
    </w:p>
    <w:p w14:paraId="22125DC5" w14:textId="77777777" w:rsidR="00582B96" w:rsidRPr="005953E4" w:rsidRDefault="005953E4" w:rsidP="00582B96">
      <w:pPr>
        <w:rPr>
          <w:b/>
          <w:sz w:val="48"/>
          <w:szCs w:val="48"/>
        </w:rPr>
      </w:pPr>
      <w:r w:rsidRPr="005953E4">
        <w:rPr>
          <w:b/>
          <w:sz w:val="36"/>
          <w:szCs w:val="36"/>
        </w:rPr>
        <w:t>North Eastern LEP</w:t>
      </w:r>
    </w:p>
    <w:p w14:paraId="22125DC6" w14:textId="77777777" w:rsidR="00582B96" w:rsidRDefault="00582B96" w:rsidP="00582B96">
      <w:pPr>
        <w:rPr>
          <w:b/>
          <w:sz w:val="48"/>
          <w:szCs w:val="48"/>
        </w:rPr>
      </w:pPr>
    </w:p>
    <w:p w14:paraId="22125DC7" w14:textId="77777777" w:rsidR="00582B96" w:rsidRDefault="00582B96" w:rsidP="00582B96">
      <w:pPr>
        <w:rPr>
          <w:b/>
          <w:sz w:val="48"/>
          <w:szCs w:val="48"/>
        </w:rPr>
      </w:pPr>
    </w:p>
    <w:p w14:paraId="22125DC8" w14:textId="574AA22F" w:rsidR="00582B96" w:rsidRPr="00360CDD" w:rsidRDefault="00582B96" w:rsidP="00582B96">
      <w:pPr>
        <w:rPr>
          <w:b/>
          <w:sz w:val="36"/>
          <w:szCs w:val="36"/>
        </w:rPr>
      </w:pPr>
      <w:r w:rsidRPr="00360CDD">
        <w:rPr>
          <w:b/>
          <w:sz w:val="36"/>
          <w:szCs w:val="36"/>
        </w:rPr>
        <w:t>DATE:</w:t>
      </w:r>
      <w:r w:rsidR="002F71DB">
        <w:rPr>
          <w:b/>
          <w:sz w:val="36"/>
          <w:szCs w:val="36"/>
        </w:rPr>
        <w:t xml:space="preserve"> </w:t>
      </w:r>
      <w:r w:rsidR="00D3235F">
        <w:rPr>
          <w:b/>
          <w:sz w:val="36"/>
          <w:szCs w:val="36"/>
        </w:rPr>
        <w:t>Ju</w:t>
      </w:r>
      <w:r w:rsidR="007936B0">
        <w:rPr>
          <w:b/>
          <w:sz w:val="36"/>
          <w:szCs w:val="36"/>
        </w:rPr>
        <w:t>ly</w:t>
      </w:r>
      <w:r w:rsidR="006002A9">
        <w:rPr>
          <w:b/>
          <w:sz w:val="36"/>
          <w:szCs w:val="36"/>
        </w:rPr>
        <w:t xml:space="preserve"> </w:t>
      </w:r>
      <w:r w:rsidR="00204192">
        <w:rPr>
          <w:b/>
          <w:sz w:val="36"/>
          <w:szCs w:val="36"/>
        </w:rPr>
        <w:t>2016</w:t>
      </w:r>
    </w:p>
    <w:p w14:paraId="22125DC9" w14:textId="77777777" w:rsidR="00582B96" w:rsidRDefault="00582B96"/>
    <w:p w14:paraId="653CC488" w14:textId="77777777" w:rsidR="007936B0" w:rsidRDefault="007936B0"/>
    <w:p w14:paraId="674C7EFA" w14:textId="77777777" w:rsidR="007936B0" w:rsidRDefault="007936B0"/>
    <w:p w14:paraId="7CB03A66" w14:textId="77777777" w:rsidR="007936B0" w:rsidRDefault="007936B0"/>
    <w:p w14:paraId="0FBD4562" w14:textId="77777777" w:rsidR="007936B0" w:rsidRDefault="007936B0"/>
    <w:tbl>
      <w:tblPr>
        <w:tblW w:w="0" w:type="auto"/>
        <w:tblLook w:val="01E0" w:firstRow="1" w:lastRow="1" w:firstColumn="1" w:lastColumn="1" w:noHBand="0" w:noVBand="0"/>
      </w:tblPr>
      <w:tblGrid>
        <w:gridCol w:w="4421"/>
        <w:gridCol w:w="4366"/>
      </w:tblGrid>
      <w:tr w:rsidR="00ED67E0" w14:paraId="22125DCC" w14:textId="77777777" w:rsidTr="00B24D65">
        <w:tc>
          <w:tcPr>
            <w:tcW w:w="4421" w:type="dxa"/>
          </w:tcPr>
          <w:p w14:paraId="22125DCA" w14:textId="77777777" w:rsidR="00ED67E0" w:rsidRDefault="00ED67E0" w:rsidP="000419AD">
            <w:pPr>
              <w:pStyle w:val="Header"/>
              <w:tabs>
                <w:tab w:val="clear" w:pos="4153"/>
                <w:tab w:val="clear" w:pos="8306"/>
                <w:tab w:val="left" w:pos="1185"/>
              </w:tabs>
            </w:pPr>
            <w:r>
              <w:tab/>
            </w:r>
          </w:p>
        </w:tc>
        <w:tc>
          <w:tcPr>
            <w:tcW w:w="4366" w:type="dxa"/>
          </w:tcPr>
          <w:p w14:paraId="22125DCB" w14:textId="77777777" w:rsidR="00ED67E0" w:rsidRDefault="00ED67E0" w:rsidP="000419AD">
            <w:pPr>
              <w:pStyle w:val="Header"/>
              <w:jc w:val="right"/>
            </w:pPr>
          </w:p>
        </w:tc>
      </w:tr>
      <w:tr w:rsidR="00ED67E0" w:rsidRPr="002465E9" w14:paraId="22125DCF" w14:textId="77777777" w:rsidTr="00B24D65">
        <w:tc>
          <w:tcPr>
            <w:tcW w:w="4421" w:type="dxa"/>
          </w:tcPr>
          <w:p w14:paraId="22125DCD" w14:textId="77777777" w:rsidR="00ED67E0" w:rsidRDefault="00ED67E0" w:rsidP="000419AD">
            <w:pPr>
              <w:pStyle w:val="Header"/>
            </w:pPr>
            <w:r>
              <w:rPr>
                <w:noProof/>
                <w:lang w:eastAsia="en-GB"/>
              </w:rPr>
              <w:lastRenderedPageBreak/>
              <w:drawing>
                <wp:inline distT="0" distB="0" distL="0" distR="0" wp14:anchorId="22125FA2" wp14:editId="22125FA3">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2125DCE" w14:textId="77777777" w:rsidR="00ED67E0" w:rsidRDefault="000D51DE" w:rsidP="000419AD">
            <w:pPr>
              <w:pStyle w:val="Header"/>
              <w:jc w:val="right"/>
            </w:pPr>
            <w:r>
              <w:rPr>
                <w:noProof/>
                <w:lang w:eastAsia="en-GB"/>
              </w:rPr>
              <w:drawing>
                <wp:inline distT="0" distB="0" distL="0" distR="0" wp14:anchorId="22125FA4" wp14:editId="22125FA5">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2125DD2" w14:textId="77777777" w:rsidTr="00B24D65">
        <w:tc>
          <w:tcPr>
            <w:tcW w:w="4421" w:type="dxa"/>
          </w:tcPr>
          <w:p w14:paraId="22125DD0" w14:textId="77777777" w:rsidR="008441FE" w:rsidRDefault="008441FE" w:rsidP="000419AD">
            <w:pPr>
              <w:pStyle w:val="Header"/>
              <w:rPr>
                <w:noProof/>
                <w:lang w:eastAsia="en-GB"/>
              </w:rPr>
            </w:pPr>
          </w:p>
        </w:tc>
        <w:tc>
          <w:tcPr>
            <w:tcW w:w="4366" w:type="dxa"/>
          </w:tcPr>
          <w:p w14:paraId="22125DD1" w14:textId="77777777" w:rsidR="008441FE" w:rsidRDefault="008441FE" w:rsidP="000419AD">
            <w:pPr>
              <w:pStyle w:val="Header"/>
              <w:jc w:val="right"/>
              <w:rPr>
                <w:noProof/>
                <w:lang w:eastAsia="en-GB"/>
              </w:rPr>
            </w:pPr>
          </w:p>
        </w:tc>
      </w:tr>
    </w:tbl>
    <w:p w14:paraId="22125DD3" w14:textId="77777777" w:rsidR="0015011A" w:rsidRDefault="0015011A" w:rsidP="0015011A"/>
    <w:tbl>
      <w:tblPr>
        <w:tblStyle w:val="TableGrid"/>
        <w:tblW w:w="5177" w:type="pct"/>
        <w:tblLook w:val="04A0" w:firstRow="1" w:lastRow="0" w:firstColumn="1" w:lastColumn="0" w:noHBand="0" w:noVBand="1"/>
      </w:tblPr>
      <w:tblGrid>
        <w:gridCol w:w="9706"/>
      </w:tblGrid>
      <w:tr w:rsidR="00967429" w:rsidRPr="00EF4406" w14:paraId="22125DD8" w14:textId="77777777" w:rsidTr="00D3235F">
        <w:trPr>
          <w:trHeight w:val="597"/>
        </w:trPr>
        <w:tc>
          <w:tcPr>
            <w:tcW w:w="9088" w:type="dxa"/>
          </w:tcPr>
          <w:p w14:paraId="22125DD4" w14:textId="15D1057E" w:rsidR="005953E4" w:rsidRDefault="007936B0" w:rsidP="00A524B5">
            <w:pPr>
              <w:pStyle w:val="BodyText"/>
              <w:tabs>
                <w:tab w:val="num" w:pos="1134"/>
              </w:tabs>
              <w:spacing w:after="0"/>
              <w:jc w:val="both"/>
              <w:rPr>
                <w:rFonts w:ascii="Arial" w:hAnsi="Arial" w:cs="Arial"/>
                <w:b/>
              </w:rPr>
            </w:pPr>
            <w:r>
              <w:rPr>
                <w:rFonts w:ascii="Arial" w:hAnsi="Arial" w:cs="Arial"/>
                <w:b/>
              </w:rPr>
              <w:t>ESF</w:t>
            </w:r>
            <w:r w:rsidR="00B3399A" w:rsidRPr="00DB1C34">
              <w:rPr>
                <w:rFonts w:ascii="Arial" w:hAnsi="Arial" w:cs="Arial"/>
                <w:b/>
              </w:rPr>
              <w:t xml:space="preserve">: </w:t>
            </w:r>
            <w:r w:rsidR="0005224F" w:rsidRPr="00DB1C34">
              <w:rPr>
                <w:rFonts w:ascii="Arial" w:hAnsi="Arial" w:cs="Arial"/>
                <w:b/>
              </w:rPr>
              <w:t>Access to Employment</w:t>
            </w:r>
          </w:p>
          <w:p w14:paraId="22125DD6" w14:textId="2C4E7E0E" w:rsidR="006002A9" w:rsidRPr="007936B0" w:rsidRDefault="005953E4" w:rsidP="00A524B5">
            <w:pPr>
              <w:pStyle w:val="BodyText"/>
              <w:tabs>
                <w:tab w:val="num" w:pos="1134"/>
              </w:tabs>
              <w:spacing w:after="0"/>
              <w:jc w:val="both"/>
              <w:rPr>
                <w:rFonts w:ascii="Arial" w:hAnsi="Arial" w:cs="Arial"/>
                <w:b/>
                <w:color w:val="000000" w:themeColor="text1"/>
              </w:rPr>
            </w:pPr>
            <w:r w:rsidRPr="005953E4">
              <w:rPr>
                <w:rFonts w:ascii="Arial" w:hAnsi="Arial" w:cs="Arial"/>
                <w:b/>
              </w:rPr>
              <w:t xml:space="preserve">North Eastern LEP - </w:t>
            </w:r>
            <w:r w:rsidR="00DB1C34" w:rsidRPr="00DB1C34">
              <w:rPr>
                <w:rFonts w:ascii="Arial" w:hAnsi="Arial" w:cs="Arial"/>
                <w:b/>
              </w:rPr>
              <w:t>Support for the Unemployed</w:t>
            </w:r>
            <w:r w:rsidR="007936B0">
              <w:rPr>
                <w:rFonts w:ascii="Arial" w:hAnsi="Arial" w:cs="Arial"/>
                <w:b/>
              </w:rPr>
              <w:t xml:space="preserve"> </w:t>
            </w:r>
            <w:r w:rsidR="007936B0">
              <w:rPr>
                <w:rFonts w:ascii="Arial" w:hAnsi="Arial" w:cs="Arial"/>
                <w:b/>
                <w:color w:val="000000" w:themeColor="text1"/>
              </w:rPr>
              <w:t>i</w:t>
            </w:r>
            <w:r w:rsidR="007936B0" w:rsidRPr="007936B0">
              <w:rPr>
                <w:rFonts w:ascii="Arial" w:hAnsi="Arial" w:cs="Arial"/>
                <w:b/>
                <w:color w:val="000000" w:themeColor="text1"/>
              </w:rPr>
              <w:t>tt_30120</w:t>
            </w:r>
          </w:p>
          <w:p w14:paraId="22125DD7"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22125DDA" w14:textId="77777777" w:rsidTr="0090573A">
        <w:trPr>
          <w:trHeight w:val="567"/>
        </w:trPr>
        <w:tc>
          <w:tcPr>
            <w:tcW w:w="9088" w:type="dxa"/>
            <w:shd w:val="clear" w:color="auto" w:fill="D9D9D9" w:themeFill="background1" w:themeFillShade="D9"/>
            <w:vAlign w:val="center"/>
          </w:tcPr>
          <w:p w14:paraId="22125DD9" w14:textId="77777777" w:rsidR="00967429" w:rsidRPr="00FD3B0A" w:rsidRDefault="004C726D" w:rsidP="00FD3B0A">
            <w:pPr>
              <w:pStyle w:val="SpecificationHeading"/>
            </w:pPr>
            <w:r w:rsidRPr="00FD3B0A">
              <w:t>BACKGROUND</w:t>
            </w:r>
          </w:p>
        </w:tc>
      </w:tr>
      <w:tr w:rsidR="00967429" w:rsidRPr="00EF4406" w14:paraId="22125E1C" w14:textId="77777777" w:rsidTr="00D3235F">
        <w:tc>
          <w:tcPr>
            <w:tcW w:w="9088" w:type="dxa"/>
          </w:tcPr>
          <w:p w14:paraId="22125DDB"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22125DDC" w14:textId="77777777" w:rsidR="002833D9" w:rsidRPr="002833D9" w:rsidRDefault="002833D9" w:rsidP="00A524B5">
            <w:pPr>
              <w:tabs>
                <w:tab w:val="num" w:pos="900"/>
              </w:tabs>
              <w:autoSpaceDE w:val="0"/>
              <w:autoSpaceDN w:val="0"/>
              <w:adjustRightInd w:val="0"/>
              <w:rPr>
                <w:rFonts w:cs="Arial"/>
                <w:b/>
              </w:rPr>
            </w:pPr>
          </w:p>
          <w:p w14:paraId="22125DDD"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22125DDE" w14:textId="77777777" w:rsidR="002833D9" w:rsidRPr="005A1D76" w:rsidRDefault="002833D9" w:rsidP="00A524B5">
            <w:pPr>
              <w:tabs>
                <w:tab w:val="num" w:pos="900"/>
              </w:tabs>
              <w:autoSpaceDE w:val="0"/>
              <w:autoSpaceDN w:val="0"/>
              <w:adjustRightInd w:val="0"/>
              <w:rPr>
                <w:rFonts w:cs="Arial"/>
              </w:rPr>
            </w:pPr>
          </w:p>
          <w:p w14:paraId="22125DDF" w14:textId="7C9EDA80"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8E78C4">
              <w:rPr>
                <w:rFonts w:cs="Arial"/>
              </w:rPr>
              <w:t>Service</w:t>
            </w:r>
            <w:r w:rsidRPr="005A1D76">
              <w:rPr>
                <w:rFonts w:cs="Arial"/>
              </w:rPr>
              <w:t xml:space="preserve">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2125DE0" w14:textId="77777777" w:rsidR="002833D9" w:rsidRPr="005A1D76" w:rsidRDefault="002833D9" w:rsidP="00A524B5">
            <w:pPr>
              <w:rPr>
                <w:rFonts w:cs="Arial"/>
              </w:rPr>
            </w:pPr>
          </w:p>
          <w:p w14:paraId="22125DE1" w14:textId="2494D89D"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w:t>
            </w:r>
            <w:r w:rsidR="0090573A">
              <w:rPr>
                <w:rFonts w:cs="Arial"/>
              </w:rPr>
              <w:t>’</w:t>
            </w:r>
            <w:r w:rsidR="00204192">
              <w:rPr>
                <w:rFonts w:cs="Arial"/>
              </w:rPr>
              <w:t>s</w:t>
            </w:r>
            <w:r w:rsidR="00A63E89">
              <w:rPr>
                <w:rFonts w:cs="Arial"/>
              </w:rPr>
              <w:t xml:space="preserve"> Investment Priorit</w:t>
            </w:r>
            <w:r w:rsidR="00204192">
              <w:rPr>
                <w:rFonts w:cs="Arial"/>
              </w:rPr>
              <w:t>ies</w:t>
            </w:r>
            <w:r w:rsidR="00A63E89">
              <w:rPr>
                <w:rFonts w:cs="Arial"/>
              </w:rPr>
              <w:t xml:space="preserve"> (IP</w:t>
            </w:r>
            <w:r w:rsidR="00EC06B2">
              <w:rPr>
                <w:rFonts w:cs="Arial"/>
              </w:rPr>
              <w:t xml:space="preserve"> 1.1</w:t>
            </w:r>
            <w:r w:rsidR="00A63E89">
              <w:rPr>
                <w:rFonts w:cs="Arial"/>
              </w:rPr>
              <w:t>)</w:t>
            </w:r>
            <w:r w:rsidR="00204192">
              <w:t>, wh</w:t>
            </w:r>
            <w:r w:rsidR="00A63E89" w:rsidRPr="00A63E89">
              <w:t xml:space="preserve">ere the need has been identified both in the LEP area and European Structural and Investment Fund Strategies.  </w:t>
            </w:r>
          </w:p>
          <w:p w14:paraId="22125DE2" w14:textId="77777777" w:rsidR="00AD0B65" w:rsidRPr="00AD0B65" w:rsidRDefault="00AD0B65" w:rsidP="00AD0B65">
            <w:pPr>
              <w:rPr>
                <w:rFonts w:cs="Arial"/>
              </w:rPr>
            </w:pPr>
          </w:p>
          <w:p w14:paraId="22125DE3" w14:textId="77777777" w:rsidR="00204192" w:rsidRDefault="009E7A30" w:rsidP="00AD0B65">
            <w:r w:rsidRPr="00EE20FD">
              <w:t>The</w:t>
            </w:r>
            <w:r w:rsidR="00A63E89" w:rsidRPr="00EE20FD">
              <w:t xml:space="preserve"> </w:t>
            </w:r>
            <w:r w:rsidR="00204192" w:rsidRPr="00EE20FD">
              <w:t xml:space="preserve">Priority Axis 1 </w:t>
            </w:r>
            <w:r w:rsidR="00A63E89" w:rsidRPr="00EE20FD">
              <w:t xml:space="preserve">supports </w:t>
            </w:r>
            <w:r w:rsidR="00204192" w:rsidRPr="00EE20FD">
              <w:t xml:space="preserve">activity to increase participation in the labour market and thereby improve social inclusion and mobility.   The objectives of Priority Axis 1 </w:t>
            </w:r>
            <w:r w:rsidR="00F0539E" w:rsidRPr="00EE20FD">
              <w:t xml:space="preserve">covered in this specification </w:t>
            </w:r>
            <w:r w:rsidR="00204192" w:rsidRPr="00EE20FD">
              <w:t>are:</w:t>
            </w:r>
          </w:p>
          <w:p w14:paraId="0ACE492D" w14:textId="77777777" w:rsidR="0090573A" w:rsidRPr="00EE20FD" w:rsidRDefault="0090573A" w:rsidP="00AD0B65"/>
          <w:p w14:paraId="22125DE4" w14:textId="77777777" w:rsidR="00194BF1" w:rsidRPr="00D3235F" w:rsidRDefault="00194BF1" w:rsidP="00194BF1">
            <w:pPr>
              <w:pStyle w:val="ListParagraph"/>
              <w:numPr>
                <w:ilvl w:val="0"/>
                <w:numId w:val="11"/>
              </w:numPr>
            </w:pPr>
            <w:r w:rsidRPr="00D3235F">
              <w:t>To improve the employability of long-term unemployed people, so that they can compete effectively in the labour market.</w:t>
            </w:r>
          </w:p>
          <w:p w14:paraId="22125DE5" w14:textId="77777777" w:rsidR="00194BF1" w:rsidRPr="00D3235F" w:rsidRDefault="00194BF1" w:rsidP="00194BF1">
            <w:pPr>
              <w:pStyle w:val="ListParagraph"/>
              <w:numPr>
                <w:ilvl w:val="0"/>
                <w:numId w:val="11"/>
              </w:numPr>
            </w:pPr>
            <w:r w:rsidRPr="00D3235F">
              <w:t>To provide individuals from groups which face particular labour market disadvantage with additional support so that they can compete effectively in the labour market.</w:t>
            </w:r>
          </w:p>
          <w:p w14:paraId="22125DE6" w14:textId="77777777" w:rsidR="00194BF1" w:rsidRPr="00D3235F" w:rsidRDefault="00194BF1" w:rsidP="00194BF1">
            <w:pPr>
              <w:pStyle w:val="ListParagraph"/>
              <w:numPr>
                <w:ilvl w:val="0"/>
                <w:numId w:val="11"/>
              </w:numPr>
            </w:pPr>
            <w:r w:rsidRPr="00D3235F">
              <w:t>To encourage inactive people to participate in the labour market and to improve their employability.</w:t>
            </w:r>
          </w:p>
          <w:p w14:paraId="22125DE7" w14:textId="77777777" w:rsidR="00194BF1" w:rsidRPr="00D3235F" w:rsidRDefault="00194BF1" w:rsidP="00194BF1">
            <w:pPr>
              <w:pStyle w:val="ListParagraph"/>
              <w:numPr>
                <w:ilvl w:val="0"/>
                <w:numId w:val="11"/>
              </w:numPr>
            </w:pPr>
            <w:r w:rsidRPr="00D3235F">
              <w:t>To address the basic skills needs of unemployed and inactive people so that they can compete effectively in the labour market.</w:t>
            </w:r>
          </w:p>
          <w:p w14:paraId="22125DE8" w14:textId="77777777" w:rsidR="00194BF1" w:rsidRPr="00D3235F" w:rsidRDefault="00194BF1" w:rsidP="00194BF1">
            <w:pPr>
              <w:pStyle w:val="Default"/>
              <w:numPr>
                <w:ilvl w:val="0"/>
                <w:numId w:val="11"/>
              </w:numPr>
            </w:pPr>
            <w:r w:rsidRPr="00D3235F">
              <w:t xml:space="preserve">To provide support for women at a disadvantage in the labour market, and particularly those who are currently inactive, to contribute to our efforts to reduce the gender employment gap. </w:t>
            </w:r>
          </w:p>
          <w:p w14:paraId="22125DE9" w14:textId="77777777" w:rsidR="00194BF1" w:rsidRPr="00D3235F" w:rsidRDefault="00194BF1" w:rsidP="00194BF1">
            <w:pPr>
              <w:pStyle w:val="Default"/>
              <w:numPr>
                <w:ilvl w:val="0"/>
                <w:numId w:val="11"/>
              </w:numPr>
            </w:pPr>
            <w:r w:rsidRPr="00D3235F">
              <w:t xml:space="preserve">To support people with multiple and complex barriers to participation to address these underlying issues and to move closer to or into the labour market. </w:t>
            </w:r>
          </w:p>
          <w:p w14:paraId="22125DEA" w14:textId="77777777" w:rsidR="00194BF1" w:rsidRPr="00D3235F" w:rsidRDefault="00194BF1" w:rsidP="00194BF1">
            <w:pPr>
              <w:pStyle w:val="ListParagraph"/>
              <w:numPr>
                <w:ilvl w:val="0"/>
                <w:numId w:val="11"/>
              </w:numPr>
            </w:pPr>
            <w:r w:rsidRPr="00D3235F">
              <w:lastRenderedPageBreak/>
              <w:t>To engage marginalised individuals and support them to re-engage with education, training, or in employment.</w:t>
            </w:r>
          </w:p>
          <w:p w14:paraId="22125DEB" w14:textId="77777777" w:rsidR="00194BF1" w:rsidRPr="00D3235F" w:rsidRDefault="00194BF1" w:rsidP="00194BF1"/>
          <w:p w14:paraId="22125DEC" w14:textId="045B0F60" w:rsidR="00194BF1" w:rsidRDefault="00194BF1" w:rsidP="00194BF1">
            <w:r>
              <w:t xml:space="preserve">The </w:t>
            </w:r>
            <w:r w:rsidR="00B54E90">
              <w:t>investment priority 1 in this specification is</w:t>
            </w:r>
            <w:r>
              <w:t>:</w:t>
            </w:r>
          </w:p>
          <w:p w14:paraId="7D46CAEF" w14:textId="77777777" w:rsidR="0090573A" w:rsidRDefault="0090573A" w:rsidP="00194BF1"/>
          <w:p w14:paraId="22125DED" w14:textId="77777777" w:rsidR="00194BF1" w:rsidRDefault="00194BF1" w:rsidP="00194BF1">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  </w:t>
            </w:r>
          </w:p>
          <w:p w14:paraId="22125DEE" w14:textId="77777777" w:rsidR="00F17CE2" w:rsidRPr="00EE20FD" w:rsidRDefault="00F17CE2" w:rsidP="00A524B5">
            <w:pPr>
              <w:tabs>
                <w:tab w:val="num" w:pos="900"/>
              </w:tabs>
              <w:autoSpaceDE w:val="0"/>
              <w:autoSpaceDN w:val="0"/>
              <w:adjustRightInd w:val="0"/>
              <w:rPr>
                <w:rFonts w:cs="Arial"/>
              </w:rPr>
            </w:pPr>
          </w:p>
          <w:p w14:paraId="22125DEF" w14:textId="77777777" w:rsidR="009B1204" w:rsidRPr="00EE20FD" w:rsidRDefault="009B1204" w:rsidP="009B1204">
            <w:pPr>
              <w:rPr>
                <w:b/>
              </w:rPr>
            </w:pPr>
            <w:r w:rsidRPr="00EE20FD">
              <w:rPr>
                <w:b/>
              </w:rPr>
              <w:t xml:space="preserve">Access to </w:t>
            </w:r>
            <w:r w:rsidR="003E0C7F" w:rsidRPr="00EE20FD">
              <w:rPr>
                <w:b/>
              </w:rPr>
              <w:t>E</w:t>
            </w:r>
            <w:r w:rsidRPr="00EE20FD">
              <w:rPr>
                <w:b/>
              </w:rPr>
              <w:t xml:space="preserve">mployment for </w:t>
            </w:r>
            <w:r w:rsidR="003E0C7F" w:rsidRPr="00EE20FD">
              <w:rPr>
                <w:b/>
              </w:rPr>
              <w:t>J</w:t>
            </w:r>
            <w:r w:rsidRPr="00EE20FD">
              <w:rPr>
                <w:b/>
              </w:rPr>
              <w:t xml:space="preserve">obseekers and </w:t>
            </w:r>
            <w:r w:rsidR="003E0C7F" w:rsidRPr="00EE20FD">
              <w:rPr>
                <w:b/>
              </w:rPr>
              <w:t>I</w:t>
            </w:r>
            <w:r w:rsidRPr="00EE20FD">
              <w:rPr>
                <w:b/>
              </w:rPr>
              <w:t xml:space="preserve">nactive </w:t>
            </w:r>
            <w:r w:rsidR="003E0C7F" w:rsidRPr="00EE20FD">
              <w:rPr>
                <w:b/>
              </w:rPr>
              <w:t>P</w:t>
            </w:r>
            <w:r w:rsidRPr="00EE20FD">
              <w:rPr>
                <w:b/>
              </w:rPr>
              <w:t>eople</w:t>
            </w:r>
          </w:p>
          <w:p w14:paraId="22125DF0" w14:textId="77777777" w:rsidR="009B1204" w:rsidRPr="00EE20FD" w:rsidRDefault="009B1204" w:rsidP="009B1204">
            <w:pPr>
              <w:rPr>
                <w:rFonts w:cs="Arial"/>
                <w:b/>
                <w:color w:val="FF0000"/>
              </w:rPr>
            </w:pPr>
          </w:p>
          <w:p w14:paraId="22125DF1" w14:textId="77777777" w:rsidR="009B1204" w:rsidRPr="00EE20FD" w:rsidRDefault="009B1204" w:rsidP="009B1204">
            <w:pPr>
              <w:autoSpaceDE w:val="0"/>
              <w:autoSpaceDN w:val="0"/>
              <w:adjustRightInd w:val="0"/>
              <w:rPr>
                <w:rFonts w:cs="Arial"/>
                <w:color w:val="000000"/>
                <w:lang w:eastAsia="en-GB"/>
              </w:rPr>
            </w:pPr>
            <w:r w:rsidRPr="00EE20FD">
              <w:rPr>
                <w:rFonts w:cs="Arial"/>
                <w:color w:val="000000"/>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22125DF2" w14:textId="77777777" w:rsidR="009B1204" w:rsidRPr="00EE20FD" w:rsidRDefault="009B1204" w:rsidP="009B1204">
            <w:pPr>
              <w:autoSpaceDE w:val="0"/>
              <w:autoSpaceDN w:val="0"/>
              <w:adjustRightInd w:val="0"/>
              <w:rPr>
                <w:rFonts w:cs="Arial"/>
                <w:color w:val="000000"/>
                <w:lang w:eastAsia="en-GB"/>
              </w:rPr>
            </w:pPr>
          </w:p>
          <w:p w14:paraId="22125DF3" w14:textId="77777777" w:rsidR="009B1204" w:rsidRDefault="009B1204" w:rsidP="009B1204">
            <w:pPr>
              <w:tabs>
                <w:tab w:val="num" w:pos="900"/>
              </w:tabs>
              <w:autoSpaceDE w:val="0"/>
              <w:autoSpaceDN w:val="0"/>
              <w:adjustRightInd w:val="0"/>
              <w:rPr>
                <w:rFonts w:cs="Arial"/>
                <w:color w:val="000000"/>
                <w:sz w:val="23"/>
                <w:szCs w:val="23"/>
                <w:lang w:eastAsia="en-GB"/>
              </w:rPr>
            </w:pPr>
            <w:r w:rsidRPr="00EE20FD">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EC06B2" w:rsidRPr="00EE20FD">
              <w:rPr>
                <w:rFonts w:cs="Arial"/>
                <w:color w:val="000000"/>
                <w:lang w:eastAsia="en-GB"/>
              </w:rPr>
              <w:t>job seeking</w:t>
            </w:r>
            <w:r w:rsidRPr="00EE20FD">
              <w:rPr>
                <w:rFonts w:cs="Arial"/>
                <w:color w:val="000000"/>
                <w:lang w:eastAsia="en-GB"/>
              </w:rPr>
              <w:t xml:space="preserve"> skills, or other material barriers like</w:t>
            </w:r>
            <w:r w:rsidRPr="009B1204">
              <w:rPr>
                <w:rFonts w:cs="Arial"/>
                <w:color w:val="000000"/>
                <w:sz w:val="23"/>
                <w:szCs w:val="23"/>
                <w:lang w:eastAsia="en-GB"/>
              </w:rPr>
              <w:t xml:space="preserve"> debt and working with them to tackle these barriers</w:t>
            </w:r>
            <w:r w:rsidR="00EE20FD">
              <w:rPr>
                <w:rFonts w:cs="Arial"/>
                <w:color w:val="000000"/>
                <w:sz w:val="23"/>
                <w:szCs w:val="23"/>
                <w:lang w:eastAsia="en-GB"/>
              </w:rPr>
              <w:t>)</w:t>
            </w:r>
            <w:r w:rsidRPr="009B1204">
              <w:rPr>
                <w:rFonts w:cs="Arial"/>
                <w:color w:val="000000"/>
                <w:sz w:val="23"/>
                <w:szCs w:val="23"/>
                <w:lang w:eastAsia="en-GB"/>
              </w:rPr>
              <w:t>.</w:t>
            </w:r>
          </w:p>
          <w:p w14:paraId="22125DF4" w14:textId="77777777" w:rsidR="00CE1031" w:rsidRDefault="00CE1031" w:rsidP="009B1204">
            <w:pPr>
              <w:tabs>
                <w:tab w:val="num" w:pos="900"/>
              </w:tabs>
              <w:autoSpaceDE w:val="0"/>
              <w:autoSpaceDN w:val="0"/>
              <w:adjustRightInd w:val="0"/>
              <w:rPr>
                <w:rFonts w:cs="Arial"/>
              </w:rPr>
            </w:pPr>
          </w:p>
          <w:p w14:paraId="22125DF5" w14:textId="77777777" w:rsidR="00CE1031" w:rsidRDefault="00CE1031" w:rsidP="00CE1031">
            <w:pPr>
              <w:rPr>
                <w:rFonts w:cs="Arial"/>
              </w:rPr>
            </w:pPr>
            <w:r w:rsidRPr="005A1D76">
              <w:rPr>
                <w:rFonts w:cs="Arial"/>
              </w:rPr>
              <w:t xml:space="preserve">The SFA is looking to procure </w:t>
            </w:r>
            <w:r w:rsidR="00784095">
              <w:rPr>
                <w:rFonts w:cs="Arial"/>
              </w:rPr>
              <w:t xml:space="preserve">two </w:t>
            </w:r>
            <w:r w:rsidRPr="005A1D76">
              <w:rPr>
                <w:rFonts w:cs="Arial"/>
              </w:rPr>
              <w:t>organisation</w:t>
            </w:r>
            <w:r w:rsidR="00784095">
              <w:rPr>
                <w:rFonts w:cs="Arial"/>
              </w:rPr>
              <w:t>s</w:t>
            </w:r>
            <w:r w:rsidRPr="005A1D76">
              <w:rPr>
                <w:rFonts w:cs="Arial"/>
              </w:rPr>
              <w:t xml:space="preserve"> to deliver education and training</w:t>
            </w:r>
            <w:r w:rsidRPr="005A1D76">
              <w:rPr>
                <w:lang w:eastAsia="en-GB"/>
              </w:rPr>
              <w:t xml:space="preserve"> that best support the needs of local employers and employees </w:t>
            </w:r>
            <w:r w:rsidRPr="005A1D76">
              <w:rPr>
                <w:rFonts w:cs="Arial"/>
              </w:rPr>
              <w:t>in the LEP area set out below.</w:t>
            </w:r>
          </w:p>
          <w:p w14:paraId="22125DF6" w14:textId="77777777" w:rsidR="00CE1031" w:rsidRDefault="00CE1031" w:rsidP="009B1204">
            <w:pPr>
              <w:tabs>
                <w:tab w:val="num" w:pos="900"/>
              </w:tabs>
              <w:autoSpaceDE w:val="0"/>
              <w:autoSpaceDN w:val="0"/>
              <w:adjustRightInd w:val="0"/>
              <w:rPr>
                <w:rFonts w:cs="Arial"/>
              </w:rPr>
            </w:pPr>
          </w:p>
          <w:p w14:paraId="22125DF7" w14:textId="77777777" w:rsidR="008316BC" w:rsidRDefault="00784095" w:rsidP="008316BC">
            <w:pPr>
              <w:rPr>
                <w:rFonts w:cs="Arial"/>
              </w:rPr>
            </w:pPr>
            <w:r>
              <w:t xml:space="preserve">Under </w:t>
            </w:r>
            <w:r w:rsidRPr="00784095">
              <w:t>this Inv</w:t>
            </w:r>
            <w:r>
              <w:t xml:space="preserve">itation to Tender the SFA is looking to procure two organisations to deliver the activities </w:t>
            </w:r>
            <w:r w:rsidR="00FE6D7A">
              <w:t xml:space="preserve">described </w:t>
            </w:r>
            <w:r>
              <w:t>in th</w:t>
            </w:r>
            <w:r w:rsidR="00FE6D7A">
              <w:t xml:space="preserve">is </w:t>
            </w:r>
            <w:r>
              <w:t xml:space="preserve">specification across the whole NELEP </w:t>
            </w:r>
            <w:r w:rsidR="00FE6D7A">
              <w:t xml:space="preserve">area </w:t>
            </w:r>
            <w:r w:rsidR="008316BC">
              <w:rPr>
                <w:rFonts w:cs="Arial"/>
              </w:rPr>
              <w:t xml:space="preserve">in both the </w:t>
            </w:r>
            <w:r w:rsidR="008316BC" w:rsidRPr="00E940C2">
              <w:rPr>
                <w:rFonts w:cs="Arial"/>
              </w:rPr>
              <w:t xml:space="preserve">Transitional and More Developed areas. </w:t>
            </w:r>
            <w:r w:rsidR="008316BC">
              <w:rPr>
                <w:rFonts w:cs="Arial"/>
              </w:rPr>
              <w:t xml:space="preserve"> </w:t>
            </w:r>
            <w:r w:rsidR="008316BC" w:rsidRPr="00E940C2">
              <w:rPr>
                <w:rFonts w:cs="Arial"/>
              </w:rPr>
              <w:t>ESIF budgets for Transitional and More Developed areas have to be accounted for separately</w:t>
            </w:r>
            <w:r w:rsidR="008316BC">
              <w:rPr>
                <w:rFonts w:cs="Arial"/>
              </w:rPr>
              <w:t>. F</w:t>
            </w:r>
            <w:r w:rsidR="008316BC" w:rsidRPr="00E940C2">
              <w:rPr>
                <w:rFonts w:cs="Arial"/>
              </w:rPr>
              <w:t xml:space="preserve">unding cannot be moved from the Transitional to the More Developed area or vice versa. </w:t>
            </w:r>
          </w:p>
          <w:p w14:paraId="22125DF8" w14:textId="77777777" w:rsidR="008316BC" w:rsidRDefault="008316BC" w:rsidP="008316BC">
            <w:pPr>
              <w:rPr>
                <w:rFonts w:cs="Arial"/>
              </w:rPr>
            </w:pPr>
          </w:p>
          <w:p w14:paraId="22125DF9" w14:textId="77777777" w:rsidR="008316BC" w:rsidRDefault="008316BC" w:rsidP="008316BC">
            <w:pPr>
              <w:rPr>
                <w:rFonts w:cs="Arial"/>
              </w:rPr>
            </w:pPr>
            <w:r>
              <w:rPr>
                <w:rFonts w:cs="Arial"/>
              </w:rPr>
              <w:t>Each successful organisation will have two contracts covering all of the activity, one for the Transitional Area and one for the More Developed Area</w:t>
            </w:r>
            <w:r w:rsidR="00FE6D7A">
              <w:rPr>
                <w:rFonts w:cs="Arial"/>
              </w:rPr>
              <w:t>.</w:t>
            </w:r>
            <w:r>
              <w:rPr>
                <w:rFonts w:cs="Arial"/>
              </w:rPr>
              <w:t xml:space="preserve"> </w:t>
            </w:r>
          </w:p>
          <w:p w14:paraId="22125DFA" w14:textId="77777777" w:rsidR="009B1204" w:rsidRPr="00CE1031" w:rsidRDefault="009B1204" w:rsidP="008316BC">
            <w:pPr>
              <w:tabs>
                <w:tab w:val="num" w:pos="900"/>
              </w:tabs>
              <w:autoSpaceDE w:val="0"/>
              <w:autoSpaceDN w:val="0"/>
              <w:adjustRightInd w:val="0"/>
              <w:rPr>
                <w:rFonts w:cs="Arial"/>
              </w:rPr>
            </w:pPr>
          </w:p>
          <w:p w14:paraId="22125DFB" w14:textId="77777777" w:rsidR="002833D9" w:rsidRDefault="005953E4" w:rsidP="00A524B5">
            <w:pPr>
              <w:rPr>
                <w:rFonts w:cs="Arial"/>
                <w:b/>
              </w:rPr>
            </w:pPr>
            <w:r w:rsidRPr="005953E4">
              <w:rPr>
                <w:rFonts w:cs="Arial"/>
                <w:b/>
              </w:rPr>
              <w:t>North Eastern</w:t>
            </w:r>
            <w:r w:rsidR="000304B2">
              <w:rPr>
                <w:rFonts w:cs="Arial"/>
                <w:b/>
              </w:rPr>
              <w:t xml:space="preserve"> Local </w:t>
            </w:r>
            <w:r w:rsidR="00A76A58">
              <w:rPr>
                <w:rFonts w:cs="Arial"/>
                <w:b/>
              </w:rPr>
              <w:t>Enterprise Partnership</w:t>
            </w:r>
            <w:r w:rsidR="00F24C41">
              <w:rPr>
                <w:rFonts w:cs="Arial"/>
                <w:b/>
              </w:rPr>
              <w:t xml:space="preserve"> Background</w:t>
            </w:r>
          </w:p>
          <w:p w14:paraId="22125DFC" w14:textId="77777777" w:rsidR="000D51DE" w:rsidRPr="000D51DE" w:rsidRDefault="000D51DE" w:rsidP="00A524B5">
            <w:pPr>
              <w:rPr>
                <w:rFonts w:cs="Arial"/>
              </w:rPr>
            </w:pPr>
          </w:p>
          <w:p w14:paraId="22125DFD" w14:textId="77777777" w:rsidR="007A236E" w:rsidRPr="007A236E" w:rsidRDefault="007A236E" w:rsidP="007A236E">
            <w:pPr>
              <w:rPr>
                <w:rFonts w:cs="Arial"/>
              </w:rPr>
            </w:pPr>
            <w:r w:rsidRPr="007A236E">
              <w:rPr>
                <w:rFonts w:cs="Arial"/>
              </w:rPr>
              <w:t>The North East Enterprise Partnership’s Strategic Economic Plan sets out the growth ambitions for the next 10 years providing a clear focus on realising the potential of the whole of the North East, setting out the framework for their Growth Deal with Government and directs the resources within their agreed European Structural Investment Fund (ESIF) strategy.</w:t>
            </w:r>
          </w:p>
          <w:p w14:paraId="22125DFE" w14:textId="77777777" w:rsidR="007A236E" w:rsidRPr="007A236E" w:rsidRDefault="007A236E" w:rsidP="007A236E">
            <w:pPr>
              <w:rPr>
                <w:rFonts w:cs="Arial"/>
              </w:rPr>
            </w:pPr>
          </w:p>
          <w:p w14:paraId="22125DFF" w14:textId="77777777" w:rsidR="007A236E" w:rsidRDefault="007A236E" w:rsidP="007A236E">
            <w:pPr>
              <w:rPr>
                <w:rFonts w:cs="Arial"/>
                <w:color w:val="262626"/>
              </w:rPr>
            </w:pPr>
            <w:r w:rsidRPr="007A236E">
              <w:rPr>
                <w:rFonts w:cs="Arial"/>
              </w:rPr>
              <w:t>Following the North East Economic Review the Combined Authority and NE</w:t>
            </w:r>
            <w:r w:rsidR="00EE20FD">
              <w:rPr>
                <w:rFonts w:cs="Arial"/>
              </w:rPr>
              <w:t xml:space="preserve"> </w:t>
            </w:r>
            <w:r w:rsidRPr="007A236E">
              <w:rPr>
                <w:rFonts w:cs="Arial"/>
              </w:rPr>
              <w:t xml:space="preserve">LEP agreed 5 priorities, namely promoting the region, doubling apprenticeship numbers, development </w:t>
            </w:r>
            <w:r w:rsidRPr="007A236E">
              <w:rPr>
                <w:rFonts w:cs="Arial"/>
              </w:rPr>
              <w:lastRenderedPageBreak/>
              <w:t xml:space="preserve">of strong innovation and growth clusters, major improvements in transportation and infrastructure and strong public sector institutions to foster the right conditions for growth to boost innovation, skills, </w:t>
            </w:r>
            <w:r w:rsidR="00EC06B2" w:rsidRPr="007A236E">
              <w:rPr>
                <w:rFonts w:cs="Arial"/>
              </w:rPr>
              <w:t>and enterprise</w:t>
            </w:r>
            <w:r w:rsidRPr="007A236E">
              <w:rPr>
                <w:rFonts w:cs="Arial"/>
              </w:rPr>
              <w:t xml:space="preserve"> to accelerate growth.  However, in order to achieve full economic potential the area must also tackle its challenges</w:t>
            </w:r>
            <w:r>
              <w:rPr>
                <w:rFonts w:cs="Arial"/>
              </w:rPr>
              <w:t>:</w:t>
            </w:r>
          </w:p>
          <w:p w14:paraId="22125E00" w14:textId="77777777" w:rsidR="007A236E" w:rsidRDefault="007A236E" w:rsidP="007A236E">
            <w:pPr>
              <w:rPr>
                <w:rFonts w:cs="Arial"/>
                <w:color w:val="262626"/>
              </w:rPr>
            </w:pPr>
          </w:p>
          <w:p w14:paraId="22125E01" w14:textId="77777777" w:rsidR="00FB6655" w:rsidRPr="003B1988" w:rsidRDefault="007A236E" w:rsidP="007A236E">
            <w:pPr>
              <w:rPr>
                <w:rFonts w:cs="Arial"/>
                <w:color w:val="262626"/>
              </w:rPr>
            </w:pPr>
            <w:r w:rsidRPr="00EE20FD">
              <w:rPr>
                <w:rFonts w:cs="Arial"/>
              </w:rPr>
              <w:t>Unem</w:t>
            </w:r>
            <w:r w:rsidR="00FB6655" w:rsidRPr="00EE20FD">
              <w:rPr>
                <w:rFonts w:cs="Arial"/>
              </w:rPr>
              <w:t>ployment in the North East LEP area remains relatively high and employment low in comparison to other areas</w:t>
            </w:r>
            <w:r w:rsidRPr="00EE20FD">
              <w:rPr>
                <w:rFonts w:cs="Arial"/>
              </w:rPr>
              <w:t xml:space="preserve">.  </w:t>
            </w:r>
            <w:r w:rsidR="00EE20FD">
              <w:rPr>
                <w:rFonts w:cs="Arial"/>
              </w:rPr>
              <w:t>O</w:t>
            </w:r>
            <w:r w:rsidR="00FB6655" w:rsidRPr="00EE20FD">
              <w:rPr>
                <w:rFonts w:cs="Arial"/>
              </w:rPr>
              <w:t xml:space="preserve">nly 68.9% of 16-64 year olds are in employment compared to the national average of 73.1%. Lower employment </w:t>
            </w:r>
            <w:r w:rsidR="003B1988" w:rsidRPr="00EE20FD">
              <w:rPr>
                <w:rFonts w:cs="Arial"/>
              </w:rPr>
              <w:t>and higher levels of inactivity</w:t>
            </w:r>
            <w:r w:rsidR="00FB6655" w:rsidRPr="00EE20FD">
              <w:rPr>
                <w:rFonts w:cs="Arial"/>
              </w:rPr>
              <w:t xml:space="preserve"> hold back both economic growth and reduce social inclusion.  Indeed, levels of deprivation in the area are relatively high</w:t>
            </w:r>
            <w:r w:rsidRPr="00EE20FD">
              <w:rPr>
                <w:rFonts w:cs="Arial"/>
              </w:rPr>
              <w:t>;</w:t>
            </w:r>
            <w:r w:rsidR="00FB6655" w:rsidRPr="00EE20FD">
              <w:rPr>
                <w:rFonts w:cs="Arial"/>
              </w:rPr>
              <w:t xml:space="preserve"> with the North East LEP area ranked as the 10</w:t>
            </w:r>
            <w:r w:rsidR="00FB6655" w:rsidRPr="00EE20FD">
              <w:rPr>
                <w:rFonts w:cs="Arial"/>
                <w:vertAlign w:val="superscript"/>
              </w:rPr>
              <w:t>th</w:t>
            </w:r>
            <w:r w:rsidR="00FB6655" w:rsidRPr="00EE20FD">
              <w:rPr>
                <w:rFonts w:cs="Arial"/>
              </w:rPr>
              <w:t xml:space="preserve"> most deprived partnership area out of the 39 LEP areas according to the Index of Multiple Deprivation</w:t>
            </w:r>
            <w:r w:rsidR="00FB6655" w:rsidRPr="003B1988">
              <w:rPr>
                <w:rFonts w:cs="Arial"/>
                <w:color w:val="262626"/>
              </w:rPr>
              <w:t xml:space="preserve">.  </w:t>
            </w:r>
          </w:p>
          <w:p w14:paraId="22125E02" w14:textId="77777777" w:rsidR="00FB6655" w:rsidRPr="003B1988" w:rsidRDefault="00FB6655" w:rsidP="00FB6655">
            <w:pPr>
              <w:rPr>
                <w:rFonts w:cs="Arial"/>
                <w:color w:val="262626"/>
              </w:rPr>
            </w:pPr>
          </w:p>
          <w:p w14:paraId="22125E03" w14:textId="77777777" w:rsidR="00FB6655" w:rsidRPr="003B1988" w:rsidRDefault="00EE20FD" w:rsidP="00FB6655">
            <w:pPr>
              <w:rPr>
                <w:rFonts w:cs="Arial"/>
              </w:rPr>
            </w:pPr>
            <w:r>
              <w:rPr>
                <w:rFonts w:cs="Arial"/>
                <w:color w:val="262626"/>
              </w:rPr>
              <w:t>Furthermore,</w:t>
            </w:r>
            <w:r w:rsidR="00FB6655" w:rsidRPr="003B1988">
              <w:rPr>
                <w:rFonts w:cs="Arial"/>
                <w:color w:val="262626"/>
              </w:rPr>
              <w:t xml:space="preserve"> 22.6% of people are considered to be below the poverty threshold.  </w:t>
            </w:r>
            <w:r w:rsidR="00FB6655" w:rsidRPr="003B1988">
              <w:rPr>
                <w:rFonts w:cs="Arial"/>
              </w:rPr>
              <w:t>Individuals face a range of complex and multiple barriers to employment which are highly context-specific</w:t>
            </w:r>
            <w:r>
              <w:rPr>
                <w:rFonts w:cs="Arial"/>
              </w:rPr>
              <w:t>;</w:t>
            </w:r>
            <w:r w:rsidR="00FB6655" w:rsidRPr="003B1988">
              <w:rPr>
                <w:rFonts w:cs="Arial"/>
              </w:rPr>
              <w:t xml:space="preserve"> including physical and digital connectivity, cost and availability of appropriate training to develop relevant skills, capabilities and qualifications, and access to finance. These issues, combined with limited work experience opportunities, can result in low levels of confidence and work readiness. Similar challenges around poor physical and mental health and digital skills also act as major barriers. The impact and interplay of each of these is complex and varies for each individual resulting in the need for a person centred approach to support progress towards and into work. </w:t>
            </w:r>
          </w:p>
          <w:p w14:paraId="22125E04" w14:textId="77777777" w:rsidR="00FB6655" w:rsidRPr="003B1988" w:rsidRDefault="00FB6655" w:rsidP="00FB6655">
            <w:pPr>
              <w:rPr>
                <w:rFonts w:cs="Arial"/>
              </w:rPr>
            </w:pPr>
          </w:p>
          <w:p w14:paraId="22125E05" w14:textId="77777777" w:rsidR="00FB6655" w:rsidRPr="003B1988" w:rsidRDefault="00FB6655" w:rsidP="00FB6655">
            <w:pPr>
              <w:rPr>
                <w:rFonts w:cs="Arial"/>
              </w:rPr>
            </w:pPr>
            <w:r w:rsidRPr="003B1988">
              <w:rPr>
                <w:rFonts w:cs="Arial"/>
              </w:rPr>
              <w:t xml:space="preserve">These factors, although widespread, are particularly visible and concentrated for individuals with particular characteristics resulting in disproportionally poorer job outcomes including those who: </w:t>
            </w:r>
          </w:p>
          <w:p w14:paraId="22125E06" w14:textId="77777777" w:rsidR="00FB6655" w:rsidRPr="003B1988" w:rsidRDefault="00FB6655" w:rsidP="00FB6655">
            <w:pPr>
              <w:rPr>
                <w:rFonts w:cs="Arial"/>
              </w:rPr>
            </w:pPr>
          </w:p>
          <w:p w14:paraId="22125E07" w14:textId="77777777" w:rsidR="00FB6655" w:rsidRPr="003B1988" w:rsidRDefault="00FB6655" w:rsidP="003B1988">
            <w:pPr>
              <w:pStyle w:val="NormalWeb"/>
              <w:numPr>
                <w:ilvl w:val="0"/>
                <w:numId w:val="32"/>
              </w:numPr>
              <w:spacing w:before="0" w:beforeAutospacing="0" w:after="0" w:afterAutospacing="0" w:line="240" w:lineRule="auto"/>
              <w:jc w:val="left"/>
              <w:rPr>
                <w:rFonts w:ascii="Arial" w:hAnsi="Arial" w:cs="Arial"/>
                <w:sz w:val="24"/>
              </w:rPr>
            </w:pPr>
            <w:r w:rsidRPr="003B1988">
              <w:rPr>
                <w:rFonts w:ascii="Arial" w:hAnsi="Arial" w:cs="Arial"/>
                <w:sz w:val="24"/>
              </w:rPr>
              <w:t>are Employment Support Allowance claimants</w:t>
            </w:r>
          </w:p>
          <w:p w14:paraId="22125E08" w14:textId="77777777" w:rsidR="00FB6655" w:rsidRPr="003B1988" w:rsidRDefault="00FB6655" w:rsidP="003B1988">
            <w:pPr>
              <w:pStyle w:val="NormalWeb"/>
              <w:numPr>
                <w:ilvl w:val="0"/>
                <w:numId w:val="32"/>
              </w:numPr>
              <w:spacing w:line="240" w:lineRule="auto"/>
              <w:jc w:val="left"/>
              <w:rPr>
                <w:rFonts w:ascii="Arial" w:hAnsi="Arial" w:cs="Arial"/>
                <w:sz w:val="24"/>
              </w:rPr>
            </w:pPr>
            <w:r w:rsidRPr="003B1988">
              <w:rPr>
                <w:rFonts w:ascii="Arial" w:hAnsi="Arial" w:cs="Arial"/>
                <w:sz w:val="24"/>
              </w:rPr>
              <w:t>are aged 50+</w:t>
            </w:r>
          </w:p>
          <w:p w14:paraId="22125E09" w14:textId="77777777" w:rsidR="00FB6655" w:rsidRPr="003B1988" w:rsidRDefault="00FB6655" w:rsidP="003B1988">
            <w:pPr>
              <w:pStyle w:val="NormalWeb"/>
              <w:numPr>
                <w:ilvl w:val="0"/>
                <w:numId w:val="32"/>
              </w:numPr>
              <w:spacing w:line="240" w:lineRule="auto"/>
              <w:jc w:val="left"/>
              <w:rPr>
                <w:rFonts w:ascii="Arial" w:hAnsi="Arial" w:cs="Arial"/>
                <w:sz w:val="24"/>
              </w:rPr>
            </w:pPr>
            <w:r w:rsidRPr="003B1988">
              <w:rPr>
                <w:rFonts w:ascii="Arial" w:hAnsi="Arial" w:cs="Arial"/>
                <w:sz w:val="24"/>
              </w:rPr>
              <w:t>have a physical or mental health condition or disability</w:t>
            </w:r>
          </w:p>
          <w:p w14:paraId="22125E0A" w14:textId="77777777" w:rsidR="00FB6655" w:rsidRPr="003B1988" w:rsidRDefault="00FB6655" w:rsidP="003B1988">
            <w:pPr>
              <w:pStyle w:val="NormalWeb"/>
              <w:numPr>
                <w:ilvl w:val="0"/>
                <w:numId w:val="32"/>
              </w:numPr>
              <w:spacing w:line="240" w:lineRule="auto"/>
              <w:jc w:val="left"/>
              <w:rPr>
                <w:rFonts w:ascii="Arial" w:hAnsi="Arial" w:cs="Arial"/>
                <w:sz w:val="24"/>
              </w:rPr>
            </w:pPr>
            <w:r w:rsidRPr="003B1988">
              <w:rPr>
                <w:rFonts w:ascii="Arial" w:hAnsi="Arial" w:cs="Arial"/>
                <w:sz w:val="24"/>
              </w:rPr>
              <w:t>live in a deprived area</w:t>
            </w:r>
          </w:p>
          <w:p w14:paraId="22125E0B" w14:textId="77777777" w:rsidR="00FB6655" w:rsidRPr="003B1988" w:rsidRDefault="00FB6655" w:rsidP="003B1988">
            <w:pPr>
              <w:pStyle w:val="NormalWeb"/>
              <w:numPr>
                <w:ilvl w:val="0"/>
                <w:numId w:val="32"/>
              </w:numPr>
              <w:spacing w:line="240" w:lineRule="auto"/>
              <w:jc w:val="left"/>
              <w:rPr>
                <w:rFonts w:ascii="Arial" w:hAnsi="Arial" w:cs="Arial"/>
                <w:sz w:val="24"/>
              </w:rPr>
            </w:pPr>
            <w:r w:rsidRPr="003B1988">
              <w:rPr>
                <w:rFonts w:ascii="Arial" w:hAnsi="Arial" w:cs="Arial"/>
                <w:sz w:val="24"/>
              </w:rPr>
              <w:t>are longer term unemployed (including Work Programme completers)</w:t>
            </w:r>
          </w:p>
          <w:p w14:paraId="22125E0C" w14:textId="77777777" w:rsidR="00FB6655" w:rsidRPr="003B1988" w:rsidRDefault="00FB6655" w:rsidP="003B1988">
            <w:pPr>
              <w:pStyle w:val="NormalWeb"/>
              <w:numPr>
                <w:ilvl w:val="0"/>
                <w:numId w:val="32"/>
              </w:numPr>
              <w:spacing w:line="240" w:lineRule="auto"/>
              <w:jc w:val="left"/>
              <w:rPr>
                <w:rFonts w:ascii="Arial" w:hAnsi="Arial" w:cs="Arial"/>
                <w:sz w:val="24"/>
              </w:rPr>
            </w:pPr>
            <w:r w:rsidRPr="003B1988">
              <w:rPr>
                <w:rFonts w:ascii="Arial" w:hAnsi="Arial" w:cs="Arial"/>
                <w:sz w:val="24"/>
              </w:rPr>
              <w:t>are from a BME background</w:t>
            </w:r>
          </w:p>
          <w:p w14:paraId="22125E0D" w14:textId="77777777" w:rsidR="00FB6655" w:rsidRPr="003B1988" w:rsidRDefault="00FB6655" w:rsidP="003B1988">
            <w:pPr>
              <w:pStyle w:val="NormalWeb"/>
              <w:numPr>
                <w:ilvl w:val="0"/>
                <w:numId w:val="32"/>
              </w:numPr>
              <w:spacing w:line="240" w:lineRule="auto"/>
              <w:jc w:val="left"/>
              <w:rPr>
                <w:rFonts w:ascii="Arial" w:hAnsi="Arial" w:cs="Arial"/>
                <w:b/>
                <w:sz w:val="24"/>
              </w:rPr>
            </w:pPr>
            <w:r w:rsidRPr="003B1988">
              <w:rPr>
                <w:rFonts w:ascii="Arial" w:hAnsi="Arial" w:cs="Arial"/>
                <w:sz w:val="24"/>
              </w:rPr>
              <w:t>are women</w:t>
            </w:r>
          </w:p>
          <w:p w14:paraId="22125E0E" w14:textId="77777777" w:rsidR="00FB6655" w:rsidRPr="003B1988" w:rsidRDefault="00FB6655" w:rsidP="00FB6655">
            <w:pPr>
              <w:rPr>
                <w:rFonts w:cs="Arial"/>
              </w:rPr>
            </w:pPr>
            <w:r w:rsidRPr="003B1988">
              <w:rPr>
                <w:rFonts w:cs="Arial"/>
              </w:rPr>
              <w:t>Jobseekers and inactive people with these disadvantages are less likely to be able to benefit from local jobs growth and need additional support. Local research indicates those with multiple barriers to work need more intensive and specialist support through integrated service approaches.</w:t>
            </w:r>
          </w:p>
          <w:p w14:paraId="22125E0F" w14:textId="77777777" w:rsidR="003B1988" w:rsidRPr="003B1988" w:rsidRDefault="003B1988" w:rsidP="00FB6655">
            <w:pPr>
              <w:rPr>
                <w:rFonts w:cs="Arial"/>
              </w:rPr>
            </w:pPr>
          </w:p>
          <w:p w14:paraId="22125E10" w14:textId="77777777" w:rsidR="003B1988" w:rsidRPr="003B1988" w:rsidRDefault="003B1988" w:rsidP="003B1988">
            <w:pPr>
              <w:rPr>
                <w:rFonts w:cs="Arial"/>
              </w:rPr>
            </w:pPr>
            <w:r w:rsidRPr="003B1988">
              <w:rPr>
                <w:rFonts w:cs="Arial"/>
              </w:rPr>
              <w:t>Consequently activities to improve employment, employability skills and opportunities for self-employment are essential.  Actions supported through our ESIF Strategy (</w:t>
            </w:r>
            <w:r>
              <w:rPr>
                <w:rFonts w:cs="Arial"/>
              </w:rPr>
              <w:t>investment priority</w:t>
            </w:r>
            <w:r w:rsidRPr="003B1988">
              <w:rPr>
                <w:rFonts w:cs="Arial"/>
              </w:rPr>
              <w:t xml:space="preserve"> 1.1: Access to employment for job seekers and inactive people) include:</w:t>
            </w:r>
          </w:p>
          <w:p w14:paraId="22125E11" w14:textId="77777777" w:rsidR="003B1988" w:rsidRPr="003B1988" w:rsidRDefault="00FB6655" w:rsidP="003B1988">
            <w:pPr>
              <w:numPr>
                <w:ilvl w:val="0"/>
                <w:numId w:val="31"/>
              </w:numPr>
              <w:spacing w:before="100" w:beforeAutospacing="1" w:after="100" w:afterAutospacing="1"/>
              <w:rPr>
                <w:rFonts w:cs="Arial"/>
                <w:lang w:eastAsia="en-GB"/>
              </w:rPr>
            </w:pPr>
            <w:r w:rsidRPr="003B1988">
              <w:rPr>
                <w:rFonts w:cs="Arial"/>
                <w:lang w:eastAsia="en-GB"/>
              </w:rPr>
              <w:t>Provid</w:t>
            </w:r>
            <w:r w:rsidR="003B1988" w:rsidRPr="003B1988">
              <w:rPr>
                <w:rFonts w:cs="Arial"/>
                <w:lang w:eastAsia="en-GB"/>
              </w:rPr>
              <w:t>e</w:t>
            </w:r>
            <w:r w:rsidRPr="003B1988">
              <w:rPr>
                <w:rFonts w:cs="Arial"/>
                <w:lang w:eastAsia="en-GB"/>
              </w:rPr>
              <w:t xml:space="preserve"> access to labour market, programmes of engagement &amp; employability skills provision supporting unemployed/inactive to participate in activities leading to sustainable employment, including apprenticeships. This will include locally responsive and intelligent Informati</w:t>
            </w:r>
            <w:r w:rsidR="003B1988" w:rsidRPr="003B1988">
              <w:rPr>
                <w:rFonts w:cs="Arial"/>
                <w:lang w:eastAsia="en-GB"/>
              </w:rPr>
              <w:t>on, Advice and Guidance service</w:t>
            </w:r>
          </w:p>
          <w:p w14:paraId="22125E12" w14:textId="77777777" w:rsidR="003B1988" w:rsidRPr="003B1988" w:rsidRDefault="00FB6655" w:rsidP="003B1988">
            <w:pPr>
              <w:numPr>
                <w:ilvl w:val="0"/>
                <w:numId w:val="31"/>
              </w:numPr>
              <w:spacing w:before="100" w:beforeAutospacing="1" w:after="100" w:afterAutospacing="1"/>
              <w:rPr>
                <w:rFonts w:cs="Arial"/>
                <w:lang w:eastAsia="en-GB"/>
              </w:rPr>
            </w:pPr>
            <w:r w:rsidRPr="003B1988">
              <w:rPr>
                <w:rFonts w:cs="Arial"/>
                <w:lang w:eastAsia="en-GB"/>
              </w:rPr>
              <w:lastRenderedPageBreak/>
              <w:t>Support for individuals with health issues, including mental health, target groups and interventions tailored to individuals with protected characteristics</w:t>
            </w:r>
          </w:p>
          <w:p w14:paraId="22125E13" w14:textId="77777777" w:rsidR="00FB6655" w:rsidRPr="003B1988" w:rsidRDefault="00FB6655" w:rsidP="003B1988">
            <w:pPr>
              <w:numPr>
                <w:ilvl w:val="0"/>
                <w:numId w:val="31"/>
              </w:numPr>
              <w:spacing w:before="100" w:beforeAutospacing="1" w:after="100" w:afterAutospacing="1"/>
              <w:rPr>
                <w:rFonts w:cs="Arial"/>
                <w:lang w:eastAsia="en-GB"/>
              </w:rPr>
            </w:pPr>
            <w:r w:rsidRPr="003B1988">
              <w:rPr>
                <w:rFonts w:cs="Arial"/>
                <w:lang w:eastAsia="en-GB"/>
              </w:rPr>
              <w:t>Support individuals completing work programme but are not in employment.</w:t>
            </w:r>
          </w:p>
          <w:p w14:paraId="22125E14" w14:textId="77777777" w:rsidR="00FB6655" w:rsidRPr="00D3235F" w:rsidRDefault="003B1988" w:rsidP="00FB6655">
            <w:pPr>
              <w:rPr>
                <w:rFonts w:cs="Arial"/>
              </w:rPr>
            </w:pPr>
            <w:r w:rsidRPr="00D3235F">
              <w:rPr>
                <w:rFonts w:cs="Arial"/>
              </w:rPr>
              <w:t xml:space="preserve">This Invitation to Tender focusses on providing activity and support under item 1 above.  </w:t>
            </w:r>
          </w:p>
          <w:p w14:paraId="22125E15" w14:textId="77777777" w:rsidR="000D51DE" w:rsidRPr="003B1988" w:rsidRDefault="000D51DE" w:rsidP="00FB6655">
            <w:pPr>
              <w:rPr>
                <w:rFonts w:cs="Arial"/>
                <w:lang w:eastAsia="en-GB"/>
              </w:rPr>
            </w:pPr>
          </w:p>
          <w:p w14:paraId="22125E16" w14:textId="77777777" w:rsidR="00E07FB4" w:rsidRPr="00124A2C" w:rsidRDefault="00E07FB4" w:rsidP="00E07FB4">
            <w:pPr>
              <w:pStyle w:val="Default"/>
            </w:pPr>
            <w:r w:rsidRPr="00124A2C">
              <w:t>Activity provided through this contract will be a key mechanism to deliver against these key actions and to assist the North East LEP area in achieving its goals.  More information about the NE LEP area strategic plans can be found at:</w:t>
            </w:r>
          </w:p>
          <w:p w14:paraId="22125E17" w14:textId="77777777" w:rsidR="00E07FB4" w:rsidRPr="00124A2C" w:rsidRDefault="00E07FB4" w:rsidP="00E07FB4">
            <w:pPr>
              <w:pStyle w:val="Default"/>
            </w:pPr>
            <w:r w:rsidRPr="00124A2C">
              <w:t xml:space="preserve"> </w:t>
            </w:r>
          </w:p>
          <w:p w14:paraId="22125E18" w14:textId="77777777" w:rsidR="00E07FB4" w:rsidRPr="00124A2C" w:rsidRDefault="007936B0" w:rsidP="00E07FB4">
            <w:pPr>
              <w:pStyle w:val="Default"/>
            </w:pPr>
            <w:hyperlink r:id="rId15" w:history="1">
              <w:r w:rsidR="00E07FB4" w:rsidRPr="00124A2C">
                <w:rPr>
                  <w:rStyle w:val="Hyperlink"/>
                  <w:sz w:val="24"/>
                  <w:szCs w:val="24"/>
                </w:rPr>
                <w:t>http://nelep.co.uk/strategy/strategic-economic-plan/</w:t>
              </w:r>
            </w:hyperlink>
          </w:p>
          <w:p w14:paraId="22125E19" w14:textId="77777777" w:rsidR="00E07FB4" w:rsidRPr="00124A2C" w:rsidRDefault="007936B0" w:rsidP="00E07FB4">
            <w:pPr>
              <w:autoSpaceDE w:val="0"/>
              <w:autoSpaceDN w:val="0"/>
              <w:adjustRightInd w:val="0"/>
            </w:pPr>
            <w:hyperlink r:id="rId16" w:history="1">
              <w:r w:rsidR="00E07FB4" w:rsidRPr="00124A2C">
                <w:rPr>
                  <w:rStyle w:val="Hyperlink"/>
                  <w:sz w:val="24"/>
                  <w:szCs w:val="24"/>
                </w:rPr>
                <w:t>http://nelep.co.uk/whatwedo/european-strategy/</w:t>
              </w:r>
            </w:hyperlink>
            <w:r w:rsidR="00E07FB4" w:rsidRPr="00124A2C">
              <w:t xml:space="preserve">  </w:t>
            </w:r>
          </w:p>
          <w:p w14:paraId="22125E1A" w14:textId="77777777" w:rsidR="00E07FB4" w:rsidRPr="00124A2C" w:rsidRDefault="00E07FB4" w:rsidP="00E07FB4">
            <w:pPr>
              <w:autoSpaceDE w:val="0"/>
              <w:autoSpaceDN w:val="0"/>
              <w:adjustRightInd w:val="0"/>
            </w:pPr>
          </w:p>
          <w:p w14:paraId="22125E1B" w14:textId="77777777" w:rsidR="003B1988" w:rsidRPr="002833D9" w:rsidRDefault="003B1988" w:rsidP="00E07FB4">
            <w:pPr>
              <w:rPr>
                <w:rFonts w:cs="Arial"/>
                <w:lang w:eastAsia="en-GB"/>
              </w:rPr>
            </w:pPr>
          </w:p>
        </w:tc>
      </w:tr>
      <w:tr w:rsidR="00967429" w14:paraId="22125E1E" w14:textId="77777777" w:rsidTr="0090573A">
        <w:trPr>
          <w:trHeight w:val="567"/>
        </w:trPr>
        <w:tc>
          <w:tcPr>
            <w:tcW w:w="9088" w:type="dxa"/>
            <w:shd w:val="clear" w:color="auto" w:fill="D9D9D9" w:themeFill="background1" w:themeFillShade="D9"/>
            <w:vAlign w:val="center"/>
          </w:tcPr>
          <w:p w14:paraId="22125E1D"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22125E3E" w14:textId="77777777" w:rsidTr="00D3235F">
        <w:tc>
          <w:tcPr>
            <w:tcW w:w="9088" w:type="dxa"/>
          </w:tcPr>
          <w:p w14:paraId="22125E1F" w14:textId="77777777" w:rsidR="002E25F4" w:rsidRDefault="002E25F4" w:rsidP="00A524B5">
            <w:pPr>
              <w:rPr>
                <w:rFonts w:cs="Arial"/>
                <w:i/>
              </w:rPr>
            </w:pPr>
          </w:p>
          <w:p w14:paraId="22125E20"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22125E21" w14:textId="77777777" w:rsidR="005C44C5" w:rsidRDefault="005C44C5" w:rsidP="000304B2">
            <w:pPr>
              <w:ind w:left="360" w:hanging="360"/>
              <w:rPr>
                <w:b/>
              </w:rPr>
            </w:pPr>
          </w:p>
          <w:p w14:paraId="22125E22"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22125E23" w14:textId="77777777" w:rsidR="000304B2" w:rsidRPr="005A1D76" w:rsidRDefault="000304B2" w:rsidP="000304B2">
            <w:pPr>
              <w:ind w:left="360" w:hanging="360"/>
              <w:rPr>
                <w:b/>
              </w:rPr>
            </w:pPr>
          </w:p>
          <w:p w14:paraId="22125E24"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22125E25" w14:textId="77777777" w:rsidR="000304B2" w:rsidRPr="005A1D76" w:rsidRDefault="000304B2" w:rsidP="000304B2">
            <w:pPr>
              <w:ind w:left="360" w:hanging="360"/>
              <w:rPr>
                <w:b/>
              </w:rPr>
            </w:pPr>
          </w:p>
          <w:p w14:paraId="22125E26"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22125E27" w14:textId="77777777" w:rsidR="00AA0B4C" w:rsidRDefault="00AA0B4C" w:rsidP="00AA0B4C">
            <w:pPr>
              <w:autoSpaceDE w:val="0"/>
              <w:autoSpaceDN w:val="0"/>
              <w:adjustRightInd w:val="0"/>
              <w:ind w:left="360" w:hanging="360"/>
            </w:pPr>
          </w:p>
          <w:p w14:paraId="22125E28"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22125E29" w14:textId="77777777" w:rsidR="008E2A7B" w:rsidRDefault="008E2A7B" w:rsidP="000304B2">
            <w:pPr>
              <w:autoSpaceDE w:val="0"/>
              <w:autoSpaceDN w:val="0"/>
              <w:adjustRightInd w:val="0"/>
              <w:ind w:left="360" w:hanging="360"/>
              <w:rPr>
                <w:b/>
              </w:rPr>
            </w:pPr>
          </w:p>
          <w:p w14:paraId="22125E2A"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22125E2B" w14:textId="77777777" w:rsidR="003A723F" w:rsidRDefault="003A723F" w:rsidP="005A1D76">
            <w:pPr>
              <w:autoSpaceDE w:val="0"/>
              <w:autoSpaceDN w:val="0"/>
              <w:adjustRightInd w:val="0"/>
            </w:pPr>
          </w:p>
          <w:p w14:paraId="22125E2C" w14:textId="77777777" w:rsidR="005C5B32" w:rsidRDefault="005C5B32" w:rsidP="0090573A">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22125E2D" w14:textId="77777777" w:rsidR="005C5B32" w:rsidRDefault="005C5B32" w:rsidP="005A1D76">
            <w:pPr>
              <w:autoSpaceDE w:val="0"/>
              <w:autoSpaceDN w:val="0"/>
              <w:adjustRightInd w:val="0"/>
            </w:pPr>
          </w:p>
          <w:p w14:paraId="22125E2E"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22125E2F" w14:textId="77777777" w:rsidR="005C5B32" w:rsidRPr="005A1D76" w:rsidRDefault="005C5B32" w:rsidP="005A1D76">
            <w:pPr>
              <w:autoSpaceDE w:val="0"/>
              <w:autoSpaceDN w:val="0"/>
              <w:adjustRightInd w:val="0"/>
            </w:pPr>
          </w:p>
          <w:p w14:paraId="22125E30"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2125E31" w14:textId="77777777" w:rsidR="000304B2" w:rsidRPr="005A1D76" w:rsidRDefault="000304B2" w:rsidP="000304B2">
            <w:pPr>
              <w:autoSpaceDE w:val="0"/>
              <w:autoSpaceDN w:val="0"/>
              <w:adjustRightInd w:val="0"/>
              <w:ind w:left="360" w:hanging="360"/>
            </w:pPr>
          </w:p>
          <w:p w14:paraId="22125E32"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22125E33" w14:textId="77777777" w:rsidR="000304B2" w:rsidRPr="005A1D76" w:rsidRDefault="000304B2" w:rsidP="00C107CE">
            <w:pPr>
              <w:autoSpaceDE w:val="0"/>
              <w:autoSpaceDN w:val="0"/>
              <w:adjustRightInd w:val="0"/>
              <w:ind w:left="360" w:hanging="360"/>
            </w:pPr>
          </w:p>
          <w:p w14:paraId="22125E34"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22125E35" w14:textId="77777777" w:rsidR="000304B2" w:rsidRPr="005A1D76" w:rsidRDefault="000304B2" w:rsidP="000304B2">
            <w:pPr>
              <w:autoSpaceDE w:val="0"/>
              <w:autoSpaceDN w:val="0"/>
              <w:adjustRightInd w:val="0"/>
              <w:ind w:left="360" w:hanging="360"/>
            </w:pPr>
          </w:p>
          <w:p w14:paraId="22125E36" w14:textId="00A2BECD" w:rsidR="000304B2" w:rsidRPr="005A1D76" w:rsidRDefault="008E78C4" w:rsidP="000304B2">
            <w:pPr>
              <w:autoSpaceDE w:val="0"/>
              <w:autoSpaceDN w:val="0"/>
              <w:adjustRightInd w:val="0"/>
              <w:ind w:left="360" w:hanging="360"/>
            </w:pPr>
            <w:r>
              <w:rPr>
                <w:b/>
              </w:rPr>
              <w:t>Service</w:t>
            </w:r>
            <w:r w:rsidR="000304B2" w:rsidRPr="005A1D76">
              <w:rPr>
                <w:b/>
              </w:rPr>
              <w:t xml:space="preserve">:  </w:t>
            </w:r>
            <w:r w:rsidR="000304B2" w:rsidRPr="005A1D76">
              <w:t>The provision of education, training or support delivered to individuals.</w:t>
            </w:r>
          </w:p>
          <w:p w14:paraId="22125E37" w14:textId="77777777" w:rsidR="000304B2" w:rsidRPr="005A1D76" w:rsidRDefault="000304B2" w:rsidP="000304B2">
            <w:pPr>
              <w:autoSpaceDE w:val="0"/>
              <w:autoSpaceDN w:val="0"/>
              <w:adjustRightInd w:val="0"/>
              <w:ind w:left="360" w:hanging="360"/>
            </w:pPr>
          </w:p>
          <w:p w14:paraId="22125E38" w14:textId="51066A0F"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w:t>
            </w:r>
            <w:r w:rsidR="008E78C4">
              <w:t>Service</w:t>
            </w:r>
            <w:r w:rsidR="000304B2" w:rsidRPr="006002A9">
              <w:t>.</w:t>
            </w:r>
            <w:r w:rsidR="000304B2" w:rsidRPr="006002A9">
              <w:rPr>
                <w:b/>
              </w:rPr>
              <w:t xml:space="preserve"> </w:t>
            </w:r>
          </w:p>
          <w:p w14:paraId="22125E39" w14:textId="77777777" w:rsidR="000304B2" w:rsidRPr="006002A9" w:rsidRDefault="000304B2" w:rsidP="000304B2">
            <w:pPr>
              <w:autoSpaceDE w:val="0"/>
              <w:autoSpaceDN w:val="0"/>
              <w:adjustRightInd w:val="0"/>
              <w:ind w:left="360" w:hanging="360"/>
            </w:pPr>
          </w:p>
          <w:p w14:paraId="22125E3A"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22125E3B" w14:textId="77777777" w:rsidR="005A1D76" w:rsidRPr="006002A9" w:rsidRDefault="005A1D76" w:rsidP="000304B2">
            <w:pPr>
              <w:autoSpaceDE w:val="0"/>
              <w:autoSpaceDN w:val="0"/>
              <w:adjustRightInd w:val="0"/>
              <w:ind w:left="360" w:hanging="360"/>
            </w:pPr>
          </w:p>
          <w:p w14:paraId="22125E3C"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2125E3D" w14:textId="77777777" w:rsidR="00200BC6" w:rsidRPr="00590073" w:rsidRDefault="00200BC6" w:rsidP="005A1D76">
            <w:pPr>
              <w:autoSpaceDE w:val="0"/>
              <w:autoSpaceDN w:val="0"/>
              <w:adjustRightInd w:val="0"/>
              <w:ind w:left="360" w:hanging="360"/>
            </w:pPr>
          </w:p>
        </w:tc>
      </w:tr>
      <w:tr w:rsidR="00967429" w:rsidRPr="00544738" w14:paraId="22125E40" w14:textId="77777777" w:rsidTr="0090573A">
        <w:trPr>
          <w:trHeight w:val="567"/>
        </w:trPr>
        <w:tc>
          <w:tcPr>
            <w:tcW w:w="9088" w:type="dxa"/>
            <w:shd w:val="clear" w:color="auto" w:fill="D9D9D9" w:themeFill="background1" w:themeFillShade="D9"/>
            <w:vAlign w:val="center"/>
          </w:tcPr>
          <w:p w14:paraId="22125E3F"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22125EC1" w14:textId="77777777" w:rsidTr="00D3235F">
        <w:tc>
          <w:tcPr>
            <w:tcW w:w="9088" w:type="dxa"/>
          </w:tcPr>
          <w:p w14:paraId="22125E41" w14:textId="77777777" w:rsidR="000D51DE" w:rsidRDefault="000D51DE" w:rsidP="00A524B5">
            <w:pPr>
              <w:rPr>
                <w:rFonts w:cs="Arial"/>
                <w:b/>
              </w:rPr>
            </w:pPr>
          </w:p>
          <w:p w14:paraId="22125E42"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22125E43" w14:textId="77777777" w:rsidR="00EA180F" w:rsidRPr="001A4B05" w:rsidRDefault="00EA180F" w:rsidP="00A524B5">
            <w:pPr>
              <w:rPr>
                <w:rFonts w:cs="Arial"/>
                <w:b/>
              </w:rPr>
            </w:pPr>
          </w:p>
          <w:p w14:paraId="22125E44"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22125E45" w14:textId="77777777" w:rsidR="00ED156A" w:rsidRPr="00D535E6" w:rsidRDefault="00ED156A" w:rsidP="00A524B5">
            <w:pPr>
              <w:rPr>
                <w:rFonts w:cs="Arial"/>
              </w:rPr>
            </w:pPr>
          </w:p>
          <w:p w14:paraId="22125E46" w14:textId="77777777" w:rsidR="0031325C" w:rsidRPr="00D535E6" w:rsidRDefault="00ED156A" w:rsidP="00A524B5">
            <w:pPr>
              <w:rPr>
                <w:rFonts w:cs="Arial"/>
                <w:b/>
                <w:i/>
              </w:rPr>
            </w:pPr>
            <w:r w:rsidRPr="00D535E6">
              <w:rPr>
                <w:rFonts w:cs="Arial"/>
                <w:b/>
                <w:i/>
              </w:rPr>
              <w:t>Capacity and readiness to deliver</w:t>
            </w:r>
          </w:p>
          <w:p w14:paraId="22125E47" w14:textId="77777777" w:rsidR="00ED156A" w:rsidRPr="00D535E6" w:rsidRDefault="00ED156A" w:rsidP="00ED156A">
            <w:pPr>
              <w:autoSpaceDE w:val="0"/>
              <w:autoSpaceDN w:val="0"/>
              <w:adjustRightInd w:val="0"/>
              <w:rPr>
                <w:rFonts w:cs="Arial"/>
              </w:rPr>
            </w:pPr>
            <w:r w:rsidRPr="00D535E6">
              <w:rPr>
                <w:rFonts w:cs="Arial"/>
              </w:rPr>
              <w:t>Candidates must have:</w:t>
            </w:r>
          </w:p>
          <w:p w14:paraId="22125E48" w14:textId="77777777" w:rsidR="00ED156A" w:rsidRPr="0010107D" w:rsidRDefault="00ED156A" w:rsidP="00D1037F">
            <w:pPr>
              <w:pStyle w:val="ListParagraph"/>
              <w:numPr>
                <w:ilvl w:val="0"/>
                <w:numId w:val="46"/>
              </w:numPr>
              <w:autoSpaceDE w:val="0"/>
              <w:autoSpaceDN w:val="0"/>
              <w:adjustRightInd w:val="0"/>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22125E49" w14:textId="77777777" w:rsidR="0010107D" w:rsidRPr="00D535E6" w:rsidRDefault="0010107D" w:rsidP="0010107D">
            <w:pPr>
              <w:pStyle w:val="ListParagraph"/>
              <w:autoSpaceDE w:val="0"/>
              <w:autoSpaceDN w:val="0"/>
              <w:adjustRightInd w:val="0"/>
              <w:ind w:left="360"/>
              <w:rPr>
                <w:rFonts w:cs="Arial"/>
                <w:strike/>
                <w:szCs w:val="22"/>
              </w:rPr>
            </w:pPr>
          </w:p>
          <w:p w14:paraId="22125E4A" w14:textId="77777777" w:rsidR="00ED156A" w:rsidRPr="0010107D" w:rsidRDefault="00ED156A" w:rsidP="00D1037F">
            <w:pPr>
              <w:pStyle w:val="ListParagraph"/>
              <w:numPr>
                <w:ilvl w:val="0"/>
                <w:numId w:val="46"/>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22125E4B" w14:textId="77777777" w:rsidR="0010107D" w:rsidRPr="0010107D" w:rsidRDefault="0010107D" w:rsidP="0010107D">
            <w:pPr>
              <w:rPr>
                <w:rFonts w:cs="Arial"/>
                <w:lang w:eastAsia="en-GB"/>
              </w:rPr>
            </w:pPr>
          </w:p>
          <w:p w14:paraId="22125E4C" w14:textId="77777777" w:rsidR="002F71DB" w:rsidRPr="005A1D76" w:rsidRDefault="002F71DB" w:rsidP="00D1037F">
            <w:pPr>
              <w:pStyle w:val="ListParagraph"/>
              <w:numPr>
                <w:ilvl w:val="0"/>
                <w:numId w:val="46"/>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22125E4D" w14:textId="77777777" w:rsidR="00ED156A" w:rsidRPr="002F4192" w:rsidRDefault="00ED156A" w:rsidP="00515602">
            <w:pPr>
              <w:rPr>
                <w:rFonts w:cs="Arial"/>
                <w:lang w:eastAsia="en-GB"/>
              </w:rPr>
            </w:pPr>
          </w:p>
          <w:p w14:paraId="22125E4E" w14:textId="77777777" w:rsidR="00ED156A" w:rsidRPr="005A1D76" w:rsidRDefault="00ED156A" w:rsidP="00515602">
            <w:pPr>
              <w:rPr>
                <w:rFonts w:cs="Arial"/>
                <w:b/>
                <w:i/>
                <w:lang w:eastAsia="en-GB"/>
              </w:rPr>
            </w:pPr>
            <w:r w:rsidRPr="005A1D76">
              <w:rPr>
                <w:rFonts w:cs="Arial"/>
                <w:b/>
                <w:i/>
                <w:lang w:eastAsia="en-GB"/>
              </w:rPr>
              <w:t>Track record</w:t>
            </w:r>
          </w:p>
          <w:p w14:paraId="22125E4F"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2125E50" w14:textId="77777777" w:rsidR="00E43DDB" w:rsidRPr="005A1D76" w:rsidRDefault="00E43DDB" w:rsidP="00515602">
            <w:pPr>
              <w:rPr>
                <w:rFonts w:cs="Arial"/>
                <w:szCs w:val="22"/>
              </w:rPr>
            </w:pPr>
          </w:p>
          <w:p w14:paraId="22125E51" w14:textId="77777777" w:rsidR="00E43DDB" w:rsidRPr="00E43DDB" w:rsidRDefault="00E43DDB" w:rsidP="00E43DDB">
            <w:pPr>
              <w:rPr>
                <w:rFonts w:cs="Arial"/>
                <w:b/>
                <w:i/>
                <w:lang w:eastAsia="en-GB"/>
              </w:rPr>
            </w:pPr>
            <w:r w:rsidRPr="00E43DDB">
              <w:rPr>
                <w:rFonts w:cs="Arial"/>
                <w:b/>
                <w:i/>
                <w:lang w:eastAsia="en-GB"/>
              </w:rPr>
              <w:t>Information, Advice and Guidance</w:t>
            </w:r>
          </w:p>
          <w:p w14:paraId="22125E52"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22125E53"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22125E54" w14:textId="77777777" w:rsidR="00E43DDB" w:rsidRPr="00E43DDB" w:rsidRDefault="00E43DDB" w:rsidP="00E43DDB">
            <w:pPr>
              <w:rPr>
                <w:rFonts w:cs="Arial"/>
                <w:lang w:eastAsia="en-GB"/>
              </w:rPr>
            </w:pPr>
            <w:r w:rsidRPr="00E43DDB">
              <w:rPr>
                <w:rFonts w:cs="Arial"/>
                <w:lang w:eastAsia="en-GB"/>
              </w:rPr>
              <w:t>working towards the Matrix standard.</w:t>
            </w:r>
          </w:p>
          <w:p w14:paraId="22125E55" w14:textId="77777777" w:rsidR="00E43DDB" w:rsidRPr="00E43DDB" w:rsidRDefault="00E43DDB" w:rsidP="00E43DDB">
            <w:pPr>
              <w:rPr>
                <w:rFonts w:cs="Arial"/>
                <w:lang w:eastAsia="en-GB"/>
              </w:rPr>
            </w:pPr>
          </w:p>
          <w:p w14:paraId="22125E56" w14:textId="77777777" w:rsidR="00ED156A" w:rsidRPr="005A1D76" w:rsidRDefault="002E25F4" w:rsidP="00A524B5">
            <w:pPr>
              <w:rPr>
                <w:rFonts w:cs="Arial"/>
              </w:rPr>
            </w:pPr>
            <w:r w:rsidRPr="005A1D76">
              <w:rPr>
                <w:rFonts w:cs="Arial"/>
                <w:b/>
                <w:i/>
              </w:rPr>
              <w:t>Management and quality assurance</w:t>
            </w:r>
          </w:p>
          <w:p w14:paraId="22125E57" w14:textId="1C5EC586"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 xml:space="preserve">The </w:t>
            </w:r>
            <w:r w:rsidR="008E78C4">
              <w:rPr>
                <w:rFonts w:cs="Arial"/>
              </w:rPr>
              <w:t>Service</w:t>
            </w:r>
            <w:r w:rsidRPr="005A1D76">
              <w:rPr>
                <w:rFonts w:cs="Arial"/>
              </w:rPr>
              <w:t xml:space="preserve"> must be delivered to a high quality and successful tenderers will need to have in place quality assurance and improvement processes.</w:t>
            </w:r>
          </w:p>
          <w:p w14:paraId="22125E58" w14:textId="77777777" w:rsidR="00B06A9F" w:rsidRPr="005A1D76" w:rsidRDefault="00B06A9F" w:rsidP="00A524B5">
            <w:pPr>
              <w:rPr>
                <w:rFonts w:cs="Arial"/>
              </w:rPr>
            </w:pPr>
          </w:p>
          <w:p w14:paraId="22125E59" w14:textId="0FEEFDE4"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8E78C4">
              <w:rPr>
                <w:rFonts w:cs="Arial"/>
              </w:rPr>
              <w:t>Service</w:t>
            </w:r>
            <w:r w:rsidRPr="005A1D76">
              <w:rPr>
                <w:rFonts w:cs="Arial"/>
              </w:rPr>
              <w:t xml:space="preserve"> accordingly.  </w:t>
            </w:r>
          </w:p>
          <w:p w14:paraId="22125E5A" w14:textId="77777777" w:rsidR="001A4B05" w:rsidRPr="005A1D76" w:rsidRDefault="001A4B05" w:rsidP="00A524B5">
            <w:pPr>
              <w:rPr>
                <w:rFonts w:cs="Arial"/>
              </w:rPr>
            </w:pPr>
          </w:p>
          <w:p w14:paraId="22125E5B" w14:textId="77777777" w:rsidR="002E25F4" w:rsidRPr="005A1D76" w:rsidRDefault="002E25F4" w:rsidP="00A524B5">
            <w:pPr>
              <w:rPr>
                <w:rFonts w:cs="Arial"/>
              </w:rPr>
            </w:pPr>
            <w:r w:rsidRPr="005A1D76">
              <w:rPr>
                <w:rFonts w:cs="Arial"/>
                <w:b/>
                <w:i/>
              </w:rPr>
              <w:t>Partnership working</w:t>
            </w:r>
          </w:p>
          <w:p w14:paraId="22125E5C"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22125E5D" w14:textId="77777777" w:rsidR="002E25F4" w:rsidRPr="005A1D76" w:rsidRDefault="002E25F4" w:rsidP="00A524B5">
            <w:pPr>
              <w:rPr>
                <w:rFonts w:cs="Arial"/>
              </w:rPr>
            </w:pPr>
          </w:p>
          <w:p w14:paraId="22125E5E"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22125E5F" w14:textId="77777777" w:rsidR="00ED156A" w:rsidRPr="006C64F5" w:rsidRDefault="00ED156A" w:rsidP="00A524B5">
            <w:pPr>
              <w:rPr>
                <w:rFonts w:cs="Arial"/>
                <w:highlight w:val="yellow"/>
              </w:rPr>
            </w:pPr>
          </w:p>
          <w:p w14:paraId="22125E60"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22125E61"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2125E62" w14:textId="77777777" w:rsidR="000E66D3" w:rsidRDefault="000E66D3" w:rsidP="00A524B5">
            <w:pPr>
              <w:rPr>
                <w:rFonts w:cs="Arial"/>
              </w:rPr>
            </w:pPr>
          </w:p>
          <w:p w14:paraId="22125E63" w14:textId="77777777" w:rsidR="002E25F4" w:rsidRPr="00BC7F87" w:rsidRDefault="002E25F4" w:rsidP="00A524B5">
            <w:pPr>
              <w:rPr>
                <w:rFonts w:cs="Arial"/>
              </w:rPr>
            </w:pPr>
            <w:r w:rsidRPr="00BC7F87">
              <w:rPr>
                <w:rFonts w:cs="Arial"/>
                <w:b/>
                <w:i/>
              </w:rPr>
              <w:t>Market intelligence and local knowledge</w:t>
            </w:r>
          </w:p>
          <w:p w14:paraId="22125E64" w14:textId="286F36C4" w:rsidR="002E25F4" w:rsidRPr="00BC7F87" w:rsidRDefault="002E25F4" w:rsidP="00BC7F87">
            <w:pPr>
              <w:autoSpaceDE w:val="0"/>
              <w:autoSpaceDN w:val="0"/>
              <w:adjustRightInd w:val="0"/>
              <w:ind w:left="29"/>
              <w:rPr>
                <w:rFonts w:cs="Arial"/>
                <w:strike/>
                <w:szCs w:val="22"/>
                <w:highlight w:val="yellow"/>
              </w:rPr>
            </w:pPr>
            <w:r w:rsidRPr="00BC7F87">
              <w:rPr>
                <w:rFonts w:cs="Arial"/>
              </w:rPr>
              <w:t xml:space="preserve">The delivery of the </w:t>
            </w:r>
            <w:r w:rsidR="008E78C4">
              <w:rPr>
                <w:rFonts w:cs="Arial"/>
              </w:rPr>
              <w:t>Service</w:t>
            </w:r>
            <w:r w:rsidRPr="00BC7F87">
              <w:rPr>
                <w:rFonts w:cs="Arial"/>
              </w:rPr>
              <w:t xml:space="preserve">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22125E65" w14:textId="77777777" w:rsidR="00812EC6" w:rsidRPr="00BC7F87" w:rsidRDefault="00812EC6" w:rsidP="00A524B5">
            <w:pPr>
              <w:rPr>
                <w:rFonts w:cs="Arial"/>
              </w:rPr>
            </w:pPr>
          </w:p>
          <w:p w14:paraId="22125E66" w14:textId="77777777" w:rsidR="002E25F4" w:rsidRPr="00BC7F87" w:rsidRDefault="002E25F4" w:rsidP="00A524B5">
            <w:pPr>
              <w:pStyle w:val="letteredlist"/>
              <w:numPr>
                <w:ilvl w:val="0"/>
                <w:numId w:val="0"/>
              </w:numPr>
              <w:spacing w:after="0"/>
              <w:ind w:left="29"/>
              <w:rPr>
                <w:b/>
                <w:i/>
              </w:rPr>
            </w:pPr>
            <w:r w:rsidRPr="00BC7F87">
              <w:rPr>
                <w:b/>
                <w:i/>
              </w:rPr>
              <w:lastRenderedPageBreak/>
              <w:t>Management information and reporting</w:t>
            </w:r>
          </w:p>
          <w:p w14:paraId="22125E67"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22125E68" w14:textId="77777777" w:rsidR="002E25F4" w:rsidRPr="00BC7F87" w:rsidRDefault="002E25F4" w:rsidP="00A524B5">
            <w:pPr>
              <w:rPr>
                <w:rFonts w:cs="Arial"/>
              </w:rPr>
            </w:pPr>
          </w:p>
          <w:p w14:paraId="22125E69"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22125E6A" w14:textId="77777777" w:rsidR="000A7AA3" w:rsidRDefault="000A7AA3" w:rsidP="009E7A30">
            <w:pPr>
              <w:rPr>
                <w:rFonts w:cs="Arial"/>
                <w:b/>
              </w:rPr>
            </w:pPr>
          </w:p>
          <w:p w14:paraId="22125E6B" w14:textId="77777777" w:rsidR="00B85F61" w:rsidRPr="00466FA7" w:rsidRDefault="00EA180F" w:rsidP="009E7A30">
            <w:pPr>
              <w:rPr>
                <w:rFonts w:cs="Arial"/>
                <w:b/>
                <w:i/>
              </w:rPr>
            </w:pPr>
            <w:r>
              <w:rPr>
                <w:rFonts w:cs="Arial"/>
                <w:b/>
              </w:rPr>
              <w:t>Specific Service Requirements</w:t>
            </w:r>
          </w:p>
          <w:p w14:paraId="22125E6C" w14:textId="77777777" w:rsidR="00204794" w:rsidRDefault="00204794" w:rsidP="009E7A30">
            <w:pPr>
              <w:rPr>
                <w:rFonts w:cs="Arial"/>
                <w:b/>
              </w:rPr>
            </w:pPr>
          </w:p>
          <w:p w14:paraId="22125E6D" w14:textId="77777777" w:rsidR="00F65D61" w:rsidRPr="00F4587B" w:rsidRDefault="00F65D61" w:rsidP="00F65D61">
            <w:pPr>
              <w:rPr>
                <w:rFonts w:cs="Arial"/>
                <w:b/>
              </w:rPr>
            </w:pPr>
            <w:r w:rsidRPr="00F4587B">
              <w:rPr>
                <w:rFonts w:cs="Arial"/>
                <w:b/>
              </w:rPr>
              <w:t>SUPPORT FOR THE UNEMPLOYED</w:t>
            </w:r>
            <w:r w:rsidR="00C1183A" w:rsidRPr="00F4587B">
              <w:rPr>
                <w:rFonts w:cs="Arial"/>
                <w:b/>
              </w:rPr>
              <w:t xml:space="preserve"> </w:t>
            </w:r>
          </w:p>
          <w:p w14:paraId="22125E6E" w14:textId="77777777" w:rsidR="00F65D61" w:rsidRPr="00F4587B" w:rsidRDefault="00F65D61" w:rsidP="00F65D61">
            <w:pPr>
              <w:rPr>
                <w:rFonts w:cs="Arial"/>
              </w:rPr>
            </w:pPr>
          </w:p>
          <w:p w14:paraId="22125E6F" w14:textId="2BA0B420" w:rsidR="00F65D61" w:rsidRDefault="00F65D61" w:rsidP="00F65D61">
            <w:pPr>
              <w:rPr>
                <w:rFonts w:cs="Arial"/>
              </w:rPr>
            </w:pPr>
            <w:r w:rsidRPr="00F4587B">
              <w:rPr>
                <w:rFonts w:cs="Arial"/>
              </w:rPr>
              <w:t xml:space="preserve">The aim of the </w:t>
            </w:r>
            <w:r w:rsidR="008E78C4">
              <w:rPr>
                <w:rFonts w:cs="Arial"/>
              </w:rPr>
              <w:t>Service</w:t>
            </w:r>
            <w:r w:rsidRPr="00F4587B">
              <w:rPr>
                <w:rFonts w:cs="Arial"/>
              </w:rPr>
              <w:t xml:space="preserve"> is to provide bespoke support and training for the unemployed and those economically inactive and seeking a return to the labour market but facing skills related barriers to entering the labour market.  The </w:t>
            </w:r>
            <w:r w:rsidR="008E78C4">
              <w:rPr>
                <w:rFonts w:cs="Arial"/>
              </w:rPr>
              <w:t>Service</w:t>
            </w:r>
            <w:r w:rsidR="00B85F61" w:rsidRPr="00F4587B">
              <w:rPr>
                <w:rFonts w:cs="Arial"/>
              </w:rPr>
              <w:t xml:space="preserve"> </w:t>
            </w:r>
            <w:r w:rsidRPr="00F4587B">
              <w:rPr>
                <w:rFonts w:cs="Arial"/>
              </w:rPr>
              <w:t>will deliver the vocationally related skills needed by local employers</w:t>
            </w:r>
            <w:r w:rsidR="000A7AA3">
              <w:rPr>
                <w:rFonts w:cs="Arial"/>
              </w:rPr>
              <w:t>.</w:t>
            </w:r>
          </w:p>
          <w:p w14:paraId="22125E70" w14:textId="77777777" w:rsidR="007B6096" w:rsidRDefault="007B6096" w:rsidP="00F65D61">
            <w:pPr>
              <w:rPr>
                <w:rFonts w:cs="Arial"/>
              </w:rPr>
            </w:pPr>
          </w:p>
          <w:p w14:paraId="22125E71" w14:textId="3EAFC794" w:rsidR="007B6096" w:rsidRPr="00B66F71" w:rsidRDefault="007B6096" w:rsidP="007B6096">
            <w:pPr>
              <w:rPr>
                <w:rFonts w:cs="Arial"/>
              </w:rPr>
            </w:pPr>
            <w:r>
              <w:t xml:space="preserve">The  </w:t>
            </w:r>
            <w:r w:rsidR="008E78C4">
              <w:t>Service</w:t>
            </w:r>
            <w:r>
              <w:t xml:space="preserve"> must focus on the following priority sectors:</w:t>
            </w:r>
          </w:p>
          <w:p w14:paraId="22125E72" w14:textId="77777777" w:rsidR="007B6096" w:rsidRPr="009E4906" w:rsidRDefault="007B6096" w:rsidP="007B6096">
            <w:pPr>
              <w:pStyle w:val="ListParagraph"/>
              <w:autoSpaceDE w:val="0"/>
              <w:autoSpaceDN w:val="0"/>
              <w:adjustRightInd w:val="0"/>
              <w:ind w:left="360"/>
              <w:rPr>
                <w:rFonts w:cs="Arial"/>
                <w:i/>
                <w:szCs w:val="22"/>
              </w:rPr>
            </w:pPr>
          </w:p>
          <w:p w14:paraId="22125E73"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Advanced manufacturing </w:t>
            </w:r>
          </w:p>
          <w:p w14:paraId="22125E74"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Healthcare system and technologies (such as virtual reality, electric vehicles and advanced materials) </w:t>
            </w:r>
          </w:p>
          <w:p w14:paraId="22125E75"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Pharmaceuticals</w:t>
            </w:r>
          </w:p>
          <w:p w14:paraId="22125E76"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Energy </w:t>
            </w:r>
          </w:p>
          <w:p w14:paraId="22125E77"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Low carbon and renewable technologies </w:t>
            </w:r>
          </w:p>
          <w:p w14:paraId="22125E78"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Logistics </w:t>
            </w:r>
          </w:p>
          <w:p w14:paraId="22125E79" w14:textId="20B35789"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Professional </w:t>
            </w:r>
            <w:r w:rsidR="008E78C4">
              <w:rPr>
                <w:rFonts w:eastAsiaTheme="minorHAnsi" w:cs="Arial"/>
              </w:rPr>
              <w:t>Service</w:t>
            </w:r>
            <w:r w:rsidRPr="0013189A">
              <w:rPr>
                <w:rFonts w:eastAsiaTheme="minorHAnsi" w:cs="Arial"/>
              </w:rPr>
              <w:t xml:space="preserve"> </w:t>
            </w:r>
          </w:p>
          <w:p w14:paraId="22125E7A"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Forestry </w:t>
            </w:r>
          </w:p>
          <w:p w14:paraId="22125E7B"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Tourism </w:t>
            </w:r>
          </w:p>
          <w:p w14:paraId="22125E7C" w14:textId="77777777" w:rsidR="007B6096" w:rsidRPr="0013189A" w:rsidRDefault="007B6096" w:rsidP="007B6096">
            <w:pPr>
              <w:pStyle w:val="ListParagraph"/>
              <w:numPr>
                <w:ilvl w:val="0"/>
                <w:numId w:val="46"/>
              </w:numPr>
              <w:autoSpaceDE w:val="0"/>
              <w:autoSpaceDN w:val="0"/>
              <w:adjustRightInd w:val="0"/>
              <w:rPr>
                <w:rFonts w:eastAsiaTheme="minorHAnsi" w:cs="Arial"/>
              </w:rPr>
            </w:pPr>
            <w:r w:rsidRPr="0013189A">
              <w:rPr>
                <w:rFonts w:eastAsiaTheme="minorHAnsi" w:cs="Arial"/>
              </w:rPr>
              <w:t xml:space="preserve">Support for new and emerging industries (known as our Smart Specialisation sectors): </w:t>
            </w:r>
          </w:p>
          <w:p w14:paraId="22125E7D" w14:textId="77777777" w:rsidR="007B6096" w:rsidRPr="0013189A" w:rsidRDefault="007B6096" w:rsidP="007B6096">
            <w:pPr>
              <w:pStyle w:val="ListParagraph"/>
              <w:numPr>
                <w:ilvl w:val="0"/>
                <w:numId w:val="46"/>
              </w:numPr>
              <w:autoSpaceDE w:val="0"/>
              <w:autoSpaceDN w:val="0"/>
              <w:adjustRightInd w:val="0"/>
              <w:rPr>
                <w:rFonts w:eastAsiaTheme="minorHAnsi" w:cs="Arial"/>
                <w:i/>
                <w:iCs/>
              </w:rPr>
            </w:pPr>
            <w:r w:rsidRPr="0013189A">
              <w:rPr>
                <w:rFonts w:eastAsiaTheme="minorHAnsi" w:cs="Arial"/>
                <w:bCs/>
              </w:rPr>
              <w:t xml:space="preserve">Passenger Vehicle Manufacture with a particular focus on Low Carbon vehicle technology </w:t>
            </w:r>
          </w:p>
          <w:p w14:paraId="22125E7E" w14:textId="77777777" w:rsidR="007B6096" w:rsidRPr="0013189A" w:rsidRDefault="007B6096" w:rsidP="007B6096">
            <w:pPr>
              <w:pStyle w:val="ListParagraph"/>
              <w:numPr>
                <w:ilvl w:val="0"/>
                <w:numId w:val="46"/>
              </w:numPr>
              <w:autoSpaceDE w:val="0"/>
              <w:autoSpaceDN w:val="0"/>
              <w:adjustRightInd w:val="0"/>
              <w:rPr>
                <w:rFonts w:eastAsiaTheme="minorHAnsi" w:cs="Arial"/>
                <w:bCs/>
              </w:rPr>
            </w:pPr>
            <w:r w:rsidRPr="0013189A">
              <w:rPr>
                <w:rFonts w:eastAsiaTheme="minorHAnsi" w:cs="Arial"/>
                <w:bCs/>
              </w:rPr>
              <w:t>Creative, digital, software &amp; technology</w:t>
            </w:r>
          </w:p>
          <w:p w14:paraId="22125E7F" w14:textId="77777777" w:rsidR="007B6096" w:rsidRPr="0013189A" w:rsidRDefault="007B6096" w:rsidP="007B6096">
            <w:pPr>
              <w:pStyle w:val="ListParagraph"/>
              <w:numPr>
                <w:ilvl w:val="0"/>
                <w:numId w:val="46"/>
              </w:numPr>
              <w:autoSpaceDE w:val="0"/>
              <w:autoSpaceDN w:val="0"/>
              <w:adjustRightInd w:val="0"/>
              <w:rPr>
                <w:rFonts w:eastAsiaTheme="minorHAnsi" w:cs="Arial"/>
                <w:bCs/>
              </w:rPr>
            </w:pPr>
            <w:r w:rsidRPr="0013189A">
              <w:rPr>
                <w:rFonts w:eastAsiaTheme="minorHAnsi" w:cs="Arial"/>
                <w:bCs/>
              </w:rPr>
              <w:t xml:space="preserve">Subsea engineering &amp; manufacturing. </w:t>
            </w:r>
          </w:p>
          <w:p w14:paraId="22125E80" w14:textId="77777777" w:rsidR="007B6096" w:rsidRPr="0013189A" w:rsidRDefault="007B6096" w:rsidP="007B6096">
            <w:pPr>
              <w:pStyle w:val="ListParagraph"/>
              <w:numPr>
                <w:ilvl w:val="0"/>
                <w:numId w:val="46"/>
              </w:numPr>
              <w:autoSpaceDE w:val="0"/>
              <w:autoSpaceDN w:val="0"/>
              <w:adjustRightInd w:val="0"/>
              <w:rPr>
                <w:rFonts w:eastAsiaTheme="minorHAnsi" w:cs="Arial"/>
                <w:i/>
                <w:iCs/>
              </w:rPr>
            </w:pPr>
            <w:r w:rsidRPr="0013189A">
              <w:rPr>
                <w:rFonts w:eastAsiaTheme="minorHAnsi" w:cs="Arial"/>
                <w:bCs/>
              </w:rPr>
              <w:t xml:space="preserve">Life sciences and healthcare </w:t>
            </w:r>
          </w:p>
          <w:p w14:paraId="22125E81" w14:textId="77777777" w:rsidR="007B6096" w:rsidRPr="00EA33C7" w:rsidRDefault="007B6096" w:rsidP="007B6096">
            <w:pPr>
              <w:pStyle w:val="ListParagraph"/>
              <w:numPr>
                <w:ilvl w:val="0"/>
                <w:numId w:val="46"/>
              </w:numPr>
              <w:rPr>
                <w:rFonts w:cs="Arial"/>
              </w:rPr>
            </w:pPr>
            <w:r w:rsidRPr="00F62878">
              <w:rPr>
                <w:rFonts w:eastAsiaTheme="minorHAnsi" w:cs="Arial"/>
                <w:bCs/>
              </w:rPr>
              <w:t>Other emerging growth areas include surface science, ageing, satellite technologies and energy networks.</w:t>
            </w:r>
          </w:p>
          <w:p w14:paraId="22125E82" w14:textId="77777777" w:rsidR="000A7AA3" w:rsidRPr="00F4587B" w:rsidRDefault="000A7AA3" w:rsidP="00F65D61">
            <w:pPr>
              <w:rPr>
                <w:rFonts w:cs="Arial"/>
              </w:rPr>
            </w:pPr>
          </w:p>
          <w:p w14:paraId="22125E83" w14:textId="77777777" w:rsidR="00F65D61" w:rsidRPr="00F4587B" w:rsidRDefault="00B85F61" w:rsidP="00F65D61">
            <w:pPr>
              <w:rPr>
                <w:rFonts w:cs="Arial"/>
              </w:rPr>
            </w:pPr>
            <w:r w:rsidRPr="00F4587B">
              <w:rPr>
                <w:rFonts w:cs="Arial"/>
              </w:rPr>
              <w:t xml:space="preserve">There must be an </w:t>
            </w:r>
            <w:r w:rsidR="00F65D61" w:rsidRPr="00F4587B">
              <w:rPr>
                <w:rFonts w:cs="Arial"/>
              </w:rPr>
              <w:t xml:space="preserve">initial assessment </w:t>
            </w:r>
            <w:r w:rsidRPr="00F4587B">
              <w:rPr>
                <w:rFonts w:cs="Arial"/>
              </w:rPr>
              <w:t xml:space="preserve">to </w:t>
            </w:r>
            <w:r w:rsidR="00F65D61" w:rsidRPr="00F4587B">
              <w:rPr>
                <w:rFonts w:cs="Arial"/>
              </w:rPr>
              <w:t xml:space="preserve">diagnose </w:t>
            </w:r>
            <w:r w:rsidR="00466FA7" w:rsidRPr="00F4587B">
              <w:rPr>
                <w:rFonts w:cs="Arial"/>
              </w:rPr>
              <w:t>the existing</w:t>
            </w:r>
            <w:r w:rsidR="00F65D61" w:rsidRPr="00F4587B">
              <w:rPr>
                <w:rFonts w:cs="Arial"/>
              </w:rPr>
              <w:t xml:space="preserve"> skills and identify skills gaps</w:t>
            </w:r>
            <w:r w:rsidRPr="00F4587B">
              <w:rPr>
                <w:rFonts w:cs="Arial"/>
              </w:rPr>
              <w:t xml:space="preserve"> of participants</w:t>
            </w:r>
            <w:r w:rsidR="00F65D61" w:rsidRPr="00F4587B">
              <w:rPr>
                <w:rFonts w:cs="Arial"/>
              </w:rPr>
              <w:t xml:space="preserve"> in relation to employer requirements and/or opportunities for self-employment.  An individual learning plan</w:t>
            </w:r>
            <w:r w:rsidRPr="00F4587B">
              <w:rPr>
                <w:rFonts w:cs="Arial"/>
              </w:rPr>
              <w:t xml:space="preserve"> must </w:t>
            </w:r>
            <w:r w:rsidR="00F65D61" w:rsidRPr="00F4587B">
              <w:rPr>
                <w:rFonts w:cs="Arial"/>
              </w:rPr>
              <w:t>then be devised.</w:t>
            </w:r>
          </w:p>
          <w:p w14:paraId="22125E84" w14:textId="77777777" w:rsidR="00F65D61" w:rsidRPr="00F4587B" w:rsidRDefault="00F65D61" w:rsidP="00F65D61">
            <w:pPr>
              <w:rPr>
                <w:rFonts w:cs="Arial"/>
              </w:rPr>
            </w:pPr>
          </w:p>
          <w:p w14:paraId="22125E85" w14:textId="6392EDEF" w:rsidR="00F65D61" w:rsidRPr="00F4587B" w:rsidRDefault="00F65D61" w:rsidP="00F65D61">
            <w:pPr>
              <w:rPr>
                <w:rFonts w:cs="Arial"/>
              </w:rPr>
            </w:pPr>
            <w:r w:rsidRPr="00F4587B">
              <w:rPr>
                <w:rFonts w:cs="Arial"/>
              </w:rPr>
              <w:t xml:space="preserve">The </w:t>
            </w:r>
            <w:r w:rsidR="008E78C4">
              <w:rPr>
                <w:rFonts w:cs="Arial"/>
              </w:rPr>
              <w:t>Service</w:t>
            </w:r>
            <w:r w:rsidRPr="00F4587B">
              <w:rPr>
                <w:rFonts w:cs="Arial"/>
              </w:rPr>
              <w:t xml:space="preserve"> </w:t>
            </w:r>
            <w:r w:rsidR="00B85F61" w:rsidRPr="00F4587B">
              <w:rPr>
                <w:rFonts w:cs="Arial"/>
              </w:rPr>
              <w:t xml:space="preserve">must </w:t>
            </w:r>
            <w:r w:rsidRPr="00F4587B">
              <w:rPr>
                <w:rFonts w:cs="Arial"/>
              </w:rPr>
              <w:t xml:space="preserve">provide meaningful and appropriate information advice and guidance including an overview of the local labour market that will support individuals to secure </w:t>
            </w:r>
            <w:r w:rsidRPr="00F4587B">
              <w:rPr>
                <w:rFonts w:cs="Arial"/>
              </w:rPr>
              <w:lastRenderedPageBreak/>
              <w:t>suitable progression into a successful outcome and which raises interest in careers in the LEP’s priority sectors.</w:t>
            </w:r>
          </w:p>
          <w:p w14:paraId="22125E86" w14:textId="77777777" w:rsidR="00F65D61" w:rsidRPr="00F4587B" w:rsidRDefault="00F65D61" w:rsidP="00F65D61">
            <w:pPr>
              <w:rPr>
                <w:rFonts w:cs="Arial"/>
              </w:rPr>
            </w:pPr>
          </w:p>
          <w:p w14:paraId="22125E87" w14:textId="34FE0219" w:rsidR="00F65D61" w:rsidRPr="00F4587B" w:rsidRDefault="00F65D61" w:rsidP="00F65D61">
            <w:pPr>
              <w:rPr>
                <w:rFonts w:cs="Arial"/>
                <w:bCs/>
                <w:color w:val="000000"/>
                <w:sz w:val="20"/>
              </w:rPr>
            </w:pPr>
            <w:r w:rsidRPr="00F4587B">
              <w:rPr>
                <w:rFonts w:cs="Arial"/>
                <w:szCs w:val="23"/>
              </w:rPr>
              <w:t xml:space="preserve">The </w:t>
            </w:r>
            <w:r w:rsidR="008E78C4">
              <w:rPr>
                <w:rFonts w:cs="Arial"/>
                <w:szCs w:val="23"/>
              </w:rPr>
              <w:t>Service</w:t>
            </w:r>
            <w:r w:rsidRPr="00F4587B">
              <w:rPr>
                <w:rFonts w:cs="Arial"/>
                <w:szCs w:val="23"/>
              </w:rPr>
              <w:t xml:space="preserve"> must provide individual and continuous mentor/key worker support for each participant.</w:t>
            </w:r>
          </w:p>
          <w:p w14:paraId="22125E88" w14:textId="77777777" w:rsidR="00F65D61" w:rsidRPr="00F4587B" w:rsidRDefault="00F65D61" w:rsidP="00F65D61">
            <w:pPr>
              <w:rPr>
                <w:rFonts w:cs="Arial"/>
              </w:rPr>
            </w:pPr>
          </w:p>
          <w:p w14:paraId="22125E89" w14:textId="086BD101" w:rsidR="00F65D61" w:rsidRPr="00F4587B" w:rsidRDefault="00F65D61" w:rsidP="00F65D61">
            <w:pPr>
              <w:rPr>
                <w:rFonts w:cs="Arial"/>
              </w:rPr>
            </w:pPr>
            <w:r w:rsidRPr="00F4587B">
              <w:rPr>
                <w:rFonts w:cs="Arial"/>
              </w:rPr>
              <w:t xml:space="preserve">The </w:t>
            </w:r>
            <w:r w:rsidR="008E78C4">
              <w:rPr>
                <w:rFonts w:cs="Arial"/>
              </w:rPr>
              <w:t>Service</w:t>
            </w:r>
            <w:r w:rsidRPr="00F4587B">
              <w:rPr>
                <w:rFonts w:cs="Arial"/>
              </w:rPr>
              <w:t xml:space="preserve"> </w:t>
            </w:r>
            <w:r w:rsidR="00B85F61" w:rsidRPr="00F4587B">
              <w:rPr>
                <w:rFonts w:cs="Arial"/>
              </w:rPr>
              <w:t xml:space="preserve">must </w:t>
            </w:r>
            <w:r w:rsidRPr="00F4587B">
              <w:rPr>
                <w:rFonts w:cs="Arial"/>
              </w:rPr>
              <w:t xml:space="preserve">provide participants with advice on vacancies, job search, CV writing and interview techniques and assistance with registration, searching and applications for Apprenticeship vacancies on </w:t>
            </w:r>
            <w:hyperlink r:id="rId17" w:history="1">
              <w:r w:rsidRPr="00F4587B">
                <w:rPr>
                  <w:rStyle w:val="Hyperlink"/>
                  <w:rFonts w:cs="Arial"/>
                </w:rPr>
                <w:t>www.apprenticeships.org.uk</w:t>
              </w:r>
            </w:hyperlink>
            <w:r w:rsidRPr="00F4587B">
              <w:rPr>
                <w:rFonts w:cs="Arial"/>
              </w:rPr>
              <w:t xml:space="preserve"> as well as independent study and career skills.</w:t>
            </w:r>
          </w:p>
          <w:p w14:paraId="22125E8A" w14:textId="77777777" w:rsidR="00F65D61" w:rsidRPr="00F4587B" w:rsidRDefault="00F65D61" w:rsidP="00F65D61">
            <w:pPr>
              <w:rPr>
                <w:rFonts w:cs="Arial"/>
              </w:rPr>
            </w:pPr>
          </w:p>
          <w:p w14:paraId="22125E8B" w14:textId="72D40668" w:rsidR="00F65D61" w:rsidRPr="00F4587B" w:rsidRDefault="00F65D61" w:rsidP="00F65D61">
            <w:pPr>
              <w:rPr>
                <w:rFonts w:cs="Arial"/>
              </w:rPr>
            </w:pPr>
            <w:r w:rsidRPr="00F4587B">
              <w:rPr>
                <w:rFonts w:cs="Arial"/>
              </w:rPr>
              <w:t xml:space="preserve">The </w:t>
            </w:r>
            <w:r w:rsidR="008E78C4">
              <w:rPr>
                <w:rFonts w:cs="Arial"/>
              </w:rPr>
              <w:t>Service</w:t>
            </w:r>
            <w:r w:rsidRPr="00F4587B">
              <w:rPr>
                <w:rFonts w:cs="Arial"/>
              </w:rPr>
              <w:t xml:space="preserve"> must be provided flexibly to support individual employability and social mobility including roll on, roll off, year round responsive delivery which accommodates current benefit restrictions/rules where participants are also claimants.  The </w:t>
            </w:r>
            <w:r w:rsidR="008E78C4">
              <w:rPr>
                <w:rFonts w:cs="Arial"/>
              </w:rPr>
              <w:t>Service</w:t>
            </w:r>
            <w:r w:rsidRPr="00F4587B">
              <w:rPr>
                <w:rFonts w:cs="Arial"/>
              </w:rPr>
              <w:t xml:space="preserve"> must be designed to help move people into sustainable work, Apprenticeships,</w:t>
            </w:r>
            <w:r w:rsidR="00C1183A" w:rsidRPr="00F4587B">
              <w:rPr>
                <w:rFonts w:cs="Arial"/>
              </w:rPr>
              <w:t xml:space="preserve"> traineeships,</w:t>
            </w:r>
            <w:r w:rsidRPr="00F4587B">
              <w:rPr>
                <w:rFonts w:cs="Arial"/>
              </w:rPr>
              <w:t xml:space="preserve"> self-employment</w:t>
            </w:r>
            <w:r w:rsidR="00C1183A" w:rsidRPr="00F4587B">
              <w:rPr>
                <w:rFonts w:cs="Arial"/>
              </w:rPr>
              <w:t xml:space="preserve"> or </w:t>
            </w:r>
            <w:r w:rsidRPr="00F4587B">
              <w:rPr>
                <w:rFonts w:cs="Arial"/>
              </w:rPr>
              <w:t>volunteering.</w:t>
            </w:r>
          </w:p>
          <w:p w14:paraId="22125E8C" w14:textId="77777777" w:rsidR="00F65D61" w:rsidRPr="00F4587B" w:rsidRDefault="00F65D61" w:rsidP="00F65D61">
            <w:pPr>
              <w:rPr>
                <w:rFonts w:cs="Arial"/>
              </w:rPr>
            </w:pPr>
          </w:p>
          <w:p w14:paraId="22125E8D" w14:textId="7DAA27D1" w:rsidR="00F65D61" w:rsidRPr="00F4587B" w:rsidRDefault="00F65D61" w:rsidP="00F65D61">
            <w:pPr>
              <w:rPr>
                <w:rFonts w:cs="Arial"/>
              </w:rPr>
            </w:pPr>
            <w:r w:rsidRPr="00F4587B">
              <w:rPr>
                <w:rFonts w:cs="Arial"/>
              </w:rPr>
              <w:t xml:space="preserve">The </w:t>
            </w:r>
            <w:r w:rsidR="008E78C4">
              <w:rPr>
                <w:rFonts w:cs="Arial"/>
              </w:rPr>
              <w:t>Service</w:t>
            </w:r>
            <w:r w:rsidRPr="00F4587B">
              <w:rPr>
                <w:rFonts w:cs="Arial"/>
              </w:rPr>
              <w:t xml:space="preserve"> </w:t>
            </w:r>
            <w:r w:rsidR="00B85F61" w:rsidRPr="00F4587B">
              <w:rPr>
                <w:rFonts w:cs="Arial"/>
              </w:rPr>
              <w:t xml:space="preserve">must </w:t>
            </w:r>
            <w:r w:rsidRPr="00F4587B">
              <w:rPr>
                <w:rFonts w:cs="Arial"/>
              </w:rPr>
              <w:t xml:space="preserve">support the development of innovative approaches to pre-employment training including pre-employment support and training, including team working, coaching and mentoring, confidence building and employability training.  The </w:t>
            </w:r>
            <w:r w:rsidR="008E78C4">
              <w:rPr>
                <w:rFonts w:cs="Arial"/>
              </w:rPr>
              <w:t>Service</w:t>
            </w:r>
            <w:r w:rsidRPr="00F4587B">
              <w:rPr>
                <w:rFonts w:cs="Arial"/>
              </w:rPr>
              <w:t xml:space="preserve"> will support activity that promotes vocational pathways, internships, work experience, volunteering which are supported by one to one mentoring.  The </w:t>
            </w:r>
            <w:r w:rsidR="008E78C4">
              <w:rPr>
                <w:rFonts w:cs="Arial"/>
              </w:rPr>
              <w:t>Service</w:t>
            </w:r>
            <w:r w:rsidRPr="00F4587B">
              <w:rPr>
                <w:rFonts w:cs="Arial"/>
              </w:rPr>
              <w:t xml:space="preserve"> should also provide self-employment support that reflects the needs of the employees being supported.</w:t>
            </w:r>
          </w:p>
          <w:p w14:paraId="22125E8E" w14:textId="77777777" w:rsidR="00F65D61" w:rsidRPr="00F4587B" w:rsidRDefault="00F65D61" w:rsidP="00F65D61">
            <w:pPr>
              <w:rPr>
                <w:rFonts w:cs="Arial"/>
              </w:rPr>
            </w:pPr>
          </w:p>
          <w:p w14:paraId="22125E8F" w14:textId="70FD49D5" w:rsidR="00F65D61" w:rsidRPr="00F4587B" w:rsidRDefault="00F65D61" w:rsidP="00F65D61">
            <w:pPr>
              <w:rPr>
                <w:rFonts w:cs="Arial"/>
              </w:rPr>
            </w:pPr>
            <w:r w:rsidRPr="00F4587B">
              <w:rPr>
                <w:rFonts w:cs="Arial"/>
              </w:rPr>
              <w:t xml:space="preserve">The </w:t>
            </w:r>
            <w:r w:rsidR="008E78C4">
              <w:rPr>
                <w:rFonts w:cs="Arial"/>
              </w:rPr>
              <w:t>Service</w:t>
            </w:r>
            <w:r w:rsidRPr="00F4587B">
              <w:rPr>
                <w:rFonts w:cs="Arial"/>
              </w:rPr>
              <w:t xml:space="preserve">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F4587B">
              <w:rPr>
                <w:rFonts w:cs="Arial"/>
              </w:rPr>
              <w:t>e.g.</w:t>
            </w:r>
            <w:r w:rsidRPr="00F4587B">
              <w:rPr>
                <w:rFonts w:cs="Arial"/>
              </w:rPr>
              <w:t xml:space="preserve"> CSCS card, SIA Licence.  These costs will be integrated into the unit cost per individual.</w:t>
            </w:r>
          </w:p>
          <w:p w14:paraId="22125E90" w14:textId="77777777" w:rsidR="00F65D61" w:rsidRPr="00F4587B" w:rsidRDefault="00F65D61" w:rsidP="00F65D61">
            <w:pPr>
              <w:rPr>
                <w:rFonts w:cs="Arial"/>
              </w:rPr>
            </w:pPr>
          </w:p>
          <w:p w14:paraId="22125E91" w14:textId="786E8DEB" w:rsidR="00F65D61" w:rsidRPr="00F4587B" w:rsidRDefault="00F65D61" w:rsidP="00F65D61">
            <w:pPr>
              <w:autoSpaceDE w:val="0"/>
              <w:autoSpaceDN w:val="0"/>
              <w:adjustRightInd w:val="0"/>
              <w:rPr>
                <w:rFonts w:cs="Arial"/>
              </w:rPr>
            </w:pPr>
            <w:r w:rsidRPr="00F4587B">
              <w:rPr>
                <w:rFonts w:cs="Arial"/>
              </w:rPr>
              <w:t xml:space="preserve">The </w:t>
            </w:r>
            <w:r w:rsidR="008E78C4">
              <w:rPr>
                <w:rFonts w:cs="Arial"/>
              </w:rPr>
              <w:t>Service</w:t>
            </w:r>
            <w:r w:rsidRPr="00F4587B">
              <w:rPr>
                <w:rFonts w:cs="Arial"/>
              </w:rPr>
              <w:t xml:space="preserve"> </w:t>
            </w:r>
            <w:r w:rsidR="00B85F61" w:rsidRPr="00F4587B">
              <w:rPr>
                <w:rFonts w:cs="Arial"/>
              </w:rPr>
              <w:t xml:space="preserve">must </w:t>
            </w:r>
            <w:r w:rsidRPr="00F4587B">
              <w:rPr>
                <w:rFonts w:cs="Arial"/>
              </w:rPr>
              <w:t xml:space="preserve">support sustained engagement, transition and progression through creation of individual support packages, appropriate to the particular needs of the individual. </w:t>
            </w:r>
            <w:r w:rsidR="00B85F61" w:rsidRPr="00F4587B">
              <w:rPr>
                <w:rFonts w:cs="Arial"/>
              </w:rPr>
              <w:t xml:space="preserve"> Participants </w:t>
            </w:r>
            <w:r w:rsidRPr="00F4587B">
              <w:rPr>
                <w:rFonts w:cs="Arial"/>
              </w:rPr>
              <w:t xml:space="preserve">will receive regular progress reviews, will receive an exit interview and </w:t>
            </w:r>
            <w:r w:rsidR="00B85F61" w:rsidRPr="00F4587B">
              <w:rPr>
                <w:rFonts w:cs="Arial"/>
              </w:rPr>
              <w:t>t</w:t>
            </w:r>
            <w:r w:rsidRPr="00F4587B">
              <w:rPr>
                <w:rFonts w:cs="Arial"/>
              </w:rPr>
              <w:t xml:space="preserve">he </w:t>
            </w:r>
            <w:r w:rsidR="008E78C4">
              <w:rPr>
                <w:rFonts w:cs="Arial"/>
              </w:rPr>
              <w:t>Service</w:t>
            </w:r>
            <w:r w:rsidRPr="00F4587B">
              <w:rPr>
                <w:rFonts w:cs="Arial"/>
              </w:rPr>
              <w:t xml:space="preserve"> will track the individual after leaving the programme.  </w:t>
            </w:r>
          </w:p>
          <w:p w14:paraId="22125E92" w14:textId="77777777" w:rsidR="00F65D61" w:rsidRPr="00F4587B" w:rsidRDefault="00F65D61" w:rsidP="00F65D61">
            <w:pPr>
              <w:autoSpaceDE w:val="0"/>
              <w:autoSpaceDN w:val="0"/>
              <w:adjustRightInd w:val="0"/>
              <w:rPr>
                <w:rFonts w:cs="Arial"/>
              </w:rPr>
            </w:pPr>
          </w:p>
          <w:p w14:paraId="22125E93" w14:textId="43B56AB9" w:rsidR="00F65D61" w:rsidRPr="00F4587B" w:rsidRDefault="00F65D61" w:rsidP="00F65D61">
            <w:pPr>
              <w:rPr>
                <w:rFonts w:cs="Arial"/>
              </w:rPr>
            </w:pPr>
            <w:r w:rsidRPr="00F4587B">
              <w:rPr>
                <w:rFonts w:cs="Arial"/>
              </w:rPr>
              <w:t xml:space="preserve">Where </w:t>
            </w:r>
            <w:r w:rsidR="00B85F61" w:rsidRPr="00F4587B">
              <w:rPr>
                <w:rFonts w:cs="Arial"/>
              </w:rPr>
              <w:t xml:space="preserve">participants </w:t>
            </w:r>
            <w:r w:rsidRPr="00F4587B">
              <w:rPr>
                <w:rFonts w:cs="Arial"/>
              </w:rPr>
              <w:t xml:space="preserve">gain positive outcomes the </w:t>
            </w:r>
            <w:r w:rsidR="008E78C4">
              <w:rPr>
                <w:rFonts w:cs="Arial"/>
              </w:rPr>
              <w:t>Service</w:t>
            </w:r>
            <w:r w:rsidRPr="00F4587B">
              <w:rPr>
                <w:rFonts w:cs="Arial"/>
              </w:rPr>
              <w:t xml:space="preserve"> will provide continuous support </w:t>
            </w:r>
            <w:r w:rsidR="005909C8">
              <w:rPr>
                <w:rFonts w:cs="Arial"/>
              </w:rPr>
              <w:t>which</w:t>
            </w:r>
            <w:r w:rsidRPr="00F4587B">
              <w:rPr>
                <w:rFonts w:cs="Arial"/>
              </w:rPr>
              <w:t xml:space="preserve"> will include regular communication, interventions, coaching and mentoring support for the participant up to the </w:t>
            </w:r>
            <w:r w:rsidR="005833BD" w:rsidRPr="00F4587B">
              <w:rPr>
                <w:rFonts w:cs="Arial"/>
              </w:rPr>
              <w:t>3rd month</w:t>
            </w:r>
            <w:r w:rsidRPr="00F4587B">
              <w:rPr>
                <w:rFonts w:cs="Arial"/>
              </w:rPr>
              <w:t xml:space="preserve"> in employment.  Where</w:t>
            </w:r>
            <w:r w:rsidR="00B85F61" w:rsidRPr="00F4587B">
              <w:rPr>
                <w:rFonts w:cs="Arial"/>
              </w:rPr>
              <w:t xml:space="preserve"> </w:t>
            </w:r>
            <w:r w:rsidR="00BF1E26" w:rsidRPr="00F4587B">
              <w:rPr>
                <w:rFonts w:cs="Arial"/>
              </w:rPr>
              <w:t>participants’</w:t>
            </w:r>
            <w:r w:rsidRPr="00F4587B">
              <w:rPr>
                <w:rFonts w:cs="Arial"/>
              </w:rPr>
              <w:t xml:space="preserve"> progress into a positive outcome generated via working with employers, the </w:t>
            </w:r>
            <w:r w:rsidR="008E78C4">
              <w:rPr>
                <w:rFonts w:cs="Arial"/>
              </w:rPr>
              <w:t>Service</w:t>
            </w:r>
            <w:r w:rsidRPr="00F4587B">
              <w:rPr>
                <w:rFonts w:cs="Arial"/>
              </w:rPr>
              <w:t xml:space="preserve"> will provide on-going tailored induction training as required by the employer to the </w:t>
            </w:r>
            <w:r w:rsidR="00B85F61" w:rsidRPr="00F4587B">
              <w:rPr>
                <w:rFonts w:cs="Arial"/>
              </w:rPr>
              <w:t xml:space="preserve">participants </w:t>
            </w:r>
            <w:r w:rsidRPr="00F4587B">
              <w:rPr>
                <w:rFonts w:cs="Arial"/>
              </w:rPr>
              <w:t xml:space="preserve">once in employment. </w:t>
            </w:r>
          </w:p>
          <w:p w14:paraId="22125E94" w14:textId="77777777" w:rsidR="00F65D61" w:rsidRPr="00F4587B" w:rsidRDefault="00F65D61" w:rsidP="00F65D61">
            <w:pPr>
              <w:autoSpaceDE w:val="0"/>
              <w:autoSpaceDN w:val="0"/>
              <w:adjustRightInd w:val="0"/>
              <w:rPr>
                <w:rFonts w:cs="Arial"/>
              </w:rPr>
            </w:pPr>
          </w:p>
          <w:p w14:paraId="22125E95" w14:textId="2BA3F24D" w:rsidR="00F65D61" w:rsidRPr="00F4587B" w:rsidRDefault="00F65D61" w:rsidP="00F65D61">
            <w:pPr>
              <w:autoSpaceDE w:val="0"/>
              <w:autoSpaceDN w:val="0"/>
              <w:adjustRightInd w:val="0"/>
              <w:rPr>
                <w:rFonts w:cs="Arial"/>
              </w:rPr>
            </w:pPr>
            <w:r w:rsidRPr="00F4587B">
              <w:rPr>
                <w:rFonts w:cs="Arial"/>
              </w:rPr>
              <w:t xml:space="preserve">For any participant who did not gain a positive outcome from the activity the </w:t>
            </w:r>
            <w:r w:rsidR="008E78C4">
              <w:rPr>
                <w:rFonts w:cs="Arial"/>
              </w:rPr>
              <w:t>Service</w:t>
            </w:r>
            <w:r w:rsidR="00B85F61" w:rsidRPr="00F4587B">
              <w:rPr>
                <w:rFonts w:cs="Arial"/>
              </w:rPr>
              <w:t xml:space="preserve"> </w:t>
            </w:r>
            <w:r w:rsidRPr="00F4587B">
              <w:rPr>
                <w:rFonts w:cs="Arial"/>
              </w:rPr>
              <w:t xml:space="preserve">will provide ongoing support/job matching until a successful outcome has been achieved up to </w:t>
            </w:r>
            <w:r w:rsidR="00B66F71">
              <w:rPr>
                <w:rFonts w:cs="Arial"/>
              </w:rPr>
              <w:t>4</w:t>
            </w:r>
            <w:r w:rsidRPr="00F4587B">
              <w:rPr>
                <w:rFonts w:cs="Arial"/>
              </w:rPr>
              <w:t xml:space="preserve"> weeks post completion of activity end date.</w:t>
            </w:r>
          </w:p>
          <w:p w14:paraId="22125E96" w14:textId="77777777" w:rsidR="00F65D61" w:rsidRPr="00F4587B" w:rsidRDefault="00F65D61" w:rsidP="00F65D61">
            <w:pPr>
              <w:pStyle w:val="Default"/>
              <w:rPr>
                <w:sz w:val="22"/>
                <w:szCs w:val="22"/>
              </w:rPr>
            </w:pPr>
          </w:p>
          <w:p w14:paraId="22125E97" w14:textId="661B676F" w:rsidR="00F65D61" w:rsidRPr="00F4587B" w:rsidRDefault="00F65D61" w:rsidP="00F65D61">
            <w:pPr>
              <w:rPr>
                <w:rFonts w:cs="Arial"/>
              </w:rPr>
            </w:pPr>
            <w:r w:rsidRPr="00F4587B">
              <w:rPr>
                <w:rFonts w:cs="Arial"/>
              </w:rPr>
              <w:t xml:space="preserve">The </w:t>
            </w:r>
            <w:r w:rsidR="008E78C4">
              <w:rPr>
                <w:rFonts w:cs="Arial"/>
              </w:rPr>
              <w:t>Service</w:t>
            </w:r>
            <w:r w:rsidRPr="00F4587B">
              <w:rPr>
                <w:rFonts w:cs="Arial"/>
              </w:rPr>
              <w:t xml:space="preserve"> </w:t>
            </w:r>
            <w:r w:rsidR="00B85F61" w:rsidRPr="00F4587B">
              <w:rPr>
                <w:rFonts w:cs="Arial"/>
              </w:rPr>
              <w:t xml:space="preserve">must </w:t>
            </w:r>
            <w:r w:rsidRPr="00F4587B">
              <w:rPr>
                <w:rFonts w:cs="Arial"/>
              </w:rPr>
              <w:t xml:space="preserve">work with employers to identify potential apprenticeship, traineeship and job opportunities.  The </w:t>
            </w:r>
            <w:r w:rsidR="008E78C4">
              <w:rPr>
                <w:rFonts w:cs="Arial"/>
              </w:rPr>
              <w:t>Service</w:t>
            </w:r>
            <w:r w:rsidRPr="00F4587B">
              <w:rPr>
                <w:rFonts w:cs="Arial"/>
              </w:rPr>
              <w:t xml:space="preserve"> </w:t>
            </w:r>
            <w:r w:rsidR="00B85F61" w:rsidRPr="00F4587B">
              <w:rPr>
                <w:rFonts w:cs="Arial"/>
              </w:rPr>
              <w:t xml:space="preserve">must </w:t>
            </w:r>
            <w:r w:rsidRPr="00F4587B">
              <w:rPr>
                <w:rFonts w:cs="Arial"/>
              </w:rPr>
              <w:t xml:space="preserve">provide a single point of contact for employers which provides a candidate matching service.  The matching service </w:t>
            </w:r>
            <w:r w:rsidR="007118CF" w:rsidRPr="00F4587B">
              <w:rPr>
                <w:rFonts w:cs="Arial"/>
              </w:rPr>
              <w:t xml:space="preserve">must </w:t>
            </w:r>
            <w:r w:rsidRPr="00F4587B">
              <w:rPr>
                <w:rFonts w:cs="Arial"/>
              </w:rPr>
              <w:t xml:space="preserve">set up and </w:t>
            </w:r>
            <w:r w:rsidRPr="00F4587B">
              <w:rPr>
                <w:rFonts w:cs="Arial"/>
              </w:rPr>
              <w:lastRenderedPageBreak/>
              <w:t xml:space="preserve">maintain a candidate/employer vacancy bank and support employers to identify candidates who meet their needs and will develop a mechanism to ensure candidates engage with match service.  The </w:t>
            </w:r>
            <w:r w:rsidR="008E78C4">
              <w:rPr>
                <w:rFonts w:cs="Arial"/>
              </w:rPr>
              <w:t>Service</w:t>
            </w:r>
            <w:r w:rsidRPr="00F4587B">
              <w:rPr>
                <w:rFonts w:cs="Arial"/>
              </w:rPr>
              <w:t xml:space="preserve"> </w:t>
            </w:r>
            <w:r w:rsidR="007118CF" w:rsidRPr="00F4587B">
              <w:rPr>
                <w:rFonts w:cs="Arial"/>
              </w:rPr>
              <w:t xml:space="preserve">must </w:t>
            </w:r>
            <w:r w:rsidRPr="00F4587B">
              <w:rPr>
                <w:rFonts w:cs="Arial"/>
              </w:rPr>
              <w:t>provide employers with a selection of suitable candidates for each vacancy and any other support related to the recruitment process as required by the employer</w:t>
            </w:r>
            <w:r w:rsidRPr="00F4587B">
              <w:t xml:space="preserve">.  </w:t>
            </w:r>
            <w:r w:rsidRPr="00F4587B">
              <w:rPr>
                <w:rFonts w:cs="Arial"/>
              </w:rPr>
              <w:t xml:space="preserve">The </w:t>
            </w:r>
            <w:r w:rsidR="008E78C4">
              <w:rPr>
                <w:rFonts w:cs="Arial"/>
              </w:rPr>
              <w:t>Service</w:t>
            </w:r>
            <w:r w:rsidRPr="00F4587B">
              <w:rPr>
                <w:rFonts w:cs="Arial"/>
              </w:rPr>
              <w:t xml:space="preserve"> </w:t>
            </w:r>
            <w:r w:rsidR="007118CF" w:rsidRPr="00F4587B">
              <w:rPr>
                <w:rFonts w:cs="Arial"/>
              </w:rPr>
              <w:t xml:space="preserve">must </w:t>
            </w:r>
            <w:r w:rsidRPr="00F4587B">
              <w:rPr>
                <w:rFonts w:cs="Arial"/>
              </w:rPr>
              <w:t>provide mentoring support to employers to assist them in supporting their new employees.</w:t>
            </w:r>
          </w:p>
          <w:p w14:paraId="22125E98" w14:textId="77777777" w:rsidR="00F65D61" w:rsidRPr="00F4587B" w:rsidRDefault="00F65D61" w:rsidP="00F65D61">
            <w:pPr>
              <w:rPr>
                <w:rFonts w:cs="Arial"/>
              </w:rPr>
            </w:pPr>
          </w:p>
          <w:p w14:paraId="22125E99" w14:textId="3DBBEA43" w:rsidR="002F59FE" w:rsidRPr="00F4587B" w:rsidRDefault="002F59FE" w:rsidP="002F59FE">
            <w:pPr>
              <w:pStyle w:val="Default"/>
              <w:rPr>
                <w:color w:val="auto"/>
                <w:sz w:val="22"/>
                <w:szCs w:val="22"/>
              </w:rPr>
            </w:pPr>
            <w:r w:rsidRPr="00F4587B">
              <w:t xml:space="preserve">The </w:t>
            </w:r>
            <w:r w:rsidR="008E78C4">
              <w:t>Service</w:t>
            </w:r>
            <w:r w:rsidRPr="00F4587B">
              <w:t xml:space="preserve"> </w:t>
            </w:r>
            <w:r w:rsidR="007118CF" w:rsidRPr="00F4587B">
              <w:t xml:space="preserve">must </w:t>
            </w:r>
            <w:r w:rsidRPr="00F4587B">
              <w:t xml:space="preserve">develop and provide </w:t>
            </w:r>
            <w:r w:rsidR="007118CF" w:rsidRPr="00F4587B">
              <w:t>s</w:t>
            </w:r>
            <w:r w:rsidRPr="00F4587B">
              <w:t xml:space="preserve">kills support to reduce worklessness amongst the hardest to reach communities by providing support to local communities to deliver local training solutions to engage disadvantaged learners, Innovative provision that engages people and enables them to enter education and/or employment. The </w:t>
            </w:r>
            <w:r w:rsidR="008E78C4">
              <w:t>Service</w:t>
            </w:r>
            <w:r w:rsidRPr="00F4587B">
              <w:t xml:space="preserve"> </w:t>
            </w:r>
            <w:r w:rsidR="007118CF" w:rsidRPr="00F4587B">
              <w:t xml:space="preserve">must </w:t>
            </w:r>
            <w:r w:rsidRPr="00F4587B">
              <w:t xml:space="preserve">offer </w:t>
            </w:r>
            <w:r w:rsidR="007118CF" w:rsidRPr="00F4587B">
              <w:t>f</w:t>
            </w:r>
            <w:r w:rsidRPr="00F4587B">
              <w:t xml:space="preserve">unctional skills training, including literacy and ICT, promoting digital competence within the labour market; ESOL provision </w:t>
            </w:r>
            <w:r w:rsidR="007118CF" w:rsidRPr="00F4587B">
              <w:t>l</w:t>
            </w:r>
            <w:r w:rsidRPr="00F4587B">
              <w:t>earning programmes for learners with special educational needs</w:t>
            </w:r>
            <w:r w:rsidR="007118CF" w:rsidRPr="00F4587B">
              <w:t xml:space="preserve"> and</w:t>
            </w:r>
            <w:r w:rsidRPr="00F4587B">
              <w:t xml:space="preserve"> </w:t>
            </w:r>
            <w:r w:rsidR="007118CF" w:rsidRPr="00F4587B">
              <w:t>s</w:t>
            </w:r>
            <w:r w:rsidRPr="00F4587B">
              <w:t>upport independence skills for those with learning difficulties</w:t>
            </w:r>
          </w:p>
          <w:p w14:paraId="22125E9A" w14:textId="77777777" w:rsidR="00F65D61" w:rsidRPr="00F4587B" w:rsidRDefault="00F65D61" w:rsidP="00F65D61">
            <w:pPr>
              <w:pStyle w:val="Default"/>
              <w:rPr>
                <w:color w:val="auto"/>
                <w:sz w:val="22"/>
                <w:szCs w:val="22"/>
              </w:rPr>
            </w:pPr>
          </w:p>
          <w:p w14:paraId="22125E9B" w14:textId="0FD15965" w:rsidR="00A503FD" w:rsidRPr="00F4587B" w:rsidRDefault="00A503FD" w:rsidP="00A503FD">
            <w:pPr>
              <w:rPr>
                <w:rFonts w:cs="Arial"/>
              </w:rPr>
            </w:pPr>
            <w:r w:rsidRPr="00F4587B">
              <w:rPr>
                <w:rFonts w:cs="Arial"/>
              </w:rPr>
              <w:t xml:space="preserve">The </w:t>
            </w:r>
            <w:r w:rsidR="008E78C4">
              <w:rPr>
                <w:rFonts w:cs="Arial"/>
              </w:rPr>
              <w:t>Service</w:t>
            </w:r>
            <w:r w:rsidRPr="00F4587B">
              <w:rPr>
                <w:rFonts w:cs="Arial"/>
              </w:rPr>
              <w:t xml:space="preserve"> </w:t>
            </w:r>
            <w:r w:rsidR="007118CF" w:rsidRPr="00F4587B">
              <w:rPr>
                <w:rFonts w:cs="Arial"/>
              </w:rPr>
              <w:t xml:space="preserve">must </w:t>
            </w:r>
            <w:r w:rsidRPr="00F4587B">
              <w:rPr>
                <w:rFonts w:cs="Arial"/>
              </w:rPr>
              <w:t>investigate existing demand for ESOL provision across the LEP area and explore where</w:t>
            </w:r>
            <w:r w:rsidR="007118CF" w:rsidRPr="00F4587B">
              <w:rPr>
                <w:rFonts w:cs="Arial"/>
              </w:rPr>
              <w:t xml:space="preserve"> the </w:t>
            </w:r>
            <w:r w:rsidR="008E78C4">
              <w:rPr>
                <w:rFonts w:cs="Arial"/>
              </w:rPr>
              <w:t>Service</w:t>
            </w:r>
            <w:r w:rsidR="007118CF" w:rsidRPr="00F4587B">
              <w:rPr>
                <w:rFonts w:cs="Arial"/>
              </w:rPr>
              <w:t xml:space="preserve"> </w:t>
            </w:r>
            <w:r w:rsidRPr="00F4587B">
              <w:rPr>
                <w:rFonts w:cs="Arial"/>
              </w:rPr>
              <w:t xml:space="preserve">might be able to augment provision available to the target group and promote participation.  The </w:t>
            </w:r>
            <w:r w:rsidR="008E78C4">
              <w:rPr>
                <w:rFonts w:cs="Arial"/>
              </w:rPr>
              <w:t>Service</w:t>
            </w:r>
            <w:r w:rsidRPr="00F4587B">
              <w:rPr>
                <w:rFonts w:cs="Arial"/>
              </w:rPr>
              <w:t xml:space="preserve"> </w:t>
            </w:r>
            <w:r w:rsidR="007118CF" w:rsidRPr="00F4587B">
              <w:rPr>
                <w:rFonts w:cs="Arial"/>
              </w:rPr>
              <w:t xml:space="preserve">must </w:t>
            </w:r>
            <w:r w:rsidRPr="00F4587B">
              <w:rPr>
                <w:rFonts w:cs="Arial"/>
              </w:rPr>
              <w:t>then offer provision that will be responsive to local demands and business needs including a package of support that will equip participants to develop the skills and workplace experience required by employers.</w:t>
            </w:r>
          </w:p>
          <w:p w14:paraId="22125E9C" w14:textId="77777777" w:rsidR="00B66F71" w:rsidRDefault="00B66F71" w:rsidP="00F62878">
            <w:pPr>
              <w:autoSpaceDE w:val="0"/>
              <w:autoSpaceDN w:val="0"/>
              <w:adjustRightInd w:val="0"/>
              <w:rPr>
                <w:rStyle w:val="Emphasis"/>
                <w:b w:val="0"/>
              </w:rPr>
            </w:pPr>
          </w:p>
          <w:p w14:paraId="22125E9D" w14:textId="30A4584F" w:rsidR="00F62878" w:rsidRPr="00D3235F" w:rsidRDefault="007A236E" w:rsidP="00F62878">
            <w:pPr>
              <w:autoSpaceDE w:val="0"/>
              <w:autoSpaceDN w:val="0"/>
              <w:adjustRightInd w:val="0"/>
            </w:pPr>
            <w:r w:rsidRPr="5AE04A84">
              <w:rPr>
                <w:rStyle w:val="Emphasis"/>
                <w:b w:val="0"/>
              </w:rPr>
              <w:t xml:space="preserve">The </w:t>
            </w:r>
            <w:r w:rsidR="008E78C4">
              <w:rPr>
                <w:rStyle w:val="Emphasis"/>
                <w:b w:val="0"/>
              </w:rPr>
              <w:t>Service</w:t>
            </w:r>
            <w:r w:rsidR="007B6096">
              <w:rPr>
                <w:rStyle w:val="Emphasis"/>
                <w:b w:val="0"/>
              </w:rPr>
              <w:t xml:space="preserve"> must be delivered </w:t>
            </w:r>
            <w:r w:rsidRPr="00F62878">
              <w:rPr>
                <w:rStyle w:val="Emphasis"/>
                <w:b w:val="0"/>
              </w:rPr>
              <w:t>from within the</w:t>
            </w:r>
            <w:r w:rsidRPr="00F62878">
              <w:rPr>
                <w:rStyle w:val="Emphasis"/>
                <w:rFonts w:ascii="SymbolOOEnc" w:eastAsia="SymbolOOEnc" w:hAnsi="SymbolOOEnc" w:cs="SymbolOOEnc"/>
                <w:b w:val="0"/>
              </w:rPr>
              <w:t xml:space="preserve"> </w:t>
            </w:r>
            <w:r w:rsidRPr="00F62878">
              <w:rPr>
                <w:rStyle w:val="Emphasis"/>
                <w:b w:val="0"/>
              </w:rPr>
              <w:t>North East LEP area</w:t>
            </w:r>
            <w:r w:rsidR="007B6096">
              <w:rPr>
                <w:rStyle w:val="Emphasis"/>
                <w:b w:val="0"/>
              </w:rPr>
              <w:t xml:space="preserve"> and must take account of local needs. </w:t>
            </w:r>
            <w:r w:rsidRPr="00F62878">
              <w:rPr>
                <w:rStyle w:val="Emphasis"/>
                <w:b w:val="0"/>
              </w:rPr>
              <w:t xml:space="preserve">. </w:t>
            </w:r>
            <w:r w:rsidRPr="00F62878">
              <w:t xml:space="preserve">The </w:t>
            </w:r>
            <w:r w:rsidR="008E78C4">
              <w:t>Service</w:t>
            </w:r>
            <w:r w:rsidRPr="00F62878">
              <w:t xml:space="preserve"> must be delivered to the same </w:t>
            </w:r>
            <w:r w:rsidR="00F62878" w:rsidRPr="00F62878">
              <w:t xml:space="preserve">high </w:t>
            </w:r>
            <w:r w:rsidRPr="00F62878">
              <w:t xml:space="preserve">standards across the whole geographical area. </w:t>
            </w:r>
          </w:p>
          <w:p w14:paraId="22125E9E" w14:textId="77777777" w:rsidR="00F62878" w:rsidRPr="009E4906" w:rsidRDefault="00F62878" w:rsidP="00F62878">
            <w:pPr>
              <w:rPr>
                <w:rFonts w:cs="Arial"/>
              </w:rPr>
            </w:pPr>
          </w:p>
          <w:p w14:paraId="22125E9F" w14:textId="48DEE2F6" w:rsidR="009E4906" w:rsidRPr="00D3235F" w:rsidRDefault="007B6096" w:rsidP="00D3235F">
            <w:pPr>
              <w:rPr>
                <w:rFonts w:cs="Arial"/>
              </w:rPr>
            </w:pPr>
            <w:r>
              <w:rPr>
                <w:rFonts w:cs="Arial"/>
              </w:rPr>
              <w:t xml:space="preserve">The </w:t>
            </w:r>
            <w:r w:rsidR="008E78C4">
              <w:rPr>
                <w:rFonts w:cs="Arial"/>
              </w:rPr>
              <w:t>Service</w:t>
            </w:r>
            <w:r>
              <w:rPr>
                <w:rFonts w:cs="Arial"/>
              </w:rPr>
              <w:t xml:space="preserve"> must be take account of the </w:t>
            </w:r>
            <w:r w:rsidR="009E4906" w:rsidRPr="00D3235F">
              <w:rPr>
                <w:rFonts w:cs="Arial"/>
              </w:rPr>
              <w:t xml:space="preserve">local labour market and </w:t>
            </w:r>
            <w:r>
              <w:rPr>
                <w:rFonts w:cs="Arial"/>
              </w:rPr>
              <w:t xml:space="preserve"> be </w:t>
            </w:r>
            <w:r w:rsidR="009E4906" w:rsidRPr="00D3235F">
              <w:rPr>
                <w:rFonts w:cs="Arial"/>
              </w:rPr>
              <w:t xml:space="preserve">tailored to meet the local needs of those unemployed and inactive and to maximise employment opportunities locally.  </w:t>
            </w:r>
          </w:p>
          <w:p w14:paraId="22125EA0" w14:textId="77777777" w:rsidR="009E4906" w:rsidRPr="009E4906" w:rsidRDefault="009E4906" w:rsidP="00D3235F">
            <w:pPr>
              <w:pStyle w:val="ListParagraph"/>
              <w:ind w:left="0"/>
              <w:contextualSpacing w:val="0"/>
              <w:rPr>
                <w:rFonts w:cs="Arial"/>
              </w:rPr>
            </w:pPr>
          </w:p>
          <w:p w14:paraId="22125EA1" w14:textId="424C8BB7" w:rsidR="009E4906" w:rsidRPr="00D3235F" w:rsidRDefault="007B6096" w:rsidP="00D3235F">
            <w:pPr>
              <w:rPr>
                <w:rFonts w:cs="Arial"/>
              </w:rPr>
            </w:pPr>
            <w:r>
              <w:rPr>
                <w:rFonts w:cs="Arial"/>
              </w:rPr>
              <w:t xml:space="preserve">The </w:t>
            </w:r>
            <w:r w:rsidR="008E78C4">
              <w:rPr>
                <w:rFonts w:cs="Arial"/>
              </w:rPr>
              <w:t>Service</w:t>
            </w:r>
            <w:r>
              <w:rPr>
                <w:rFonts w:cs="Arial"/>
              </w:rPr>
              <w:t xml:space="preserve"> must take account of the needs of </w:t>
            </w:r>
            <w:r w:rsidR="009E4906" w:rsidRPr="00D3235F">
              <w:rPr>
                <w:rFonts w:cs="Arial"/>
              </w:rPr>
              <w:t>priority sectors as route ways to employment</w:t>
            </w:r>
          </w:p>
          <w:p w14:paraId="22125EA2" w14:textId="77777777" w:rsidR="009E4906" w:rsidRPr="009E4906" w:rsidRDefault="009E4906" w:rsidP="00D3235F">
            <w:pPr>
              <w:rPr>
                <w:rFonts w:cs="Arial"/>
              </w:rPr>
            </w:pPr>
          </w:p>
          <w:p w14:paraId="22125EA3" w14:textId="38527269" w:rsidR="009E4906" w:rsidRPr="00D3235F" w:rsidRDefault="007B6096" w:rsidP="00D3235F">
            <w:pPr>
              <w:rPr>
                <w:rFonts w:cs="Arial"/>
              </w:rPr>
            </w:pPr>
            <w:r>
              <w:rPr>
                <w:rFonts w:cs="Arial"/>
              </w:rPr>
              <w:t xml:space="preserve">The </w:t>
            </w:r>
            <w:r w:rsidR="008E78C4">
              <w:rPr>
                <w:rFonts w:cs="Arial"/>
              </w:rPr>
              <w:t>Service</w:t>
            </w:r>
            <w:r>
              <w:rPr>
                <w:rFonts w:cs="Arial"/>
              </w:rPr>
              <w:t xml:space="preserve"> must offer </w:t>
            </w:r>
            <w:r w:rsidR="009E4906" w:rsidRPr="00D3235F">
              <w:rPr>
                <w:rFonts w:cs="Arial"/>
              </w:rPr>
              <w:t xml:space="preserve"> industry recognised training to be offered to the clie</w:t>
            </w:r>
            <w:r w:rsidR="00B66F71" w:rsidRPr="00D3235F">
              <w:rPr>
                <w:rFonts w:cs="Arial"/>
              </w:rPr>
              <w:t>nt</w:t>
            </w:r>
          </w:p>
          <w:p w14:paraId="22125EA4" w14:textId="77777777" w:rsidR="009E4906" w:rsidRPr="009E4906" w:rsidRDefault="009E4906">
            <w:pPr>
              <w:pStyle w:val="ListParagraph"/>
              <w:ind w:left="-1080"/>
              <w:rPr>
                <w:rFonts w:cs="Arial"/>
              </w:rPr>
            </w:pPr>
          </w:p>
          <w:p w14:paraId="22125EA5" w14:textId="5730BCE0" w:rsidR="009E4906" w:rsidRPr="00D3235F" w:rsidRDefault="007B6096" w:rsidP="00D3235F">
            <w:pPr>
              <w:rPr>
                <w:rFonts w:cs="Arial"/>
              </w:rPr>
            </w:pPr>
            <w:r>
              <w:rPr>
                <w:rFonts w:cs="Arial"/>
              </w:rPr>
              <w:t xml:space="preserve">The </w:t>
            </w:r>
            <w:r w:rsidR="008E78C4">
              <w:rPr>
                <w:rFonts w:cs="Arial"/>
              </w:rPr>
              <w:t>Service</w:t>
            </w:r>
            <w:r>
              <w:rPr>
                <w:rFonts w:cs="Arial"/>
              </w:rPr>
              <w:t xml:space="preserve"> must provide </w:t>
            </w:r>
            <w:r w:rsidR="009E4906" w:rsidRPr="00D3235F">
              <w:rPr>
                <w:rFonts w:cs="Arial"/>
              </w:rPr>
              <w:t xml:space="preserve">Careers, Education, Information, Advice and Guidance </w:t>
            </w:r>
            <w:r w:rsidR="008052FD" w:rsidRPr="00D3235F">
              <w:rPr>
                <w:rFonts w:cs="Arial"/>
              </w:rPr>
              <w:t xml:space="preserve">(CEIAG) </w:t>
            </w:r>
            <w:r>
              <w:rPr>
                <w:rFonts w:cs="Arial"/>
              </w:rPr>
              <w:t xml:space="preserve">to </w:t>
            </w:r>
            <w:r w:rsidR="009E4906" w:rsidRPr="00D3235F">
              <w:rPr>
                <w:rFonts w:cs="Arial"/>
              </w:rPr>
              <w:t xml:space="preserve">support those unemployed and inactive back into work.  </w:t>
            </w:r>
          </w:p>
          <w:p w14:paraId="22125EA6" w14:textId="77777777" w:rsidR="009E4906" w:rsidRPr="009E4906" w:rsidRDefault="009E4906" w:rsidP="00D3235F">
            <w:pPr>
              <w:pStyle w:val="ListParagraph"/>
              <w:ind w:left="0"/>
              <w:contextualSpacing w:val="0"/>
              <w:rPr>
                <w:rFonts w:cs="Arial"/>
              </w:rPr>
            </w:pPr>
          </w:p>
          <w:p w14:paraId="22125EA7" w14:textId="77777777" w:rsidR="009E4906" w:rsidRPr="00D3235F" w:rsidRDefault="009E4906" w:rsidP="00D3235F">
            <w:pPr>
              <w:rPr>
                <w:rFonts w:cs="Arial"/>
              </w:rPr>
            </w:pPr>
            <w:r w:rsidRPr="00D3235F">
              <w:rPr>
                <w:rFonts w:cs="Arial"/>
              </w:rPr>
              <w:t xml:space="preserve">CEIAG </w:t>
            </w:r>
            <w:r w:rsidR="007B6096">
              <w:rPr>
                <w:rFonts w:cs="Arial"/>
              </w:rPr>
              <w:t xml:space="preserve">must be delivered </w:t>
            </w:r>
            <w:r w:rsidRPr="00D3235F">
              <w:rPr>
                <w:rFonts w:cs="Arial"/>
              </w:rPr>
              <w:t xml:space="preserve">within the overall programme of support and must </w:t>
            </w:r>
            <w:r w:rsidR="007B6096">
              <w:rPr>
                <w:rFonts w:cs="Arial"/>
              </w:rPr>
              <w:t xml:space="preserve">be </w:t>
            </w:r>
            <w:r w:rsidRPr="00D3235F">
              <w:rPr>
                <w:rFonts w:cs="Arial"/>
              </w:rPr>
              <w:t>align</w:t>
            </w:r>
            <w:r w:rsidR="007B6096">
              <w:rPr>
                <w:rFonts w:cs="Arial"/>
              </w:rPr>
              <w:t>ed</w:t>
            </w:r>
            <w:r w:rsidR="008052FD" w:rsidRPr="00D3235F">
              <w:rPr>
                <w:rFonts w:cs="Arial"/>
              </w:rPr>
              <w:t xml:space="preserve">, add value and not duplicate activity provided by </w:t>
            </w:r>
            <w:r w:rsidRPr="00D3235F">
              <w:rPr>
                <w:rFonts w:cs="Arial"/>
              </w:rPr>
              <w:t xml:space="preserve">the National Careers Service, the SFA </w:t>
            </w:r>
            <w:r w:rsidR="008D3B35" w:rsidRPr="00D3235F">
              <w:rPr>
                <w:rFonts w:cs="Arial"/>
              </w:rPr>
              <w:t xml:space="preserve">ESF </w:t>
            </w:r>
            <w:r w:rsidRPr="00D3235F">
              <w:rPr>
                <w:rFonts w:cs="Arial"/>
              </w:rPr>
              <w:t xml:space="preserve">NEET contract and other providers of relevance.  </w:t>
            </w:r>
          </w:p>
          <w:p w14:paraId="22125EA8" w14:textId="77777777" w:rsidR="00D1037F" w:rsidRPr="00D1037F" w:rsidRDefault="00D1037F" w:rsidP="00D3235F">
            <w:pPr>
              <w:pStyle w:val="ListParagraph"/>
              <w:ind w:left="0"/>
              <w:rPr>
                <w:rFonts w:cs="Arial"/>
              </w:rPr>
            </w:pPr>
          </w:p>
          <w:p w14:paraId="22125EA9" w14:textId="120ED43A" w:rsidR="00D1037F" w:rsidRPr="00D3235F" w:rsidRDefault="005909C8" w:rsidP="00D3235F">
            <w:pPr>
              <w:rPr>
                <w:iCs/>
              </w:rPr>
            </w:pPr>
            <w:r w:rsidRPr="00D3235F">
              <w:rPr>
                <w:iCs/>
              </w:rPr>
              <w:t xml:space="preserve">The </w:t>
            </w:r>
            <w:r w:rsidR="008E78C4">
              <w:rPr>
                <w:iCs/>
              </w:rPr>
              <w:t>Service</w:t>
            </w:r>
            <w:r w:rsidR="00D1037F" w:rsidRPr="00D3235F">
              <w:rPr>
                <w:rFonts w:cs="Arial"/>
                <w:iCs/>
              </w:rPr>
              <w:t xml:space="preserve"> must provide continuing development and further dissemination of high quality information, advice and guidance regarding career pathways</w:t>
            </w:r>
            <w:r w:rsidR="00D1037F" w:rsidRPr="00D3235F">
              <w:rPr>
                <w:iCs/>
              </w:rPr>
              <w:t xml:space="preserve"> to clients; in particular CEIAG must </w:t>
            </w:r>
            <w:r w:rsidR="00D1037F" w:rsidRPr="00D3235F">
              <w:rPr>
                <w:rFonts w:cs="Arial"/>
                <w:iCs/>
              </w:rPr>
              <w:t xml:space="preserve">provide high quality advice regarding career </w:t>
            </w:r>
            <w:r w:rsidR="00D1037F" w:rsidRPr="00D3235F">
              <w:rPr>
                <w:iCs/>
              </w:rPr>
              <w:t>for priority sectors (see below)</w:t>
            </w:r>
            <w:r w:rsidR="00D1037F" w:rsidRPr="00D3235F">
              <w:rPr>
                <w:rFonts w:cs="Arial"/>
                <w:iCs/>
              </w:rPr>
              <w:t>. </w:t>
            </w:r>
          </w:p>
          <w:p w14:paraId="22125EAA" w14:textId="77777777" w:rsidR="00D1037F" w:rsidRPr="00377083" w:rsidRDefault="00D1037F" w:rsidP="00D3235F">
            <w:pPr>
              <w:pStyle w:val="ListParagraph"/>
              <w:ind w:left="0"/>
              <w:rPr>
                <w:iCs/>
              </w:rPr>
            </w:pPr>
          </w:p>
          <w:p w14:paraId="22125EAB" w14:textId="6A8B98AB" w:rsidR="00D1037F" w:rsidRPr="00D3235F" w:rsidRDefault="005909C8" w:rsidP="00D3235F">
            <w:pPr>
              <w:rPr>
                <w:rFonts w:cs="Arial"/>
                <w:iCs/>
              </w:rPr>
            </w:pPr>
            <w:r w:rsidRPr="00D3235F">
              <w:rPr>
                <w:iCs/>
              </w:rPr>
              <w:t xml:space="preserve">The </w:t>
            </w:r>
            <w:r w:rsidR="008E78C4">
              <w:rPr>
                <w:iCs/>
              </w:rPr>
              <w:t>Service</w:t>
            </w:r>
            <w:r w:rsidRPr="00D3235F">
              <w:rPr>
                <w:rFonts w:cs="Arial"/>
                <w:iCs/>
              </w:rPr>
              <w:t xml:space="preserve"> </w:t>
            </w:r>
            <w:r w:rsidR="00D1037F" w:rsidRPr="00D3235F">
              <w:rPr>
                <w:rFonts w:cs="Arial"/>
                <w:iCs/>
              </w:rPr>
              <w:t xml:space="preserve">must be provided flexibly in order to respond to </w:t>
            </w:r>
            <w:r w:rsidR="00D1037F" w:rsidRPr="00D3235F">
              <w:rPr>
                <w:iCs/>
              </w:rPr>
              <w:t>clients</w:t>
            </w:r>
            <w:r w:rsidR="00D1037F" w:rsidRPr="00D3235F">
              <w:rPr>
                <w:rFonts w:cs="Arial"/>
                <w:iCs/>
              </w:rPr>
              <w:t xml:space="preserve">’ personal ambitions and the changing needs of the local economy. </w:t>
            </w:r>
          </w:p>
          <w:p w14:paraId="22125EAC" w14:textId="77777777" w:rsidR="00D1037F" w:rsidRPr="00377083" w:rsidRDefault="00D1037F" w:rsidP="00D3235F">
            <w:pPr>
              <w:rPr>
                <w:rFonts w:cs="Arial"/>
                <w:iCs/>
              </w:rPr>
            </w:pPr>
          </w:p>
          <w:p w14:paraId="22125EAD" w14:textId="4F669FD8" w:rsidR="00D1037F" w:rsidRPr="00D3235F" w:rsidRDefault="005909C8" w:rsidP="00D3235F">
            <w:pPr>
              <w:autoSpaceDE w:val="0"/>
              <w:autoSpaceDN w:val="0"/>
              <w:rPr>
                <w:iCs/>
              </w:rPr>
            </w:pPr>
            <w:r w:rsidRPr="00D3235F">
              <w:rPr>
                <w:iCs/>
              </w:rPr>
              <w:t xml:space="preserve">The </w:t>
            </w:r>
            <w:r w:rsidR="008E78C4">
              <w:rPr>
                <w:iCs/>
              </w:rPr>
              <w:t>Service</w:t>
            </w:r>
            <w:r w:rsidRPr="00D3235F">
              <w:rPr>
                <w:rFonts w:cs="Arial"/>
                <w:iCs/>
              </w:rPr>
              <w:t xml:space="preserve"> </w:t>
            </w:r>
            <w:r w:rsidR="00D1037F" w:rsidRPr="00D3235F">
              <w:rPr>
                <w:rFonts w:cs="Arial"/>
                <w:iCs/>
              </w:rPr>
              <w:t xml:space="preserve">must be innovative in providing enhanced </w:t>
            </w:r>
            <w:r w:rsidR="008052FD" w:rsidRPr="00D3235F">
              <w:rPr>
                <w:rFonts w:cs="Arial"/>
                <w:iCs/>
              </w:rPr>
              <w:t>CEIA</w:t>
            </w:r>
            <w:r w:rsidR="00D1037F" w:rsidRPr="00D3235F">
              <w:rPr>
                <w:rFonts w:cs="Arial"/>
                <w:iCs/>
              </w:rPr>
              <w:t>G to</w:t>
            </w:r>
            <w:r w:rsidR="00D1037F" w:rsidRPr="00D3235F">
              <w:rPr>
                <w:iCs/>
              </w:rPr>
              <w:t xml:space="preserve"> clients</w:t>
            </w:r>
            <w:r w:rsidR="00D1037F" w:rsidRPr="00D3235F">
              <w:rPr>
                <w:rFonts w:cs="Arial"/>
                <w:iCs/>
              </w:rPr>
              <w:t xml:space="preserve"> who wish to progress but at present, lack the ability to understand any clear progression routes either within their current industry or a different one.  </w:t>
            </w:r>
          </w:p>
          <w:p w14:paraId="22125EAE" w14:textId="77777777" w:rsidR="00D1037F" w:rsidRPr="00377083" w:rsidRDefault="00D1037F" w:rsidP="00D3235F">
            <w:pPr>
              <w:pStyle w:val="ListParagraph"/>
              <w:ind w:left="0"/>
              <w:rPr>
                <w:iCs/>
              </w:rPr>
            </w:pPr>
          </w:p>
          <w:p w14:paraId="22125EAF" w14:textId="7013319B" w:rsidR="00D1037F" w:rsidRPr="00D3235F" w:rsidRDefault="005909C8" w:rsidP="00D3235F">
            <w:pPr>
              <w:autoSpaceDE w:val="0"/>
              <w:autoSpaceDN w:val="0"/>
              <w:rPr>
                <w:rFonts w:cs="Arial"/>
                <w:iCs/>
              </w:rPr>
            </w:pPr>
            <w:r w:rsidRPr="00D3235F">
              <w:rPr>
                <w:iCs/>
              </w:rPr>
              <w:t xml:space="preserve">The </w:t>
            </w:r>
            <w:r w:rsidR="008E78C4">
              <w:rPr>
                <w:iCs/>
              </w:rPr>
              <w:t>Service</w:t>
            </w:r>
            <w:r w:rsidR="00D1037F" w:rsidRPr="00D3235F">
              <w:rPr>
                <w:iCs/>
              </w:rPr>
              <w:t xml:space="preserve"> must provide </w:t>
            </w:r>
            <w:r w:rsidR="00D1037F" w:rsidRPr="00D3235F">
              <w:rPr>
                <w:rFonts w:cs="Arial"/>
                <w:iCs/>
              </w:rPr>
              <w:t>up to date labour market intelligence</w:t>
            </w:r>
            <w:r w:rsidR="00D1037F" w:rsidRPr="00D3235F">
              <w:rPr>
                <w:iCs/>
              </w:rPr>
              <w:t xml:space="preserve"> in a user friendly way to </w:t>
            </w:r>
            <w:r w:rsidR="00D1037F" w:rsidRPr="00D3235F">
              <w:rPr>
                <w:rFonts w:cs="Arial"/>
                <w:iCs/>
              </w:rPr>
              <w:t xml:space="preserve">inspire </w:t>
            </w:r>
            <w:r w:rsidR="00D1037F" w:rsidRPr="00D3235F">
              <w:rPr>
                <w:iCs/>
              </w:rPr>
              <w:t>clients</w:t>
            </w:r>
            <w:r w:rsidR="00D1037F" w:rsidRPr="00D3235F">
              <w:rPr>
                <w:rFonts w:cs="Arial"/>
                <w:iCs/>
              </w:rPr>
              <w:t xml:space="preserve"> into making</w:t>
            </w:r>
            <w:r w:rsidR="008052FD" w:rsidRPr="00D3235F">
              <w:rPr>
                <w:rFonts w:cs="Arial"/>
                <w:iCs/>
              </w:rPr>
              <w:t xml:space="preserve"> better informed career choices</w:t>
            </w:r>
          </w:p>
          <w:p w14:paraId="22125EB0" w14:textId="77777777" w:rsidR="00D1037F" w:rsidRPr="00377083" w:rsidRDefault="00D1037F" w:rsidP="00D3235F">
            <w:pPr>
              <w:rPr>
                <w:rFonts w:cs="Arial"/>
                <w:iCs/>
              </w:rPr>
            </w:pPr>
          </w:p>
          <w:p w14:paraId="22125EB1" w14:textId="0EF6576E" w:rsidR="00D1037F" w:rsidRPr="00D3235F" w:rsidRDefault="005909C8" w:rsidP="00D3235F">
            <w:pPr>
              <w:rPr>
                <w:iCs/>
                <w:color w:val="000000"/>
              </w:rPr>
            </w:pPr>
            <w:r w:rsidRPr="00D3235F">
              <w:rPr>
                <w:iCs/>
              </w:rPr>
              <w:t xml:space="preserve">The </w:t>
            </w:r>
            <w:r w:rsidR="008E78C4">
              <w:rPr>
                <w:iCs/>
              </w:rPr>
              <w:t>Service</w:t>
            </w:r>
            <w:r w:rsidR="00D1037F" w:rsidRPr="00D3235F">
              <w:rPr>
                <w:iCs/>
              </w:rPr>
              <w:t xml:space="preserve"> must</w:t>
            </w:r>
            <w:r w:rsidR="00D1037F" w:rsidRPr="00D3235F">
              <w:rPr>
                <w:rFonts w:cs="Arial"/>
                <w:iCs/>
              </w:rPr>
              <w:t xml:space="preserve"> support </w:t>
            </w:r>
            <w:r w:rsidR="00D1037F" w:rsidRPr="00D3235F">
              <w:rPr>
                <w:rFonts w:cs="Arial"/>
                <w:iCs/>
                <w:color w:val="000000"/>
              </w:rPr>
              <w:t>promotion and engagement of STEM opportunities</w:t>
            </w:r>
            <w:r w:rsidR="00D1037F" w:rsidRPr="00D3235F">
              <w:rPr>
                <w:iCs/>
                <w:color w:val="000000"/>
              </w:rPr>
              <w:t xml:space="preserve"> with clients</w:t>
            </w:r>
          </w:p>
          <w:p w14:paraId="22125EB2" w14:textId="77777777" w:rsidR="00D1037F" w:rsidRPr="00377083" w:rsidRDefault="00D1037F" w:rsidP="00D3235F">
            <w:pPr>
              <w:rPr>
                <w:rFonts w:cs="Arial"/>
                <w:iCs/>
              </w:rPr>
            </w:pPr>
          </w:p>
          <w:p w14:paraId="22125EB3" w14:textId="50655BB6" w:rsidR="00D1037F" w:rsidRPr="00D3235F" w:rsidRDefault="005909C8" w:rsidP="00D3235F">
            <w:pPr>
              <w:rPr>
                <w:rFonts w:cs="Arial"/>
                <w:iCs/>
              </w:rPr>
            </w:pPr>
            <w:r w:rsidRPr="00D3235F">
              <w:rPr>
                <w:iCs/>
              </w:rPr>
              <w:t xml:space="preserve">The </w:t>
            </w:r>
            <w:r w:rsidR="008E78C4">
              <w:rPr>
                <w:iCs/>
              </w:rPr>
              <w:t>Service</w:t>
            </w:r>
            <w:r w:rsidR="00D1037F" w:rsidRPr="00D3235F">
              <w:rPr>
                <w:iCs/>
              </w:rPr>
              <w:t xml:space="preserve"> must support enhanced careers provision and better links with employers, building upon the work already undertaken by the National Careers Service.  </w:t>
            </w:r>
          </w:p>
          <w:p w14:paraId="22125EB4" w14:textId="77777777" w:rsidR="00D1037F" w:rsidRPr="00D1037F" w:rsidRDefault="00D1037F">
            <w:pPr>
              <w:ind w:left="1440"/>
              <w:rPr>
                <w:rFonts w:cs="Arial"/>
              </w:rPr>
            </w:pPr>
          </w:p>
          <w:p w14:paraId="22125EB6" w14:textId="48BA40CD" w:rsidR="009E4906" w:rsidRDefault="009E4906" w:rsidP="00D3235F">
            <w:pPr>
              <w:rPr>
                <w:rFonts w:cs="Arial"/>
              </w:rPr>
            </w:pPr>
            <w:r w:rsidRPr="00CB09D8">
              <w:rPr>
                <w:rFonts w:cs="Arial"/>
              </w:rPr>
              <w:t xml:space="preserve">The </w:t>
            </w:r>
            <w:r w:rsidR="008E78C4">
              <w:rPr>
                <w:rFonts w:cs="Arial"/>
              </w:rPr>
              <w:t>Service</w:t>
            </w:r>
            <w:r w:rsidR="007B6096">
              <w:rPr>
                <w:rFonts w:cs="Arial"/>
              </w:rPr>
              <w:t xml:space="preserve"> must be </w:t>
            </w:r>
            <w:r w:rsidRPr="00CB09D8">
              <w:rPr>
                <w:rFonts w:cs="Arial"/>
              </w:rPr>
              <w:t xml:space="preserve">complementary and add value to existing provision of support for the unemployed and those inactive.  This includes provision by Job Centre Plus, National Enterprise Allowance scheme, plus activity to be undertaken through the SFA/ESF NEET contracts and the DWP/ESF contracts (which focuses on individuals post Work Programme who are still not in employment), Generation North East, Talent match, plus other providers. </w:t>
            </w:r>
          </w:p>
          <w:p w14:paraId="22125EB7" w14:textId="77777777" w:rsidR="00CB09D8" w:rsidRDefault="00CB09D8" w:rsidP="00D3235F">
            <w:pPr>
              <w:rPr>
                <w:rFonts w:cs="Arial"/>
              </w:rPr>
            </w:pPr>
          </w:p>
          <w:p w14:paraId="22125EB8" w14:textId="359BB936" w:rsidR="00CB09D8" w:rsidRDefault="007B6096">
            <w:pPr>
              <w:autoSpaceDE w:val="0"/>
              <w:autoSpaceDN w:val="0"/>
              <w:adjustRightInd w:val="0"/>
            </w:pPr>
            <w:r>
              <w:t>I</w:t>
            </w:r>
            <w:r w:rsidR="00CB09D8">
              <w:t xml:space="preserve">ndividuals and businesses supported </w:t>
            </w:r>
            <w:r>
              <w:t xml:space="preserve">by the </w:t>
            </w:r>
            <w:r w:rsidR="008E78C4">
              <w:t>Service</w:t>
            </w:r>
            <w:r>
              <w:t xml:space="preserve"> must not </w:t>
            </w:r>
            <w:r w:rsidR="00CB09D8">
              <w:t xml:space="preserve">have </w:t>
            </w:r>
            <w:r w:rsidR="005825C3">
              <w:t xml:space="preserve">previously </w:t>
            </w:r>
            <w:r w:rsidR="00CB09D8">
              <w:t xml:space="preserve">been supported by the other </w:t>
            </w:r>
            <w:r>
              <w:t>C</w:t>
            </w:r>
            <w:r w:rsidR="00CB09D8">
              <w:t xml:space="preserve">andidate also contracted to deliver these </w:t>
            </w:r>
            <w:r w:rsidR="008E78C4">
              <w:t>Service</w:t>
            </w:r>
            <w:r w:rsidR="00CB09D8">
              <w:t xml:space="preserve">.  </w:t>
            </w:r>
          </w:p>
          <w:p w14:paraId="22125EB9" w14:textId="77777777" w:rsidR="00CB09D8" w:rsidRPr="00CB09D8" w:rsidRDefault="00CB09D8" w:rsidP="00D3235F">
            <w:pPr>
              <w:rPr>
                <w:rFonts w:cs="Arial"/>
              </w:rPr>
            </w:pPr>
          </w:p>
          <w:p w14:paraId="22125EBA" w14:textId="3A3F3C20" w:rsidR="009E4906" w:rsidRDefault="009E4906" w:rsidP="00D3235F">
            <w:r w:rsidRPr="009E4906">
              <w:t xml:space="preserve">The </w:t>
            </w:r>
            <w:r w:rsidR="008E78C4">
              <w:t>Service</w:t>
            </w:r>
            <w:r w:rsidR="007B6096">
              <w:t xml:space="preserve"> </w:t>
            </w:r>
            <w:r w:rsidR="00B66F71">
              <w:t xml:space="preserve">must </w:t>
            </w:r>
            <w:r w:rsidR="00CB09D8">
              <w:t>provide a h</w:t>
            </w:r>
            <w:r w:rsidRPr="009E4906">
              <w:t xml:space="preserve">olistic </w:t>
            </w:r>
            <w:r w:rsidR="00C27D80">
              <w:t xml:space="preserve">approach to </w:t>
            </w:r>
            <w:r w:rsidRPr="009E4906">
              <w:t xml:space="preserve">support </w:t>
            </w:r>
            <w:r w:rsidR="00CB09D8">
              <w:t xml:space="preserve">the </w:t>
            </w:r>
            <w:r w:rsidRPr="009E4906">
              <w:t xml:space="preserve">unemployed and inactive to progress them into work. This should include flexibility to provide bespoke support where needed </w:t>
            </w:r>
            <w:r w:rsidR="00AC77E7">
              <w:t xml:space="preserve">(for example; financial capability, digital skills, etc.) </w:t>
            </w:r>
            <w:r w:rsidRPr="009E4906">
              <w:t xml:space="preserve">and should also demonstrate linkages to existing support </w:t>
            </w:r>
            <w:r w:rsidR="008E78C4">
              <w:t>Service</w:t>
            </w:r>
            <w:r w:rsidRPr="009E4906">
              <w:t xml:space="preserve"> of relevance.</w:t>
            </w:r>
          </w:p>
          <w:p w14:paraId="22125EBB" w14:textId="77777777" w:rsidR="009E4906" w:rsidRPr="009E4906" w:rsidRDefault="009E4906" w:rsidP="005909C8">
            <w:pPr>
              <w:pStyle w:val="ListParagraph"/>
              <w:ind w:left="567" w:hanging="567"/>
              <w:contextualSpacing w:val="0"/>
              <w:rPr>
                <w:rFonts w:cs="Arial"/>
              </w:rPr>
            </w:pPr>
          </w:p>
          <w:p w14:paraId="22125EBC" w14:textId="3D429C0D" w:rsidR="00FD1C3B" w:rsidRPr="00CB09D8" w:rsidRDefault="00CB09D8" w:rsidP="00D3235F">
            <w:pPr>
              <w:rPr>
                <w:rFonts w:cs="Arial"/>
              </w:rPr>
            </w:pPr>
            <w:r>
              <w:rPr>
                <w:rFonts w:cs="Arial"/>
              </w:rPr>
              <w:t xml:space="preserve">The </w:t>
            </w:r>
            <w:r w:rsidR="008E78C4">
              <w:rPr>
                <w:rFonts w:cs="Arial"/>
              </w:rPr>
              <w:t>Service</w:t>
            </w:r>
            <w:r>
              <w:rPr>
                <w:rFonts w:cs="Arial"/>
              </w:rPr>
              <w:t xml:space="preserve"> must offer o</w:t>
            </w:r>
            <w:r w:rsidR="009E4906" w:rsidRPr="00CB09D8">
              <w:rPr>
                <w:rFonts w:cs="Arial"/>
              </w:rPr>
              <w:t xml:space="preserve">n-going support to clients in the 3 months post-employment; this must be bespoke to the client and support them into sustainable long term employment.  </w:t>
            </w:r>
            <w:r w:rsidR="00C27D80">
              <w:rPr>
                <w:rFonts w:cs="Arial"/>
              </w:rPr>
              <w:t xml:space="preserve">This </w:t>
            </w:r>
            <w:r w:rsidR="009E4906" w:rsidRPr="00CB09D8">
              <w:rPr>
                <w:rFonts w:cs="Arial"/>
              </w:rPr>
              <w:t>could include on-going CEIAG and training support.</w:t>
            </w:r>
          </w:p>
          <w:p w14:paraId="22125EBD" w14:textId="77777777" w:rsidR="00B66F71" w:rsidRPr="00B66F71" w:rsidRDefault="00B66F71" w:rsidP="00D3235F">
            <w:pPr>
              <w:pStyle w:val="ListParagraph"/>
              <w:rPr>
                <w:rFonts w:cs="Arial"/>
              </w:rPr>
            </w:pPr>
          </w:p>
          <w:p w14:paraId="22125EBE" w14:textId="77777777" w:rsidR="00FE6D7A" w:rsidRDefault="00FE6D7A" w:rsidP="00FE6D7A">
            <w:pPr>
              <w:autoSpaceDE w:val="0"/>
              <w:autoSpaceDN w:val="0"/>
              <w:adjustRightInd w:val="0"/>
              <w:rPr>
                <w:rFonts w:cs="Arial"/>
                <w:lang w:eastAsia="en-GB"/>
              </w:rPr>
            </w:pPr>
            <w:r w:rsidRPr="004D67E6">
              <w:rPr>
                <w:rFonts w:cs="Arial"/>
                <w:lang w:eastAsia="en-GB"/>
              </w:rPr>
              <w:t xml:space="preserve">The successful Candidates must establish a project steering group at the start of their contract to manage and oversee delivery of the contract. The group must have representation nominated by the LEP and agreed by the ESIF Committee.  This should include at least one representative from the More Developed Area of Northumberland, Tyne and Wear and one from the Transitional area of County Durham.  The steering group must be chaired by the Candidate and will need to meet on a monthly basis. </w:t>
            </w:r>
          </w:p>
          <w:p w14:paraId="22125EC0" w14:textId="77777777" w:rsidR="00FE6D7A" w:rsidRPr="00FE6D7A" w:rsidRDefault="00FE6D7A" w:rsidP="00D3235F">
            <w:pPr>
              <w:rPr>
                <w:rFonts w:cs="Arial"/>
              </w:rPr>
            </w:pPr>
          </w:p>
        </w:tc>
      </w:tr>
      <w:tr w:rsidR="00967429" w:rsidRPr="00544738" w14:paraId="22125EC3" w14:textId="77777777" w:rsidTr="0090573A">
        <w:trPr>
          <w:trHeight w:val="567"/>
        </w:trPr>
        <w:tc>
          <w:tcPr>
            <w:tcW w:w="9088" w:type="dxa"/>
            <w:shd w:val="clear" w:color="auto" w:fill="D9D9D9" w:themeFill="background1" w:themeFillShade="D9"/>
            <w:vAlign w:val="center"/>
          </w:tcPr>
          <w:p w14:paraId="22125EC2" w14:textId="77777777" w:rsidR="00967429" w:rsidRPr="00544738" w:rsidRDefault="003A52A2" w:rsidP="00FD3B0A">
            <w:pPr>
              <w:pStyle w:val="SpecificationHeading"/>
            </w:pPr>
            <w:r>
              <w:lastRenderedPageBreak/>
              <w:t>Eligibility</w:t>
            </w:r>
          </w:p>
        </w:tc>
      </w:tr>
      <w:tr w:rsidR="00967429" w:rsidRPr="00EF4406" w14:paraId="22125EFA" w14:textId="77777777" w:rsidTr="00D3235F">
        <w:tc>
          <w:tcPr>
            <w:tcW w:w="9088" w:type="dxa"/>
          </w:tcPr>
          <w:p w14:paraId="22125EC4" w14:textId="77777777" w:rsidR="001E23AA" w:rsidRDefault="001E23AA" w:rsidP="002F70E9">
            <w:pPr>
              <w:rPr>
                <w:rFonts w:cs="Arial"/>
                <w:b/>
                <w:u w:val="single"/>
              </w:rPr>
            </w:pPr>
          </w:p>
          <w:p w14:paraId="22125EC5" w14:textId="77777777" w:rsidR="00A005EF" w:rsidRPr="00344FA1" w:rsidRDefault="00A005EF" w:rsidP="00A005EF">
            <w:r>
              <w:rPr>
                <w:b/>
              </w:rPr>
              <w:t>General</w:t>
            </w:r>
          </w:p>
          <w:p w14:paraId="22125EC6"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8"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22125EC7" w14:textId="77777777" w:rsidR="00A005EF" w:rsidRDefault="00A005EF" w:rsidP="00C107CE">
            <w:pPr>
              <w:rPr>
                <w:rFonts w:cs="Arial"/>
              </w:rPr>
            </w:pPr>
          </w:p>
          <w:p w14:paraId="22125EC8" w14:textId="77777777" w:rsidR="00394F36" w:rsidRDefault="00394F36" w:rsidP="00394F36">
            <w:pPr>
              <w:rPr>
                <w:rFonts w:cs="Arial"/>
              </w:rPr>
            </w:pPr>
            <w:r w:rsidRPr="00F67261">
              <w:rPr>
                <w:rFonts w:cs="Arial"/>
              </w:rPr>
              <w:lastRenderedPageBreak/>
              <w:t>Please note LEP Specific requirements are subject to the National Eligibility Rules detailed above.</w:t>
            </w:r>
          </w:p>
          <w:p w14:paraId="22125EC9" w14:textId="77777777" w:rsidR="00204794" w:rsidRDefault="00204794" w:rsidP="00394F36">
            <w:pPr>
              <w:rPr>
                <w:rFonts w:cs="Arial"/>
              </w:rPr>
            </w:pPr>
          </w:p>
          <w:p w14:paraId="22125ECA" w14:textId="77777777" w:rsidR="00162B5B" w:rsidRDefault="00C336D2" w:rsidP="00162B5B">
            <w:pPr>
              <w:rPr>
                <w:b/>
              </w:rPr>
            </w:pPr>
            <w:r w:rsidRPr="00F4587B">
              <w:rPr>
                <w:b/>
              </w:rPr>
              <w:t>I</w:t>
            </w:r>
            <w:r w:rsidR="004F41B6">
              <w:rPr>
                <w:b/>
              </w:rPr>
              <w:t xml:space="preserve">nvestment </w:t>
            </w:r>
            <w:r w:rsidRPr="00F4587B">
              <w:rPr>
                <w:b/>
              </w:rPr>
              <w:t>P</w:t>
            </w:r>
            <w:r w:rsidR="004F41B6">
              <w:rPr>
                <w:b/>
              </w:rPr>
              <w:t>riority</w:t>
            </w:r>
            <w:r w:rsidRPr="00F4587B">
              <w:rPr>
                <w:b/>
              </w:rPr>
              <w:t xml:space="preserve"> 1.1 </w:t>
            </w:r>
            <w:r w:rsidR="00162B5B" w:rsidRPr="00F4587B">
              <w:rPr>
                <w:b/>
              </w:rPr>
              <w:t>Access to employment for jobseekers and inactive people</w:t>
            </w:r>
          </w:p>
          <w:p w14:paraId="34DA869B" w14:textId="77777777" w:rsidR="0090573A" w:rsidRPr="00F4587B" w:rsidRDefault="0090573A" w:rsidP="00162B5B">
            <w:pPr>
              <w:rPr>
                <w:b/>
              </w:rPr>
            </w:pPr>
          </w:p>
          <w:p w14:paraId="22125ECB" w14:textId="77777777" w:rsidR="00162B5B" w:rsidRPr="00F4587B" w:rsidRDefault="00162B5B" w:rsidP="00A503FD">
            <w:pPr>
              <w:pStyle w:val="ListParagraph"/>
              <w:numPr>
                <w:ilvl w:val="0"/>
                <w:numId w:val="13"/>
              </w:numPr>
              <w:rPr>
                <w:rFonts w:cs="Arial"/>
              </w:rPr>
            </w:pPr>
            <w:r w:rsidRPr="00F4587B">
              <w:rPr>
                <w:rFonts w:cs="Arial"/>
              </w:rPr>
              <w:t>Unemployed</w:t>
            </w:r>
            <w:r w:rsidR="00CC112A" w:rsidRPr="00F4587B">
              <w:rPr>
                <w:rFonts w:cs="Arial"/>
              </w:rPr>
              <w:t>, any length of unemployment</w:t>
            </w:r>
          </w:p>
          <w:p w14:paraId="22125ECC" w14:textId="77777777" w:rsidR="00162B5B" w:rsidRDefault="00162B5B" w:rsidP="00162B5B">
            <w:pPr>
              <w:pStyle w:val="ListParagraph"/>
              <w:numPr>
                <w:ilvl w:val="0"/>
                <w:numId w:val="13"/>
              </w:numPr>
              <w:rPr>
                <w:rFonts w:cs="Arial"/>
              </w:rPr>
            </w:pPr>
            <w:r w:rsidRPr="00F4587B">
              <w:rPr>
                <w:rFonts w:cs="Arial"/>
              </w:rPr>
              <w:t>Inactive</w:t>
            </w:r>
          </w:p>
          <w:p w14:paraId="22125ECD" w14:textId="77777777" w:rsidR="00B66F71" w:rsidRDefault="00B66F71" w:rsidP="00162B5B">
            <w:pPr>
              <w:pStyle w:val="ListParagraph"/>
              <w:numPr>
                <w:ilvl w:val="0"/>
                <w:numId w:val="13"/>
              </w:numPr>
              <w:rPr>
                <w:rFonts w:cs="Arial"/>
              </w:rPr>
            </w:pPr>
            <w:r>
              <w:rPr>
                <w:rFonts w:cs="Arial"/>
              </w:rPr>
              <w:t>Aged 16+</w:t>
            </w:r>
          </w:p>
          <w:p w14:paraId="22125ECE" w14:textId="77777777" w:rsidR="00E403BD" w:rsidRPr="00E403BD" w:rsidRDefault="00E403BD" w:rsidP="00E403BD">
            <w:pPr>
              <w:pStyle w:val="ListParagraph"/>
              <w:rPr>
                <w:rFonts w:cs="Arial"/>
              </w:rPr>
            </w:pPr>
          </w:p>
          <w:p w14:paraId="22125ECF" w14:textId="2E7BA72A" w:rsidR="00394F36" w:rsidRPr="00F4587B" w:rsidRDefault="00394F36" w:rsidP="00162B5B">
            <w:pPr>
              <w:rPr>
                <w:rFonts w:ascii="Calibri" w:hAnsi="Calibri"/>
                <w:iCs/>
                <w:sz w:val="22"/>
                <w:szCs w:val="22"/>
              </w:rPr>
            </w:pPr>
            <w:r w:rsidRPr="00F4587B">
              <w:rPr>
                <w:rFonts w:cs="Arial"/>
                <w:iCs/>
              </w:rPr>
              <w:t xml:space="preserve">In delivering the </w:t>
            </w:r>
            <w:r w:rsidR="008E78C4">
              <w:rPr>
                <w:rFonts w:cs="Arial"/>
                <w:iCs/>
              </w:rPr>
              <w:t>Service</w:t>
            </w:r>
            <w:r w:rsidRPr="00F4587B">
              <w:rPr>
                <w:rFonts w:cs="Arial"/>
                <w:iCs/>
              </w:rPr>
              <w:t xml:space="preserve">, the successful Candidate must take into account and support the targets for the following groups where this is consistent with the other </w:t>
            </w:r>
            <w:r w:rsidR="008E78C4">
              <w:rPr>
                <w:rFonts w:cs="Arial"/>
                <w:iCs/>
              </w:rPr>
              <w:t>Service</w:t>
            </w:r>
            <w:r w:rsidRPr="00F4587B">
              <w:rPr>
                <w:rFonts w:cs="Arial"/>
                <w:iCs/>
              </w:rPr>
              <w:t xml:space="preserve"> requirements for addressing the needs of groups identified as priority and meeting the </w:t>
            </w:r>
            <w:r w:rsidR="008E78C4">
              <w:rPr>
                <w:rFonts w:cs="Arial"/>
                <w:iCs/>
              </w:rPr>
              <w:t>Service</w:t>
            </w:r>
            <w:r w:rsidRPr="00F4587B">
              <w:rPr>
                <w:rFonts w:cs="Arial"/>
                <w:iCs/>
              </w:rPr>
              <w:t xml:space="preserve"> deliverables. </w:t>
            </w:r>
          </w:p>
          <w:p w14:paraId="22125ED0" w14:textId="77777777" w:rsidR="003E0C7F" w:rsidRPr="006002A9" w:rsidRDefault="003E0C7F" w:rsidP="00394F36">
            <w:pPr>
              <w:ind w:left="720"/>
              <w:rPr>
                <w:iCs/>
                <w:highlight w:val="green"/>
              </w:rPr>
            </w:pPr>
          </w:p>
          <w:p w14:paraId="22125ED1" w14:textId="77777777" w:rsidR="00394F36" w:rsidRPr="006002A9" w:rsidRDefault="00394F36" w:rsidP="00A005EF">
            <w:pPr>
              <w:rPr>
                <w:rFonts w:cs="Arial"/>
                <w:highlight w:val="green"/>
              </w:rPr>
            </w:pPr>
          </w:p>
          <w:p w14:paraId="22125ED2" w14:textId="77777777" w:rsidR="00162B5B" w:rsidRPr="00F4587B" w:rsidRDefault="004F41B6" w:rsidP="00162B5B">
            <w:pPr>
              <w:rPr>
                <w:b/>
              </w:rPr>
            </w:pPr>
            <w:r w:rsidRPr="00F4587B">
              <w:rPr>
                <w:b/>
              </w:rPr>
              <w:t>I</w:t>
            </w:r>
            <w:r>
              <w:rPr>
                <w:b/>
              </w:rPr>
              <w:t xml:space="preserve">nvestment </w:t>
            </w:r>
            <w:r w:rsidRPr="00F4587B">
              <w:rPr>
                <w:b/>
              </w:rPr>
              <w:t>P</w:t>
            </w:r>
            <w:r>
              <w:rPr>
                <w:b/>
              </w:rPr>
              <w:t>riority</w:t>
            </w:r>
            <w:r w:rsidRPr="00F4587B">
              <w:rPr>
                <w:b/>
              </w:rPr>
              <w:t xml:space="preserve"> </w:t>
            </w:r>
            <w:r w:rsidR="00C336D2" w:rsidRPr="00F4587B">
              <w:rPr>
                <w:b/>
              </w:rPr>
              <w:t xml:space="preserve">1.1 </w:t>
            </w:r>
            <w:r w:rsidR="00162B5B" w:rsidRPr="00F4587B">
              <w:rPr>
                <w:b/>
              </w:rPr>
              <w:t>Access to employment for jobseekers and inactive people</w:t>
            </w:r>
            <w:r w:rsidR="009B1CF3" w:rsidRPr="00F4587B">
              <w:rPr>
                <w:b/>
              </w:rPr>
              <w:t xml:space="preserve"> </w:t>
            </w:r>
          </w:p>
          <w:p w14:paraId="22125ED3" w14:textId="77777777" w:rsidR="00F4587B" w:rsidRPr="00F4587B" w:rsidRDefault="00F4587B" w:rsidP="00162B5B">
            <w:pPr>
              <w:rPr>
                <w:rFonts w:cs="Arial"/>
                <w:b/>
              </w:rPr>
            </w:pPr>
          </w:p>
          <w:tbl>
            <w:tblPr>
              <w:tblW w:w="7399" w:type="dxa"/>
              <w:tblLook w:val="04A0" w:firstRow="1" w:lastRow="0" w:firstColumn="1" w:lastColumn="0" w:noHBand="0" w:noVBand="1"/>
            </w:tblPr>
            <w:tblGrid>
              <w:gridCol w:w="4423"/>
              <w:gridCol w:w="1559"/>
              <w:gridCol w:w="1417"/>
            </w:tblGrid>
            <w:tr w:rsidR="001466F6" w:rsidRPr="00F4587B" w14:paraId="22125ED7" w14:textId="77777777" w:rsidTr="00D3235F">
              <w:trPr>
                <w:trHeight w:val="504"/>
              </w:trPr>
              <w:tc>
                <w:tcPr>
                  <w:tcW w:w="4423" w:type="dxa"/>
                  <w:tcBorders>
                    <w:top w:val="nil"/>
                    <w:left w:val="nil"/>
                    <w:bottom w:val="nil"/>
                    <w:right w:val="nil"/>
                  </w:tcBorders>
                  <w:shd w:val="clear" w:color="auto" w:fill="auto"/>
                  <w:noWrap/>
                  <w:vAlign w:val="bottom"/>
                  <w:hideMark/>
                </w:tcPr>
                <w:p w14:paraId="22125ED4" w14:textId="77777777" w:rsidR="001466F6" w:rsidRPr="00F4587B" w:rsidRDefault="001466F6" w:rsidP="00162B5B">
                  <w:pPr>
                    <w:rPr>
                      <w:rFonts w:cs="Arial"/>
                      <w:sz w:val="20"/>
                      <w:szCs w:val="20"/>
                      <w:lang w:eastAsia="en-GB"/>
                    </w:rPr>
                  </w:pPr>
                </w:p>
              </w:tc>
              <w:tc>
                <w:tcPr>
                  <w:tcW w:w="1559" w:type="dxa"/>
                  <w:tcBorders>
                    <w:top w:val="nil"/>
                    <w:left w:val="nil"/>
                    <w:bottom w:val="nil"/>
                    <w:right w:val="nil"/>
                  </w:tcBorders>
                  <w:shd w:val="clear" w:color="auto" w:fill="auto"/>
                  <w:vAlign w:val="bottom"/>
                  <w:hideMark/>
                </w:tcPr>
                <w:p w14:paraId="22125ED5" w14:textId="77777777" w:rsidR="001466F6" w:rsidRPr="00F4587B" w:rsidRDefault="001466F6" w:rsidP="00162B5B">
                  <w:pPr>
                    <w:jc w:val="center"/>
                    <w:rPr>
                      <w:rFonts w:cs="Arial"/>
                      <w:b/>
                      <w:bCs/>
                      <w:color w:val="000000"/>
                      <w:sz w:val="22"/>
                      <w:szCs w:val="22"/>
                      <w:lang w:eastAsia="en-GB"/>
                    </w:rPr>
                  </w:pPr>
                  <w:r w:rsidRPr="00F4587B">
                    <w:rPr>
                      <w:rFonts w:cs="Arial"/>
                      <w:b/>
                      <w:bCs/>
                      <w:color w:val="000000"/>
                      <w:sz w:val="22"/>
                      <w:szCs w:val="22"/>
                      <w:lang w:eastAsia="en-GB"/>
                    </w:rPr>
                    <w:t>Transitional</w:t>
                  </w:r>
                </w:p>
              </w:tc>
              <w:tc>
                <w:tcPr>
                  <w:tcW w:w="1417" w:type="dxa"/>
                  <w:tcBorders>
                    <w:top w:val="nil"/>
                    <w:left w:val="nil"/>
                    <w:bottom w:val="nil"/>
                    <w:right w:val="nil"/>
                  </w:tcBorders>
                  <w:shd w:val="clear" w:color="auto" w:fill="auto"/>
                  <w:vAlign w:val="bottom"/>
                  <w:hideMark/>
                </w:tcPr>
                <w:p w14:paraId="22125ED6" w14:textId="77777777" w:rsidR="001466F6" w:rsidRPr="00F4587B" w:rsidRDefault="001466F6" w:rsidP="00162B5B">
                  <w:pPr>
                    <w:jc w:val="center"/>
                    <w:rPr>
                      <w:rFonts w:cs="Arial"/>
                      <w:b/>
                      <w:bCs/>
                      <w:color w:val="000000"/>
                      <w:sz w:val="22"/>
                      <w:szCs w:val="22"/>
                      <w:lang w:eastAsia="en-GB"/>
                    </w:rPr>
                  </w:pPr>
                  <w:r w:rsidRPr="00F4587B">
                    <w:rPr>
                      <w:rFonts w:cs="Arial"/>
                      <w:b/>
                      <w:bCs/>
                      <w:color w:val="000000"/>
                      <w:sz w:val="22"/>
                      <w:szCs w:val="22"/>
                      <w:lang w:eastAsia="en-GB"/>
                    </w:rPr>
                    <w:t>More Developed</w:t>
                  </w:r>
                </w:p>
              </w:tc>
            </w:tr>
            <w:tr w:rsidR="001466F6" w:rsidRPr="00F4587B" w14:paraId="22125EDB" w14:textId="77777777" w:rsidTr="00D3235F">
              <w:trPr>
                <w:trHeight w:val="576"/>
              </w:trPr>
              <w:tc>
                <w:tcPr>
                  <w:tcW w:w="4423" w:type="dxa"/>
                  <w:tcBorders>
                    <w:top w:val="nil"/>
                    <w:left w:val="nil"/>
                    <w:bottom w:val="nil"/>
                    <w:right w:val="nil"/>
                  </w:tcBorders>
                  <w:shd w:val="clear" w:color="auto" w:fill="auto"/>
                  <w:vAlign w:val="bottom"/>
                  <w:hideMark/>
                </w:tcPr>
                <w:p w14:paraId="22125ED8"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Total participants who are unemployed (including long term unemployed)</w:t>
                  </w:r>
                </w:p>
              </w:tc>
              <w:tc>
                <w:tcPr>
                  <w:tcW w:w="1559" w:type="dxa"/>
                  <w:tcBorders>
                    <w:top w:val="nil"/>
                    <w:left w:val="nil"/>
                    <w:bottom w:val="nil"/>
                    <w:right w:val="nil"/>
                  </w:tcBorders>
                  <w:shd w:val="clear" w:color="auto" w:fill="auto"/>
                  <w:noWrap/>
                  <w:vAlign w:val="bottom"/>
                  <w:hideMark/>
                </w:tcPr>
                <w:p w14:paraId="22125ED9"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70%</w:t>
                  </w:r>
                </w:p>
              </w:tc>
              <w:tc>
                <w:tcPr>
                  <w:tcW w:w="1417" w:type="dxa"/>
                  <w:tcBorders>
                    <w:top w:val="nil"/>
                    <w:left w:val="nil"/>
                    <w:bottom w:val="nil"/>
                    <w:right w:val="nil"/>
                  </w:tcBorders>
                  <w:shd w:val="clear" w:color="auto" w:fill="auto"/>
                  <w:noWrap/>
                  <w:vAlign w:val="bottom"/>
                  <w:hideMark/>
                </w:tcPr>
                <w:p w14:paraId="22125EDA"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70%</w:t>
                  </w:r>
                </w:p>
              </w:tc>
            </w:tr>
            <w:tr w:rsidR="001466F6" w:rsidRPr="00F4587B" w14:paraId="22125EDF" w14:textId="77777777" w:rsidTr="00D3235F">
              <w:trPr>
                <w:trHeight w:val="288"/>
              </w:trPr>
              <w:tc>
                <w:tcPr>
                  <w:tcW w:w="4423" w:type="dxa"/>
                  <w:tcBorders>
                    <w:top w:val="nil"/>
                    <w:left w:val="nil"/>
                    <w:bottom w:val="nil"/>
                    <w:right w:val="nil"/>
                  </w:tcBorders>
                  <w:shd w:val="clear" w:color="auto" w:fill="auto"/>
                  <w:vAlign w:val="bottom"/>
                  <w:hideMark/>
                </w:tcPr>
                <w:p w14:paraId="22125EDC"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Total participants who are inactive</w:t>
                  </w:r>
                </w:p>
              </w:tc>
              <w:tc>
                <w:tcPr>
                  <w:tcW w:w="1559" w:type="dxa"/>
                  <w:tcBorders>
                    <w:top w:val="nil"/>
                    <w:left w:val="nil"/>
                    <w:bottom w:val="nil"/>
                    <w:right w:val="nil"/>
                  </w:tcBorders>
                  <w:shd w:val="clear" w:color="auto" w:fill="auto"/>
                  <w:noWrap/>
                  <w:vAlign w:val="bottom"/>
                  <w:hideMark/>
                </w:tcPr>
                <w:p w14:paraId="22125EDD"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25%</w:t>
                  </w:r>
                </w:p>
              </w:tc>
              <w:tc>
                <w:tcPr>
                  <w:tcW w:w="1417" w:type="dxa"/>
                  <w:tcBorders>
                    <w:top w:val="nil"/>
                    <w:left w:val="nil"/>
                    <w:bottom w:val="nil"/>
                    <w:right w:val="nil"/>
                  </w:tcBorders>
                  <w:shd w:val="clear" w:color="auto" w:fill="auto"/>
                  <w:noWrap/>
                  <w:vAlign w:val="bottom"/>
                  <w:hideMark/>
                </w:tcPr>
                <w:p w14:paraId="22125EDE"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25%</w:t>
                  </w:r>
                </w:p>
              </w:tc>
            </w:tr>
            <w:tr w:rsidR="001466F6" w:rsidRPr="00F4587B" w14:paraId="22125EE3" w14:textId="77777777" w:rsidTr="00D3235F">
              <w:trPr>
                <w:trHeight w:val="288"/>
              </w:trPr>
              <w:tc>
                <w:tcPr>
                  <w:tcW w:w="4423" w:type="dxa"/>
                  <w:tcBorders>
                    <w:top w:val="nil"/>
                    <w:left w:val="nil"/>
                    <w:bottom w:val="nil"/>
                    <w:right w:val="nil"/>
                  </w:tcBorders>
                  <w:shd w:val="clear" w:color="auto" w:fill="auto"/>
                  <w:vAlign w:val="bottom"/>
                  <w:hideMark/>
                </w:tcPr>
                <w:p w14:paraId="22125EE0"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Participants who are over 50</w:t>
                  </w:r>
                </w:p>
              </w:tc>
              <w:tc>
                <w:tcPr>
                  <w:tcW w:w="1559" w:type="dxa"/>
                  <w:tcBorders>
                    <w:top w:val="nil"/>
                    <w:left w:val="nil"/>
                    <w:bottom w:val="nil"/>
                    <w:right w:val="nil"/>
                  </w:tcBorders>
                  <w:shd w:val="clear" w:color="auto" w:fill="auto"/>
                  <w:noWrap/>
                  <w:vAlign w:val="bottom"/>
                  <w:hideMark/>
                </w:tcPr>
                <w:p w14:paraId="22125EE1"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20%</w:t>
                  </w:r>
                </w:p>
              </w:tc>
              <w:tc>
                <w:tcPr>
                  <w:tcW w:w="1417" w:type="dxa"/>
                  <w:tcBorders>
                    <w:top w:val="nil"/>
                    <w:left w:val="nil"/>
                    <w:bottom w:val="nil"/>
                    <w:right w:val="nil"/>
                  </w:tcBorders>
                  <w:shd w:val="clear" w:color="auto" w:fill="auto"/>
                  <w:noWrap/>
                  <w:vAlign w:val="bottom"/>
                  <w:hideMark/>
                </w:tcPr>
                <w:p w14:paraId="22125EE2"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min 23</w:t>
                  </w:r>
                  <w:r w:rsidR="001466F6" w:rsidRPr="00F4587B">
                    <w:rPr>
                      <w:rFonts w:cs="Arial"/>
                      <w:color w:val="000000"/>
                      <w:sz w:val="22"/>
                      <w:szCs w:val="22"/>
                      <w:lang w:eastAsia="en-GB"/>
                    </w:rPr>
                    <w:t>%</w:t>
                  </w:r>
                </w:p>
              </w:tc>
            </w:tr>
            <w:tr w:rsidR="001466F6" w:rsidRPr="00F4587B" w14:paraId="22125EE7" w14:textId="77777777" w:rsidTr="00D3235F">
              <w:trPr>
                <w:trHeight w:val="288"/>
              </w:trPr>
              <w:tc>
                <w:tcPr>
                  <w:tcW w:w="4423" w:type="dxa"/>
                  <w:tcBorders>
                    <w:top w:val="nil"/>
                    <w:left w:val="nil"/>
                    <w:bottom w:val="nil"/>
                    <w:right w:val="nil"/>
                  </w:tcBorders>
                  <w:shd w:val="clear" w:color="auto" w:fill="auto"/>
                  <w:vAlign w:val="bottom"/>
                  <w:hideMark/>
                </w:tcPr>
                <w:p w14:paraId="22125EE4"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Participants from ethnic minorities</w:t>
                  </w:r>
                </w:p>
              </w:tc>
              <w:tc>
                <w:tcPr>
                  <w:tcW w:w="1559" w:type="dxa"/>
                  <w:tcBorders>
                    <w:top w:val="nil"/>
                    <w:left w:val="nil"/>
                    <w:bottom w:val="nil"/>
                    <w:right w:val="nil"/>
                  </w:tcBorders>
                  <w:shd w:val="clear" w:color="auto" w:fill="auto"/>
                  <w:noWrap/>
                  <w:vAlign w:val="bottom"/>
                  <w:hideMark/>
                </w:tcPr>
                <w:p w14:paraId="22125EE5"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min  6</w:t>
                  </w:r>
                  <w:r w:rsidR="001466F6" w:rsidRPr="00F4587B">
                    <w:rPr>
                      <w:rFonts w:cs="Arial"/>
                      <w:color w:val="000000"/>
                      <w:sz w:val="22"/>
                      <w:szCs w:val="22"/>
                      <w:lang w:eastAsia="en-GB"/>
                    </w:rPr>
                    <w:t>%</w:t>
                  </w:r>
                </w:p>
              </w:tc>
              <w:tc>
                <w:tcPr>
                  <w:tcW w:w="1417" w:type="dxa"/>
                  <w:tcBorders>
                    <w:top w:val="nil"/>
                    <w:left w:val="nil"/>
                    <w:bottom w:val="nil"/>
                    <w:right w:val="nil"/>
                  </w:tcBorders>
                  <w:shd w:val="clear" w:color="auto" w:fill="auto"/>
                  <w:noWrap/>
                  <w:vAlign w:val="bottom"/>
                  <w:hideMark/>
                </w:tcPr>
                <w:p w14:paraId="22125EE6" w14:textId="77777777" w:rsidR="001466F6" w:rsidRPr="00F4587B" w:rsidRDefault="00676FBA" w:rsidP="00676FBA">
                  <w:pPr>
                    <w:jc w:val="center"/>
                    <w:rPr>
                      <w:rFonts w:cs="Arial"/>
                      <w:color w:val="000000"/>
                      <w:sz w:val="22"/>
                      <w:szCs w:val="22"/>
                      <w:lang w:eastAsia="en-GB"/>
                    </w:rPr>
                  </w:pPr>
                  <w:r>
                    <w:rPr>
                      <w:rFonts w:cs="Arial"/>
                      <w:color w:val="000000"/>
                      <w:sz w:val="22"/>
                      <w:szCs w:val="22"/>
                      <w:lang w:eastAsia="en-GB"/>
                    </w:rPr>
                    <w:t>min  5%</w:t>
                  </w:r>
                </w:p>
              </w:tc>
            </w:tr>
            <w:tr w:rsidR="001466F6" w:rsidRPr="00F4587B" w14:paraId="22125EEB" w14:textId="77777777" w:rsidTr="00D3235F">
              <w:trPr>
                <w:trHeight w:val="288"/>
              </w:trPr>
              <w:tc>
                <w:tcPr>
                  <w:tcW w:w="4423" w:type="dxa"/>
                  <w:tcBorders>
                    <w:top w:val="nil"/>
                    <w:left w:val="nil"/>
                    <w:bottom w:val="nil"/>
                    <w:right w:val="nil"/>
                  </w:tcBorders>
                  <w:shd w:val="clear" w:color="auto" w:fill="auto"/>
                  <w:vAlign w:val="bottom"/>
                  <w:hideMark/>
                </w:tcPr>
                <w:p w14:paraId="22125EE8"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Female participants</w:t>
                  </w:r>
                </w:p>
              </w:tc>
              <w:tc>
                <w:tcPr>
                  <w:tcW w:w="1559" w:type="dxa"/>
                  <w:tcBorders>
                    <w:top w:val="nil"/>
                    <w:left w:val="nil"/>
                    <w:bottom w:val="nil"/>
                    <w:right w:val="nil"/>
                  </w:tcBorders>
                  <w:shd w:val="clear" w:color="auto" w:fill="auto"/>
                  <w:noWrap/>
                  <w:vAlign w:val="bottom"/>
                  <w:hideMark/>
                </w:tcPr>
                <w:p w14:paraId="22125EE9" w14:textId="77777777" w:rsidR="001466F6" w:rsidRPr="00F4587B" w:rsidRDefault="00676FBA" w:rsidP="00676FBA">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46%</w:t>
                  </w:r>
                </w:p>
              </w:tc>
              <w:tc>
                <w:tcPr>
                  <w:tcW w:w="1417" w:type="dxa"/>
                  <w:tcBorders>
                    <w:top w:val="nil"/>
                    <w:left w:val="nil"/>
                    <w:bottom w:val="nil"/>
                    <w:right w:val="nil"/>
                  </w:tcBorders>
                  <w:shd w:val="clear" w:color="auto" w:fill="auto"/>
                  <w:noWrap/>
                  <w:vAlign w:val="bottom"/>
                  <w:hideMark/>
                </w:tcPr>
                <w:p w14:paraId="22125EEA"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45%</w:t>
                  </w:r>
                </w:p>
              </w:tc>
            </w:tr>
            <w:tr w:rsidR="001466F6" w:rsidRPr="00F4587B" w14:paraId="22125EEF" w14:textId="77777777" w:rsidTr="00D3235F">
              <w:trPr>
                <w:trHeight w:val="288"/>
              </w:trPr>
              <w:tc>
                <w:tcPr>
                  <w:tcW w:w="4423" w:type="dxa"/>
                  <w:tcBorders>
                    <w:top w:val="nil"/>
                    <w:left w:val="nil"/>
                    <w:bottom w:val="nil"/>
                    <w:right w:val="nil"/>
                  </w:tcBorders>
                  <w:shd w:val="clear" w:color="auto" w:fill="auto"/>
                  <w:vAlign w:val="bottom"/>
                  <w:hideMark/>
                </w:tcPr>
                <w:p w14:paraId="22125EEC"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Participants without basic skills</w:t>
                  </w:r>
                </w:p>
              </w:tc>
              <w:tc>
                <w:tcPr>
                  <w:tcW w:w="1559" w:type="dxa"/>
                  <w:tcBorders>
                    <w:top w:val="nil"/>
                    <w:left w:val="nil"/>
                    <w:bottom w:val="nil"/>
                    <w:right w:val="nil"/>
                  </w:tcBorders>
                  <w:shd w:val="clear" w:color="auto" w:fill="auto"/>
                  <w:noWrap/>
                  <w:vAlign w:val="bottom"/>
                  <w:hideMark/>
                </w:tcPr>
                <w:p w14:paraId="22125EED"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min 18</w:t>
                  </w:r>
                  <w:r w:rsidR="001466F6" w:rsidRPr="00F4587B">
                    <w:rPr>
                      <w:rFonts w:cs="Arial"/>
                      <w:color w:val="000000"/>
                      <w:sz w:val="22"/>
                      <w:szCs w:val="22"/>
                      <w:lang w:eastAsia="en-GB"/>
                    </w:rPr>
                    <w:t>%</w:t>
                  </w:r>
                </w:p>
              </w:tc>
              <w:tc>
                <w:tcPr>
                  <w:tcW w:w="1417" w:type="dxa"/>
                  <w:tcBorders>
                    <w:top w:val="nil"/>
                    <w:left w:val="nil"/>
                    <w:bottom w:val="nil"/>
                    <w:right w:val="nil"/>
                  </w:tcBorders>
                  <w:shd w:val="clear" w:color="auto" w:fill="auto"/>
                  <w:noWrap/>
                  <w:vAlign w:val="bottom"/>
                  <w:hideMark/>
                </w:tcPr>
                <w:p w14:paraId="22125EEE" w14:textId="77777777" w:rsidR="001466F6" w:rsidRPr="00F4587B" w:rsidRDefault="00676FBA" w:rsidP="00676FBA">
                  <w:pPr>
                    <w:jc w:val="center"/>
                    <w:rPr>
                      <w:rFonts w:cs="Arial"/>
                      <w:color w:val="000000"/>
                      <w:sz w:val="22"/>
                      <w:szCs w:val="22"/>
                      <w:lang w:eastAsia="en-GB"/>
                    </w:rPr>
                  </w:pPr>
                  <w:r>
                    <w:rPr>
                      <w:rFonts w:cs="Arial"/>
                      <w:color w:val="000000"/>
                      <w:sz w:val="22"/>
                      <w:szCs w:val="22"/>
                      <w:lang w:eastAsia="en-GB"/>
                    </w:rPr>
                    <w:t>min 18</w:t>
                  </w:r>
                  <w:r w:rsidR="001466F6" w:rsidRPr="00F4587B">
                    <w:rPr>
                      <w:rFonts w:cs="Arial"/>
                      <w:color w:val="000000"/>
                      <w:sz w:val="22"/>
                      <w:szCs w:val="22"/>
                      <w:lang w:eastAsia="en-GB"/>
                    </w:rPr>
                    <w:t>%</w:t>
                  </w:r>
                </w:p>
              </w:tc>
            </w:tr>
            <w:tr w:rsidR="001466F6" w:rsidRPr="00F4587B" w14:paraId="22125EF3" w14:textId="77777777" w:rsidTr="00D3235F">
              <w:trPr>
                <w:trHeight w:val="288"/>
              </w:trPr>
              <w:tc>
                <w:tcPr>
                  <w:tcW w:w="4423" w:type="dxa"/>
                  <w:tcBorders>
                    <w:top w:val="nil"/>
                    <w:left w:val="nil"/>
                    <w:bottom w:val="nil"/>
                    <w:right w:val="nil"/>
                  </w:tcBorders>
                  <w:shd w:val="clear" w:color="auto" w:fill="auto"/>
                  <w:vAlign w:val="bottom"/>
                  <w:hideMark/>
                </w:tcPr>
                <w:p w14:paraId="22125EF0"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Participants with a disability or health problems</w:t>
                  </w:r>
                </w:p>
              </w:tc>
              <w:tc>
                <w:tcPr>
                  <w:tcW w:w="1559" w:type="dxa"/>
                  <w:tcBorders>
                    <w:top w:val="nil"/>
                    <w:left w:val="nil"/>
                    <w:bottom w:val="nil"/>
                    <w:right w:val="nil"/>
                  </w:tcBorders>
                  <w:shd w:val="clear" w:color="auto" w:fill="auto"/>
                  <w:noWrap/>
                  <w:vAlign w:val="bottom"/>
                  <w:hideMark/>
                </w:tcPr>
                <w:p w14:paraId="22125EF1" w14:textId="77777777" w:rsidR="001466F6" w:rsidRPr="00F4587B" w:rsidRDefault="00676FBA" w:rsidP="00676FBA">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2</w:t>
                  </w:r>
                  <w:r>
                    <w:rPr>
                      <w:rFonts w:cs="Arial"/>
                      <w:color w:val="000000"/>
                      <w:sz w:val="22"/>
                      <w:szCs w:val="22"/>
                      <w:lang w:eastAsia="en-GB"/>
                    </w:rPr>
                    <w:t>8</w:t>
                  </w:r>
                  <w:r w:rsidR="001466F6" w:rsidRPr="00F4587B">
                    <w:rPr>
                      <w:rFonts w:cs="Arial"/>
                      <w:color w:val="000000"/>
                      <w:sz w:val="22"/>
                      <w:szCs w:val="22"/>
                      <w:lang w:eastAsia="en-GB"/>
                    </w:rPr>
                    <w:t>%</w:t>
                  </w:r>
                </w:p>
              </w:tc>
              <w:tc>
                <w:tcPr>
                  <w:tcW w:w="1417" w:type="dxa"/>
                  <w:tcBorders>
                    <w:top w:val="nil"/>
                    <w:left w:val="nil"/>
                    <w:bottom w:val="nil"/>
                    <w:right w:val="nil"/>
                  </w:tcBorders>
                  <w:shd w:val="clear" w:color="auto" w:fill="auto"/>
                  <w:noWrap/>
                  <w:vAlign w:val="bottom"/>
                  <w:hideMark/>
                </w:tcPr>
                <w:p w14:paraId="22125EF2"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min 34</w:t>
                  </w:r>
                  <w:r w:rsidR="001466F6" w:rsidRPr="00F4587B">
                    <w:rPr>
                      <w:rFonts w:cs="Arial"/>
                      <w:color w:val="000000"/>
                      <w:sz w:val="22"/>
                      <w:szCs w:val="22"/>
                      <w:lang w:eastAsia="en-GB"/>
                    </w:rPr>
                    <w:t>%</w:t>
                  </w:r>
                </w:p>
              </w:tc>
            </w:tr>
            <w:tr w:rsidR="001466F6" w:rsidRPr="00F4587B" w14:paraId="22125EF7" w14:textId="77777777" w:rsidTr="00D3235F">
              <w:trPr>
                <w:trHeight w:val="288"/>
              </w:trPr>
              <w:tc>
                <w:tcPr>
                  <w:tcW w:w="4423" w:type="dxa"/>
                  <w:tcBorders>
                    <w:top w:val="nil"/>
                    <w:left w:val="nil"/>
                    <w:bottom w:val="nil"/>
                    <w:right w:val="nil"/>
                  </w:tcBorders>
                  <w:shd w:val="clear" w:color="auto" w:fill="auto"/>
                  <w:vAlign w:val="bottom"/>
                  <w:hideMark/>
                </w:tcPr>
                <w:p w14:paraId="22125EF4" w14:textId="77777777" w:rsidR="001466F6" w:rsidRPr="00F4587B" w:rsidRDefault="001466F6" w:rsidP="00162B5B">
                  <w:pPr>
                    <w:rPr>
                      <w:rFonts w:cs="Arial"/>
                      <w:color w:val="000000"/>
                      <w:sz w:val="22"/>
                      <w:szCs w:val="22"/>
                      <w:lang w:eastAsia="en-GB"/>
                    </w:rPr>
                  </w:pPr>
                  <w:r w:rsidRPr="00F4587B">
                    <w:rPr>
                      <w:rFonts w:cs="Arial"/>
                      <w:color w:val="000000"/>
                      <w:sz w:val="22"/>
                      <w:szCs w:val="22"/>
                      <w:lang w:eastAsia="en-GB"/>
                    </w:rPr>
                    <w:t>Participants who are lone parents</w:t>
                  </w:r>
                </w:p>
              </w:tc>
              <w:tc>
                <w:tcPr>
                  <w:tcW w:w="1559" w:type="dxa"/>
                  <w:tcBorders>
                    <w:top w:val="nil"/>
                    <w:left w:val="nil"/>
                    <w:bottom w:val="nil"/>
                    <w:right w:val="nil"/>
                  </w:tcBorders>
                  <w:shd w:val="clear" w:color="auto" w:fill="auto"/>
                  <w:noWrap/>
                  <w:vAlign w:val="bottom"/>
                  <w:hideMark/>
                </w:tcPr>
                <w:p w14:paraId="22125EF5"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1</w:t>
                  </w:r>
                  <w:r>
                    <w:rPr>
                      <w:rFonts w:cs="Arial"/>
                      <w:color w:val="000000"/>
                      <w:sz w:val="22"/>
                      <w:szCs w:val="22"/>
                      <w:lang w:eastAsia="en-GB"/>
                    </w:rPr>
                    <w:t>5</w:t>
                  </w:r>
                  <w:r w:rsidR="001466F6" w:rsidRPr="00F4587B">
                    <w:rPr>
                      <w:rFonts w:cs="Arial"/>
                      <w:color w:val="000000"/>
                      <w:sz w:val="22"/>
                      <w:szCs w:val="22"/>
                      <w:lang w:eastAsia="en-GB"/>
                    </w:rPr>
                    <w:t>%</w:t>
                  </w:r>
                </w:p>
              </w:tc>
              <w:tc>
                <w:tcPr>
                  <w:tcW w:w="1417" w:type="dxa"/>
                  <w:tcBorders>
                    <w:top w:val="nil"/>
                    <w:left w:val="nil"/>
                    <w:bottom w:val="nil"/>
                    <w:right w:val="nil"/>
                  </w:tcBorders>
                  <w:shd w:val="clear" w:color="auto" w:fill="auto"/>
                  <w:noWrap/>
                  <w:vAlign w:val="bottom"/>
                  <w:hideMark/>
                </w:tcPr>
                <w:p w14:paraId="22125EF6" w14:textId="77777777" w:rsidR="001466F6" w:rsidRPr="00F4587B" w:rsidRDefault="00676FBA" w:rsidP="00162B5B">
                  <w:pPr>
                    <w:jc w:val="center"/>
                    <w:rPr>
                      <w:rFonts w:cs="Arial"/>
                      <w:color w:val="000000"/>
                      <w:sz w:val="22"/>
                      <w:szCs w:val="22"/>
                      <w:lang w:eastAsia="en-GB"/>
                    </w:rPr>
                  </w:pPr>
                  <w:r>
                    <w:rPr>
                      <w:rFonts w:cs="Arial"/>
                      <w:color w:val="000000"/>
                      <w:sz w:val="22"/>
                      <w:szCs w:val="22"/>
                      <w:lang w:eastAsia="en-GB"/>
                    </w:rPr>
                    <w:t xml:space="preserve">min </w:t>
                  </w:r>
                  <w:r w:rsidR="001466F6" w:rsidRPr="00F4587B">
                    <w:rPr>
                      <w:rFonts w:cs="Arial"/>
                      <w:color w:val="000000"/>
                      <w:sz w:val="22"/>
                      <w:szCs w:val="22"/>
                      <w:lang w:eastAsia="en-GB"/>
                    </w:rPr>
                    <w:t>13%</w:t>
                  </w:r>
                </w:p>
              </w:tc>
            </w:tr>
          </w:tbl>
          <w:p w14:paraId="22125EF8" w14:textId="77777777" w:rsidR="00CC112A" w:rsidRPr="006002A9" w:rsidRDefault="00CC112A" w:rsidP="00A005EF">
            <w:pPr>
              <w:rPr>
                <w:rFonts w:cs="Arial"/>
                <w:highlight w:val="green"/>
              </w:rPr>
            </w:pPr>
          </w:p>
          <w:p w14:paraId="22125EF9" w14:textId="77777777" w:rsidR="00FD3B0A" w:rsidRPr="00162B5B" w:rsidRDefault="00FD3B0A" w:rsidP="00162B5B">
            <w:pPr>
              <w:rPr>
                <w:rFonts w:cs="Arial"/>
                <w:color w:val="000000"/>
              </w:rPr>
            </w:pPr>
          </w:p>
        </w:tc>
      </w:tr>
      <w:tr w:rsidR="00967429" w:rsidRPr="00EF4406" w14:paraId="22125EFC" w14:textId="77777777" w:rsidTr="0090573A">
        <w:trPr>
          <w:trHeight w:val="567"/>
        </w:trPr>
        <w:tc>
          <w:tcPr>
            <w:tcW w:w="9088" w:type="dxa"/>
            <w:shd w:val="clear" w:color="auto" w:fill="D9D9D9" w:themeFill="background1" w:themeFillShade="D9"/>
            <w:vAlign w:val="center"/>
          </w:tcPr>
          <w:p w14:paraId="22125EFB"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22125F0C" w14:textId="77777777" w:rsidTr="00D3235F">
        <w:trPr>
          <w:trHeight w:val="983"/>
        </w:trPr>
        <w:tc>
          <w:tcPr>
            <w:tcW w:w="9088" w:type="dxa"/>
          </w:tcPr>
          <w:p w14:paraId="22125EFD" w14:textId="77777777" w:rsidR="00A005EF" w:rsidRDefault="00A005EF" w:rsidP="00A005EF"/>
          <w:p w14:paraId="22125EFE" w14:textId="77777777" w:rsidR="007E7731" w:rsidRDefault="007E7731" w:rsidP="00A005EF">
            <w:pPr>
              <w:rPr>
                <w:b/>
              </w:rPr>
            </w:pPr>
            <w:r>
              <w:rPr>
                <w:b/>
              </w:rPr>
              <w:t>LEP Specific</w:t>
            </w:r>
          </w:p>
          <w:p w14:paraId="22125EFF" w14:textId="77777777" w:rsidR="007E7731" w:rsidRPr="00C107CE" w:rsidRDefault="007E7731" w:rsidP="00A005EF">
            <w:pPr>
              <w:rPr>
                <w:b/>
              </w:rPr>
            </w:pPr>
          </w:p>
          <w:p w14:paraId="22125F00" w14:textId="27B3C57C" w:rsidR="008D3B35" w:rsidRDefault="00A005EF" w:rsidP="00A005EF">
            <w:pPr>
              <w:autoSpaceDE w:val="0"/>
              <w:autoSpaceDN w:val="0"/>
              <w:adjustRightInd w:val="0"/>
              <w:rPr>
                <w:rFonts w:cs="Arial"/>
              </w:rPr>
            </w:pPr>
            <w:r w:rsidRPr="00BC7F87">
              <w:rPr>
                <w:rFonts w:cs="Arial"/>
              </w:rPr>
              <w:t xml:space="preserve">The </w:t>
            </w:r>
            <w:r w:rsidR="008E78C4">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5953E4" w:rsidRPr="005953E4">
              <w:rPr>
                <w:rFonts w:cs="Arial"/>
              </w:rPr>
              <w:t>North Eastern</w:t>
            </w:r>
            <w:r w:rsidR="005953E4">
              <w:rPr>
                <w:rFonts w:cs="Arial"/>
              </w:rPr>
              <w:t xml:space="preserve"> </w:t>
            </w:r>
            <w:r w:rsidR="00105A7C">
              <w:rPr>
                <w:rFonts w:cs="Arial"/>
              </w:rPr>
              <w:t>Local Enterprise Partnership area</w:t>
            </w:r>
            <w:r w:rsidR="008D3B35">
              <w:rPr>
                <w:rFonts w:cs="Arial"/>
              </w:rPr>
              <w:t>, which includes a more developed and a transitional area. These are detailed below:</w:t>
            </w:r>
          </w:p>
          <w:p w14:paraId="22125F01" w14:textId="77777777" w:rsidR="00787807" w:rsidRDefault="00787807" w:rsidP="00A005EF">
            <w:pPr>
              <w:autoSpaceDE w:val="0"/>
              <w:autoSpaceDN w:val="0"/>
              <w:adjustRightInd w:val="0"/>
              <w:rPr>
                <w:rFonts w:cs="Arial"/>
              </w:rPr>
            </w:pPr>
          </w:p>
          <w:p w14:paraId="22125F02" w14:textId="77777777" w:rsidR="00CE1031" w:rsidRPr="0090573A" w:rsidRDefault="001466F6" w:rsidP="00A005EF">
            <w:pPr>
              <w:autoSpaceDE w:val="0"/>
              <w:autoSpaceDN w:val="0"/>
              <w:adjustRightInd w:val="0"/>
              <w:rPr>
                <w:rFonts w:cs="Arial"/>
                <w:b/>
              </w:rPr>
            </w:pPr>
            <w:r w:rsidRPr="0090573A">
              <w:rPr>
                <w:rFonts w:cs="Arial"/>
                <w:b/>
              </w:rPr>
              <w:t>Transitional</w:t>
            </w:r>
            <w:r w:rsidR="00CE1031" w:rsidRPr="0090573A">
              <w:rPr>
                <w:rFonts w:cs="Arial"/>
                <w:b/>
              </w:rPr>
              <w:t xml:space="preserve"> area :</w:t>
            </w:r>
          </w:p>
          <w:p w14:paraId="1CB32B00" w14:textId="77777777" w:rsidR="0090573A" w:rsidRDefault="0090573A" w:rsidP="00A005EF">
            <w:pPr>
              <w:autoSpaceDE w:val="0"/>
              <w:autoSpaceDN w:val="0"/>
              <w:adjustRightInd w:val="0"/>
              <w:rPr>
                <w:rFonts w:cs="Arial"/>
              </w:rPr>
            </w:pPr>
          </w:p>
          <w:p w14:paraId="22125F03" w14:textId="77777777" w:rsidR="001466F6" w:rsidRDefault="001466F6" w:rsidP="00A005EF">
            <w:pPr>
              <w:autoSpaceDE w:val="0"/>
              <w:autoSpaceDN w:val="0"/>
              <w:adjustRightInd w:val="0"/>
              <w:rPr>
                <w:rFonts w:cs="Arial"/>
              </w:rPr>
            </w:pPr>
            <w:r w:rsidRPr="001466F6">
              <w:rPr>
                <w:rFonts w:cs="Arial"/>
              </w:rPr>
              <w:t>County Durham</w:t>
            </w:r>
          </w:p>
          <w:p w14:paraId="22125F04" w14:textId="77777777" w:rsidR="001466F6" w:rsidRDefault="001466F6" w:rsidP="00A005EF">
            <w:pPr>
              <w:autoSpaceDE w:val="0"/>
              <w:autoSpaceDN w:val="0"/>
              <w:adjustRightInd w:val="0"/>
              <w:rPr>
                <w:rFonts w:cs="Arial"/>
              </w:rPr>
            </w:pPr>
          </w:p>
          <w:p w14:paraId="22125F05" w14:textId="3E6AA7C6" w:rsidR="001466F6" w:rsidRPr="0090573A" w:rsidRDefault="001466F6" w:rsidP="00A005EF">
            <w:pPr>
              <w:autoSpaceDE w:val="0"/>
              <w:autoSpaceDN w:val="0"/>
              <w:adjustRightInd w:val="0"/>
              <w:rPr>
                <w:rFonts w:cs="Arial"/>
                <w:b/>
              </w:rPr>
            </w:pPr>
            <w:r w:rsidRPr="0090573A">
              <w:rPr>
                <w:rFonts w:cs="Arial"/>
                <w:b/>
              </w:rPr>
              <w:t xml:space="preserve">More Developed </w:t>
            </w:r>
            <w:r w:rsidR="00CE1031" w:rsidRPr="0090573A">
              <w:rPr>
                <w:rFonts w:cs="Arial"/>
                <w:b/>
              </w:rPr>
              <w:t>area</w:t>
            </w:r>
            <w:r w:rsidR="0090573A" w:rsidRPr="0090573A">
              <w:rPr>
                <w:rFonts w:cs="Arial"/>
                <w:b/>
              </w:rPr>
              <w:t xml:space="preserve"> :</w:t>
            </w:r>
          </w:p>
          <w:p w14:paraId="20857133" w14:textId="77777777" w:rsidR="0090573A" w:rsidRDefault="0090573A" w:rsidP="00A005EF">
            <w:pPr>
              <w:autoSpaceDE w:val="0"/>
              <w:autoSpaceDN w:val="0"/>
              <w:adjustRightInd w:val="0"/>
              <w:rPr>
                <w:rFonts w:cs="Arial"/>
              </w:rPr>
            </w:pPr>
          </w:p>
          <w:p w14:paraId="22125F06" w14:textId="77777777" w:rsidR="001466F6" w:rsidRPr="001466F6" w:rsidRDefault="001466F6" w:rsidP="001466F6">
            <w:pPr>
              <w:autoSpaceDE w:val="0"/>
              <w:autoSpaceDN w:val="0"/>
              <w:adjustRightInd w:val="0"/>
              <w:rPr>
                <w:rFonts w:cs="Arial"/>
              </w:rPr>
            </w:pPr>
            <w:r w:rsidRPr="001466F6">
              <w:rPr>
                <w:rFonts w:cs="Arial"/>
              </w:rPr>
              <w:t>Gateshead</w:t>
            </w:r>
          </w:p>
          <w:p w14:paraId="22125F07" w14:textId="77777777" w:rsidR="001466F6" w:rsidRPr="001466F6" w:rsidRDefault="001466F6" w:rsidP="001466F6">
            <w:pPr>
              <w:autoSpaceDE w:val="0"/>
              <w:autoSpaceDN w:val="0"/>
              <w:adjustRightInd w:val="0"/>
              <w:rPr>
                <w:rFonts w:cs="Arial"/>
              </w:rPr>
            </w:pPr>
            <w:r w:rsidRPr="001466F6">
              <w:rPr>
                <w:rFonts w:cs="Arial"/>
              </w:rPr>
              <w:t>Newcastle upon Tyne</w:t>
            </w:r>
          </w:p>
          <w:p w14:paraId="22125F08" w14:textId="77777777" w:rsidR="001466F6" w:rsidRPr="001466F6" w:rsidRDefault="001466F6" w:rsidP="001466F6">
            <w:pPr>
              <w:autoSpaceDE w:val="0"/>
              <w:autoSpaceDN w:val="0"/>
              <w:adjustRightInd w:val="0"/>
              <w:rPr>
                <w:rFonts w:cs="Arial"/>
              </w:rPr>
            </w:pPr>
            <w:r w:rsidRPr="001466F6">
              <w:rPr>
                <w:rFonts w:cs="Arial"/>
              </w:rPr>
              <w:t>North Tyneside</w:t>
            </w:r>
          </w:p>
          <w:p w14:paraId="22125F09" w14:textId="77777777" w:rsidR="001466F6" w:rsidRPr="001466F6" w:rsidRDefault="001466F6" w:rsidP="001466F6">
            <w:pPr>
              <w:autoSpaceDE w:val="0"/>
              <w:autoSpaceDN w:val="0"/>
              <w:adjustRightInd w:val="0"/>
              <w:rPr>
                <w:rFonts w:cs="Arial"/>
              </w:rPr>
            </w:pPr>
            <w:r w:rsidRPr="001466F6">
              <w:rPr>
                <w:rFonts w:cs="Arial"/>
              </w:rPr>
              <w:lastRenderedPageBreak/>
              <w:t>Northumberland</w:t>
            </w:r>
          </w:p>
          <w:p w14:paraId="22125F0A" w14:textId="77777777" w:rsidR="001466F6" w:rsidRPr="001466F6" w:rsidRDefault="001466F6" w:rsidP="001466F6">
            <w:pPr>
              <w:autoSpaceDE w:val="0"/>
              <w:autoSpaceDN w:val="0"/>
              <w:adjustRightInd w:val="0"/>
              <w:rPr>
                <w:rFonts w:cs="Arial"/>
              </w:rPr>
            </w:pPr>
            <w:r w:rsidRPr="001466F6">
              <w:rPr>
                <w:rFonts w:cs="Arial"/>
              </w:rPr>
              <w:t>South Tyneside</w:t>
            </w:r>
          </w:p>
          <w:p w14:paraId="22125F0B" w14:textId="77777777" w:rsidR="007C2B80" w:rsidRPr="00FF6CCA" w:rsidRDefault="001466F6" w:rsidP="00C77E50">
            <w:pPr>
              <w:autoSpaceDE w:val="0"/>
              <w:autoSpaceDN w:val="0"/>
              <w:adjustRightInd w:val="0"/>
            </w:pPr>
            <w:r w:rsidRPr="001466F6">
              <w:rPr>
                <w:rFonts w:cs="Arial"/>
              </w:rPr>
              <w:t>Sunderland</w:t>
            </w:r>
          </w:p>
        </w:tc>
      </w:tr>
      <w:tr w:rsidR="00967429" w:rsidRPr="00505117" w14:paraId="22125F0E" w14:textId="77777777" w:rsidTr="0090573A">
        <w:trPr>
          <w:trHeight w:val="567"/>
        </w:trPr>
        <w:tc>
          <w:tcPr>
            <w:tcW w:w="9088" w:type="dxa"/>
            <w:shd w:val="clear" w:color="auto" w:fill="D9D9D9" w:themeFill="background1" w:themeFillShade="D9"/>
            <w:vAlign w:val="center"/>
          </w:tcPr>
          <w:p w14:paraId="22125F0D"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22125F9C" w14:textId="77777777" w:rsidTr="00D3235F">
        <w:trPr>
          <w:trHeight w:val="1408"/>
        </w:trPr>
        <w:tc>
          <w:tcPr>
            <w:tcW w:w="9088" w:type="dxa"/>
          </w:tcPr>
          <w:p w14:paraId="22125F0F" w14:textId="77777777" w:rsidR="007E7731" w:rsidRDefault="007E7731" w:rsidP="00A005EF">
            <w:pPr>
              <w:rPr>
                <w:rFonts w:cs="Arial"/>
              </w:rPr>
            </w:pPr>
          </w:p>
          <w:p w14:paraId="22125F10" w14:textId="77777777" w:rsidR="007E7731" w:rsidRPr="00C107CE" w:rsidRDefault="007E7731" w:rsidP="00A005EF">
            <w:pPr>
              <w:rPr>
                <w:rFonts w:cs="Arial"/>
                <w:b/>
              </w:rPr>
            </w:pPr>
            <w:r>
              <w:rPr>
                <w:rFonts w:cs="Arial"/>
                <w:b/>
              </w:rPr>
              <w:t>LEP Specific</w:t>
            </w:r>
          </w:p>
          <w:p w14:paraId="22125F11" w14:textId="77777777" w:rsidR="007E7731" w:rsidRDefault="007E7731" w:rsidP="00A005EF">
            <w:pPr>
              <w:rPr>
                <w:rFonts w:cs="Arial"/>
              </w:rPr>
            </w:pPr>
          </w:p>
          <w:p w14:paraId="22125F12" w14:textId="1EF4F72A" w:rsidR="00C27D80" w:rsidRDefault="00475879" w:rsidP="00C27D80">
            <w:pPr>
              <w:rPr>
                <w:rFonts w:cs="Arial"/>
              </w:rPr>
            </w:pPr>
            <w:r w:rsidRPr="00BC7F87">
              <w:rPr>
                <w:rFonts w:cs="Arial"/>
              </w:rPr>
              <w:t>Currently</w:t>
            </w:r>
            <w:r w:rsidR="005953E4">
              <w:rPr>
                <w:rFonts w:cs="Arial"/>
              </w:rPr>
              <w:t xml:space="preserve"> £9,</w:t>
            </w:r>
            <w:r w:rsidR="00B927A9">
              <w:rPr>
                <w:rFonts w:cs="Arial"/>
              </w:rPr>
              <w:t>400,000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 </w:t>
            </w:r>
            <w:r w:rsidR="008E78C4">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D3235F">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r w:rsidR="00C27D80">
              <w:rPr>
                <w:rFonts w:cs="Arial"/>
              </w:rPr>
              <w:t xml:space="preserve">  </w:t>
            </w:r>
          </w:p>
          <w:p w14:paraId="22125F13" w14:textId="77777777" w:rsidR="00E7156B" w:rsidRDefault="00E7156B" w:rsidP="00C27D80">
            <w:pPr>
              <w:rPr>
                <w:rFonts w:cs="Arial"/>
              </w:rPr>
            </w:pPr>
          </w:p>
          <w:p w14:paraId="22125F14" w14:textId="77777777" w:rsidR="00E7156B" w:rsidRDefault="00E7156B" w:rsidP="00C27D80">
            <w:pPr>
              <w:rPr>
                <w:rFonts w:cs="Arial"/>
              </w:rPr>
            </w:pPr>
            <w:r>
              <w:rPr>
                <w:rFonts w:cs="Arial"/>
              </w:rPr>
              <w:t>Transitional Area - £1,400,000</w:t>
            </w:r>
          </w:p>
          <w:p w14:paraId="22125F15" w14:textId="77777777" w:rsidR="00E7156B" w:rsidRDefault="00E7156B" w:rsidP="00E7156B">
            <w:pPr>
              <w:rPr>
                <w:rFonts w:cs="Arial"/>
              </w:rPr>
            </w:pPr>
            <w:r>
              <w:rPr>
                <w:rFonts w:cs="Arial"/>
              </w:rPr>
              <w:t>More developed Area - £</w:t>
            </w:r>
            <w:r w:rsidR="00B927A9">
              <w:rPr>
                <w:rFonts w:cs="Arial"/>
              </w:rPr>
              <w:t>8,000,000</w:t>
            </w:r>
          </w:p>
          <w:p w14:paraId="22125F16" w14:textId="77777777" w:rsidR="00E7156B" w:rsidRDefault="00E7156B" w:rsidP="00C27D80">
            <w:pPr>
              <w:rPr>
                <w:rFonts w:cs="Arial"/>
              </w:rPr>
            </w:pPr>
          </w:p>
          <w:p w14:paraId="22125F17" w14:textId="77777777" w:rsidR="00C27D80" w:rsidRDefault="00C27D80" w:rsidP="00C27D80">
            <w:r>
              <w:rPr>
                <w:rFonts w:cs="Arial"/>
              </w:rPr>
              <w:t xml:space="preserve">The funding </w:t>
            </w:r>
            <w:r>
              <w:t xml:space="preserve">will be awarded equally to 2 successful candidates to cover the whole of the North East LEP area, including both the More Developed and </w:t>
            </w:r>
            <w:r w:rsidR="005825C3">
              <w:t xml:space="preserve">the </w:t>
            </w:r>
            <w:r>
              <w:t xml:space="preserve">Transitional areas.   </w:t>
            </w:r>
          </w:p>
          <w:p w14:paraId="22125F18" w14:textId="77777777" w:rsidR="00A005EF" w:rsidRDefault="00A005EF" w:rsidP="00A005EF">
            <w:pPr>
              <w:rPr>
                <w:rFonts w:cs="Arial"/>
              </w:rPr>
            </w:pPr>
          </w:p>
          <w:p w14:paraId="22125F19" w14:textId="77777777" w:rsidR="008D3B35" w:rsidRDefault="008D3B35" w:rsidP="00A005EF">
            <w:pPr>
              <w:rPr>
                <w:rFonts w:cs="Arial"/>
              </w:rPr>
            </w:pPr>
            <w:r>
              <w:rPr>
                <w:rFonts w:cs="Arial"/>
              </w:rPr>
              <w:t>Candidate 1</w:t>
            </w:r>
          </w:p>
          <w:p w14:paraId="22125F1A" w14:textId="77777777" w:rsidR="008D3B35" w:rsidRDefault="008D3B35" w:rsidP="00A005EF">
            <w:pPr>
              <w:rPr>
                <w:rFonts w:cs="Arial"/>
              </w:rPr>
            </w:pPr>
            <w:r>
              <w:rPr>
                <w:rFonts w:cs="Arial"/>
              </w:rPr>
              <w:t>Transitional area – £700,000</w:t>
            </w:r>
          </w:p>
          <w:p w14:paraId="22125F1B" w14:textId="77777777" w:rsidR="008D3B35" w:rsidRDefault="008D3B35" w:rsidP="00A005EF">
            <w:pPr>
              <w:rPr>
                <w:rFonts w:cs="Arial"/>
              </w:rPr>
            </w:pPr>
            <w:r>
              <w:rPr>
                <w:rFonts w:cs="Arial"/>
              </w:rPr>
              <w:t xml:space="preserve">More Developed area - </w:t>
            </w:r>
            <w:r w:rsidR="00042E0D">
              <w:rPr>
                <w:rFonts w:cs="Arial"/>
              </w:rPr>
              <w:t>£</w:t>
            </w:r>
            <w:r w:rsidR="00B927A9">
              <w:rPr>
                <w:rFonts w:cs="Arial"/>
              </w:rPr>
              <w:t>4,000,000</w:t>
            </w:r>
          </w:p>
          <w:p w14:paraId="22125F1C" w14:textId="77777777" w:rsidR="00CE1031" w:rsidRDefault="00CE1031" w:rsidP="00A005EF">
            <w:pPr>
              <w:rPr>
                <w:rFonts w:cs="Arial"/>
              </w:rPr>
            </w:pPr>
          </w:p>
          <w:p w14:paraId="22125F1D" w14:textId="77777777" w:rsidR="008D3B35" w:rsidRDefault="008D3B35" w:rsidP="00CE1031">
            <w:pPr>
              <w:autoSpaceDE w:val="0"/>
              <w:autoSpaceDN w:val="0"/>
              <w:adjustRightInd w:val="0"/>
              <w:rPr>
                <w:rFonts w:cs="Arial"/>
              </w:rPr>
            </w:pPr>
            <w:r>
              <w:rPr>
                <w:rFonts w:cs="Arial"/>
              </w:rPr>
              <w:t>Candidate 2</w:t>
            </w:r>
          </w:p>
          <w:p w14:paraId="22125F1E" w14:textId="77777777" w:rsidR="00CE1031" w:rsidRDefault="00CE1031" w:rsidP="00CE1031">
            <w:pPr>
              <w:autoSpaceDE w:val="0"/>
              <w:autoSpaceDN w:val="0"/>
              <w:adjustRightInd w:val="0"/>
              <w:rPr>
                <w:rFonts w:cs="Arial"/>
              </w:rPr>
            </w:pPr>
            <w:r>
              <w:rPr>
                <w:rFonts w:cs="Arial"/>
              </w:rPr>
              <w:t xml:space="preserve">Transitional area - </w:t>
            </w:r>
            <w:r w:rsidRPr="001466F6">
              <w:rPr>
                <w:rFonts w:cs="Arial"/>
              </w:rPr>
              <w:t>£</w:t>
            </w:r>
            <w:r w:rsidR="008D3B35">
              <w:rPr>
                <w:rFonts w:cs="Arial"/>
              </w:rPr>
              <w:t>700,000</w:t>
            </w:r>
          </w:p>
          <w:p w14:paraId="22125F1F" w14:textId="77777777" w:rsidR="00CE1031" w:rsidRDefault="00CE1031" w:rsidP="00CE1031">
            <w:pPr>
              <w:autoSpaceDE w:val="0"/>
              <w:autoSpaceDN w:val="0"/>
              <w:adjustRightInd w:val="0"/>
              <w:rPr>
                <w:rFonts w:cs="Arial"/>
              </w:rPr>
            </w:pPr>
            <w:r>
              <w:rPr>
                <w:rFonts w:cs="Arial"/>
              </w:rPr>
              <w:t xml:space="preserve">Developed area - </w:t>
            </w:r>
            <w:r w:rsidRPr="001466F6">
              <w:rPr>
                <w:rFonts w:cs="Arial"/>
              </w:rPr>
              <w:t>£</w:t>
            </w:r>
            <w:r w:rsidR="00B927A9">
              <w:rPr>
                <w:rFonts w:cs="Arial"/>
              </w:rPr>
              <w:t>4,000,000</w:t>
            </w:r>
          </w:p>
          <w:p w14:paraId="22125F21" w14:textId="77777777" w:rsidR="00A005EF" w:rsidRDefault="00A005EF" w:rsidP="00A005EF">
            <w:pPr>
              <w:rPr>
                <w:b/>
              </w:rPr>
            </w:pPr>
          </w:p>
          <w:p w14:paraId="22125F22" w14:textId="77777777" w:rsidR="00394F36" w:rsidRDefault="00394F36" w:rsidP="00394F36">
            <w:pPr>
              <w:rPr>
                <w:rFonts w:cs="Arial"/>
              </w:rPr>
            </w:pPr>
            <w:r>
              <w:rPr>
                <w:rFonts w:cs="Arial"/>
              </w:rPr>
              <w:t>The table</w:t>
            </w:r>
            <w:r w:rsidR="00E7156B">
              <w:rPr>
                <w:rFonts w:cs="Arial"/>
              </w:rPr>
              <w:t>s</w:t>
            </w:r>
            <w:r>
              <w:rPr>
                <w:rFonts w:cs="Arial"/>
              </w:rPr>
              <w:t xml:space="preserv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2125F23" w14:textId="77777777" w:rsidR="00394F36" w:rsidRPr="00BC7F87" w:rsidRDefault="00394F36" w:rsidP="00A005EF">
            <w:pPr>
              <w:rPr>
                <w:b/>
              </w:rPr>
            </w:pPr>
          </w:p>
          <w:p w14:paraId="22125F24" w14:textId="77777777" w:rsidR="00627E01" w:rsidRDefault="00A005EF" w:rsidP="004F41B6">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22125F25" w14:textId="77777777" w:rsidR="00D3235F" w:rsidRDefault="00D3235F" w:rsidP="004F41B6">
            <w:pPr>
              <w:autoSpaceDE w:val="0"/>
              <w:autoSpaceDN w:val="0"/>
              <w:adjustRightInd w:val="0"/>
              <w:rPr>
                <w:rFonts w:cs="Arial"/>
              </w:rPr>
            </w:pPr>
          </w:p>
          <w:p w14:paraId="22125F26" w14:textId="77777777" w:rsidR="00D3235F" w:rsidRPr="00D3235F" w:rsidRDefault="00D3235F" w:rsidP="004F41B6">
            <w:pPr>
              <w:autoSpaceDE w:val="0"/>
              <w:autoSpaceDN w:val="0"/>
              <w:adjustRightInd w:val="0"/>
              <w:rPr>
                <w:rFonts w:cs="Arial"/>
                <w:b/>
              </w:rPr>
            </w:pPr>
            <w:r w:rsidRPr="00D3235F">
              <w:rPr>
                <w:rFonts w:cs="Arial"/>
                <w:b/>
              </w:rPr>
              <w:t>Transitional £1,400,000</w:t>
            </w:r>
          </w:p>
          <w:p w14:paraId="22125F27" w14:textId="77777777" w:rsidR="00D3235F" w:rsidRDefault="00D3235F" w:rsidP="004F41B6">
            <w:pPr>
              <w:autoSpaceDE w:val="0"/>
              <w:autoSpaceDN w:val="0"/>
              <w:adjustRightInd w:val="0"/>
              <w:rPr>
                <w:rFonts w:cs="Arial"/>
              </w:rPr>
            </w:pPr>
          </w:p>
          <w:tbl>
            <w:tblPr>
              <w:tblW w:w="5000" w:type="pct"/>
              <w:tblLook w:val="04A0" w:firstRow="1" w:lastRow="0" w:firstColumn="1" w:lastColumn="0" w:noHBand="0" w:noVBand="1"/>
            </w:tblPr>
            <w:tblGrid>
              <w:gridCol w:w="5852"/>
              <w:gridCol w:w="1050"/>
              <w:gridCol w:w="1361"/>
              <w:gridCol w:w="1217"/>
            </w:tblGrid>
            <w:tr w:rsidR="00D3235F" w:rsidRPr="00D3235F" w14:paraId="22125F2C" w14:textId="77777777" w:rsidTr="00D3235F">
              <w:trPr>
                <w:trHeight w:val="1128"/>
              </w:trPr>
              <w:tc>
                <w:tcPr>
                  <w:tcW w:w="295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2125F28" w14:textId="77777777" w:rsidR="00D3235F" w:rsidRPr="00D3235F" w:rsidRDefault="00D3235F" w:rsidP="00D3235F">
                  <w:pPr>
                    <w:rPr>
                      <w:rFonts w:cs="Arial"/>
                      <w:b/>
                      <w:bCs/>
                      <w:color w:val="000000"/>
                      <w:sz w:val="20"/>
                      <w:szCs w:val="20"/>
                      <w:lang w:eastAsia="en-GB"/>
                    </w:rPr>
                  </w:pPr>
                  <w:r w:rsidRPr="00D3235F">
                    <w:rPr>
                      <w:rFonts w:cs="Arial"/>
                      <w:b/>
                      <w:bCs/>
                      <w:color w:val="000000"/>
                      <w:sz w:val="20"/>
                      <w:szCs w:val="20"/>
                      <w:lang w:eastAsia="en-GB"/>
                    </w:rPr>
                    <w:t>Description</w:t>
                  </w:r>
                </w:p>
              </w:tc>
              <w:tc>
                <w:tcPr>
                  <w:tcW w:w="5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2125F29" w14:textId="77777777" w:rsidR="00D3235F" w:rsidRPr="00D3235F" w:rsidRDefault="00D3235F" w:rsidP="00D3235F">
                  <w:pPr>
                    <w:jc w:val="center"/>
                    <w:rPr>
                      <w:rFonts w:cs="Arial"/>
                      <w:b/>
                      <w:bCs/>
                      <w:color w:val="000000"/>
                      <w:sz w:val="20"/>
                      <w:szCs w:val="20"/>
                      <w:lang w:eastAsia="en-GB"/>
                    </w:rPr>
                  </w:pPr>
                  <w:r w:rsidRPr="00D3235F">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2125F2A" w14:textId="77777777" w:rsidR="00D3235F" w:rsidRPr="00D3235F" w:rsidRDefault="00D3235F" w:rsidP="00D3235F">
                  <w:pPr>
                    <w:jc w:val="center"/>
                    <w:rPr>
                      <w:rFonts w:cs="Arial"/>
                      <w:b/>
                      <w:bCs/>
                      <w:color w:val="000000"/>
                      <w:sz w:val="20"/>
                      <w:szCs w:val="20"/>
                      <w:lang w:eastAsia="en-GB"/>
                    </w:rPr>
                  </w:pPr>
                  <w:r w:rsidRPr="00D3235F">
                    <w:rPr>
                      <w:rFonts w:cs="Arial"/>
                      <w:b/>
                      <w:bCs/>
                      <w:color w:val="000000"/>
                      <w:sz w:val="20"/>
                      <w:szCs w:val="20"/>
                      <w:lang w:eastAsia="en-GB"/>
                    </w:rPr>
                    <w:t>Unit Cost Total Value Average per Intervention</w:t>
                  </w:r>
                </w:p>
              </w:tc>
              <w:tc>
                <w:tcPr>
                  <w:tcW w:w="68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2125F2B" w14:textId="77777777" w:rsidR="00D3235F" w:rsidRPr="00D3235F" w:rsidRDefault="00D3235F" w:rsidP="00D3235F">
                  <w:pPr>
                    <w:jc w:val="center"/>
                    <w:rPr>
                      <w:rFonts w:cs="Arial"/>
                      <w:b/>
                      <w:bCs/>
                      <w:color w:val="000000"/>
                      <w:sz w:val="20"/>
                      <w:szCs w:val="20"/>
                      <w:lang w:eastAsia="en-GB"/>
                    </w:rPr>
                  </w:pPr>
                  <w:r w:rsidRPr="00D3235F">
                    <w:rPr>
                      <w:rFonts w:cs="Arial"/>
                      <w:b/>
                      <w:bCs/>
                      <w:color w:val="000000"/>
                      <w:sz w:val="20"/>
                      <w:szCs w:val="20"/>
                      <w:lang w:eastAsia="en-GB"/>
                    </w:rPr>
                    <w:t>£</w:t>
                  </w:r>
                </w:p>
              </w:tc>
            </w:tr>
            <w:tr w:rsidR="00D3235F" w:rsidRPr="00D3235F" w14:paraId="22125F31" w14:textId="77777777" w:rsidTr="00D3235F">
              <w:trPr>
                <w:trHeight w:val="450"/>
              </w:trPr>
              <w:tc>
                <w:tcPr>
                  <w:tcW w:w="2953"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2D"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ST01 Learner Assessment and Plan</w:t>
                  </w:r>
                </w:p>
              </w:tc>
              <w:tc>
                <w:tcPr>
                  <w:tcW w:w="59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2E"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908</w:t>
                  </w:r>
                </w:p>
              </w:tc>
              <w:tc>
                <w:tcPr>
                  <w:tcW w:w="76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125F2F"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£50</w:t>
                  </w:r>
                </w:p>
              </w:tc>
              <w:tc>
                <w:tcPr>
                  <w:tcW w:w="68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125F30"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£45,400</w:t>
                  </w:r>
                </w:p>
              </w:tc>
            </w:tr>
            <w:tr w:rsidR="00D3235F" w:rsidRPr="00D3235F" w14:paraId="22125F36"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32"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RQ01 Regulated Learning</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33" w14:textId="77777777" w:rsidR="00D3235F" w:rsidRPr="00D3235F" w:rsidRDefault="00D3235F" w:rsidP="00D3235F">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34" w14:textId="77777777" w:rsidR="00D3235F" w:rsidRPr="00D3235F" w:rsidRDefault="00D3235F" w:rsidP="00D3235F">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35"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£300,200</w:t>
                  </w:r>
                </w:p>
              </w:tc>
            </w:tr>
            <w:tr w:rsidR="00D3235F" w:rsidRPr="00D3235F" w14:paraId="22125F3B"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37"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NR01 Non Regulated Activity</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38" w14:textId="77777777" w:rsidR="00D3235F" w:rsidRPr="00D3235F" w:rsidRDefault="00D3235F" w:rsidP="00D3235F">
                  <w:pPr>
                    <w:jc w:val="center"/>
                    <w:rPr>
                      <w:rFonts w:cs="Arial"/>
                      <w:color w:val="000000"/>
                      <w:sz w:val="20"/>
                      <w:szCs w:val="20"/>
                      <w:lang w:eastAsia="en-GB"/>
                    </w:rPr>
                  </w:pP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39" w14:textId="77777777" w:rsidR="00D3235F" w:rsidRPr="00D3235F" w:rsidRDefault="00D3235F" w:rsidP="00D3235F">
                  <w:pPr>
                    <w:jc w:val="center"/>
                    <w:rPr>
                      <w:rFonts w:cs="Arial"/>
                      <w:color w:val="000000"/>
                      <w:sz w:val="20"/>
                      <w:szCs w:val="20"/>
                      <w:lang w:eastAsia="en-GB"/>
                    </w:rPr>
                  </w:pP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3A"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£510,000</w:t>
                  </w:r>
                </w:p>
              </w:tc>
            </w:tr>
            <w:tr w:rsidR="00D3235F" w:rsidRPr="00D3235F" w14:paraId="22125F40"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3C"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PG01 Progression Paid Employment (EMP)</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3D"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148</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3E"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3F"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£103,600</w:t>
                  </w:r>
                </w:p>
              </w:tc>
            </w:tr>
            <w:tr w:rsidR="00D3235F" w:rsidRPr="00D3235F" w14:paraId="22125F45"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41"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SU01 Sustained Employment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42"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111</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43"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44"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£66,600</w:t>
                  </w:r>
                </w:p>
              </w:tc>
            </w:tr>
            <w:tr w:rsidR="00D3235F" w:rsidRPr="00D3235F" w14:paraId="22125F4A"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46"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lastRenderedPageBreak/>
                    <w:t>PG03 Progression Education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47"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136</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48"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49"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£95,200</w:t>
                  </w:r>
                </w:p>
              </w:tc>
            </w:tr>
            <w:tr w:rsidR="00D3235F" w:rsidRPr="00D3235F" w14:paraId="22125F4F"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4B"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SU03 Sustained Education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4C"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101</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4D"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4E"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£60,600</w:t>
                  </w:r>
                </w:p>
              </w:tc>
            </w:tr>
            <w:tr w:rsidR="00D3235F" w:rsidRPr="00D3235F" w14:paraId="22125F54"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50"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PG04 Progression Apprenticeship (EDU)</w:t>
                  </w:r>
                </w:p>
              </w:tc>
              <w:tc>
                <w:tcPr>
                  <w:tcW w:w="580"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51"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168</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52"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£700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53"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£117,600</w:t>
                  </w:r>
                </w:p>
              </w:tc>
            </w:tr>
            <w:tr w:rsidR="00D3235F" w:rsidRPr="00D3235F" w14:paraId="22125F59" w14:textId="77777777" w:rsidTr="00D3235F">
              <w:trPr>
                <w:trHeight w:val="450"/>
              </w:trPr>
              <w:tc>
                <w:tcPr>
                  <w:tcW w:w="321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55"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SU04 Sustained Apprenticeship 3 Months</w:t>
                  </w:r>
                </w:p>
              </w:tc>
              <w:tc>
                <w:tcPr>
                  <w:tcW w:w="580"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56"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168</w:t>
                  </w:r>
                </w:p>
              </w:tc>
              <w:tc>
                <w:tcPr>
                  <w:tcW w:w="622"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57"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£600</w:t>
                  </w:r>
                </w:p>
              </w:tc>
              <w:tc>
                <w:tcPr>
                  <w:tcW w:w="58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58"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£100,800</w:t>
                  </w:r>
                </w:p>
              </w:tc>
            </w:tr>
            <w:tr w:rsidR="00D3235F" w:rsidRPr="00D3235F" w14:paraId="22125F5E" w14:textId="77777777" w:rsidTr="00D3235F">
              <w:trPr>
                <w:trHeight w:val="450"/>
              </w:trPr>
              <w:tc>
                <w:tcPr>
                  <w:tcW w:w="32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25F5A"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Total</w:t>
                  </w:r>
                </w:p>
              </w:tc>
              <w:tc>
                <w:tcPr>
                  <w:tcW w:w="580" w:type="pct"/>
                  <w:tcBorders>
                    <w:top w:val="single" w:sz="4" w:space="0" w:color="auto"/>
                    <w:left w:val="nil"/>
                    <w:bottom w:val="single" w:sz="4" w:space="0" w:color="auto"/>
                    <w:right w:val="single" w:sz="4" w:space="0" w:color="auto"/>
                  </w:tcBorders>
                  <w:shd w:val="clear" w:color="000000" w:fill="FFFFFF" w:themeFill="background1"/>
                  <w:vAlign w:val="center"/>
                </w:tcPr>
                <w:p w14:paraId="22125F5B" w14:textId="77777777" w:rsidR="00D3235F" w:rsidRPr="00D3235F" w:rsidRDefault="00D3235F" w:rsidP="00D3235F">
                  <w:pPr>
                    <w:jc w:val="center"/>
                    <w:rPr>
                      <w:rFonts w:cs="Arial"/>
                      <w:sz w:val="20"/>
                      <w:szCs w:val="20"/>
                      <w:lang w:eastAsia="en-GB"/>
                    </w:rPr>
                  </w:pPr>
                </w:p>
              </w:tc>
              <w:tc>
                <w:tcPr>
                  <w:tcW w:w="622"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2125F5C" w14:textId="77777777" w:rsidR="00D3235F" w:rsidRPr="00D3235F" w:rsidRDefault="00D3235F" w:rsidP="00D3235F">
                  <w:pPr>
                    <w:jc w:val="center"/>
                    <w:rPr>
                      <w:rFonts w:cs="Arial"/>
                      <w:sz w:val="20"/>
                      <w:szCs w:val="20"/>
                      <w:lang w:eastAsia="en-GB"/>
                    </w:rPr>
                  </w:pPr>
                  <w:r w:rsidRPr="00D3235F">
                    <w:rPr>
                      <w:rFonts w:cs="Arial"/>
                      <w:sz w:val="20"/>
                      <w:szCs w:val="20"/>
                      <w:lang w:eastAsia="en-GB"/>
                    </w:rPr>
                    <w:t> </w:t>
                  </w:r>
                </w:p>
              </w:tc>
              <w:tc>
                <w:tcPr>
                  <w:tcW w:w="580" w:type="pct"/>
                  <w:tcBorders>
                    <w:top w:val="single" w:sz="4" w:space="0" w:color="auto"/>
                    <w:left w:val="nil"/>
                    <w:bottom w:val="single" w:sz="4" w:space="0" w:color="auto"/>
                    <w:right w:val="single" w:sz="4" w:space="0" w:color="auto"/>
                  </w:tcBorders>
                  <w:shd w:val="clear" w:color="auto" w:fill="auto"/>
                  <w:noWrap/>
                  <w:vAlign w:val="center"/>
                  <w:hideMark/>
                </w:tcPr>
                <w:p w14:paraId="22125F5D"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£1,400,000</w:t>
                  </w:r>
                </w:p>
              </w:tc>
            </w:tr>
          </w:tbl>
          <w:p w14:paraId="22125F5F" w14:textId="77777777" w:rsidR="00D3235F" w:rsidRDefault="00D3235F" w:rsidP="004F41B6">
            <w:pPr>
              <w:autoSpaceDE w:val="0"/>
              <w:autoSpaceDN w:val="0"/>
              <w:adjustRightInd w:val="0"/>
            </w:pPr>
          </w:p>
          <w:p w14:paraId="22125F60" w14:textId="77777777" w:rsidR="004F41B6" w:rsidRDefault="00D3235F" w:rsidP="004F41B6">
            <w:pPr>
              <w:autoSpaceDE w:val="0"/>
              <w:autoSpaceDN w:val="0"/>
              <w:adjustRightInd w:val="0"/>
              <w:rPr>
                <w:rFonts w:cs="Arial"/>
                <w:b/>
              </w:rPr>
            </w:pPr>
            <w:r>
              <w:rPr>
                <w:rFonts w:cs="Arial"/>
                <w:b/>
              </w:rPr>
              <w:t xml:space="preserve">More Developed </w:t>
            </w:r>
            <w:r w:rsidRPr="00D3235F">
              <w:rPr>
                <w:rFonts w:cs="Arial"/>
                <w:b/>
              </w:rPr>
              <w:t>£</w:t>
            </w:r>
            <w:r>
              <w:rPr>
                <w:rFonts w:cs="Arial"/>
                <w:b/>
              </w:rPr>
              <w:t>8,000,000</w:t>
            </w:r>
          </w:p>
          <w:p w14:paraId="22125F61" w14:textId="77777777" w:rsidR="00D3235F" w:rsidRDefault="00D3235F" w:rsidP="004F41B6">
            <w:pPr>
              <w:autoSpaceDE w:val="0"/>
              <w:autoSpaceDN w:val="0"/>
              <w:adjustRightInd w:val="0"/>
              <w:rPr>
                <w:rFonts w:cs="Arial"/>
                <w:b/>
              </w:rPr>
            </w:pPr>
          </w:p>
          <w:tbl>
            <w:tblPr>
              <w:tblW w:w="9480" w:type="dxa"/>
              <w:tblLook w:val="04A0" w:firstRow="1" w:lastRow="0" w:firstColumn="1" w:lastColumn="0" w:noHBand="0" w:noVBand="1"/>
            </w:tblPr>
            <w:tblGrid>
              <w:gridCol w:w="5805"/>
              <w:gridCol w:w="1097"/>
              <w:gridCol w:w="1361"/>
              <w:gridCol w:w="1217"/>
            </w:tblGrid>
            <w:tr w:rsidR="00D3235F" w:rsidRPr="00D3235F" w14:paraId="22125F67" w14:textId="77777777" w:rsidTr="0090573A">
              <w:trPr>
                <w:trHeight w:val="1128"/>
              </w:trPr>
              <w:tc>
                <w:tcPr>
                  <w:tcW w:w="580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2125F63" w14:textId="77777777" w:rsidR="00D3235F" w:rsidRPr="00D3235F" w:rsidRDefault="00D3235F" w:rsidP="00D3235F">
                  <w:pPr>
                    <w:rPr>
                      <w:rFonts w:cs="Arial"/>
                      <w:b/>
                      <w:bCs/>
                      <w:color w:val="000000"/>
                      <w:sz w:val="20"/>
                      <w:szCs w:val="20"/>
                      <w:lang w:eastAsia="en-GB"/>
                    </w:rPr>
                  </w:pPr>
                  <w:r w:rsidRPr="00D3235F">
                    <w:rPr>
                      <w:rFonts w:cs="Arial"/>
                      <w:b/>
                      <w:bCs/>
                      <w:color w:val="000000"/>
                      <w:sz w:val="20"/>
                      <w:szCs w:val="20"/>
                      <w:lang w:eastAsia="en-GB"/>
                    </w:rPr>
                    <w:t>Description</w:t>
                  </w:r>
                </w:p>
              </w:tc>
              <w:tc>
                <w:tcPr>
                  <w:tcW w:w="10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2125F64" w14:textId="77777777" w:rsidR="00D3235F" w:rsidRPr="00D3235F" w:rsidRDefault="00D3235F" w:rsidP="00D3235F">
                  <w:pPr>
                    <w:jc w:val="center"/>
                    <w:rPr>
                      <w:rFonts w:cs="Arial"/>
                      <w:b/>
                      <w:bCs/>
                      <w:color w:val="000000"/>
                      <w:sz w:val="20"/>
                      <w:szCs w:val="20"/>
                      <w:lang w:eastAsia="en-GB"/>
                    </w:rPr>
                  </w:pPr>
                  <w:r w:rsidRPr="00D3235F">
                    <w:rPr>
                      <w:rFonts w:cs="Arial"/>
                      <w:b/>
                      <w:bCs/>
                      <w:color w:val="000000"/>
                      <w:sz w:val="20"/>
                      <w:szCs w:val="20"/>
                      <w:lang w:eastAsia="en-GB"/>
                    </w:rPr>
                    <w:t>Volumes</w:t>
                  </w:r>
                </w:p>
              </w:tc>
              <w:tc>
                <w:tcPr>
                  <w:tcW w:w="136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2125F65" w14:textId="77777777" w:rsidR="00D3235F" w:rsidRPr="00D3235F" w:rsidRDefault="00D3235F" w:rsidP="00D3235F">
                  <w:pPr>
                    <w:jc w:val="center"/>
                    <w:rPr>
                      <w:rFonts w:cs="Arial"/>
                      <w:b/>
                      <w:bCs/>
                      <w:color w:val="000000"/>
                      <w:sz w:val="20"/>
                      <w:szCs w:val="20"/>
                      <w:lang w:eastAsia="en-GB"/>
                    </w:rPr>
                  </w:pPr>
                  <w:r w:rsidRPr="00D3235F">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2125F66" w14:textId="77777777" w:rsidR="00D3235F" w:rsidRPr="00D3235F" w:rsidRDefault="00D3235F" w:rsidP="00D3235F">
                  <w:pPr>
                    <w:jc w:val="center"/>
                    <w:rPr>
                      <w:rFonts w:cs="Arial"/>
                      <w:b/>
                      <w:bCs/>
                      <w:color w:val="000000"/>
                      <w:sz w:val="20"/>
                      <w:szCs w:val="20"/>
                      <w:lang w:eastAsia="en-GB"/>
                    </w:rPr>
                  </w:pPr>
                  <w:r w:rsidRPr="00D3235F">
                    <w:rPr>
                      <w:rFonts w:cs="Arial"/>
                      <w:b/>
                      <w:bCs/>
                      <w:color w:val="000000"/>
                      <w:sz w:val="20"/>
                      <w:szCs w:val="20"/>
                      <w:lang w:eastAsia="en-GB"/>
                    </w:rPr>
                    <w:t>£</w:t>
                  </w:r>
                </w:p>
              </w:tc>
            </w:tr>
            <w:tr w:rsidR="00D3235F" w:rsidRPr="00D3235F" w14:paraId="22125F6C"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68"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ST01 Learner Assessment and Plan</w:t>
                  </w:r>
                </w:p>
              </w:tc>
              <w:tc>
                <w:tcPr>
                  <w:tcW w:w="109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69"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5,007</w:t>
                  </w:r>
                </w:p>
              </w:tc>
              <w:tc>
                <w:tcPr>
                  <w:tcW w:w="136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125F6A"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£50</w:t>
                  </w:r>
                </w:p>
              </w:tc>
              <w:tc>
                <w:tcPr>
                  <w:tcW w:w="12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2125F6B"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£250,350</w:t>
                  </w:r>
                </w:p>
              </w:tc>
            </w:tr>
            <w:tr w:rsidR="00D3235F" w:rsidRPr="00D3235F" w14:paraId="22125F71"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6D"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RQ01 Regulated Learning</w:t>
                  </w:r>
                </w:p>
              </w:tc>
              <w:tc>
                <w:tcPr>
                  <w:tcW w:w="109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6E" w14:textId="77777777" w:rsidR="00D3235F" w:rsidRPr="00D3235F" w:rsidRDefault="00D3235F" w:rsidP="00D3235F">
                  <w:pPr>
                    <w:jc w:val="center"/>
                    <w:rPr>
                      <w:rFonts w:cs="Arial"/>
                      <w:color w:val="000000"/>
                      <w:sz w:val="20"/>
                      <w:szCs w:val="20"/>
                      <w:lang w:eastAsia="en-GB"/>
                    </w:rPr>
                  </w:pP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6F" w14:textId="77777777" w:rsidR="00D3235F" w:rsidRPr="00D3235F" w:rsidRDefault="00D3235F" w:rsidP="00D3235F">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70"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£1,868,350</w:t>
                  </w:r>
                </w:p>
              </w:tc>
            </w:tr>
            <w:tr w:rsidR="00D3235F" w:rsidRPr="00D3235F" w14:paraId="22125F76"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72"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NR01 Non Regulated Activity</w:t>
                  </w:r>
                </w:p>
              </w:tc>
              <w:tc>
                <w:tcPr>
                  <w:tcW w:w="109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73" w14:textId="77777777" w:rsidR="00D3235F" w:rsidRPr="00D3235F" w:rsidRDefault="00D3235F" w:rsidP="00D3235F">
                  <w:pPr>
                    <w:jc w:val="center"/>
                    <w:rPr>
                      <w:rFonts w:cs="Arial"/>
                      <w:color w:val="000000"/>
                      <w:sz w:val="20"/>
                      <w:szCs w:val="20"/>
                      <w:lang w:eastAsia="en-GB"/>
                    </w:rPr>
                  </w:pPr>
                </w:p>
              </w:tc>
              <w:tc>
                <w:tcPr>
                  <w:tcW w:w="136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74" w14:textId="77777777" w:rsidR="00D3235F" w:rsidRPr="00D3235F" w:rsidRDefault="00D3235F" w:rsidP="00D3235F">
                  <w:pPr>
                    <w:jc w:val="center"/>
                    <w:rPr>
                      <w:rFonts w:cs="Arial"/>
                      <w:color w:val="000000"/>
                      <w:sz w:val="20"/>
                      <w:szCs w:val="20"/>
                      <w:lang w:eastAsia="en-GB"/>
                    </w:rPr>
                  </w:pP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75"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£2,823,600</w:t>
                  </w:r>
                </w:p>
              </w:tc>
            </w:tr>
            <w:tr w:rsidR="00D3235F" w:rsidRPr="00D3235F" w14:paraId="22125F7B"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77"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PG01 Progression Paid Employment (EMP)</w:t>
                  </w:r>
                </w:p>
              </w:tc>
              <w:tc>
                <w:tcPr>
                  <w:tcW w:w="109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78"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840</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79"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£700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7A"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£588,000</w:t>
                  </w:r>
                </w:p>
              </w:tc>
            </w:tr>
            <w:tr w:rsidR="00D3235F" w:rsidRPr="00D3235F" w14:paraId="22125F80"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7C"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SU01 Sustained Employment 3 Months</w:t>
                  </w:r>
                </w:p>
              </w:tc>
              <w:tc>
                <w:tcPr>
                  <w:tcW w:w="109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7D"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649</w:t>
                  </w:r>
                </w:p>
              </w:tc>
              <w:tc>
                <w:tcPr>
                  <w:tcW w:w="136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7E"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7F"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£389,400</w:t>
                  </w:r>
                </w:p>
              </w:tc>
            </w:tr>
            <w:tr w:rsidR="00D3235F" w:rsidRPr="00D3235F" w14:paraId="22125F85"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81"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PG03 Progression Education (EDU)</w:t>
                  </w:r>
                </w:p>
              </w:tc>
              <w:tc>
                <w:tcPr>
                  <w:tcW w:w="109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82"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748</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83"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£700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84"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£523,600</w:t>
                  </w:r>
                </w:p>
              </w:tc>
            </w:tr>
            <w:tr w:rsidR="00D3235F" w:rsidRPr="00D3235F" w14:paraId="22125F8A"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86"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SU03 Sustained Education 3 Months</w:t>
                  </w:r>
                </w:p>
              </w:tc>
              <w:tc>
                <w:tcPr>
                  <w:tcW w:w="109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87"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560</w:t>
                  </w:r>
                </w:p>
              </w:tc>
              <w:tc>
                <w:tcPr>
                  <w:tcW w:w="136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88"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89"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£336,000</w:t>
                  </w:r>
                </w:p>
              </w:tc>
            </w:tr>
            <w:tr w:rsidR="00D3235F" w:rsidRPr="00D3235F" w14:paraId="22125F8F"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2125F8B"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PG04 Progression Apprenticeship (EDU)</w:t>
                  </w:r>
                </w:p>
              </w:tc>
              <w:tc>
                <w:tcPr>
                  <w:tcW w:w="109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2125F8C"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939</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8D"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£700</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5F8E"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£657,300</w:t>
                  </w:r>
                </w:p>
              </w:tc>
            </w:tr>
            <w:tr w:rsidR="00D3235F" w:rsidRPr="00D3235F" w14:paraId="22125F94" w14:textId="77777777" w:rsidTr="0090573A">
              <w:trPr>
                <w:trHeight w:val="450"/>
              </w:trPr>
              <w:tc>
                <w:tcPr>
                  <w:tcW w:w="580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2125F90"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SU04 Sustained Apprenticeship 3 Months</w:t>
                  </w:r>
                </w:p>
              </w:tc>
              <w:tc>
                <w:tcPr>
                  <w:tcW w:w="109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2125F91" w14:textId="77777777" w:rsidR="00D3235F" w:rsidRPr="00D3235F" w:rsidRDefault="00D3235F" w:rsidP="00D3235F">
                  <w:pPr>
                    <w:jc w:val="center"/>
                    <w:rPr>
                      <w:rFonts w:cs="Arial"/>
                      <w:color w:val="000000"/>
                      <w:sz w:val="20"/>
                      <w:szCs w:val="20"/>
                      <w:lang w:eastAsia="en-GB"/>
                    </w:rPr>
                  </w:pPr>
                  <w:r>
                    <w:rPr>
                      <w:rFonts w:cs="Arial"/>
                      <w:color w:val="000000"/>
                      <w:sz w:val="20"/>
                      <w:szCs w:val="20"/>
                      <w:lang w:eastAsia="en-GB"/>
                    </w:rPr>
                    <w:t>939</w:t>
                  </w:r>
                </w:p>
              </w:tc>
              <w:tc>
                <w:tcPr>
                  <w:tcW w:w="136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92"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£600</w:t>
                  </w:r>
                </w:p>
              </w:tc>
              <w:tc>
                <w:tcPr>
                  <w:tcW w:w="12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125F93"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£563,400</w:t>
                  </w:r>
                </w:p>
              </w:tc>
            </w:tr>
            <w:tr w:rsidR="00D3235F" w:rsidRPr="00D3235F" w14:paraId="22125F99" w14:textId="77777777" w:rsidTr="0090573A">
              <w:trPr>
                <w:trHeight w:val="450"/>
              </w:trPr>
              <w:tc>
                <w:tcPr>
                  <w:tcW w:w="5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25F95" w14:textId="77777777" w:rsidR="00D3235F" w:rsidRPr="00D3235F" w:rsidRDefault="00D3235F" w:rsidP="00D3235F">
                  <w:pPr>
                    <w:rPr>
                      <w:rFonts w:cs="Arial"/>
                      <w:color w:val="000000"/>
                      <w:sz w:val="20"/>
                      <w:szCs w:val="20"/>
                      <w:lang w:eastAsia="en-GB"/>
                    </w:rPr>
                  </w:pPr>
                  <w:r w:rsidRPr="00D3235F">
                    <w:rPr>
                      <w:rFonts w:cs="Arial"/>
                      <w:color w:val="000000"/>
                      <w:sz w:val="20"/>
                      <w:szCs w:val="20"/>
                      <w:lang w:eastAsia="en-GB"/>
                    </w:rPr>
                    <w:t>Total</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2125F96" w14:textId="77777777" w:rsidR="00D3235F" w:rsidRPr="00D3235F" w:rsidRDefault="00D3235F" w:rsidP="00D3235F">
                  <w:pPr>
                    <w:jc w:val="center"/>
                    <w:rPr>
                      <w:rFonts w:cs="Arial"/>
                      <w:sz w:val="20"/>
                      <w:szCs w:val="20"/>
                      <w:lang w:eastAsia="en-GB"/>
                    </w:rPr>
                  </w:pPr>
                  <w:r w:rsidRPr="00D3235F">
                    <w:rPr>
                      <w:rFonts w:cs="Arial"/>
                      <w:sz w:val="20"/>
                      <w:szCs w:val="20"/>
                      <w:lang w:eastAsia="en-GB"/>
                    </w:rPr>
                    <w:t> </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14:paraId="22125F97"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 </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22125F98" w14:textId="77777777" w:rsidR="00D3235F" w:rsidRPr="00D3235F" w:rsidRDefault="00D3235F" w:rsidP="00D3235F">
                  <w:pPr>
                    <w:jc w:val="center"/>
                    <w:rPr>
                      <w:rFonts w:cs="Arial"/>
                      <w:color w:val="000000"/>
                      <w:sz w:val="20"/>
                      <w:szCs w:val="20"/>
                      <w:lang w:eastAsia="en-GB"/>
                    </w:rPr>
                  </w:pPr>
                  <w:r w:rsidRPr="00D3235F">
                    <w:rPr>
                      <w:rFonts w:cs="Arial"/>
                      <w:color w:val="000000"/>
                      <w:sz w:val="20"/>
                      <w:szCs w:val="20"/>
                      <w:lang w:eastAsia="en-GB"/>
                    </w:rPr>
                    <w:t>£8,000,000</w:t>
                  </w:r>
                </w:p>
              </w:tc>
            </w:tr>
          </w:tbl>
          <w:p w14:paraId="22125F9A" w14:textId="77777777" w:rsidR="00D3235F" w:rsidRDefault="00D3235F" w:rsidP="004F41B6">
            <w:pPr>
              <w:autoSpaceDE w:val="0"/>
              <w:autoSpaceDN w:val="0"/>
              <w:adjustRightInd w:val="0"/>
              <w:rPr>
                <w:rFonts w:cs="Arial"/>
                <w:b/>
              </w:rPr>
            </w:pPr>
          </w:p>
          <w:p w14:paraId="22125F9B" w14:textId="77777777" w:rsidR="004F41B6" w:rsidRPr="00DB2FA1" w:rsidRDefault="004F41B6" w:rsidP="004F41B6">
            <w:pPr>
              <w:autoSpaceDE w:val="0"/>
              <w:autoSpaceDN w:val="0"/>
              <w:adjustRightInd w:val="0"/>
              <w:rPr>
                <w:rFonts w:cs="Arial"/>
                <w:b/>
              </w:rPr>
            </w:pPr>
          </w:p>
        </w:tc>
      </w:tr>
    </w:tbl>
    <w:p w14:paraId="22125F9D" w14:textId="77777777" w:rsidR="00A005EF" w:rsidRDefault="00A005EF"/>
    <w:p w14:paraId="5A46B4F4" w14:textId="77777777" w:rsidR="007936B0" w:rsidRDefault="007936B0"/>
    <w:p w14:paraId="6598D49F" w14:textId="77777777" w:rsidR="007936B0" w:rsidRDefault="007936B0"/>
    <w:p w14:paraId="3321CBC0" w14:textId="77777777" w:rsidR="007936B0" w:rsidRDefault="007936B0"/>
    <w:p w14:paraId="3292657C" w14:textId="77777777" w:rsidR="007936B0" w:rsidRDefault="007936B0"/>
    <w:p w14:paraId="354C0CA1" w14:textId="77777777" w:rsidR="007936B0" w:rsidRDefault="007936B0"/>
    <w:p w14:paraId="418D5A60" w14:textId="77777777" w:rsidR="007936B0" w:rsidRDefault="007936B0"/>
    <w:p w14:paraId="66D0DF34" w14:textId="77777777" w:rsidR="007936B0" w:rsidRDefault="007936B0"/>
    <w:p w14:paraId="760FAEEB" w14:textId="77777777" w:rsidR="007936B0" w:rsidRDefault="007936B0"/>
    <w:p w14:paraId="52B67630" w14:textId="77777777" w:rsidR="007936B0" w:rsidRDefault="007936B0"/>
    <w:p w14:paraId="3CE1035A" w14:textId="77777777" w:rsidR="007936B0" w:rsidRDefault="007936B0"/>
    <w:p w14:paraId="1F4A6D76" w14:textId="77777777" w:rsidR="007936B0" w:rsidRDefault="007936B0"/>
    <w:p w14:paraId="05561293" w14:textId="77777777" w:rsidR="007936B0" w:rsidRDefault="007936B0"/>
    <w:p w14:paraId="5213488C" w14:textId="77777777" w:rsidR="007936B0" w:rsidRDefault="007936B0">
      <w:bookmarkStart w:id="0" w:name="_GoBack"/>
      <w:bookmarkEnd w:id="0"/>
    </w:p>
    <w:sectPr w:rsidR="007936B0" w:rsidSect="0014799D">
      <w:headerReference w:type="default" r:id="rId19"/>
      <w:footerReference w:type="default" r:id="rId20"/>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66955" w14:textId="77777777" w:rsidR="00D250E0" w:rsidRDefault="00D250E0">
      <w:r>
        <w:separator/>
      </w:r>
    </w:p>
  </w:endnote>
  <w:endnote w:type="continuationSeparator" w:id="0">
    <w:p w14:paraId="5DC9CFC8" w14:textId="77777777" w:rsidR="00D250E0" w:rsidRDefault="00D2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2125FAB" w14:textId="77777777" w:rsidR="007936B0" w:rsidRDefault="007936B0">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7936B0" w14:paraId="22125FAE" w14:textId="77777777" w:rsidTr="009808AC">
          <w:tc>
            <w:tcPr>
              <w:tcW w:w="4908" w:type="dxa"/>
            </w:tcPr>
            <w:p w14:paraId="22125FAC" w14:textId="77777777" w:rsidR="007936B0" w:rsidRDefault="007936B0" w:rsidP="009808AC">
              <w:pPr>
                <w:pStyle w:val="Footer"/>
              </w:pPr>
            </w:p>
          </w:tc>
          <w:tc>
            <w:tcPr>
              <w:tcW w:w="3869" w:type="dxa"/>
            </w:tcPr>
            <w:p w14:paraId="22125FAD" w14:textId="77777777" w:rsidR="007936B0" w:rsidRDefault="007936B0"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C47C1F">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47C1F">
                <w:rPr>
                  <w:b/>
                  <w:bCs/>
                  <w:noProof/>
                </w:rPr>
                <w:t>14</w:t>
              </w:r>
              <w:r>
                <w:rPr>
                  <w:b/>
                  <w:bCs/>
                </w:rPr>
                <w:fldChar w:fldCharType="end"/>
              </w:r>
            </w:p>
          </w:tc>
        </w:tr>
      </w:tbl>
      <w:p w14:paraId="22125FAF" w14:textId="77777777" w:rsidR="007936B0" w:rsidRDefault="007936B0">
        <w:pPr>
          <w:pStyle w:val="Footer"/>
          <w:jc w:val="right"/>
        </w:pPr>
      </w:p>
    </w:sdtContent>
  </w:sdt>
  <w:p w14:paraId="22125FB0" w14:textId="77777777" w:rsidR="007936B0" w:rsidRDefault="00793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C08F2" w14:textId="77777777" w:rsidR="00D250E0" w:rsidRDefault="00D250E0">
      <w:r>
        <w:separator/>
      </w:r>
    </w:p>
  </w:footnote>
  <w:footnote w:type="continuationSeparator" w:id="0">
    <w:p w14:paraId="1E7E34AA" w14:textId="77777777" w:rsidR="00D250E0" w:rsidRDefault="00D25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Content>
      <w:p w14:paraId="22125FAA" w14:textId="77777777" w:rsidR="007936B0" w:rsidRDefault="007936B0">
        <w:pPr>
          <w:pStyle w:val="Header"/>
        </w:pPr>
        <w:r>
          <w:rPr>
            <w:noProof/>
            <w:lang w:val="en-US"/>
          </w:rPr>
          <w:pict w14:anchorId="22125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7F8A"/>
    <w:multiLevelType w:val="hybridMultilevel"/>
    <w:tmpl w:val="1A66147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B3B0F42"/>
    <w:multiLevelType w:val="hybridMultilevel"/>
    <w:tmpl w:val="2F08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C6D48"/>
    <w:multiLevelType w:val="hybridMultilevel"/>
    <w:tmpl w:val="5C882F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0F3E79DB"/>
    <w:multiLevelType w:val="hybridMultilevel"/>
    <w:tmpl w:val="4B08F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F45A7"/>
    <w:multiLevelType w:val="hybridMultilevel"/>
    <w:tmpl w:val="9F1C8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CE66C9"/>
    <w:multiLevelType w:val="hybridMultilevel"/>
    <w:tmpl w:val="F0742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BC4BD1"/>
    <w:multiLevelType w:val="hybridMultilevel"/>
    <w:tmpl w:val="93887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4"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C30DE"/>
    <w:multiLevelType w:val="hybridMultilevel"/>
    <w:tmpl w:val="BD503EC6"/>
    <w:lvl w:ilvl="0" w:tplc="F2C642BE">
      <w:start w:val="1"/>
      <w:numFmt w:val="decimal"/>
      <w:lvlText w:val="%1."/>
      <w:lvlJc w:val="left"/>
      <w:pPr>
        <w:ind w:left="1800" w:hanging="360"/>
      </w:pPr>
      <w:rPr>
        <w:b/>
        <w:color w:val="1F497D"/>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7"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2A08FF"/>
    <w:multiLevelType w:val="hybridMultilevel"/>
    <w:tmpl w:val="A0E84A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E67FF"/>
    <w:multiLevelType w:val="hybridMultilevel"/>
    <w:tmpl w:val="F8F8D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776C2B"/>
    <w:multiLevelType w:val="hybridMultilevel"/>
    <w:tmpl w:val="0DB6537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297229"/>
    <w:multiLevelType w:val="hybridMultilevel"/>
    <w:tmpl w:val="ED3CB4E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0"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278B8"/>
    <w:multiLevelType w:val="hybridMultilevel"/>
    <w:tmpl w:val="F3E0877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2" w15:restartNumberingAfterBreak="0">
    <w:nsid w:val="62860633"/>
    <w:multiLevelType w:val="hybridMultilevel"/>
    <w:tmpl w:val="2CA4E0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A35ACD"/>
    <w:multiLevelType w:val="hybridMultilevel"/>
    <w:tmpl w:val="47CE26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5" w15:restartNumberingAfterBreak="0">
    <w:nsid w:val="65012FE0"/>
    <w:multiLevelType w:val="hybridMultilevel"/>
    <w:tmpl w:val="9CA03F3E"/>
    <w:lvl w:ilvl="0" w:tplc="8C9A5058">
      <w:start w:val="1"/>
      <w:numFmt w:val="bullet"/>
      <w:lvlText w:val=""/>
      <w:lvlJc w:val="left"/>
      <w:pPr>
        <w:ind w:left="360" w:hanging="360"/>
      </w:pPr>
      <w:rPr>
        <w:rFonts w:ascii="Symbol" w:hAnsi="Symbol" w:hint="default"/>
        <w:b/>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B0E3571"/>
    <w:multiLevelType w:val="hybridMultilevel"/>
    <w:tmpl w:val="DAB2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40C6E"/>
    <w:multiLevelType w:val="hybridMultilevel"/>
    <w:tmpl w:val="FD08E35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8" w15:restartNumberingAfterBreak="0">
    <w:nsid w:val="71D373F0"/>
    <w:multiLevelType w:val="hybridMultilevel"/>
    <w:tmpl w:val="B07AB374"/>
    <w:lvl w:ilvl="0" w:tplc="5F9C71CA">
      <w:start w:val="2"/>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E4179"/>
    <w:multiLevelType w:val="hybridMultilevel"/>
    <w:tmpl w:val="6E6A62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A52C7D"/>
    <w:multiLevelType w:val="hybridMultilevel"/>
    <w:tmpl w:val="FDFEB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C814E8"/>
    <w:multiLevelType w:val="hybridMultilevel"/>
    <w:tmpl w:val="871E0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0"/>
  </w:num>
  <w:num w:numId="3">
    <w:abstractNumId w:val="34"/>
  </w:num>
  <w:num w:numId="4">
    <w:abstractNumId w:val="34"/>
  </w:num>
  <w:num w:numId="5">
    <w:abstractNumId w:val="4"/>
  </w:num>
  <w:num w:numId="6">
    <w:abstractNumId w:val="0"/>
  </w:num>
  <w:num w:numId="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num>
  <w:num w:numId="10">
    <w:abstractNumId w:val="29"/>
  </w:num>
  <w:num w:numId="11">
    <w:abstractNumId w:val="25"/>
  </w:num>
  <w:num w:numId="12">
    <w:abstractNumId w:val="41"/>
  </w:num>
  <w:num w:numId="13">
    <w:abstractNumId w:val="30"/>
  </w:num>
  <w:num w:numId="14">
    <w:abstractNumId w:val="23"/>
  </w:num>
  <w:num w:numId="15">
    <w:abstractNumId w:val="17"/>
  </w:num>
  <w:num w:numId="16">
    <w:abstractNumId w:val="14"/>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4"/>
  </w:num>
  <w:num w:numId="27">
    <w:abstractNumId w:val="15"/>
  </w:num>
  <w:num w:numId="28">
    <w:abstractNumId w:val="21"/>
  </w:num>
  <w:num w:numId="29">
    <w:abstractNumId w:val="9"/>
  </w:num>
  <w:num w:numId="30">
    <w:abstractNumId w:val="3"/>
  </w:num>
  <w:num w:numId="31">
    <w:abstractNumId w:val="26"/>
  </w:num>
  <w:num w:numId="32">
    <w:abstractNumId w:val="43"/>
  </w:num>
  <w:num w:numId="33">
    <w:abstractNumId w:val="22"/>
  </w:num>
  <w:num w:numId="34">
    <w:abstractNumId w:val="42"/>
  </w:num>
  <w:num w:numId="35">
    <w:abstractNumId w:val="6"/>
  </w:num>
  <w:num w:numId="36">
    <w:abstractNumId w:val="33"/>
  </w:num>
  <w:num w:numId="37">
    <w:abstractNumId w:val="32"/>
  </w:num>
  <w:num w:numId="38">
    <w:abstractNumId w:val="38"/>
  </w:num>
  <w:num w:numId="39">
    <w:abstractNumId w:val="10"/>
  </w:num>
  <w:num w:numId="40">
    <w:abstractNumId w:val="12"/>
  </w:num>
  <w:num w:numId="41">
    <w:abstractNumId w:val="44"/>
  </w:num>
  <w:num w:numId="42">
    <w:abstractNumId w:val="19"/>
  </w:num>
  <w:num w:numId="43">
    <w:abstractNumId w:val="5"/>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8"/>
  </w:num>
  <w:num w:numId="49">
    <w:abstractNumId w:val="27"/>
  </w:num>
  <w:num w:numId="50">
    <w:abstractNumId w:val="36"/>
  </w:num>
  <w:num w:numId="51">
    <w:abstractNumId w:val="13"/>
  </w:num>
  <w:num w:numId="52">
    <w:abstractNumId w:val="1"/>
  </w:num>
  <w:num w:numId="5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2948"/>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2E0D"/>
    <w:rsid w:val="00044B29"/>
    <w:rsid w:val="00045543"/>
    <w:rsid w:val="000457C3"/>
    <w:rsid w:val="0004585A"/>
    <w:rsid w:val="00045DF4"/>
    <w:rsid w:val="0005224F"/>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A7AA3"/>
    <w:rsid w:val="000B07A1"/>
    <w:rsid w:val="000B2ED9"/>
    <w:rsid w:val="000B41E7"/>
    <w:rsid w:val="000B44ED"/>
    <w:rsid w:val="000B4E0D"/>
    <w:rsid w:val="000C0B90"/>
    <w:rsid w:val="000C1CF5"/>
    <w:rsid w:val="000C2ECC"/>
    <w:rsid w:val="000C4E1D"/>
    <w:rsid w:val="000C7A51"/>
    <w:rsid w:val="000D0395"/>
    <w:rsid w:val="000D3936"/>
    <w:rsid w:val="000D4283"/>
    <w:rsid w:val="000D4F6C"/>
    <w:rsid w:val="000D51DE"/>
    <w:rsid w:val="000D5C78"/>
    <w:rsid w:val="000E4725"/>
    <w:rsid w:val="000E66D3"/>
    <w:rsid w:val="000F0F49"/>
    <w:rsid w:val="000F1295"/>
    <w:rsid w:val="000F1BF3"/>
    <w:rsid w:val="0010107D"/>
    <w:rsid w:val="00101C79"/>
    <w:rsid w:val="00105A7C"/>
    <w:rsid w:val="00110113"/>
    <w:rsid w:val="00111F99"/>
    <w:rsid w:val="0012138E"/>
    <w:rsid w:val="00123C60"/>
    <w:rsid w:val="00131443"/>
    <w:rsid w:val="0013204A"/>
    <w:rsid w:val="00133A11"/>
    <w:rsid w:val="00136327"/>
    <w:rsid w:val="00137737"/>
    <w:rsid w:val="00143A7D"/>
    <w:rsid w:val="001466F6"/>
    <w:rsid w:val="0014799D"/>
    <w:rsid w:val="0015011A"/>
    <w:rsid w:val="001535BC"/>
    <w:rsid w:val="001545B4"/>
    <w:rsid w:val="001546C0"/>
    <w:rsid w:val="00155553"/>
    <w:rsid w:val="00162B5B"/>
    <w:rsid w:val="0017038F"/>
    <w:rsid w:val="00170A3F"/>
    <w:rsid w:val="00171CCB"/>
    <w:rsid w:val="0017418C"/>
    <w:rsid w:val="00174E73"/>
    <w:rsid w:val="00186C06"/>
    <w:rsid w:val="00191EFE"/>
    <w:rsid w:val="0019279D"/>
    <w:rsid w:val="001931FA"/>
    <w:rsid w:val="00194BF1"/>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4CC1"/>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16252"/>
    <w:rsid w:val="00320393"/>
    <w:rsid w:val="003242A9"/>
    <w:rsid w:val="00325BC2"/>
    <w:rsid w:val="00325EB2"/>
    <w:rsid w:val="00331FD0"/>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CB7"/>
    <w:rsid w:val="003B1988"/>
    <w:rsid w:val="003B6ACC"/>
    <w:rsid w:val="003B6D47"/>
    <w:rsid w:val="003C070A"/>
    <w:rsid w:val="003C218D"/>
    <w:rsid w:val="003C3FC1"/>
    <w:rsid w:val="003C62CF"/>
    <w:rsid w:val="003D0098"/>
    <w:rsid w:val="003D58B2"/>
    <w:rsid w:val="003D5D97"/>
    <w:rsid w:val="003D72AE"/>
    <w:rsid w:val="003E0C7F"/>
    <w:rsid w:val="003E3DEA"/>
    <w:rsid w:val="003E657D"/>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E5FF2"/>
    <w:rsid w:val="004F41B6"/>
    <w:rsid w:val="005005F6"/>
    <w:rsid w:val="0050287E"/>
    <w:rsid w:val="00503222"/>
    <w:rsid w:val="00503817"/>
    <w:rsid w:val="0050687A"/>
    <w:rsid w:val="0051414C"/>
    <w:rsid w:val="005153E4"/>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5C3"/>
    <w:rsid w:val="00582B96"/>
    <w:rsid w:val="005833BD"/>
    <w:rsid w:val="005844BD"/>
    <w:rsid w:val="00584D89"/>
    <w:rsid w:val="00584F79"/>
    <w:rsid w:val="00587150"/>
    <w:rsid w:val="00590073"/>
    <w:rsid w:val="005909C8"/>
    <w:rsid w:val="005913DB"/>
    <w:rsid w:val="005953E4"/>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111"/>
    <w:rsid w:val="006254BD"/>
    <w:rsid w:val="00627E01"/>
    <w:rsid w:val="006321E9"/>
    <w:rsid w:val="00640BB5"/>
    <w:rsid w:val="00651A1C"/>
    <w:rsid w:val="00655180"/>
    <w:rsid w:val="00655E68"/>
    <w:rsid w:val="00663C28"/>
    <w:rsid w:val="006640FB"/>
    <w:rsid w:val="006701D5"/>
    <w:rsid w:val="00670BF4"/>
    <w:rsid w:val="0067125E"/>
    <w:rsid w:val="00673325"/>
    <w:rsid w:val="006769F9"/>
    <w:rsid w:val="00676FBA"/>
    <w:rsid w:val="00680408"/>
    <w:rsid w:val="00682A7E"/>
    <w:rsid w:val="00683123"/>
    <w:rsid w:val="00683FE3"/>
    <w:rsid w:val="0068445E"/>
    <w:rsid w:val="00685FB5"/>
    <w:rsid w:val="00692CED"/>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03B0"/>
    <w:rsid w:val="007654E6"/>
    <w:rsid w:val="00765616"/>
    <w:rsid w:val="00766D5A"/>
    <w:rsid w:val="00772BBA"/>
    <w:rsid w:val="00773DA2"/>
    <w:rsid w:val="007779B8"/>
    <w:rsid w:val="00780C7F"/>
    <w:rsid w:val="00784095"/>
    <w:rsid w:val="00784172"/>
    <w:rsid w:val="00785103"/>
    <w:rsid w:val="00787807"/>
    <w:rsid w:val="007936B0"/>
    <w:rsid w:val="00794997"/>
    <w:rsid w:val="00795FB8"/>
    <w:rsid w:val="007977E5"/>
    <w:rsid w:val="00797BD3"/>
    <w:rsid w:val="007A1505"/>
    <w:rsid w:val="007A1663"/>
    <w:rsid w:val="007A236E"/>
    <w:rsid w:val="007A38DA"/>
    <w:rsid w:val="007A3B66"/>
    <w:rsid w:val="007A4CDA"/>
    <w:rsid w:val="007A63F7"/>
    <w:rsid w:val="007B305F"/>
    <w:rsid w:val="007B33D4"/>
    <w:rsid w:val="007B6096"/>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40A8"/>
    <w:rsid w:val="008052FD"/>
    <w:rsid w:val="00806C56"/>
    <w:rsid w:val="00812EC6"/>
    <w:rsid w:val="008139C0"/>
    <w:rsid w:val="0081783D"/>
    <w:rsid w:val="008316BC"/>
    <w:rsid w:val="008342EC"/>
    <w:rsid w:val="008441FE"/>
    <w:rsid w:val="00845EC7"/>
    <w:rsid w:val="0086257F"/>
    <w:rsid w:val="00865DD0"/>
    <w:rsid w:val="00866F8D"/>
    <w:rsid w:val="00871CDC"/>
    <w:rsid w:val="0087311C"/>
    <w:rsid w:val="008751AB"/>
    <w:rsid w:val="008755C5"/>
    <w:rsid w:val="00884042"/>
    <w:rsid w:val="00885437"/>
    <w:rsid w:val="0088682B"/>
    <w:rsid w:val="00887561"/>
    <w:rsid w:val="00887CC4"/>
    <w:rsid w:val="008914FB"/>
    <w:rsid w:val="00891C05"/>
    <w:rsid w:val="00892D58"/>
    <w:rsid w:val="00893B59"/>
    <w:rsid w:val="008A35F2"/>
    <w:rsid w:val="008A43CB"/>
    <w:rsid w:val="008A7BFE"/>
    <w:rsid w:val="008B0638"/>
    <w:rsid w:val="008B301A"/>
    <w:rsid w:val="008B3265"/>
    <w:rsid w:val="008B7C05"/>
    <w:rsid w:val="008C04D4"/>
    <w:rsid w:val="008C148F"/>
    <w:rsid w:val="008C6517"/>
    <w:rsid w:val="008C74BF"/>
    <w:rsid w:val="008D3B35"/>
    <w:rsid w:val="008D41F4"/>
    <w:rsid w:val="008D51A6"/>
    <w:rsid w:val="008D685F"/>
    <w:rsid w:val="008E0CA3"/>
    <w:rsid w:val="008E1A0A"/>
    <w:rsid w:val="008E2A7B"/>
    <w:rsid w:val="008E2EBC"/>
    <w:rsid w:val="008E6320"/>
    <w:rsid w:val="008E78C4"/>
    <w:rsid w:val="008F34BD"/>
    <w:rsid w:val="00900D0A"/>
    <w:rsid w:val="009029D4"/>
    <w:rsid w:val="0090511E"/>
    <w:rsid w:val="0090573A"/>
    <w:rsid w:val="00906ED1"/>
    <w:rsid w:val="009100F8"/>
    <w:rsid w:val="00911515"/>
    <w:rsid w:val="009116BD"/>
    <w:rsid w:val="00911A56"/>
    <w:rsid w:val="00912377"/>
    <w:rsid w:val="00914BB9"/>
    <w:rsid w:val="00914DF9"/>
    <w:rsid w:val="00920D7A"/>
    <w:rsid w:val="00936137"/>
    <w:rsid w:val="0094105E"/>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642"/>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4906"/>
    <w:rsid w:val="009E7A30"/>
    <w:rsid w:val="009F1166"/>
    <w:rsid w:val="009F51A8"/>
    <w:rsid w:val="00A005EF"/>
    <w:rsid w:val="00A06583"/>
    <w:rsid w:val="00A077AE"/>
    <w:rsid w:val="00A11AEC"/>
    <w:rsid w:val="00A1546F"/>
    <w:rsid w:val="00A1567A"/>
    <w:rsid w:val="00A17453"/>
    <w:rsid w:val="00A205A2"/>
    <w:rsid w:val="00A2101B"/>
    <w:rsid w:val="00A2263A"/>
    <w:rsid w:val="00A228E4"/>
    <w:rsid w:val="00A254AE"/>
    <w:rsid w:val="00A3031B"/>
    <w:rsid w:val="00A31AB9"/>
    <w:rsid w:val="00A402FE"/>
    <w:rsid w:val="00A4045A"/>
    <w:rsid w:val="00A406BC"/>
    <w:rsid w:val="00A477D1"/>
    <w:rsid w:val="00A503FD"/>
    <w:rsid w:val="00A524B5"/>
    <w:rsid w:val="00A54815"/>
    <w:rsid w:val="00A60220"/>
    <w:rsid w:val="00A605B5"/>
    <w:rsid w:val="00A62B87"/>
    <w:rsid w:val="00A63E89"/>
    <w:rsid w:val="00A6430E"/>
    <w:rsid w:val="00A653BB"/>
    <w:rsid w:val="00A668E8"/>
    <w:rsid w:val="00A76A58"/>
    <w:rsid w:val="00A813F8"/>
    <w:rsid w:val="00A818CD"/>
    <w:rsid w:val="00A833B3"/>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276E"/>
    <w:rsid w:val="00AB37C6"/>
    <w:rsid w:val="00AB4EEA"/>
    <w:rsid w:val="00AB5F90"/>
    <w:rsid w:val="00AC1A53"/>
    <w:rsid w:val="00AC384B"/>
    <w:rsid w:val="00AC3AC1"/>
    <w:rsid w:val="00AC77E7"/>
    <w:rsid w:val="00AD0B65"/>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4E90"/>
    <w:rsid w:val="00B5677B"/>
    <w:rsid w:val="00B56C5A"/>
    <w:rsid w:val="00B56F7F"/>
    <w:rsid w:val="00B64855"/>
    <w:rsid w:val="00B650A9"/>
    <w:rsid w:val="00B6696F"/>
    <w:rsid w:val="00B66CC6"/>
    <w:rsid w:val="00B66F71"/>
    <w:rsid w:val="00B70FB2"/>
    <w:rsid w:val="00B85F61"/>
    <w:rsid w:val="00B87752"/>
    <w:rsid w:val="00B927A9"/>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153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27D80"/>
    <w:rsid w:val="00C3030B"/>
    <w:rsid w:val="00C336D2"/>
    <w:rsid w:val="00C34EC6"/>
    <w:rsid w:val="00C36D96"/>
    <w:rsid w:val="00C3711A"/>
    <w:rsid w:val="00C4536B"/>
    <w:rsid w:val="00C47C1F"/>
    <w:rsid w:val="00C47F4E"/>
    <w:rsid w:val="00C510A4"/>
    <w:rsid w:val="00C5289B"/>
    <w:rsid w:val="00C6044B"/>
    <w:rsid w:val="00C60796"/>
    <w:rsid w:val="00C6219F"/>
    <w:rsid w:val="00C641E9"/>
    <w:rsid w:val="00C644F5"/>
    <w:rsid w:val="00C67261"/>
    <w:rsid w:val="00C7641A"/>
    <w:rsid w:val="00C77E50"/>
    <w:rsid w:val="00C80FAC"/>
    <w:rsid w:val="00C8302D"/>
    <w:rsid w:val="00C84DE2"/>
    <w:rsid w:val="00C86B99"/>
    <w:rsid w:val="00C87D58"/>
    <w:rsid w:val="00C87D6D"/>
    <w:rsid w:val="00C90744"/>
    <w:rsid w:val="00C92574"/>
    <w:rsid w:val="00C9718A"/>
    <w:rsid w:val="00CA0E8C"/>
    <w:rsid w:val="00CA13F9"/>
    <w:rsid w:val="00CA6149"/>
    <w:rsid w:val="00CA6D69"/>
    <w:rsid w:val="00CB09D8"/>
    <w:rsid w:val="00CB241F"/>
    <w:rsid w:val="00CB61CE"/>
    <w:rsid w:val="00CB6BB7"/>
    <w:rsid w:val="00CC112A"/>
    <w:rsid w:val="00CC1802"/>
    <w:rsid w:val="00CD7E69"/>
    <w:rsid w:val="00CE1031"/>
    <w:rsid w:val="00CE146F"/>
    <w:rsid w:val="00CE298D"/>
    <w:rsid w:val="00CE6114"/>
    <w:rsid w:val="00CE7176"/>
    <w:rsid w:val="00CF0BD1"/>
    <w:rsid w:val="00CF2F2D"/>
    <w:rsid w:val="00CF62DE"/>
    <w:rsid w:val="00D01A21"/>
    <w:rsid w:val="00D01B68"/>
    <w:rsid w:val="00D1037F"/>
    <w:rsid w:val="00D250E0"/>
    <w:rsid w:val="00D30ED0"/>
    <w:rsid w:val="00D3235F"/>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4EEE"/>
    <w:rsid w:val="00DA7651"/>
    <w:rsid w:val="00DB1C34"/>
    <w:rsid w:val="00DB2FA1"/>
    <w:rsid w:val="00DB3C97"/>
    <w:rsid w:val="00DB5C0F"/>
    <w:rsid w:val="00DC4D27"/>
    <w:rsid w:val="00DC5127"/>
    <w:rsid w:val="00DC7B87"/>
    <w:rsid w:val="00DD44CA"/>
    <w:rsid w:val="00DD47E2"/>
    <w:rsid w:val="00DD6338"/>
    <w:rsid w:val="00DE0CAB"/>
    <w:rsid w:val="00DE18A3"/>
    <w:rsid w:val="00DE1B57"/>
    <w:rsid w:val="00DE4672"/>
    <w:rsid w:val="00DE6D0B"/>
    <w:rsid w:val="00DF4569"/>
    <w:rsid w:val="00DF61FC"/>
    <w:rsid w:val="00E0597D"/>
    <w:rsid w:val="00E0685C"/>
    <w:rsid w:val="00E076C0"/>
    <w:rsid w:val="00E07FB4"/>
    <w:rsid w:val="00E102EF"/>
    <w:rsid w:val="00E11599"/>
    <w:rsid w:val="00E21F98"/>
    <w:rsid w:val="00E24CC5"/>
    <w:rsid w:val="00E275C2"/>
    <w:rsid w:val="00E37B6C"/>
    <w:rsid w:val="00E403BD"/>
    <w:rsid w:val="00E413C6"/>
    <w:rsid w:val="00E41BB7"/>
    <w:rsid w:val="00E4250D"/>
    <w:rsid w:val="00E43DDB"/>
    <w:rsid w:val="00E44261"/>
    <w:rsid w:val="00E45544"/>
    <w:rsid w:val="00E4708C"/>
    <w:rsid w:val="00E55D00"/>
    <w:rsid w:val="00E56D8F"/>
    <w:rsid w:val="00E57D32"/>
    <w:rsid w:val="00E627AE"/>
    <w:rsid w:val="00E7156B"/>
    <w:rsid w:val="00E74099"/>
    <w:rsid w:val="00E751A1"/>
    <w:rsid w:val="00E82E42"/>
    <w:rsid w:val="00E8379F"/>
    <w:rsid w:val="00E838E3"/>
    <w:rsid w:val="00E84720"/>
    <w:rsid w:val="00E91BD8"/>
    <w:rsid w:val="00E93E97"/>
    <w:rsid w:val="00EA180F"/>
    <w:rsid w:val="00EA22BB"/>
    <w:rsid w:val="00EA599B"/>
    <w:rsid w:val="00EA61ED"/>
    <w:rsid w:val="00EB0715"/>
    <w:rsid w:val="00EB1337"/>
    <w:rsid w:val="00EB6E31"/>
    <w:rsid w:val="00EC06B2"/>
    <w:rsid w:val="00EC0AD0"/>
    <w:rsid w:val="00EC1414"/>
    <w:rsid w:val="00EC2618"/>
    <w:rsid w:val="00EC2AFC"/>
    <w:rsid w:val="00EC2CBB"/>
    <w:rsid w:val="00EC5F1C"/>
    <w:rsid w:val="00ED0DDC"/>
    <w:rsid w:val="00ED0DEE"/>
    <w:rsid w:val="00ED156A"/>
    <w:rsid w:val="00ED4D0D"/>
    <w:rsid w:val="00ED5F5C"/>
    <w:rsid w:val="00ED67E0"/>
    <w:rsid w:val="00EE20FD"/>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4587B"/>
    <w:rsid w:val="00F523D2"/>
    <w:rsid w:val="00F5468A"/>
    <w:rsid w:val="00F5623E"/>
    <w:rsid w:val="00F5711C"/>
    <w:rsid w:val="00F62878"/>
    <w:rsid w:val="00F65D61"/>
    <w:rsid w:val="00F66474"/>
    <w:rsid w:val="00F722BB"/>
    <w:rsid w:val="00F72938"/>
    <w:rsid w:val="00F87D3E"/>
    <w:rsid w:val="00F9192C"/>
    <w:rsid w:val="00F925C5"/>
    <w:rsid w:val="00FA346F"/>
    <w:rsid w:val="00FA5F66"/>
    <w:rsid w:val="00FB6655"/>
    <w:rsid w:val="00FC0576"/>
    <w:rsid w:val="00FC115D"/>
    <w:rsid w:val="00FC3A08"/>
    <w:rsid w:val="00FC7AB5"/>
    <w:rsid w:val="00FD0099"/>
    <w:rsid w:val="00FD05D4"/>
    <w:rsid w:val="00FD1C3B"/>
    <w:rsid w:val="00FD3B0A"/>
    <w:rsid w:val="00FD4ABD"/>
    <w:rsid w:val="00FD6B67"/>
    <w:rsid w:val="00FE0024"/>
    <w:rsid w:val="00FE6D7A"/>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125DB1"/>
  <w15:docId w15:val="{A179CFA5-0696-4312-AEB6-762A145A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7936B0"/>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basedOn w:val="DefaultParagraphFont"/>
    <w:link w:val="Heading4"/>
    <w:rsid w:val="007936B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63654893">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176578059">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262493297">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apprenticeships.org.uk" TargetMode="External"/><Relationship Id="rId2" Type="http://schemas.openxmlformats.org/officeDocument/2006/relationships/customXml" Target="../customXml/item2.xml"/><Relationship Id="rId16" Type="http://schemas.openxmlformats.org/officeDocument/2006/relationships/hyperlink" Target="http://nelep.co.uk/whatwedo/european-strateg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elep.co.uk/strategy/strategic-economic-pla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1C9EC912-1EF1-4441-AB46-E2F7ABBA1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7B43E618-087E-4B5C-9F40-E3EC98BE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4485</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29997</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3</cp:revision>
  <cp:lastPrinted>2016-06-01T14:49:00Z</cp:lastPrinted>
  <dcterms:created xsi:type="dcterms:W3CDTF">2016-07-04T14:32:00Z</dcterms:created>
  <dcterms:modified xsi:type="dcterms:W3CDTF">2016-07-04T14:33:00Z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