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153"/>
          <w:tab w:val="right" w:pos="8306"/>
        </w:tabs>
        <w:spacing w:after="120" w:lineRule="auto"/>
        <w:rPr>
          <w:rFonts w:ascii="Arial" w:cs="Arial" w:eastAsia="Arial" w:hAnsi="Arial"/>
          <w:b w:val="1"/>
        </w:rPr>
      </w:pPr>
      <w:bookmarkStart w:colFirst="0" w:colLast="0" w:name="_heading=h.gjdgxs" w:id="0"/>
      <w:bookmarkEnd w:id="0"/>
      <w:r w:rsidDel="00000000" w:rsidR="00000000" w:rsidRPr="00000000">
        <w:rPr>
          <w:rFonts w:ascii="Arial" w:cs="Arial" w:eastAsia="Arial" w:hAnsi="Arial"/>
          <w:rtl w:val="0"/>
        </w:rPr>
        <w:t xml:space="preserve">Senator International Limited</w:t>
        <w:br w:type="textWrapping"/>
        <w:t xml:space="preserve">Syke Side Drive, Altham Business Park, Accrington, Lancashire BB5 5YE</w:t>
      </w:r>
      <w:r w:rsidDel="00000000" w:rsidR="00000000" w:rsidRPr="00000000">
        <w:rPr>
          <w:rtl w:val="0"/>
        </w:rPr>
      </w:r>
    </w:p>
    <w:p w:rsidR="00000000" w:rsidDel="00000000" w:rsidP="00000000" w:rsidRDefault="00000000" w:rsidRPr="00000000" w14:paraId="00000002">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3">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5">
      <w:pPr>
        <w:tabs>
          <w:tab w:val="center" w:pos="4153"/>
          <w:tab w:val="right" w:pos="8306"/>
        </w:tabs>
        <w:spacing w:after="120" w:lineRule="auto"/>
        <w:rPr>
          <w:rFonts w:ascii="Arial" w:cs="Arial" w:eastAsia="Arial" w:hAnsi="Arial"/>
          <w:highlight w:val="yellow"/>
        </w:rPr>
      </w:pPr>
      <w:r w:rsidDel="00000000" w:rsidR="00000000" w:rsidRPr="00000000">
        <w:rPr>
          <w:rFonts w:ascii="Arial" w:cs="Arial" w:eastAsia="Arial" w:hAnsi="Arial"/>
          <w:rtl w:val="0"/>
        </w:rPr>
        <w:t xml:space="preserve">Attn: </w:t>
      </w:r>
      <w:r w:rsidDel="00000000" w:rsidR="00000000" w:rsidRPr="00000000">
        <w:rPr>
          <w:rFonts w:ascii="Arial" w:cs="Arial" w:eastAsia="Arial" w:hAnsi="Arial"/>
          <w:highlight w:val="yellow"/>
          <w:rtl w:val="0"/>
        </w:rPr>
        <w:t xml:space="preserve">Redacted – FOI Section 40 Personal Information </w:t>
      </w:r>
    </w:p>
    <w:bookmarkStart w:colFirst="0" w:colLast="0" w:name="bookmark=kix.pxfd90shfi6l" w:id="1"/>
    <w:bookmarkEnd w:id="1"/>
    <w:bookmarkStart w:colFirst="0" w:colLast="0" w:name="bookmark=kix.6y8ycd1lkydz" w:id="2"/>
    <w:bookmarkEnd w:id="2"/>
    <w:p w:rsidR="00000000" w:rsidDel="00000000" w:rsidP="00000000" w:rsidRDefault="00000000" w:rsidRPr="00000000" w14:paraId="00000006">
      <w:pPr>
        <w:spacing w:after="120" w:lineRule="auto"/>
        <w:ind w:left="5760" w:right="3" w:firstLine="0"/>
        <w:jc w:val="both"/>
        <w:rPr>
          <w:rFonts w:ascii="Arial" w:cs="Arial" w:eastAsia="Arial" w:hAnsi="Arial"/>
        </w:rPr>
      </w:pPr>
      <w:r w:rsidDel="00000000" w:rsidR="00000000" w:rsidRPr="00000000">
        <w:rPr>
          <w:rFonts w:ascii="Arial" w:cs="Arial" w:eastAsia="Arial" w:hAnsi="Arial"/>
          <w:rtl w:val="0"/>
        </w:rPr>
        <w:t xml:space="preserve">Date: Friday 22nd July 2022</w:t>
      </w:r>
    </w:p>
    <w:p w:rsidR="00000000" w:rsidDel="00000000" w:rsidP="00000000" w:rsidRDefault="00000000" w:rsidRPr="00000000" w14:paraId="00000007">
      <w:pPr>
        <w:spacing w:after="120" w:lineRule="auto"/>
        <w:ind w:left="5760" w:right="3" w:firstLine="0"/>
        <w:rPr>
          <w:rFonts w:ascii="Arial" w:cs="Arial" w:eastAsia="Arial" w:hAnsi="Arial"/>
          <w:i w:val="1"/>
        </w:rPr>
      </w:pPr>
      <w:r w:rsidDel="00000000" w:rsidR="00000000" w:rsidRPr="00000000">
        <w:rPr>
          <w:rFonts w:ascii="Arial" w:cs="Arial" w:eastAsia="Arial" w:hAnsi="Arial"/>
          <w:rtl w:val="0"/>
        </w:rPr>
        <w:t xml:space="preserve">Contract reference: CCFR22A02</w:t>
      </w:r>
      <w:r w:rsidDel="00000000" w:rsidR="00000000" w:rsidRPr="00000000">
        <w:rPr>
          <w:rtl w:val="0"/>
        </w:rPr>
      </w:r>
    </w:p>
    <w:p w:rsidR="00000000" w:rsidDel="00000000" w:rsidP="00000000" w:rsidRDefault="00000000" w:rsidRPr="00000000" w14:paraId="00000008">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120" w:lineRule="auto"/>
        <w:jc w:val="both"/>
        <w:rPr>
          <w:rFonts w:ascii="Arial" w:cs="Arial" w:eastAsia="Arial" w:hAnsi="Arial"/>
          <w:highlight w:val="yellow"/>
        </w:rPr>
      </w:pPr>
      <w:r w:rsidDel="00000000" w:rsidR="00000000" w:rsidRPr="00000000">
        <w:rPr>
          <w:rFonts w:ascii="Arial" w:cs="Arial" w:eastAsia="Arial" w:hAnsi="Arial"/>
          <w:rtl w:val="0"/>
        </w:rPr>
        <w:t xml:space="preserve">Dear Marie,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B">
      <w:pPr>
        <w:spacing w:after="120" w:lineRule="auto"/>
        <w:jc w:val="both"/>
        <w:rPr>
          <w:rFonts w:ascii="Arial" w:cs="Arial" w:eastAsia="Arial" w:hAnsi="Arial"/>
        </w:rPr>
      </w:pPr>
      <w:bookmarkStart w:colFirst="0" w:colLast="0" w:name="_heading=h.1fob9te" w:id="3"/>
      <w:bookmarkEnd w:id="3"/>
      <w:r w:rsidDel="00000000" w:rsidR="00000000" w:rsidRPr="00000000">
        <w:rPr>
          <w:rFonts w:ascii="Arial" w:cs="Arial" w:eastAsia="Arial" w:hAnsi="Arial"/>
          <w:b w:val="1"/>
          <w:u w:val="single"/>
          <w:rtl w:val="0"/>
        </w:rPr>
        <w:t xml:space="preserve">Contract for the Provision of GPA Short Term Furniture Requirement</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sz w:val="24"/>
          <w:szCs w:val="24"/>
        </w:rPr>
      </w:pPr>
      <w:bookmarkStart w:colFirst="0" w:colLast="0" w:name="_heading=h.30j0zll" w:id="4"/>
      <w:bookmarkEnd w:id="4"/>
      <w:r w:rsidDel="00000000" w:rsidR="00000000" w:rsidRPr="00000000">
        <w:rPr>
          <w:rFonts w:ascii="Arial" w:cs="Arial" w:eastAsia="Arial" w:hAnsi="Arial"/>
          <w:color w:val="000000"/>
          <w:rtl w:val="0"/>
        </w:rPr>
        <w:t xml:space="preserve">Further to your submission </w:t>
      </w:r>
      <w:r w:rsidDel="00000000" w:rsidR="00000000" w:rsidRPr="00000000">
        <w:rPr>
          <w:rFonts w:ascii="Arial" w:cs="Arial" w:eastAsia="Arial" w:hAnsi="Arial"/>
          <w:rtl w:val="0"/>
        </w:rPr>
        <w:t xml:space="preserve">of a bid for the above Procurement, on behalf of The Government Property Agency (the “Authority”), I am p</w:t>
      </w:r>
      <w:r w:rsidDel="00000000" w:rsidR="00000000" w:rsidRPr="00000000">
        <w:rPr>
          <w:rFonts w:ascii="Arial" w:cs="Arial" w:eastAsia="Arial" w:hAnsi="Arial"/>
          <w:color w:val="000000"/>
          <w:rtl w:val="0"/>
        </w:rPr>
        <w:t xml:space="preserve">leased to inform you that you ranked first (1st) in our evaluation and therefore we would like to award the contract to you. </w:t>
      </w: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Details of the successful suppliers awarded the contract for the Taxi Rank (rotating supplier</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operating model), including your position in the Taxi Rank, is set out in Annex 1 of this letter.</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call-off contract shall commence on the 27th day of July 2022 and the Expiry Date will be 26th day of July 2023. The Contracting Authority reserves the option to extend the call-off contract by 2 periods of 12 months. The maximum contract value shall be £2,666,666.66 excluding VAT including all extension options.</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RM6119, Furniture &amp; Associated Services, Lot 8 Hubs Furniture and the Commercial Agreement Terms and Conditions shall apply. A copy of the contract is provided with this Award Letter and includes those terms and conditions. </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sign the Call-Off Order Form (Attachment 5) and forward to the Procurement Lead electronically via the e-Sourcing Suites’ messaging service by 15:00 Tuesday 26th July 2022. You are reminded that no engagement with the Contracting Authority is permitted until a copy of the signed contract is received.</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Contracting Authority will be returned for your records.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pos="567"/>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Yours faithfully,</w:t>
      </w:r>
      <w:r w:rsidDel="00000000" w:rsidR="00000000" w:rsidRPr="00000000">
        <w:rPr>
          <w:rtl w:val="0"/>
        </w:rPr>
      </w:r>
    </w:p>
    <w:p w:rsidR="00000000" w:rsidDel="00000000" w:rsidP="00000000" w:rsidRDefault="00000000" w:rsidRPr="00000000" w14:paraId="00000020">
      <w:pPr>
        <w:spacing w:after="12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Signed for and on behalf of the Government Property Agency,</w:t>
      </w:r>
      <w:r w:rsidDel="00000000" w:rsidR="00000000" w:rsidRPr="00000000">
        <w:rPr>
          <w:rtl w:val="0"/>
        </w:rPr>
      </w:r>
    </w:p>
    <w:p w:rsidR="00000000" w:rsidDel="00000000" w:rsidP="00000000" w:rsidRDefault="00000000" w:rsidRPr="00000000" w14:paraId="00000021">
      <w:pPr>
        <w:tabs>
          <w:tab w:val="center" w:pos="4153"/>
          <w:tab w:val="right" w:pos="8306"/>
        </w:tabs>
        <w:spacing w:after="120" w:lineRule="auto"/>
        <w:rPr>
          <w:rFonts w:ascii="Arial" w:cs="Arial" w:eastAsia="Arial" w:hAnsi="Arial"/>
        </w:rPr>
      </w:pPr>
      <w:r w:rsidDel="00000000" w:rsidR="00000000" w:rsidRPr="00000000">
        <w:rPr>
          <w:rFonts w:ascii="Arial" w:cs="Arial" w:eastAsia="Arial" w:hAnsi="Arial"/>
          <w:highlight w:val="yellow"/>
          <w:rtl w:val="0"/>
        </w:rPr>
        <w:t xml:space="preserve">Redacted – FOI Section 40 Personal Information </w:t>
      </w:r>
      <w:r w:rsidDel="00000000" w:rsidR="00000000" w:rsidRPr="00000000">
        <w:rPr>
          <w:rtl w:val="0"/>
        </w:rPr>
      </w:r>
    </w:p>
    <w:tbl>
      <w:tblPr>
        <w:tblStyle w:val="Table1"/>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2936"/>
        <w:tblGridChange w:id="0">
          <w:tblGrid>
            <w:gridCol w:w="5812"/>
            <w:gridCol w:w="2936"/>
          </w:tblGrid>
        </w:tblGridChange>
      </w:tblGrid>
      <w:tr>
        <w:trPr>
          <w:cantSplit w:val="1"/>
          <w:tblHeader w:val="0"/>
        </w:trPr>
        <w:tc>
          <w:tcPr>
            <w:gridSpan w:val="2"/>
          </w:tcPr>
          <w:p w:rsidR="00000000" w:rsidDel="00000000" w:rsidP="00000000" w:rsidRDefault="00000000" w:rsidRPr="00000000" w14:paraId="00000022">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120" w:lineRule="auto"/>
              <w:ind w:right="3"/>
              <w:rPr>
                <w:rFonts w:ascii="Arial" w:cs="Arial" w:eastAsia="Arial" w:hAnsi="Arial"/>
              </w:rPr>
            </w:pPr>
            <w:r w:rsidDel="00000000" w:rsidR="00000000" w:rsidRPr="00000000">
              <w:rPr>
                <w:rtl w:val="0"/>
              </w:rPr>
            </w:r>
          </w:p>
        </w:tc>
        <w:tc>
          <w:tcPr/>
          <w:p w:rsidR="00000000" w:rsidDel="00000000" w:rsidP="00000000" w:rsidRDefault="00000000" w:rsidRPr="00000000" w14:paraId="00000025">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Annex 1: Taxi Rank (rotating supplier operating model)</w:t>
            </w:r>
          </w:p>
          <w:p w:rsidR="00000000" w:rsidDel="00000000" w:rsidP="00000000" w:rsidRDefault="00000000" w:rsidRPr="00000000" w14:paraId="00000027">
            <w:pPr>
              <w:spacing w:after="120" w:lineRule="auto"/>
              <w:ind w:right="3"/>
              <w:jc w:val="both"/>
              <w:rPr>
                <w:rFonts w:ascii="Arial" w:cs="Arial" w:eastAsia="Arial" w:hAnsi="Arial"/>
                <w:b w:val="1"/>
              </w:rPr>
            </w:pPr>
            <w:r w:rsidDel="00000000" w:rsidR="00000000" w:rsidRPr="00000000">
              <w:rPr>
                <w:rtl w:val="0"/>
              </w:rPr>
            </w:r>
          </w:p>
          <w:tbl>
            <w:tblPr>
              <w:tblStyle w:val="Table2"/>
              <w:tblW w:w="5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4"/>
              <w:gridCol w:w="1114"/>
              <w:gridCol w:w="1114"/>
              <w:gridCol w:w="1115"/>
              <w:gridCol w:w="1115"/>
              <w:tblGridChange w:id="0">
                <w:tblGrid>
                  <w:gridCol w:w="1114"/>
                  <w:gridCol w:w="1114"/>
                  <w:gridCol w:w="1114"/>
                  <w:gridCol w:w="1115"/>
                  <w:gridCol w:w="1115"/>
                </w:tblGrid>
              </w:tblGridChange>
            </w:tblGrid>
            <w:tr>
              <w:trPr>
                <w:cantSplit w:val="0"/>
                <w:tblHeader w:val="0"/>
              </w:trPr>
              <w:tc>
                <w:tcPr/>
                <w:p w:rsidR="00000000" w:rsidDel="00000000" w:rsidP="00000000" w:rsidRDefault="00000000" w:rsidRPr="00000000" w14:paraId="00000028">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Supplier</w:t>
                  </w:r>
                </w:p>
              </w:tc>
              <w:tc>
                <w:tcPr/>
                <w:p w:rsidR="00000000" w:rsidDel="00000000" w:rsidP="00000000" w:rsidRDefault="00000000" w:rsidRPr="00000000" w14:paraId="00000029">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Weighted Technical Score</w:t>
                  </w:r>
                </w:p>
              </w:tc>
              <w:tc>
                <w:tcPr/>
                <w:p w:rsidR="00000000" w:rsidDel="00000000" w:rsidP="00000000" w:rsidRDefault="00000000" w:rsidRPr="00000000" w14:paraId="0000002A">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Weighted Commercial Score</w:t>
                  </w:r>
                </w:p>
              </w:tc>
              <w:tc>
                <w:tcPr/>
                <w:p w:rsidR="00000000" w:rsidDel="00000000" w:rsidP="00000000" w:rsidRDefault="00000000" w:rsidRPr="00000000" w14:paraId="0000002B">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Total Weighted Score</w:t>
                  </w:r>
                </w:p>
              </w:tc>
              <w:tc>
                <w:tcPr/>
                <w:p w:rsidR="00000000" w:rsidDel="00000000" w:rsidP="00000000" w:rsidRDefault="00000000" w:rsidRPr="00000000" w14:paraId="0000002C">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Rank (Taxi Rank Position)</w:t>
                  </w:r>
                </w:p>
              </w:tc>
            </w:tr>
            <w:tr>
              <w:trPr>
                <w:cantSplit w:val="0"/>
                <w:tblHeader w:val="0"/>
              </w:trPr>
              <w:tc>
                <w:tcPr/>
                <w:p w:rsidR="00000000" w:rsidDel="00000000" w:rsidP="00000000" w:rsidRDefault="00000000" w:rsidRPr="00000000" w14:paraId="0000002D">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Senator International Limited</w:t>
                  </w:r>
                </w:p>
              </w:tc>
              <w:tc>
                <w:tcPr/>
                <w:p w:rsidR="00000000" w:rsidDel="00000000" w:rsidP="00000000" w:rsidRDefault="00000000" w:rsidRPr="00000000" w14:paraId="0000002E">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66.43</w:t>
                  </w:r>
                </w:p>
              </w:tc>
              <w:tc>
                <w:tcPr/>
                <w:p w:rsidR="00000000" w:rsidDel="00000000" w:rsidP="00000000" w:rsidRDefault="00000000" w:rsidRPr="00000000" w14:paraId="0000002F">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28.251</w:t>
                  </w:r>
                </w:p>
              </w:tc>
              <w:tc>
                <w:tcPr/>
                <w:p w:rsidR="00000000" w:rsidDel="00000000" w:rsidP="00000000" w:rsidRDefault="00000000" w:rsidRPr="00000000" w14:paraId="00000030">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94.681</w:t>
                  </w:r>
                </w:p>
              </w:tc>
              <w:tc>
                <w:tcPr/>
                <w:p w:rsidR="00000000" w:rsidDel="00000000" w:rsidP="00000000" w:rsidRDefault="00000000" w:rsidRPr="00000000" w14:paraId="00000031">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blHeader w:val="0"/>
              </w:trPr>
              <w:tc>
                <w:tcPr/>
                <w:p w:rsidR="00000000" w:rsidDel="00000000" w:rsidP="00000000" w:rsidRDefault="00000000" w:rsidRPr="00000000" w14:paraId="00000032">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Wagstaff Bros Limited</w:t>
                  </w:r>
                </w:p>
              </w:tc>
              <w:tc>
                <w:tcPr/>
                <w:p w:rsidR="00000000" w:rsidDel="00000000" w:rsidP="00000000" w:rsidRDefault="00000000" w:rsidRPr="00000000" w14:paraId="00000033">
                  <w:pPr>
                    <w:spacing w:after="120" w:lineRule="auto"/>
                    <w:ind w:right="3"/>
                    <w:jc w:val="both"/>
                    <w:rPr>
                      <w:rFonts w:ascii="Arial" w:cs="Arial" w:eastAsia="Arial" w:hAnsi="Arial"/>
                      <w:sz w:val="20"/>
                      <w:szCs w:val="20"/>
                    </w:rPr>
                  </w:pPr>
                  <w:r w:rsidDel="00000000" w:rsidR="00000000" w:rsidRPr="00000000">
                    <w:rPr>
                      <w:rtl w:val="0"/>
                    </w:rPr>
                    <w:t xml:space="preserve">53.17</w:t>
                  </w:r>
                  <w:r w:rsidDel="00000000" w:rsidR="00000000" w:rsidRPr="00000000">
                    <w:rPr>
                      <w:rtl w:val="0"/>
                    </w:rPr>
                  </w:r>
                </w:p>
              </w:tc>
              <w:tc>
                <w:tcPr/>
                <w:p w:rsidR="00000000" w:rsidDel="00000000" w:rsidP="00000000" w:rsidRDefault="00000000" w:rsidRPr="00000000" w14:paraId="00000034">
                  <w:pPr>
                    <w:spacing w:after="120" w:lineRule="auto"/>
                    <w:ind w:right="3"/>
                    <w:jc w:val="both"/>
                    <w:rPr>
                      <w:rFonts w:ascii="Arial" w:cs="Arial" w:eastAsia="Arial" w:hAnsi="Arial"/>
                      <w:sz w:val="20"/>
                      <w:szCs w:val="20"/>
                    </w:rPr>
                  </w:pPr>
                  <w:r w:rsidDel="00000000" w:rsidR="00000000" w:rsidRPr="00000000">
                    <w:rPr>
                      <w:rtl w:val="0"/>
                    </w:rPr>
                    <w:t xml:space="preserve">27.402</w:t>
                  </w:r>
                  <w:r w:rsidDel="00000000" w:rsidR="00000000" w:rsidRPr="00000000">
                    <w:rPr>
                      <w:rtl w:val="0"/>
                    </w:rPr>
                  </w:r>
                </w:p>
              </w:tc>
              <w:tc>
                <w:tcPr/>
                <w:p w:rsidR="00000000" w:rsidDel="00000000" w:rsidP="00000000" w:rsidRDefault="00000000" w:rsidRPr="00000000" w14:paraId="00000035">
                  <w:pPr>
                    <w:spacing w:after="120" w:lineRule="auto"/>
                    <w:ind w:right="3"/>
                    <w:jc w:val="both"/>
                    <w:rPr>
                      <w:rFonts w:ascii="Arial" w:cs="Arial" w:eastAsia="Arial" w:hAnsi="Arial"/>
                      <w:sz w:val="20"/>
                      <w:szCs w:val="20"/>
                    </w:rPr>
                  </w:pPr>
                  <w:r w:rsidDel="00000000" w:rsidR="00000000" w:rsidRPr="00000000">
                    <w:rPr>
                      <w:rtl w:val="0"/>
                    </w:rPr>
                    <w:t xml:space="preserve">80.567</w:t>
                  </w:r>
                  <w:r w:rsidDel="00000000" w:rsidR="00000000" w:rsidRPr="00000000">
                    <w:rPr>
                      <w:rtl w:val="0"/>
                    </w:rPr>
                  </w:r>
                </w:p>
              </w:tc>
              <w:tc>
                <w:tcPr/>
                <w:p w:rsidR="00000000" w:rsidDel="00000000" w:rsidP="00000000" w:rsidRDefault="00000000" w:rsidRPr="00000000" w14:paraId="00000036">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blHeader w:val="0"/>
              </w:trPr>
              <w:tc>
                <w:tcPr/>
                <w:p w:rsidR="00000000" w:rsidDel="00000000" w:rsidP="00000000" w:rsidRDefault="00000000" w:rsidRPr="00000000" w14:paraId="00000037">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Southerns Broadstock Office Furniture Limited</w:t>
                  </w:r>
                </w:p>
              </w:tc>
              <w:tc>
                <w:tcPr/>
                <w:p w:rsidR="00000000" w:rsidDel="00000000" w:rsidP="00000000" w:rsidRDefault="00000000" w:rsidRPr="00000000" w14:paraId="00000038">
                  <w:pPr>
                    <w:spacing w:after="120" w:lineRule="auto"/>
                    <w:ind w:right="3"/>
                    <w:jc w:val="both"/>
                    <w:rPr>
                      <w:rFonts w:ascii="Arial" w:cs="Arial" w:eastAsia="Arial" w:hAnsi="Arial"/>
                      <w:sz w:val="20"/>
                      <w:szCs w:val="20"/>
                    </w:rPr>
                  </w:pPr>
                  <w:r w:rsidDel="00000000" w:rsidR="00000000" w:rsidRPr="00000000">
                    <w:rPr>
                      <w:rtl w:val="0"/>
                    </w:rPr>
                    <w:t xml:space="preserve">53.38</w:t>
                  </w:r>
                  <w:r w:rsidDel="00000000" w:rsidR="00000000" w:rsidRPr="00000000">
                    <w:rPr>
                      <w:rtl w:val="0"/>
                    </w:rPr>
                  </w:r>
                </w:p>
              </w:tc>
              <w:tc>
                <w:tcPr/>
                <w:p w:rsidR="00000000" w:rsidDel="00000000" w:rsidP="00000000" w:rsidRDefault="00000000" w:rsidRPr="00000000" w14:paraId="00000039">
                  <w:pPr>
                    <w:spacing w:after="120" w:lineRule="auto"/>
                    <w:ind w:right="3"/>
                    <w:jc w:val="both"/>
                    <w:rPr>
                      <w:rFonts w:ascii="Arial" w:cs="Arial" w:eastAsia="Arial" w:hAnsi="Arial"/>
                      <w:sz w:val="20"/>
                      <w:szCs w:val="20"/>
                    </w:rPr>
                  </w:pPr>
                  <w:r w:rsidDel="00000000" w:rsidR="00000000" w:rsidRPr="00000000">
                    <w:rPr>
                      <w:rtl w:val="0"/>
                    </w:rPr>
                    <w:t xml:space="preserve">25.932</w:t>
                  </w:r>
                  <w:r w:rsidDel="00000000" w:rsidR="00000000" w:rsidRPr="00000000">
                    <w:rPr>
                      <w:rtl w:val="0"/>
                    </w:rPr>
                  </w:r>
                </w:p>
              </w:tc>
              <w:tc>
                <w:tcPr/>
                <w:p w:rsidR="00000000" w:rsidDel="00000000" w:rsidP="00000000" w:rsidRDefault="00000000" w:rsidRPr="00000000" w14:paraId="0000003A">
                  <w:pPr>
                    <w:spacing w:after="120" w:lineRule="auto"/>
                    <w:ind w:right="3"/>
                    <w:jc w:val="both"/>
                    <w:rPr>
                      <w:rFonts w:ascii="Arial" w:cs="Arial" w:eastAsia="Arial" w:hAnsi="Arial"/>
                      <w:sz w:val="20"/>
                      <w:szCs w:val="20"/>
                    </w:rPr>
                  </w:pPr>
                  <w:r w:rsidDel="00000000" w:rsidR="00000000" w:rsidRPr="00000000">
                    <w:rPr>
                      <w:rtl w:val="0"/>
                    </w:rPr>
                    <w:t xml:space="preserve">79.307</w:t>
                  </w:r>
                  <w:r w:rsidDel="00000000" w:rsidR="00000000" w:rsidRPr="00000000">
                    <w:rPr>
                      <w:rtl w:val="0"/>
                    </w:rPr>
                  </w:r>
                </w:p>
              </w:tc>
              <w:tc>
                <w:tcPr/>
                <w:p w:rsidR="00000000" w:rsidDel="00000000" w:rsidP="00000000" w:rsidRDefault="00000000" w:rsidRPr="00000000" w14:paraId="0000003B">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bl>
          <w:p w:rsidR="00000000" w:rsidDel="00000000" w:rsidP="00000000" w:rsidRDefault="00000000" w:rsidRPr="00000000" w14:paraId="0000003C">
            <w:pPr>
              <w:spacing w:after="120" w:lineRule="auto"/>
              <w:ind w:right="3"/>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3D">
            <w:pPr>
              <w:spacing w:after="120" w:lineRule="auto"/>
              <w:ind w:right="3"/>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120" w:lineRule="auto"/>
              <w:ind w:right="6"/>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3F">
            <w:pPr>
              <w:spacing w:after="120" w:lineRule="auto"/>
              <w:ind w:right="3"/>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0">
      <w:pPr>
        <w:shd w:fill="ffffff" w:val="clear"/>
        <w:spacing w:after="120" w:before="120" w:line="240" w:lineRule="auto"/>
        <w:jc w:val="both"/>
        <w:rPr/>
      </w:pPr>
      <w:r w:rsidDel="00000000" w:rsidR="00000000" w:rsidRPr="00000000">
        <w:rPr>
          <w:rtl w:val="0"/>
        </w:rPr>
      </w:r>
    </w:p>
    <w:p w:rsidR="00000000" w:rsidDel="00000000" w:rsidP="00000000" w:rsidRDefault="00000000" w:rsidRPr="00000000" w14:paraId="00000041">
      <w:pPr>
        <w:shd w:fill="ffffff" w:val="clear"/>
        <w:spacing w:after="120" w:before="120" w:line="240" w:lineRule="auto"/>
        <w:jc w:val="both"/>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p w:rsidR="00000000" w:rsidDel="00000000" w:rsidP="00000000" w:rsidRDefault="00000000" w:rsidRPr="00000000" w14:paraId="00000055">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 Off A</w:t>
    </w:r>
    <w:r w:rsidDel="00000000" w:rsidR="00000000" w:rsidRPr="00000000">
      <w:rPr>
        <w:rFonts w:ascii="Arial" w:cs="Arial" w:eastAsia="Arial" w:hAnsi="Arial"/>
        <w:sz w:val="20"/>
        <w:szCs w:val="20"/>
        <w:rtl w:val="0"/>
      </w:rPr>
      <w:t xml:space="preserve">ward letter 22/07/2022</w:t>
    </w:r>
    <w:r w:rsidDel="00000000" w:rsidR="00000000" w:rsidRPr="00000000">
      <w:rPr>
        <w:rtl w:val="0"/>
      </w:rPr>
    </w:r>
  </w:p>
  <w:p w:rsidR="00000000" w:rsidDel="00000000" w:rsidP="00000000" w:rsidRDefault="00000000" w:rsidRPr="00000000" w14:paraId="00000056">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222222"/>
        <w:sz w:val="19"/>
        <w:szCs w:val="19"/>
        <w:highlight w:val="white"/>
        <w:rtl w:val="0"/>
      </w:rPr>
      <w:t xml:space="preserve">© Crown copyright 2021</w:t>
    </w:r>
    <w:r w:rsidDel="00000000" w:rsidR="00000000" w:rsidRPr="00000000">
      <w:rPr>
        <w:rtl w:val="0"/>
      </w:rPr>
    </w:r>
  </w:p>
  <w:p w:rsidR="00000000" w:rsidDel="00000000" w:rsidP="00000000" w:rsidRDefault="00000000" w:rsidRPr="00000000" w14:paraId="00000057">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
      <w:tblW w:w="11057.0" w:type="dxa"/>
      <w:jc w:val="left"/>
      <w:tblInd w:w="-1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tc>
    </w:tr>
    <w:tr>
      <w:trPr>
        <w:cantSplit w:val="0"/>
        <w:trHeight w:val="1300"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8"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4B">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4C">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0345 010 3503</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513"/>
              <w:tab w:val="right" w:pos="9026"/>
              <w:tab w:val="left" w:pos="3091"/>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info@crowncommercial.gov.uk</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1">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rtl w:val="0"/>
              </w:rPr>
              <w:t xml:space="preserve">www.gov.uk/ccs</w:t>
            </w:r>
          </w:hyperlink>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B35E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bhgMPfw8L7WP/V2vJ1SJYzYA==">AMUW2mUvuTEDHOUvmT6B4QAbqNLB87/aMFLVNzG/o0VozoTujTjF6PdEmu3Jd7mrNTl5pnCtA+fbDL1WBG2HhUxkxdBPWX+edY8Mzapocd7f5j9bGNRoCvTPJ0EX55QvZKn1hiKp2y05ztzhmsCE8b+cTI1iV3dDQqSR7qeOZDWkd3CjA08DMpxh/d4U8n7HOLYqq8c04mPz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2021-12-14T14:38:00Z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