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8B8C" w14:textId="77777777" w:rsidR="0078209C" w:rsidRDefault="0078209C">
      <w:pPr>
        <w:keepNext/>
        <w:pBdr>
          <w:top w:val="nil"/>
          <w:left w:val="nil"/>
          <w:bottom w:val="nil"/>
          <w:right w:val="nil"/>
          <w:between w:val="nil"/>
        </w:pBdr>
        <w:ind w:left="0"/>
        <w:jc w:val="left"/>
        <w:rPr>
          <w:b/>
          <w:color w:val="000000"/>
          <w:sz w:val="32"/>
          <w:szCs w:val="32"/>
        </w:rPr>
      </w:pPr>
    </w:p>
    <w:p w14:paraId="17738B8D" w14:textId="77777777" w:rsidR="0078209C" w:rsidRDefault="00434D19">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17738B8E" w14:textId="77777777" w:rsidR="0078209C" w:rsidRDefault="00434D19">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17738B8F" w14:textId="77777777" w:rsidR="0078209C" w:rsidRDefault="00434D19">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 xml:space="preserve">In this Schedule, the following words shall have the following </w:t>
      </w:r>
      <w:proofErr w:type="gramStart"/>
      <w:r>
        <w:rPr>
          <w:color w:val="000000"/>
          <w:sz w:val="24"/>
          <w:szCs w:val="24"/>
        </w:rPr>
        <w:t>meanings</w:t>
      </w:r>
      <w:proofErr w:type="gramEnd"/>
      <w:r>
        <w:rPr>
          <w:color w:val="000000"/>
          <w:sz w:val="24"/>
          <w:szCs w:val="24"/>
        </w:rPr>
        <w:t xml:space="preserve"> and they shall supplement Joint Schedule 1 (Definitions):</w:t>
      </w:r>
    </w:p>
    <w:tbl>
      <w:tblPr>
        <w:tblStyle w:val="a"/>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78209C" w14:paraId="17738B92" w14:textId="77777777">
        <w:tc>
          <w:tcPr>
            <w:tcW w:w="3097" w:type="dxa"/>
          </w:tcPr>
          <w:p w14:paraId="17738B90" w14:textId="77777777" w:rsidR="0078209C" w:rsidRDefault="00434D19">
            <w:pPr>
              <w:pBdr>
                <w:top w:val="nil"/>
                <w:left w:val="nil"/>
                <w:bottom w:val="nil"/>
                <w:right w:val="nil"/>
                <w:between w:val="nil"/>
              </w:pBdr>
              <w:spacing w:after="120"/>
              <w:ind w:left="-108"/>
              <w:jc w:val="left"/>
              <w:rPr>
                <w:b/>
                <w:sz w:val="24"/>
                <w:szCs w:val="24"/>
              </w:rPr>
            </w:pPr>
            <w:r>
              <w:rPr>
                <w:rFonts w:ascii="Arial" w:eastAsia="Arial" w:hAnsi="Arial" w:cs="Arial"/>
                <w:b/>
                <w:sz w:val="24"/>
                <w:szCs w:val="24"/>
              </w:rPr>
              <w:t>"Accounting Reference Date"</w:t>
            </w:r>
          </w:p>
        </w:tc>
        <w:tc>
          <w:tcPr>
            <w:tcW w:w="5075" w:type="dxa"/>
          </w:tcPr>
          <w:p w14:paraId="17738B91" w14:textId="77777777" w:rsidR="0078209C" w:rsidRDefault="00434D19">
            <w:pPr>
              <w:pBdr>
                <w:top w:val="nil"/>
                <w:left w:val="nil"/>
                <w:bottom w:val="nil"/>
                <w:right w:val="nil"/>
                <w:between w:val="nil"/>
              </w:pBdr>
              <w:spacing w:before="100" w:after="200"/>
              <w:ind w:left="0"/>
              <w:jc w:val="left"/>
              <w:rPr>
                <w:color w:val="000000"/>
                <w:sz w:val="24"/>
                <w:szCs w:val="24"/>
              </w:rPr>
            </w:pPr>
            <w:r>
              <w:rPr>
                <w:rFonts w:ascii="Arial" w:eastAsia="Arial" w:hAnsi="Arial" w:cs="Arial"/>
                <w:sz w:val="24"/>
                <w:szCs w:val="24"/>
              </w:rPr>
              <w:t>means in each year the date to which the Supplier prepares its annual audited financial statements;</w:t>
            </w:r>
          </w:p>
        </w:tc>
      </w:tr>
      <w:tr w:rsidR="0078209C" w14:paraId="17738B95" w14:textId="77777777">
        <w:tc>
          <w:tcPr>
            <w:tcW w:w="3097" w:type="dxa"/>
          </w:tcPr>
          <w:p w14:paraId="17738B93" w14:textId="77777777" w:rsidR="0078209C" w:rsidRDefault="00434D19">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"BCDR Plan"</w:t>
            </w:r>
          </w:p>
        </w:tc>
        <w:tc>
          <w:tcPr>
            <w:tcW w:w="5075" w:type="dxa"/>
          </w:tcPr>
          <w:p w14:paraId="17738B94" w14:textId="77777777" w:rsidR="0078209C" w:rsidRDefault="00434D1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1.2 of this Schedule;</w:t>
            </w:r>
          </w:p>
        </w:tc>
      </w:tr>
      <w:tr w:rsidR="0078209C" w14:paraId="17738B98" w14:textId="77777777">
        <w:tc>
          <w:tcPr>
            <w:tcW w:w="3097" w:type="dxa"/>
          </w:tcPr>
          <w:p w14:paraId="17738B96" w14:textId="77777777"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w:t>
            </w:r>
          </w:p>
        </w:tc>
        <w:tc>
          <w:tcPr>
            <w:tcW w:w="5075" w:type="dxa"/>
          </w:tcPr>
          <w:p w14:paraId="17738B97" w14:textId="77777777" w:rsidR="0078209C" w:rsidRDefault="00434D19">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1" w:name="_heading=h.30j0zll" w:colFirst="0" w:colLast="0"/>
            <w:bookmarkEnd w:id="1"/>
            <w:r>
              <w:rPr>
                <w:sz w:val="24"/>
                <w:szCs w:val="24"/>
              </w:rPr>
              <w:t>the occurrence of one or more events which, either separately or cumulatively, mean that the Deliverables, or a material part thereof will be unavailable (or could reasonably be anticipated to be unavailable);</w:t>
            </w:r>
          </w:p>
        </w:tc>
      </w:tr>
      <w:tr w:rsidR="0078209C" w14:paraId="17738B9C" w14:textId="77777777">
        <w:tc>
          <w:tcPr>
            <w:tcW w:w="3097" w:type="dxa"/>
          </w:tcPr>
          <w:p w14:paraId="17738B99" w14:textId="77777777"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Deliverables"</w:t>
            </w:r>
          </w:p>
        </w:tc>
        <w:tc>
          <w:tcPr>
            <w:tcW w:w="5075" w:type="dxa"/>
          </w:tcPr>
          <w:p w14:paraId="17738B9A" w14:textId="77777777" w:rsidR="0078209C" w:rsidRDefault="00434D19">
            <w:pPr>
              <w:ind w:left="0"/>
              <w:rPr>
                <w:rFonts w:ascii="Arial" w:eastAsia="Arial" w:hAnsi="Arial" w:cs="Arial"/>
                <w:sz w:val="24"/>
                <w:szCs w:val="24"/>
              </w:rPr>
            </w:pPr>
            <w:r>
              <w:rPr>
                <w:sz w:val="24"/>
                <w:szCs w:val="24"/>
              </w:rPr>
              <w:t xml:space="preserve">the Deliverables embodied in the processes and procedures for restoring the provision of Deliverables following the occurrence of a </w:t>
            </w:r>
            <w:proofErr w:type="gramStart"/>
            <w:r>
              <w:rPr>
                <w:sz w:val="24"/>
                <w:szCs w:val="24"/>
              </w:rPr>
              <w:t>Disaster;</w:t>
            </w:r>
            <w:proofErr w:type="gramEnd"/>
          </w:p>
          <w:p w14:paraId="17738B9B" w14:textId="77777777" w:rsidR="0078209C" w:rsidRDefault="0078209C">
            <w:pPr>
              <w:ind w:firstLine="1418"/>
              <w:rPr>
                <w:rFonts w:ascii="Arial" w:eastAsia="Arial" w:hAnsi="Arial" w:cs="Arial"/>
                <w:sz w:val="24"/>
                <w:szCs w:val="24"/>
              </w:rPr>
            </w:pPr>
          </w:p>
        </w:tc>
      </w:tr>
      <w:tr w:rsidR="0078209C" w14:paraId="17738B9F" w14:textId="77777777">
        <w:tc>
          <w:tcPr>
            <w:tcW w:w="3097" w:type="dxa"/>
          </w:tcPr>
          <w:p w14:paraId="17738B9D" w14:textId="77777777"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Plan"</w:t>
            </w:r>
          </w:p>
        </w:tc>
        <w:tc>
          <w:tcPr>
            <w:tcW w:w="5075" w:type="dxa"/>
          </w:tcPr>
          <w:p w14:paraId="17738B9E" w14:textId="77777777" w:rsidR="0078209C" w:rsidRDefault="00434D19">
            <w:pPr>
              <w:pBdr>
                <w:top w:val="nil"/>
                <w:left w:val="nil"/>
                <w:bottom w:val="nil"/>
                <w:right w:val="nil"/>
                <w:between w:val="nil"/>
              </w:pBdr>
              <w:tabs>
                <w:tab w:val="left" w:pos="-9"/>
              </w:tabs>
              <w:spacing w:after="120"/>
              <w:ind w:left="0"/>
              <w:jc w:val="left"/>
              <w:rPr>
                <w:rFonts w:ascii="Arial" w:eastAsia="Arial" w:hAnsi="Arial" w:cs="Arial"/>
                <w:sz w:val="24"/>
                <w:szCs w:val="24"/>
              </w:rPr>
            </w:pPr>
            <w:r>
              <w:rPr>
                <w:sz w:val="24"/>
                <w:szCs w:val="24"/>
              </w:rPr>
              <w:t>has the meaning given to it in Paragraph 1.3.3 of this Schedule;</w:t>
            </w:r>
          </w:p>
        </w:tc>
      </w:tr>
      <w:tr w:rsidR="0078209C" w14:paraId="17738BA2" w14:textId="77777777">
        <w:tc>
          <w:tcPr>
            <w:tcW w:w="3097" w:type="dxa"/>
          </w:tcPr>
          <w:p w14:paraId="17738BA0" w14:textId="77777777"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System"</w:t>
            </w:r>
          </w:p>
        </w:tc>
        <w:tc>
          <w:tcPr>
            <w:tcW w:w="5075" w:type="dxa"/>
          </w:tcPr>
          <w:p w14:paraId="17738BA1" w14:textId="77777777" w:rsidR="0078209C" w:rsidRDefault="00434D19">
            <w:pPr>
              <w:pBdr>
                <w:top w:val="nil"/>
                <w:left w:val="nil"/>
                <w:bottom w:val="nil"/>
                <w:right w:val="nil"/>
                <w:between w:val="nil"/>
              </w:pBdr>
              <w:tabs>
                <w:tab w:val="left" w:pos="-9"/>
              </w:tabs>
              <w:spacing w:after="120"/>
              <w:ind w:left="0"/>
              <w:jc w:val="left"/>
              <w:rPr>
                <w:rFonts w:ascii="Arial" w:eastAsia="Arial" w:hAnsi="Arial" w:cs="Arial"/>
                <w:sz w:val="24"/>
                <w:szCs w:val="24"/>
              </w:rPr>
            </w:pPr>
            <w:r>
              <w:rPr>
                <w:sz w:val="24"/>
                <w:szCs w:val="24"/>
              </w:rPr>
              <w:t>the system embodied in the processes and procedures for restoring the provision of Deliverables following the occurrence of a Disaster;</w:t>
            </w:r>
          </w:p>
        </w:tc>
      </w:tr>
      <w:tr w:rsidR="0078209C" w14:paraId="17738BA5" w14:textId="77777777">
        <w:trPr>
          <w:trHeight w:val="567"/>
        </w:trPr>
        <w:tc>
          <w:tcPr>
            <w:tcW w:w="3097" w:type="dxa"/>
          </w:tcPr>
          <w:p w14:paraId="17738BA3" w14:textId="77777777"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"Related Supplier"</w:t>
            </w:r>
          </w:p>
        </w:tc>
        <w:tc>
          <w:tcPr>
            <w:tcW w:w="5075" w:type="dxa"/>
          </w:tcPr>
          <w:p w14:paraId="17738BA4" w14:textId="77777777" w:rsidR="0078209C" w:rsidRDefault="00434D19">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any person who provides Deliverables to the Buyer which are related to the Deliverables from time to time;</w:t>
            </w:r>
          </w:p>
        </w:tc>
      </w:tr>
      <w:tr w:rsidR="0078209C" w14:paraId="17738BA8" w14:textId="77777777">
        <w:trPr>
          <w:trHeight w:val="567"/>
        </w:trPr>
        <w:tc>
          <w:tcPr>
            <w:tcW w:w="3097" w:type="dxa"/>
          </w:tcPr>
          <w:p w14:paraId="17738BA6" w14:textId="77777777"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"Review Report"</w:t>
            </w:r>
          </w:p>
        </w:tc>
        <w:tc>
          <w:tcPr>
            <w:tcW w:w="5075" w:type="dxa"/>
          </w:tcPr>
          <w:p w14:paraId="17738BA7" w14:textId="77777777" w:rsidR="0078209C" w:rsidRDefault="00434D19">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has the meaning given to it in Paragraph 5.3 of this Schedule; and</w:t>
            </w:r>
          </w:p>
        </w:tc>
      </w:tr>
      <w:tr w:rsidR="0078209C" w14:paraId="17738BAB" w14:textId="77777777">
        <w:tc>
          <w:tcPr>
            <w:tcW w:w="3097" w:type="dxa"/>
          </w:tcPr>
          <w:p w14:paraId="17738BA9" w14:textId="77777777"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sz w:val="24"/>
                <w:szCs w:val="24"/>
              </w:rPr>
              <w:t>"Supplier's Proposals"</w:t>
            </w:r>
          </w:p>
        </w:tc>
        <w:tc>
          <w:tcPr>
            <w:tcW w:w="5075" w:type="dxa"/>
          </w:tcPr>
          <w:p w14:paraId="17738BAA" w14:textId="77777777" w:rsidR="0078209C" w:rsidRDefault="00434D19">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sz w:val="24"/>
                <w:szCs w:val="24"/>
              </w:rPr>
              <w:t>has the meaning given to it in Paragraph 5.3 of this Schedule</w:t>
            </w:r>
            <w:r>
              <w:rPr>
                <w:rFonts w:ascii="Arial" w:eastAsia="Arial" w:hAnsi="Arial" w:cs="Arial"/>
                <w:sz w:val="24"/>
                <w:szCs w:val="24"/>
              </w:rPr>
              <w:t>.</w:t>
            </w:r>
          </w:p>
        </w:tc>
      </w:tr>
    </w:tbl>
    <w:p w14:paraId="17738BAC" w14:textId="77777777" w:rsidR="0078209C" w:rsidRDefault="0078209C">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17738BAD" w14:textId="77777777" w:rsidR="0078209C" w:rsidRDefault="00434D19">
      <w:pPr>
        <w:ind w:firstLine="1418"/>
        <w:rPr>
          <w:rFonts w:ascii="Arial Bold" w:eastAsia="Arial Bold" w:hAnsi="Arial Bold" w:cs="Arial Bold"/>
          <w:b/>
          <w:color w:val="000000"/>
          <w:sz w:val="24"/>
          <w:szCs w:val="24"/>
        </w:rPr>
      </w:pPr>
      <w:r>
        <w:br w:type="page"/>
      </w:r>
    </w:p>
    <w:p w14:paraId="17738BAE" w14:textId="77777777" w:rsidR="0078209C" w:rsidRDefault="00434D19">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BCDR Plan</w:t>
      </w:r>
    </w:p>
    <w:p w14:paraId="17738BAF" w14:textId="77777777"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14:paraId="17738BB0"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2" w:name="_heading=h.1fob9te" w:colFirst="0" w:colLast="0"/>
      <w:bookmarkEnd w:id="2"/>
      <w:r>
        <w:rPr>
          <w:color w:val="000000"/>
          <w:sz w:val="24"/>
          <w:szCs w:val="24"/>
        </w:rPr>
        <w:t>The Buyer and the Supplier recognise that, where specified in Framework Schedule 4 (Framework Management), CCS shall have the right to enforce the Buyer's rights under this Schedule.</w:t>
      </w:r>
    </w:p>
    <w:p w14:paraId="17738BB1"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17738BB2"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14:paraId="17738BB3"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recovery of the Deliverables in the event of a Disaster. </w:t>
      </w:r>
    </w:p>
    <w:p w14:paraId="17738BB4" w14:textId="77777777"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BCDR Plan shall be divided into four sections:</w:t>
      </w:r>
    </w:p>
    <w:p w14:paraId="17738BB5"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3" w:name="_heading=h.3znysh7" w:colFirst="0" w:colLast="0"/>
      <w:bookmarkEnd w:id="3"/>
      <w:r>
        <w:rPr>
          <w:color w:val="000000"/>
          <w:sz w:val="24"/>
          <w:szCs w:val="24"/>
        </w:rPr>
        <w:t xml:space="preserve">Section 1 which shall set out general principles applicable to the BCDR </w:t>
      </w:r>
      <w:proofErr w:type="gramStart"/>
      <w:r>
        <w:rPr>
          <w:color w:val="000000"/>
          <w:sz w:val="24"/>
          <w:szCs w:val="24"/>
        </w:rPr>
        <w:t>Plan;</w:t>
      </w:r>
      <w:proofErr w:type="gramEnd"/>
      <w:r>
        <w:rPr>
          <w:color w:val="000000"/>
          <w:sz w:val="24"/>
          <w:szCs w:val="24"/>
        </w:rPr>
        <w:t xml:space="preserve"> </w:t>
      </w:r>
    </w:p>
    <w:p w14:paraId="17738BB6"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4" w:name="_heading=h.2et92p0" w:colFirst="0" w:colLast="0"/>
      <w:bookmarkEnd w:id="4"/>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17738BB7" w14:textId="77777777" w:rsidR="0078209C" w:rsidRPr="004F6A1A"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5" w:name="_heading=h.tyjcwt" w:colFirst="0" w:colLast="0"/>
      <w:bookmarkEnd w:id="5"/>
      <w:r w:rsidRPr="004F6A1A">
        <w:rPr>
          <w:color w:val="000000"/>
          <w:sz w:val="24"/>
          <w:szCs w:val="24"/>
        </w:rPr>
        <w:t xml:space="preserve">Section 3 which shall relate to disaster recovery (the </w:t>
      </w:r>
      <w:r w:rsidRPr="004F6A1A">
        <w:rPr>
          <w:b/>
          <w:color w:val="000000"/>
          <w:sz w:val="24"/>
          <w:szCs w:val="24"/>
        </w:rPr>
        <w:t>"Disaster Recovery Plan"</w:t>
      </w:r>
      <w:r w:rsidRPr="004F6A1A">
        <w:rPr>
          <w:color w:val="000000"/>
          <w:sz w:val="24"/>
          <w:szCs w:val="24"/>
        </w:rPr>
        <w:t>); [and.</w:t>
      </w:r>
    </w:p>
    <w:p w14:paraId="17738BB8" w14:textId="77777777" w:rsidR="0078209C" w:rsidRPr="004F6A1A"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sidRPr="004F6A1A">
        <w:rPr>
          <w:color w:val="000000"/>
          <w:sz w:val="24"/>
          <w:szCs w:val="24"/>
        </w:rPr>
        <w:t>Section 4 which shall relate to an Insolvency Event of the Supplier, and Key-Subcontractors and/or any Supplier Group member (the “</w:t>
      </w:r>
      <w:r w:rsidRPr="004F6A1A">
        <w:rPr>
          <w:b/>
          <w:color w:val="000000"/>
          <w:sz w:val="24"/>
          <w:szCs w:val="24"/>
        </w:rPr>
        <w:t>Insolvency Continuity Plan</w:t>
      </w:r>
      <w:r w:rsidRPr="004F6A1A">
        <w:rPr>
          <w:color w:val="000000"/>
          <w:sz w:val="24"/>
          <w:szCs w:val="24"/>
        </w:rPr>
        <w:t xml:space="preserve">”).] </w:t>
      </w:r>
    </w:p>
    <w:p w14:paraId="17738BB9"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6" w:name="_heading=h.3dy6vkm" w:colFirst="0" w:colLast="0"/>
      <w:bookmarkEnd w:id="6"/>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17738BBA" w14:textId="77777777"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7" w:name="_heading=h.1t3h5sf" w:colFirst="0" w:colLast="0"/>
      <w:bookmarkEnd w:id="7"/>
      <w:r>
        <w:rPr>
          <w:rFonts w:ascii="Arial Bold" w:eastAsia="Arial Bold" w:hAnsi="Arial Bold" w:cs="Arial Bold"/>
          <w:b/>
          <w:color w:val="000000"/>
          <w:sz w:val="24"/>
          <w:szCs w:val="24"/>
        </w:rPr>
        <w:t>General Principles of the BCDR Plan (Section 1)</w:t>
      </w:r>
    </w:p>
    <w:p w14:paraId="17738BBB" w14:textId="77777777"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bookmarkStart w:id="8" w:name="_heading=h.ihv636" w:colFirst="0" w:colLast="0"/>
      <w:bookmarkEnd w:id="8"/>
      <w:r>
        <w:rPr>
          <w:color w:val="000000"/>
          <w:sz w:val="24"/>
          <w:szCs w:val="24"/>
        </w:rPr>
        <w:t>Section 1 of the BCDR Plan shall:</w:t>
      </w:r>
    </w:p>
    <w:p w14:paraId="17738BBC"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9" w:name="_heading=h.1ci93xb" w:colFirst="0" w:colLast="0"/>
      <w:bookmarkEnd w:id="9"/>
      <w:r>
        <w:rPr>
          <w:color w:val="000000"/>
          <w:sz w:val="24"/>
          <w:szCs w:val="24"/>
        </w:rPr>
        <w:t xml:space="preserve">set out how the business continuity and disaster recovery elements of the BCDR Plan link to </w:t>
      </w:r>
      <w:proofErr w:type="gramStart"/>
      <w:r>
        <w:rPr>
          <w:color w:val="000000"/>
          <w:sz w:val="24"/>
          <w:szCs w:val="24"/>
        </w:rPr>
        <w:t>each other;</w:t>
      </w:r>
      <w:proofErr w:type="gramEnd"/>
    </w:p>
    <w:p w14:paraId="17738BBD"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provide details of how the invocation of any element of the BCDR Plan may impact upon the provision of the Deliverables and any goods and/or services provided to the Buyer by a Related </w:t>
      </w:r>
      <w:proofErr w:type="gramStart"/>
      <w:r>
        <w:rPr>
          <w:color w:val="000000"/>
          <w:sz w:val="24"/>
          <w:szCs w:val="24"/>
        </w:rPr>
        <w:t>Supplier;</w:t>
      </w:r>
      <w:proofErr w:type="gramEnd"/>
    </w:p>
    <w:p w14:paraId="17738BBE"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contain an obligation upon the Supplier to liaise with the Buyer and any Related Suppliers with respect to business continuity and disaster </w:t>
      </w:r>
      <w:proofErr w:type="gramStart"/>
      <w:r>
        <w:rPr>
          <w:color w:val="000000"/>
          <w:sz w:val="24"/>
          <w:szCs w:val="24"/>
        </w:rPr>
        <w:t>recovery;</w:t>
      </w:r>
      <w:proofErr w:type="gramEnd"/>
    </w:p>
    <w:p w14:paraId="17738BBF"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 xml:space="preserve">detail how the BCDR Plan interoperates with any overarching disaster recovery or business continuity plan of the Buyer and any of its other Related Suppliers in each case as notified to the Supplier by the Buyer from time to </w:t>
      </w:r>
      <w:proofErr w:type="gramStart"/>
      <w:r>
        <w:rPr>
          <w:color w:val="000000"/>
          <w:sz w:val="24"/>
          <w:szCs w:val="24"/>
        </w:rPr>
        <w:t>time;</w:t>
      </w:r>
      <w:proofErr w:type="gramEnd"/>
    </w:p>
    <w:p w14:paraId="17738BC0"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contain a communication strategy including details of an incident and problem management service and advice and help desk facility which can be accessed via multiple </w:t>
      </w:r>
      <w:proofErr w:type="gramStart"/>
      <w:r>
        <w:rPr>
          <w:color w:val="000000"/>
          <w:sz w:val="24"/>
          <w:szCs w:val="24"/>
        </w:rPr>
        <w:t>channels;</w:t>
      </w:r>
      <w:proofErr w:type="gramEnd"/>
    </w:p>
    <w:p w14:paraId="17738BC1" w14:textId="77777777" w:rsidR="0078209C" w:rsidRDefault="00434D19">
      <w:pPr>
        <w:keepNext/>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risk analysis, including:</w:t>
      </w:r>
    </w:p>
    <w:p w14:paraId="17738BC2" w14:textId="77777777"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failure or disruption scenarios and assessments of likely frequency of </w:t>
      </w:r>
      <w:proofErr w:type="gramStart"/>
      <w:r>
        <w:rPr>
          <w:color w:val="000000"/>
          <w:sz w:val="24"/>
          <w:szCs w:val="24"/>
        </w:rPr>
        <w:t>occurrence;</w:t>
      </w:r>
      <w:proofErr w:type="gramEnd"/>
    </w:p>
    <w:p w14:paraId="17738BC3" w14:textId="77777777"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identification of any single points of failure within the provision of Deliverables and processes for managing those </w:t>
      </w:r>
      <w:proofErr w:type="gramStart"/>
      <w:r>
        <w:rPr>
          <w:color w:val="000000"/>
          <w:sz w:val="24"/>
          <w:szCs w:val="24"/>
        </w:rPr>
        <w:t>risks;</w:t>
      </w:r>
      <w:proofErr w:type="gramEnd"/>
    </w:p>
    <w:p w14:paraId="17738BC4" w14:textId="77777777"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identification of risks arising from an Insolvency Event of the Supplier, any Key Subcontractors and/or Supplier Group </w:t>
      </w:r>
      <w:proofErr w:type="gramStart"/>
      <w:r>
        <w:rPr>
          <w:color w:val="000000"/>
          <w:sz w:val="24"/>
          <w:szCs w:val="24"/>
        </w:rPr>
        <w:t>member;</w:t>
      </w:r>
      <w:proofErr w:type="gramEnd"/>
    </w:p>
    <w:p w14:paraId="17738BC5" w14:textId="77777777"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the interaction of the provision of Deliverables with the goods and/or services provided by a Related Supplier; and</w:t>
      </w:r>
    </w:p>
    <w:p w14:paraId="17738BC6" w14:textId="77777777"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 business impact analysis of different anticipated failures or </w:t>
      </w:r>
      <w:proofErr w:type="gramStart"/>
      <w:r>
        <w:rPr>
          <w:color w:val="000000"/>
          <w:sz w:val="24"/>
          <w:szCs w:val="24"/>
        </w:rPr>
        <w:t>disruptions;</w:t>
      </w:r>
      <w:proofErr w:type="gramEnd"/>
    </w:p>
    <w:p w14:paraId="17738BC7"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provide for documentation of processes, including business processes, and </w:t>
      </w:r>
      <w:proofErr w:type="gramStart"/>
      <w:r>
        <w:rPr>
          <w:color w:val="000000"/>
          <w:sz w:val="24"/>
          <w:szCs w:val="24"/>
        </w:rPr>
        <w:t>procedures;</w:t>
      </w:r>
      <w:proofErr w:type="gramEnd"/>
    </w:p>
    <w:p w14:paraId="17738BC8"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set out key contact details for the Supplier (and any Subcontractors) and for the </w:t>
      </w:r>
      <w:proofErr w:type="gramStart"/>
      <w:r>
        <w:rPr>
          <w:color w:val="000000"/>
          <w:sz w:val="24"/>
          <w:szCs w:val="24"/>
        </w:rPr>
        <w:t>Buyer;</w:t>
      </w:r>
      <w:proofErr w:type="gramEnd"/>
    </w:p>
    <w:p w14:paraId="17738BC9"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roofErr w:type="gramStart"/>
      <w:r>
        <w:rPr>
          <w:color w:val="000000"/>
          <w:sz w:val="24"/>
          <w:szCs w:val="24"/>
        </w:rPr>
        <w:t>";</w:t>
      </w:r>
      <w:proofErr w:type="gramEnd"/>
    </w:p>
    <w:p w14:paraId="17738BCA"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set out method(s) of recovering or updating data collected (or which ought to have been collected) during a failure or disruption to minimise data </w:t>
      </w:r>
      <w:proofErr w:type="gramStart"/>
      <w:r>
        <w:rPr>
          <w:color w:val="000000"/>
          <w:sz w:val="24"/>
          <w:szCs w:val="24"/>
        </w:rPr>
        <w:t>loss;</w:t>
      </w:r>
      <w:proofErr w:type="gramEnd"/>
    </w:p>
    <w:p w14:paraId="17738BCB"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identify the responsibilities (if any) that the Buyer has agreed it will assume in the event of the invocation of the BCDR </w:t>
      </w:r>
      <w:proofErr w:type="gramStart"/>
      <w:r>
        <w:rPr>
          <w:color w:val="000000"/>
          <w:sz w:val="24"/>
          <w:szCs w:val="24"/>
        </w:rPr>
        <w:t>Plan;</w:t>
      </w:r>
      <w:proofErr w:type="gramEnd"/>
    </w:p>
    <w:p w14:paraId="17738BCC"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provide for the provision of technical assistance to key contacts at the Buyer as required by the Buyer to inform decisions in support of the Buyer’s business continuity </w:t>
      </w:r>
      <w:proofErr w:type="gramStart"/>
      <w:r>
        <w:rPr>
          <w:color w:val="000000"/>
          <w:sz w:val="24"/>
          <w:szCs w:val="24"/>
        </w:rPr>
        <w:t>plans;</w:t>
      </w:r>
      <w:proofErr w:type="gramEnd"/>
    </w:p>
    <w:p w14:paraId="17738BCD"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14:paraId="17738BCE"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0" w:name="_heading=h.32hioqz" w:colFirst="0" w:colLast="0"/>
      <w:bookmarkEnd w:id="10"/>
      <w:r>
        <w:rPr>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14:paraId="17738BCF" w14:textId="77777777"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lastRenderedPageBreak/>
        <w:t xml:space="preserve">The BCDR Plan shall be designed </w:t>
      </w:r>
      <w:proofErr w:type="gramStart"/>
      <w:r>
        <w:rPr>
          <w:color w:val="000000"/>
          <w:sz w:val="24"/>
          <w:szCs w:val="24"/>
        </w:rPr>
        <w:t>so as to</w:t>
      </w:r>
      <w:proofErr w:type="gramEnd"/>
      <w:r>
        <w:rPr>
          <w:color w:val="000000"/>
          <w:sz w:val="24"/>
          <w:szCs w:val="24"/>
        </w:rPr>
        <w:t xml:space="preserve"> ensure that:</w:t>
      </w:r>
    </w:p>
    <w:p w14:paraId="17738BD0"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Deliverables are provided in accordance with this Contract at all times during and after the invocation of the BCDR </w:t>
      </w:r>
      <w:proofErr w:type="gramStart"/>
      <w:r>
        <w:rPr>
          <w:color w:val="000000"/>
          <w:sz w:val="24"/>
          <w:szCs w:val="24"/>
        </w:rPr>
        <w:t>Plan;</w:t>
      </w:r>
      <w:proofErr w:type="gramEnd"/>
    </w:p>
    <w:p w14:paraId="17738BD1"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adverse impact of any Disaster is minimised as far as reasonably </w:t>
      </w:r>
      <w:proofErr w:type="gramStart"/>
      <w:r>
        <w:rPr>
          <w:color w:val="000000"/>
          <w:sz w:val="24"/>
          <w:szCs w:val="24"/>
        </w:rPr>
        <w:t>possible;</w:t>
      </w:r>
      <w:proofErr w:type="gramEnd"/>
      <w:r>
        <w:rPr>
          <w:color w:val="000000"/>
          <w:sz w:val="24"/>
          <w:szCs w:val="24"/>
        </w:rPr>
        <w:t xml:space="preserve"> </w:t>
      </w:r>
    </w:p>
    <w:p w14:paraId="17738BD2"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complies with the relevant provisions of ISO/IEC 27002; ISO22301/ISO22313 and all other industry standards from time to time in force; and</w:t>
      </w:r>
    </w:p>
    <w:p w14:paraId="17738BD3"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details a process for the management of disaster recovery testing.</w:t>
      </w:r>
    </w:p>
    <w:p w14:paraId="17738BD4"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17738BD5"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any relief from its obligations under the Performance Indicators (PI’s) or Service Levels, or to any increase in the Charges to the extent that a Disaster occurs </w:t>
      </w:r>
      <w:proofErr w:type="gramStart"/>
      <w:r>
        <w:rPr>
          <w:color w:val="000000"/>
          <w:sz w:val="24"/>
          <w:szCs w:val="24"/>
        </w:rPr>
        <w:t>as a consequence of</w:t>
      </w:r>
      <w:proofErr w:type="gramEnd"/>
      <w:r>
        <w:rPr>
          <w:color w:val="000000"/>
          <w:sz w:val="24"/>
          <w:szCs w:val="24"/>
        </w:rPr>
        <w:t xml:space="preserve"> any breach by the Supplier of this Contract.</w:t>
      </w:r>
    </w:p>
    <w:p w14:paraId="17738BD6" w14:textId="77777777"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14:paraId="17738BD7"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11" w:name="_heading=h.4d34og8" w:colFirst="0" w:colLast="0"/>
      <w:bookmarkEnd w:id="11"/>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17738BD8"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14:paraId="17738BD9"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steps to be taken by the Supplier upon resumption of the provision of Deliverables </w:t>
      </w:r>
      <w:proofErr w:type="gramStart"/>
      <w:r>
        <w:rPr>
          <w:color w:val="000000"/>
          <w:sz w:val="24"/>
          <w:szCs w:val="24"/>
        </w:rPr>
        <w:t>in order to</w:t>
      </w:r>
      <w:proofErr w:type="gramEnd"/>
      <w:r>
        <w:rPr>
          <w:color w:val="000000"/>
          <w:sz w:val="24"/>
          <w:szCs w:val="24"/>
        </w:rPr>
        <w:t xml:space="preserve"> address the effect of the failure or disruption.</w:t>
      </w:r>
    </w:p>
    <w:p w14:paraId="17738BDA" w14:textId="77777777"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14:paraId="17738BDB"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address the various possible levels of failures of or disruptions to the provision of </w:t>
      </w:r>
      <w:proofErr w:type="gramStart"/>
      <w:r>
        <w:rPr>
          <w:color w:val="000000"/>
          <w:sz w:val="24"/>
          <w:szCs w:val="24"/>
        </w:rPr>
        <w:t>Deliverables;</w:t>
      </w:r>
      <w:proofErr w:type="gramEnd"/>
    </w:p>
    <w:p w14:paraId="17738BDC"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2" w:name="_heading=h.2s8eyo1" w:colFirst="0" w:colLast="0"/>
      <w:bookmarkEnd w:id="12"/>
      <w:r>
        <w:rPr>
          <w:color w:val="000000"/>
          <w:sz w:val="24"/>
          <w:szCs w:val="24"/>
        </w:rPr>
        <w:t xml:space="preserve">set out the goods and/or services to be provided and the steps to be taken to remedy the different levels of failures of and disruption to the </w:t>
      </w:r>
      <w:proofErr w:type="gramStart"/>
      <w:r>
        <w:rPr>
          <w:color w:val="000000"/>
          <w:sz w:val="24"/>
          <w:szCs w:val="24"/>
        </w:rPr>
        <w:t>Deliverables;</w:t>
      </w:r>
      <w:proofErr w:type="gramEnd"/>
    </w:p>
    <w:p w14:paraId="17738BDD"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17738BDE"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the circumstances in which the Business Continuity Plan is invoked.</w:t>
      </w:r>
    </w:p>
    <w:p w14:paraId="17738BDF" w14:textId="77777777"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Disaster Recovery (Section 3)</w:t>
      </w:r>
    </w:p>
    <w:p w14:paraId="17738BE0"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13" w:name="_heading=h.17dp8vu" w:colFirst="0" w:colLast="0"/>
      <w:bookmarkEnd w:id="13"/>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7738BE1" w14:textId="77777777"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Supplier's BCDR Plan shall include an approach to business continuity and disaster recovery that addresses the following:</w:t>
      </w:r>
    </w:p>
    <w:p w14:paraId="17738BE2"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loss of access to the Buyer </w:t>
      </w:r>
      <w:proofErr w:type="gramStart"/>
      <w:r>
        <w:rPr>
          <w:color w:val="000000"/>
          <w:sz w:val="24"/>
          <w:szCs w:val="24"/>
        </w:rPr>
        <w:t>Premises;</w:t>
      </w:r>
      <w:proofErr w:type="gramEnd"/>
    </w:p>
    <w:p w14:paraId="17738BE3"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loss of utilities to the Buyer </w:t>
      </w:r>
      <w:proofErr w:type="gramStart"/>
      <w:r>
        <w:rPr>
          <w:color w:val="000000"/>
          <w:sz w:val="24"/>
          <w:szCs w:val="24"/>
        </w:rPr>
        <w:t>Premises;</w:t>
      </w:r>
      <w:proofErr w:type="gramEnd"/>
    </w:p>
    <w:p w14:paraId="17738BE4"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loss of the Supplier's helpdesk or CAFM </w:t>
      </w:r>
      <w:proofErr w:type="gramStart"/>
      <w:r>
        <w:rPr>
          <w:color w:val="000000"/>
          <w:sz w:val="24"/>
          <w:szCs w:val="24"/>
        </w:rPr>
        <w:t>system;</w:t>
      </w:r>
      <w:proofErr w:type="gramEnd"/>
    </w:p>
    <w:p w14:paraId="17738BE5"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loss of a </w:t>
      </w:r>
      <w:proofErr w:type="gramStart"/>
      <w:r>
        <w:rPr>
          <w:color w:val="000000"/>
          <w:sz w:val="24"/>
          <w:szCs w:val="24"/>
        </w:rPr>
        <w:t>Subcontractor;</w:t>
      </w:r>
      <w:proofErr w:type="gramEnd"/>
    </w:p>
    <w:p w14:paraId="17738BE6"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emergency notification and escalation </w:t>
      </w:r>
      <w:proofErr w:type="gramStart"/>
      <w:r>
        <w:rPr>
          <w:color w:val="000000"/>
          <w:sz w:val="24"/>
          <w:szCs w:val="24"/>
        </w:rPr>
        <w:t>process;</w:t>
      </w:r>
      <w:proofErr w:type="gramEnd"/>
    </w:p>
    <w:p w14:paraId="17738BE7"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contact </w:t>
      </w:r>
      <w:proofErr w:type="gramStart"/>
      <w:r>
        <w:rPr>
          <w:color w:val="000000"/>
          <w:sz w:val="24"/>
          <w:szCs w:val="24"/>
        </w:rPr>
        <w:t>lists;</w:t>
      </w:r>
      <w:proofErr w:type="gramEnd"/>
    </w:p>
    <w:p w14:paraId="17738BE8"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staff training and </w:t>
      </w:r>
      <w:proofErr w:type="gramStart"/>
      <w:r>
        <w:rPr>
          <w:color w:val="000000"/>
          <w:sz w:val="24"/>
          <w:szCs w:val="24"/>
        </w:rPr>
        <w:t>awareness;</w:t>
      </w:r>
      <w:proofErr w:type="gramEnd"/>
    </w:p>
    <w:p w14:paraId="17738BE9"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BCDR Plan </w:t>
      </w:r>
      <w:proofErr w:type="gramStart"/>
      <w:r>
        <w:rPr>
          <w:color w:val="000000"/>
          <w:sz w:val="24"/>
          <w:szCs w:val="24"/>
        </w:rPr>
        <w:t>testing;</w:t>
      </w:r>
      <w:proofErr w:type="gramEnd"/>
      <w:r>
        <w:rPr>
          <w:color w:val="000000"/>
          <w:sz w:val="24"/>
          <w:szCs w:val="24"/>
        </w:rPr>
        <w:t xml:space="preserve"> </w:t>
      </w:r>
    </w:p>
    <w:p w14:paraId="17738BEA"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w:t>
      </w:r>
      <w:proofErr w:type="gramStart"/>
      <w:r>
        <w:rPr>
          <w:color w:val="000000"/>
          <w:sz w:val="24"/>
          <w:szCs w:val="24"/>
        </w:rPr>
        <w:t>process;</w:t>
      </w:r>
      <w:proofErr w:type="gramEnd"/>
      <w:r>
        <w:rPr>
          <w:color w:val="000000"/>
          <w:sz w:val="24"/>
          <w:szCs w:val="24"/>
        </w:rPr>
        <w:t xml:space="preserve"> </w:t>
      </w:r>
    </w:p>
    <w:p w14:paraId="17738BEB"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Pr>
          <w:color w:val="000000"/>
          <w:sz w:val="24"/>
          <w:szCs w:val="24"/>
        </w:rPr>
        <w:t>Plan;</w:t>
      </w:r>
      <w:proofErr w:type="gramEnd"/>
    </w:p>
    <w:p w14:paraId="17738BEC"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details of how the Supplier shall ensure compliance with security standards ensuring that compliance is maintained for any period during which the Disaster Recovery Plan is </w:t>
      </w:r>
      <w:proofErr w:type="gramStart"/>
      <w:r>
        <w:rPr>
          <w:color w:val="000000"/>
          <w:sz w:val="24"/>
          <w:szCs w:val="24"/>
        </w:rPr>
        <w:t>invoked;</w:t>
      </w:r>
      <w:proofErr w:type="gramEnd"/>
    </w:p>
    <w:p w14:paraId="17738BED"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access controls to any disaster recovery sites used by the Supplier in relation to its obligations pursuant to this Schedule; and</w:t>
      </w:r>
    </w:p>
    <w:p w14:paraId="17738BEE"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testing and management arrangements.</w:t>
      </w:r>
    </w:p>
    <w:p w14:paraId="17738BEF" w14:textId="77777777"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14:paraId="17738BF0" w14:textId="77777777"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bookmarkStart w:id="14" w:name="_heading=h.3rdcrjn" w:colFirst="0" w:colLast="0"/>
      <w:bookmarkEnd w:id="14"/>
      <w:r>
        <w:rPr>
          <w:color w:val="000000"/>
          <w:sz w:val="24"/>
          <w:szCs w:val="24"/>
        </w:rPr>
        <w:t>The Supplier shall review the BCDR Plan:</w:t>
      </w:r>
    </w:p>
    <w:p w14:paraId="17738BF1"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5" w:name="_heading=h.26in1rg" w:colFirst="0" w:colLast="0"/>
      <w:bookmarkEnd w:id="15"/>
      <w:r>
        <w:rPr>
          <w:color w:val="000000"/>
          <w:sz w:val="24"/>
          <w:szCs w:val="24"/>
        </w:rPr>
        <w:t>on a regular basis and as a minimum once every six (6) </w:t>
      </w:r>
      <w:proofErr w:type="gramStart"/>
      <w:r>
        <w:rPr>
          <w:color w:val="000000"/>
          <w:sz w:val="24"/>
          <w:szCs w:val="24"/>
        </w:rPr>
        <w:t>Months;</w:t>
      </w:r>
      <w:proofErr w:type="gramEnd"/>
    </w:p>
    <w:p w14:paraId="17738BF2"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heading=h.lnxbz9" w:colFirst="0" w:colLast="0"/>
      <w:bookmarkEnd w:id="16"/>
      <w:r>
        <w:rPr>
          <w:color w:val="000000"/>
          <w:sz w:val="24"/>
          <w:szCs w:val="24"/>
        </w:rPr>
        <w:t>within three (3) calendar Months of the BCDR Plan (or any part) having been invoked pursuant to Paragraph 7; and</w:t>
      </w:r>
    </w:p>
    <w:p w14:paraId="17738BF3"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35nkun2" w:colFirst="0" w:colLast="0"/>
      <w:bookmarkEnd w:id="17"/>
      <w:r>
        <w:rPr>
          <w:color w:val="000000"/>
          <w:sz w:val="24"/>
          <w:szCs w:val="24"/>
        </w:rPr>
        <w:t xml:space="preserve">where the Buyer requests in writing any additional reviews (over and above those provided for in Paragraphs 5.1.1 and 5.1.2 of this Schedule) whereupon the Supplier shall conduct such reviews in accordance with the Buyer’s written requirements. Prior to starting its review, the Supplier shall provide an accurate written estimate of the </w:t>
      </w:r>
      <w:r>
        <w:rPr>
          <w:color w:val="000000"/>
          <w:sz w:val="24"/>
          <w:szCs w:val="24"/>
        </w:rPr>
        <w:lastRenderedPageBreak/>
        <w:t xml:space="preserve">total </w:t>
      </w:r>
      <w:proofErr w:type="gramStart"/>
      <w:r>
        <w:rPr>
          <w:color w:val="000000"/>
          <w:sz w:val="24"/>
          <w:szCs w:val="24"/>
        </w:rPr>
        <w:t>costs</w:t>
      </w:r>
      <w:proofErr w:type="gramEnd"/>
      <w:r>
        <w:rPr>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17738BF4"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18" w:name="_heading=h.1ksv4uv" w:colFirst="0" w:colLast="0"/>
      <w:bookmarkEnd w:id="18"/>
      <w:r>
        <w:rPr>
          <w:color w:val="000000"/>
          <w:sz w:val="24"/>
          <w:szCs w:val="24"/>
        </w:rPr>
        <w:t xml:space="preserve">Each review of the BCDR Plan pursuant to Paragraph 5.1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17738BF5"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19" w:name="_heading=h.44sinio" w:colFirst="0" w:colLast="0"/>
      <w:bookmarkEnd w:id="19"/>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17738BF6"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20" w:name="_heading=h.2jxsxqh" w:colFirst="0" w:colLast="0"/>
      <w:bookmarkEnd w:id="20"/>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17738BF7"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as soon as </w:t>
      </w:r>
      <w:proofErr w:type="gramStart"/>
      <w:r>
        <w:rPr>
          <w:color w:val="000000"/>
          <w:sz w:val="24"/>
          <w:szCs w:val="24"/>
        </w:rPr>
        <w:t>is</w:t>
      </w:r>
      <w:proofErr w:type="gramEnd"/>
      <w:r>
        <w:rPr>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7738BF8" w14:textId="77777777" w:rsidR="0078209C" w:rsidRDefault="00434D19">
      <w:pPr>
        <w:keepNext/>
        <w:numPr>
          <w:ilvl w:val="0"/>
          <w:numId w:val="2"/>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1" w:name="_heading=h.z337ya" w:colFirst="0" w:colLast="0"/>
      <w:bookmarkEnd w:id="21"/>
      <w:r>
        <w:rPr>
          <w:rFonts w:ascii="Arial Bold" w:eastAsia="Arial Bold" w:hAnsi="Arial Bold" w:cs="Arial Bold"/>
          <w:b/>
          <w:color w:val="000000"/>
          <w:sz w:val="24"/>
          <w:szCs w:val="24"/>
        </w:rPr>
        <w:t>Testing the BCDR Plan</w:t>
      </w:r>
    </w:p>
    <w:p w14:paraId="17738BF9" w14:textId="77777777"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bookmarkStart w:id="22" w:name="_heading=h.3j2qqm3" w:colFirst="0" w:colLast="0"/>
      <w:bookmarkEnd w:id="22"/>
      <w:r>
        <w:rPr>
          <w:color w:val="000000"/>
          <w:sz w:val="24"/>
          <w:szCs w:val="24"/>
        </w:rPr>
        <w:t xml:space="preserve">The Supplier shall test the BCDR Plan: </w:t>
      </w:r>
    </w:p>
    <w:p w14:paraId="17738BFA"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regularly and in any event not less than once in every Contract </w:t>
      </w:r>
      <w:proofErr w:type="gramStart"/>
      <w:r>
        <w:rPr>
          <w:color w:val="000000"/>
          <w:sz w:val="24"/>
          <w:szCs w:val="24"/>
        </w:rPr>
        <w:t>Year;</w:t>
      </w:r>
      <w:proofErr w:type="gramEnd"/>
    </w:p>
    <w:p w14:paraId="17738BFB"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14:paraId="17738BFC"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at any time where the Buyer considers it necessary (acting in its sole discretion).  </w:t>
      </w:r>
    </w:p>
    <w:p w14:paraId="17738BFD"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23" w:name="_heading=h.1y810tw" w:colFirst="0" w:colLast="0"/>
      <w:bookmarkEnd w:id="23"/>
      <w:r>
        <w:rPr>
          <w:color w:val="000000"/>
          <w:sz w:val="24"/>
          <w:szCs w:val="24"/>
        </w:rPr>
        <w:t xml:space="preserve">If the Buyer requires an additional test of the BCDR Plan, it shall give the Supplier written </w:t>
      </w:r>
      <w:proofErr w:type="gramStart"/>
      <w:r>
        <w:rPr>
          <w:color w:val="000000"/>
          <w:sz w:val="24"/>
          <w:szCs w:val="24"/>
        </w:rPr>
        <w:t>notice</w:t>
      </w:r>
      <w:proofErr w:type="gramEnd"/>
      <w:r>
        <w:rPr>
          <w:color w:val="000000"/>
          <w:sz w:val="24"/>
          <w:szCs w:val="24"/>
        </w:rPr>
        <w:t xml:space="preserv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17738BFE"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lastRenderedPageBreak/>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7738BFF"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Pr>
          <w:color w:val="000000"/>
          <w:sz w:val="24"/>
          <w:szCs w:val="24"/>
        </w:rPr>
        <w:t>so</w:t>
      </w:r>
      <w:proofErr w:type="gramEnd"/>
      <w:r>
        <w:rPr>
          <w:color w:val="000000"/>
          <w:sz w:val="24"/>
          <w:szCs w:val="24"/>
        </w:rPr>
        <w:t xml:space="preserve"> required by the Buyer) destroyed or returned to the Buyer on completion of the test.</w:t>
      </w:r>
    </w:p>
    <w:p w14:paraId="17738C00" w14:textId="77777777"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Days of the conclusion of each test, provide to the Buyer a report setting out:</w:t>
      </w:r>
    </w:p>
    <w:p w14:paraId="17738C01"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outcome of the </w:t>
      </w:r>
      <w:proofErr w:type="gramStart"/>
      <w:r>
        <w:rPr>
          <w:color w:val="000000"/>
          <w:sz w:val="24"/>
          <w:szCs w:val="24"/>
        </w:rPr>
        <w:t>test;</w:t>
      </w:r>
      <w:proofErr w:type="gramEnd"/>
    </w:p>
    <w:p w14:paraId="17738C02"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14:paraId="17738C03" w14:textId="77777777"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proposals for remedying any such failures.</w:t>
      </w:r>
    </w:p>
    <w:p w14:paraId="17738C04"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24" w:name="_heading=h.4i7ojhp" w:colFirst="0" w:colLast="0"/>
      <w:bookmarkEnd w:id="24"/>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17738C05" w14:textId="77777777" w:rsidR="0078209C" w:rsidRDefault="00434D19">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5" w:name="_heading=h.2xcytpi" w:colFirst="0" w:colLast="0"/>
      <w:bookmarkEnd w:id="25"/>
      <w:r>
        <w:rPr>
          <w:rFonts w:ascii="Arial Bold" w:eastAsia="Arial Bold" w:hAnsi="Arial Bold" w:cs="Arial Bold"/>
          <w:b/>
          <w:color w:val="000000"/>
          <w:sz w:val="24"/>
          <w:szCs w:val="24"/>
        </w:rPr>
        <w:t>Invoking the BCDR Plan</w:t>
      </w:r>
    </w:p>
    <w:p w14:paraId="17738C06"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7738C07" w14:textId="77777777" w:rsidR="0078209C" w:rsidRDefault="00434D19">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Circumstances beyond your control</w:t>
      </w:r>
    </w:p>
    <w:p w14:paraId="17738C08" w14:textId="77777777"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17738C09" w14:textId="77777777" w:rsidR="0078209C" w:rsidRDefault="0078209C">
      <w:pPr>
        <w:pBdr>
          <w:top w:val="nil"/>
          <w:left w:val="nil"/>
          <w:bottom w:val="nil"/>
          <w:right w:val="nil"/>
          <w:between w:val="nil"/>
        </w:pBdr>
        <w:spacing w:before="120" w:after="120"/>
        <w:ind w:firstLine="1418"/>
        <w:jc w:val="left"/>
        <w:rPr>
          <w:color w:val="000000"/>
          <w:sz w:val="24"/>
          <w:szCs w:val="24"/>
        </w:rPr>
      </w:pPr>
    </w:p>
    <w:p w14:paraId="17738C0A" w14:textId="77777777" w:rsidR="0078209C" w:rsidRPr="00164B70" w:rsidRDefault="00434D19">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6" w:name="_heading=h.1hmsyys" w:colFirst="0" w:colLast="0"/>
      <w:bookmarkEnd w:id="26"/>
      <w:r w:rsidRPr="00164B70">
        <w:rPr>
          <w:rFonts w:ascii="Arial Bold" w:eastAsia="Arial Bold" w:hAnsi="Arial Bold" w:cs="Arial Bold"/>
          <w:b/>
          <w:color w:val="000000"/>
          <w:sz w:val="24"/>
          <w:szCs w:val="24"/>
        </w:rPr>
        <w:t>[Insolvency Continuity Plan (Section 4)</w:t>
      </w:r>
    </w:p>
    <w:p w14:paraId="17738C0B" w14:textId="77777777" w:rsidR="0078209C" w:rsidRPr="00164B70" w:rsidRDefault="00434D19">
      <w:pPr>
        <w:numPr>
          <w:ilvl w:val="1"/>
          <w:numId w:val="2"/>
        </w:numPr>
        <w:pBdr>
          <w:top w:val="nil"/>
          <w:left w:val="nil"/>
          <w:bottom w:val="nil"/>
          <w:right w:val="nil"/>
          <w:between w:val="nil"/>
        </w:pBdr>
        <w:spacing w:before="120" w:after="120"/>
        <w:rPr>
          <w:color w:val="000000"/>
          <w:sz w:val="24"/>
          <w:szCs w:val="24"/>
        </w:rPr>
      </w:pPr>
      <w:r w:rsidRPr="00164B70">
        <w:rPr>
          <w:color w:val="000000"/>
          <w:sz w:val="24"/>
          <w:szCs w:val="24"/>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sidRPr="00164B70">
        <w:rPr>
          <w:color w:val="000000"/>
          <w:sz w:val="24"/>
          <w:szCs w:val="24"/>
        </w:rPr>
        <w:t>with,</w:t>
      </w:r>
      <w:proofErr w:type="gramEnd"/>
      <w:r w:rsidRPr="00164B70">
        <w:rPr>
          <w:color w:val="000000"/>
          <w:sz w:val="24"/>
          <w:szCs w:val="24"/>
        </w:rPr>
        <w:t xml:space="preserve"> as far as reasonably possible, minimal adverse impact.</w:t>
      </w:r>
    </w:p>
    <w:p w14:paraId="17738C0C" w14:textId="77777777" w:rsidR="0078209C" w:rsidRPr="00164B70" w:rsidRDefault="00434D19">
      <w:pPr>
        <w:numPr>
          <w:ilvl w:val="1"/>
          <w:numId w:val="2"/>
        </w:numPr>
        <w:pBdr>
          <w:top w:val="nil"/>
          <w:left w:val="nil"/>
          <w:bottom w:val="nil"/>
          <w:right w:val="nil"/>
          <w:between w:val="nil"/>
        </w:pBdr>
        <w:spacing w:before="120" w:after="120"/>
        <w:rPr>
          <w:color w:val="000000"/>
          <w:sz w:val="24"/>
          <w:szCs w:val="24"/>
        </w:rPr>
      </w:pPr>
      <w:r w:rsidRPr="00164B70">
        <w:rPr>
          <w:color w:val="000000"/>
          <w:sz w:val="24"/>
          <w:szCs w:val="24"/>
        </w:rPr>
        <w:t>The Insolvency Continuity Plan shall include the following:</w:t>
      </w:r>
    </w:p>
    <w:p w14:paraId="17738C0D" w14:textId="77777777" w:rsidR="0078209C" w:rsidRPr="00164B70"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sidRPr="00164B70">
        <w:rPr>
          <w:color w:val="000000"/>
          <w:sz w:val="24"/>
          <w:szCs w:val="24"/>
        </w:rPr>
        <w:t xml:space="preserve">communication strategies which are designed to minimise the potential disruption to the provision of the Deliverables, including key contact details in respect of the supply chain and key contact details for </w:t>
      </w:r>
      <w:r w:rsidRPr="00164B70">
        <w:rPr>
          <w:color w:val="000000"/>
          <w:sz w:val="24"/>
          <w:szCs w:val="24"/>
        </w:rPr>
        <w:lastRenderedPageBreak/>
        <w:t xml:space="preserve">operational and contract Supplier Staff, Key Subcontractor personnel and Supplier Group member </w:t>
      </w:r>
      <w:proofErr w:type="gramStart"/>
      <w:r w:rsidRPr="00164B70">
        <w:rPr>
          <w:color w:val="000000"/>
          <w:sz w:val="24"/>
          <w:szCs w:val="24"/>
        </w:rPr>
        <w:t>personnel;</w:t>
      </w:r>
      <w:proofErr w:type="gramEnd"/>
    </w:p>
    <w:p w14:paraId="17738C0E" w14:textId="77777777" w:rsidR="0078209C" w:rsidRPr="00164B70"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sidRPr="00164B70">
        <w:rPr>
          <w:color w:val="000000"/>
          <w:sz w:val="24"/>
          <w:szCs w:val="24"/>
        </w:rPr>
        <w:t xml:space="preserve">identification, explanation, assessment and an impact analysis of risks in respect of dependencies between the Supplier, Key Subcontractors and Supplier Group members where failure of those dependencies could reasonably have an adverse impact on the </w:t>
      </w:r>
      <w:proofErr w:type="gramStart"/>
      <w:r w:rsidRPr="00164B70">
        <w:rPr>
          <w:color w:val="000000"/>
          <w:sz w:val="24"/>
          <w:szCs w:val="24"/>
        </w:rPr>
        <w:t>Deliverables;</w:t>
      </w:r>
      <w:proofErr w:type="gramEnd"/>
    </w:p>
    <w:p w14:paraId="17738C0F" w14:textId="77777777" w:rsidR="0078209C" w:rsidRPr="00164B70"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sidRPr="00164B70">
        <w:rPr>
          <w:color w:val="000000"/>
          <w:sz w:val="24"/>
          <w:szCs w:val="24"/>
        </w:rPr>
        <w:t xml:space="preserve">plans to manage and mitigate identified </w:t>
      </w:r>
      <w:proofErr w:type="gramStart"/>
      <w:r w:rsidRPr="00164B70">
        <w:rPr>
          <w:color w:val="000000"/>
          <w:sz w:val="24"/>
          <w:szCs w:val="24"/>
        </w:rPr>
        <w:t>risks;</w:t>
      </w:r>
      <w:proofErr w:type="gramEnd"/>
    </w:p>
    <w:p w14:paraId="17738C10" w14:textId="77777777" w:rsidR="0078209C" w:rsidRPr="00164B70"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sidRPr="00164B70">
        <w:rPr>
          <w:color w:val="000000"/>
          <w:sz w:val="24"/>
          <w:szCs w:val="24"/>
        </w:rPr>
        <w:t xml:space="preserve">details of the roles and responsibilities of the Supplier, Key Subcontractors and/or Supplier Group members to minimise and mitigate the effects of an Insolvency Event of such persons on the </w:t>
      </w:r>
      <w:proofErr w:type="gramStart"/>
      <w:r w:rsidRPr="00164B70">
        <w:rPr>
          <w:color w:val="000000"/>
          <w:sz w:val="24"/>
          <w:szCs w:val="24"/>
        </w:rPr>
        <w:t>Deliverables;</w:t>
      </w:r>
      <w:proofErr w:type="gramEnd"/>
    </w:p>
    <w:p w14:paraId="17738C11" w14:textId="77777777" w:rsidR="0078209C" w:rsidRPr="00164B70"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sidRPr="00164B70">
        <w:rPr>
          <w:color w:val="000000"/>
          <w:sz w:val="24"/>
          <w:szCs w:val="24"/>
        </w:rPr>
        <w:t>details of the recovery team to be put in place by the Supplier (which may include representatives of the Supplier, Key Subcontractors and Supplier Group members); and</w:t>
      </w:r>
    </w:p>
    <w:p w14:paraId="17738C12" w14:textId="77777777" w:rsidR="0078209C" w:rsidRPr="00164B70"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sidRPr="00164B70">
        <w:rPr>
          <w:color w:val="000000"/>
          <w:sz w:val="24"/>
          <w:szCs w:val="24"/>
        </w:rPr>
        <w:t>sufficient detail to enable an appointed insolvency practitioner to invoke the plan in the event of an Insolvency Event of the Supplier.</w:t>
      </w:r>
    </w:p>
    <w:p w14:paraId="17738C13" w14:textId="77777777" w:rsidR="0078209C" w:rsidRPr="00164B70" w:rsidRDefault="00434D19">
      <w:pPr>
        <w:numPr>
          <w:ilvl w:val="1"/>
          <w:numId w:val="2"/>
        </w:numPr>
        <w:pBdr>
          <w:top w:val="nil"/>
          <w:left w:val="nil"/>
          <w:bottom w:val="nil"/>
          <w:right w:val="nil"/>
          <w:between w:val="nil"/>
        </w:pBdr>
        <w:tabs>
          <w:tab w:val="left" w:pos="1985"/>
          <w:tab w:val="left" w:pos="2127"/>
        </w:tabs>
        <w:spacing w:before="120" w:after="120"/>
        <w:rPr>
          <w:color w:val="000000"/>
          <w:sz w:val="24"/>
          <w:szCs w:val="24"/>
        </w:rPr>
      </w:pPr>
      <w:r w:rsidRPr="00164B70">
        <w:rPr>
          <w:color w:val="000000"/>
          <w:sz w:val="24"/>
          <w:szCs w:val="24"/>
        </w:rPr>
        <w:t>Paragraph 2.1.6(c) is amended with the addition of the words:</w:t>
      </w:r>
    </w:p>
    <w:p w14:paraId="17738C14" w14:textId="77777777" w:rsidR="0078209C" w:rsidRPr="00164B70" w:rsidRDefault="00434D19">
      <w:pPr>
        <w:pBdr>
          <w:top w:val="nil"/>
          <w:left w:val="nil"/>
          <w:bottom w:val="nil"/>
          <w:right w:val="nil"/>
          <w:between w:val="nil"/>
        </w:pBdr>
        <w:tabs>
          <w:tab w:val="left" w:pos="1985"/>
          <w:tab w:val="left" w:pos="2127"/>
        </w:tabs>
        <w:spacing w:before="120" w:after="120"/>
        <w:ind w:left="720"/>
        <w:rPr>
          <w:color w:val="000000"/>
          <w:sz w:val="24"/>
          <w:szCs w:val="24"/>
        </w:rPr>
      </w:pPr>
      <w:r w:rsidRPr="00164B70">
        <w:rPr>
          <w:color w:val="000000"/>
          <w:sz w:val="24"/>
          <w:szCs w:val="24"/>
        </w:rPr>
        <w:t>as may be more fully described in the Insolvency Continuity Plan</w:t>
      </w:r>
    </w:p>
    <w:p w14:paraId="17738C15" w14:textId="77777777" w:rsidR="0078209C" w:rsidRPr="00164B70" w:rsidRDefault="00434D19">
      <w:pPr>
        <w:numPr>
          <w:ilvl w:val="1"/>
          <w:numId w:val="2"/>
        </w:numPr>
        <w:pBdr>
          <w:top w:val="nil"/>
          <w:left w:val="nil"/>
          <w:bottom w:val="nil"/>
          <w:right w:val="nil"/>
          <w:between w:val="nil"/>
        </w:pBdr>
        <w:tabs>
          <w:tab w:val="left" w:pos="1985"/>
          <w:tab w:val="left" w:pos="2127"/>
        </w:tabs>
        <w:spacing w:before="120" w:after="120"/>
        <w:rPr>
          <w:color w:val="000000"/>
          <w:sz w:val="24"/>
          <w:szCs w:val="24"/>
        </w:rPr>
      </w:pPr>
      <w:r w:rsidRPr="00164B70">
        <w:rPr>
          <w:color w:val="000000"/>
          <w:sz w:val="24"/>
          <w:szCs w:val="24"/>
        </w:rPr>
        <w:t>Add new paragraph 2.1.15:</w:t>
      </w:r>
    </w:p>
    <w:p w14:paraId="17738C16" w14:textId="77777777" w:rsidR="0078209C" w:rsidRPr="00164B70" w:rsidRDefault="00434D19">
      <w:pPr>
        <w:numPr>
          <w:ilvl w:val="2"/>
          <w:numId w:val="3"/>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sidRPr="00164B70">
        <w:rPr>
          <w:rFonts w:eastAsia="Arial"/>
          <w:color w:val="000000"/>
          <w:sz w:val="24"/>
          <w:szCs w:val="24"/>
        </w:rPr>
        <w:t xml:space="preserve"> set out how the business continuity and disaster recovery elements of the BCDR Plan link to the Insolvency Continuity Plan, and how the Insolvency Continuity Plan links to the business continuity and disaster recovery elements of the BCDR </w:t>
      </w:r>
      <w:proofErr w:type="gramStart"/>
      <w:r w:rsidRPr="00164B70">
        <w:rPr>
          <w:rFonts w:eastAsia="Arial"/>
          <w:color w:val="000000"/>
          <w:sz w:val="24"/>
          <w:szCs w:val="24"/>
        </w:rPr>
        <w:t>Plan;</w:t>
      </w:r>
      <w:proofErr w:type="gramEnd"/>
    </w:p>
    <w:p w14:paraId="17738C17" w14:textId="77777777" w:rsidR="0078209C" w:rsidRPr="00164B70" w:rsidRDefault="00434D19">
      <w:pPr>
        <w:numPr>
          <w:ilvl w:val="1"/>
          <w:numId w:val="2"/>
        </w:numPr>
        <w:pBdr>
          <w:top w:val="nil"/>
          <w:left w:val="nil"/>
          <w:bottom w:val="nil"/>
          <w:right w:val="nil"/>
          <w:between w:val="nil"/>
        </w:pBdr>
        <w:tabs>
          <w:tab w:val="left" w:pos="1985"/>
          <w:tab w:val="left" w:pos="2127"/>
        </w:tabs>
        <w:spacing w:before="120" w:after="120"/>
        <w:rPr>
          <w:color w:val="000000"/>
          <w:sz w:val="24"/>
          <w:szCs w:val="24"/>
        </w:rPr>
      </w:pPr>
      <w:r w:rsidRPr="00164B70">
        <w:rPr>
          <w:color w:val="000000"/>
          <w:sz w:val="24"/>
          <w:szCs w:val="24"/>
        </w:rPr>
        <w:t>Add new paragraph 7.2:</w:t>
      </w:r>
    </w:p>
    <w:p w14:paraId="17738C18" w14:textId="77777777" w:rsidR="0078209C" w:rsidRPr="00164B70" w:rsidRDefault="00434D19">
      <w:pPr>
        <w:numPr>
          <w:ilvl w:val="1"/>
          <w:numId w:val="4"/>
        </w:numPr>
        <w:pBdr>
          <w:top w:val="nil"/>
          <w:left w:val="nil"/>
          <w:bottom w:val="nil"/>
          <w:right w:val="nil"/>
          <w:between w:val="nil"/>
        </w:pBdr>
        <w:spacing w:before="120" w:after="120"/>
        <w:jc w:val="left"/>
        <w:rPr>
          <w:rFonts w:eastAsia="Arial"/>
          <w:color w:val="000000"/>
          <w:sz w:val="24"/>
          <w:szCs w:val="24"/>
        </w:rPr>
      </w:pPr>
      <w:r w:rsidRPr="00164B70">
        <w:rPr>
          <w:rFonts w:eastAsia="Arial"/>
          <w:color w:val="000000"/>
          <w:sz w:val="24"/>
          <w:szCs w:val="24"/>
        </w:rPr>
        <w:t xml:space="preserve"> The Insolvency Continuity Plan element of the BCDR Plan, including any linked elements in other parts of the BCDR Plan, shall be invoked by the Supplier:</w:t>
      </w:r>
    </w:p>
    <w:p w14:paraId="17738C19" w14:textId="77777777" w:rsidR="0078209C" w:rsidRPr="00164B70" w:rsidRDefault="00434D19">
      <w:pPr>
        <w:numPr>
          <w:ilvl w:val="2"/>
          <w:numId w:val="4"/>
        </w:numPr>
        <w:pBdr>
          <w:top w:val="nil"/>
          <w:left w:val="nil"/>
          <w:bottom w:val="nil"/>
          <w:right w:val="nil"/>
          <w:between w:val="nil"/>
        </w:pBdr>
        <w:tabs>
          <w:tab w:val="left" w:pos="1985"/>
          <w:tab w:val="left" w:pos="2127"/>
        </w:tabs>
        <w:spacing w:before="120" w:after="120"/>
        <w:ind w:left="1985" w:hanging="851"/>
        <w:jc w:val="left"/>
        <w:rPr>
          <w:color w:val="000000"/>
          <w:sz w:val="24"/>
          <w:szCs w:val="24"/>
        </w:rPr>
      </w:pPr>
      <w:r w:rsidRPr="00164B70">
        <w:rPr>
          <w:color w:val="000000"/>
          <w:sz w:val="24"/>
          <w:szCs w:val="24"/>
        </w:rPr>
        <w:t>where an Insolvency Event of a Key Sub-contractor and/or Supplier Group member (other than the Supplier) could reasonably be expected to adversely affect delivery of the Deliverables; and/or</w:t>
      </w:r>
    </w:p>
    <w:p w14:paraId="17738C1A" w14:textId="77777777" w:rsidR="0078209C" w:rsidRPr="00164B70" w:rsidRDefault="00434D19">
      <w:pPr>
        <w:numPr>
          <w:ilvl w:val="2"/>
          <w:numId w:val="4"/>
        </w:numPr>
        <w:pBdr>
          <w:top w:val="nil"/>
          <w:left w:val="nil"/>
          <w:bottom w:val="nil"/>
          <w:right w:val="nil"/>
          <w:between w:val="nil"/>
        </w:pBdr>
        <w:tabs>
          <w:tab w:val="left" w:pos="1985"/>
          <w:tab w:val="left" w:pos="2127"/>
        </w:tabs>
        <w:spacing w:before="120" w:after="120"/>
        <w:ind w:left="1985" w:hanging="851"/>
        <w:jc w:val="left"/>
        <w:rPr>
          <w:color w:val="000000"/>
          <w:sz w:val="24"/>
          <w:szCs w:val="24"/>
        </w:rPr>
      </w:pPr>
      <w:r w:rsidRPr="00164B70">
        <w:rPr>
          <w:color w:val="000000"/>
          <w:sz w:val="24"/>
          <w:szCs w:val="24"/>
        </w:rPr>
        <w:t xml:space="preserve">where there is an Insolvency Event of the </w:t>
      </w:r>
      <w:proofErr w:type="gramStart"/>
      <w:r w:rsidRPr="00164B70">
        <w:rPr>
          <w:color w:val="000000"/>
          <w:sz w:val="24"/>
          <w:szCs w:val="24"/>
        </w:rPr>
        <w:t>Supplier</w:t>
      </w:r>
      <w:proofErr w:type="gramEnd"/>
      <w:r w:rsidRPr="00164B70">
        <w:rPr>
          <w:color w:val="000000"/>
          <w:sz w:val="24"/>
          <w:szCs w:val="24"/>
        </w:rPr>
        <w:t xml:space="preserve"> and the insolvency arrangements enable the Supplier to invoke the plan.</w:t>
      </w:r>
    </w:p>
    <w:p w14:paraId="17738C1B" w14:textId="77777777" w:rsidR="0078209C" w:rsidRDefault="0078209C">
      <w:pPr>
        <w:pBdr>
          <w:top w:val="nil"/>
          <w:left w:val="nil"/>
          <w:bottom w:val="nil"/>
          <w:right w:val="nil"/>
          <w:between w:val="nil"/>
        </w:pBdr>
        <w:tabs>
          <w:tab w:val="left" w:pos="1985"/>
          <w:tab w:val="left" w:pos="2127"/>
        </w:tabs>
        <w:spacing w:before="120" w:after="120"/>
        <w:ind w:left="720"/>
        <w:rPr>
          <w:color w:val="000000"/>
          <w:sz w:val="24"/>
          <w:szCs w:val="24"/>
          <w:highlight w:val="yellow"/>
        </w:rPr>
      </w:pPr>
    </w:p>
    <w:p w14:paraId="17738C1C" w14:textId="77777777" w:rsidR="0078209C" w:rsidRDefault="0078209C">
      <w:pPr>
        <w:pBdr>
          <w:top w:val="nil"/>
          <w:left w:val="nil"/>
          <w:bottom w:val="nil"/>
          <w:right w:val="nil"/>
          <w:between w:val="nil"/>
        </w:pBdr>
        <w:spacing w:before="120" w:after="120"/>
        <w:ind w:firstLine="1418"/>
        <w:jc w:val="left"/>
        <w:rPr>
          <w:color w:val="000000"/>
          <w:sz w:val="24"/>
          <w:szCs w:val="24"/>
        </w:rPr>
      </w:pPr>
    </w:p>
    <w:p w14:paraId="17738C1D" w14:textId="77777777" w:rsidR="0078209C" w:rsidRDefault="00434D19">
      <w:pPr>
        <w:pBdr>
          <w:top w:val="nil"/>
          <w:left w:val="nil"/>
          <w:bottom w:val="nil"/>
          <w:right w:val="nil"/>
          <w:between w:val="nil"/>
        </w:pBdr>
        <w:spacing w:before="120" w:after="120"/>
        <w:ind w:left="1440"/>
        <w:jc w:val="left"/>
        <w:rPr>
          <w:color w:val="000000"/>
          <w:sz w:val="24"/>
          <w:szCs w:val="24"/>
        </w:rPr>
      </w:pPr>
      <w:r>
        <w:rPr>
          <w:color w:val="000000"/>
          <w:sz w:val="24"/>
          <w:szCs w:val="24"/>
        </w:rPr>
        <w:t>.</w:t>
      </w:r>
    </w:p>
    <w:p w14:paraId="17738C1E" w14:textId="77777777" w:rsidR="0078209C" w:rsidRDefault="0078209C">
      <w:pPr>
        <w:pBdr>
          <w:top w:val="nil"/>
          <w:left w:val="nil"/>
          <w:bottom w:val="nil"/>
          <w:right w:val="nil"/>
          <w:between w:val="nil"/>
        </w:pBdr>
        <w:spacing w:before="120" w:after="120"/>
        <w:ind w:left="0"/>
        <w:jc w:val="left"/>
        <w:rPr>
          <w:color w:val="000000"/>
          <w:sz w:val="24"/>
          <w:szCs w:val="24"/>
        </w:rPr>
      </w:pPr>
      <w:bookmarkStart w:id="27" w:name="_heading=h.23ckvvd" w:colFirst="0" w:colLast="0"/>
      <w:bookmarkEnd w:id="27"/>
    </w:p>
    <w:sectPr w:rsidR="007820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8C21" w14:textId="77777777" w:rsidR="00434D19" w:rsidRDefault="00434D19">
      <w:pPr>
        <w:spacing w:after="0"/>
      </w:pPr>
      <w:r>
        <w:separator/>
      </w:r>
    </w:p>
  </w:endnote>
  <w:endnote w:type="continuationSeparator" w:id="0">
    <w:p w14:paraId="17738C22" w14:textId="77777777" w:rsidR="00434D19" w:rsidRDefault="00434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8C28" w14:textId="77777777" w:rsidR="0078209C" w:rsidRDefault="0078209C">
    <w:pPr>
      <w:pBdr>
        <w:top w:val="nil"/>
        <w:left w:val="nil"/>
        <w:bottom w:val="nil"/>
        <w:right w:val="nil"/>
        <w:between w:val="nil"/>
      </w:pBdr>
      <w:tabs>
        <w:tab w:val="center" w:pos="4513"/>
        <w:tab w:val="right" w:pos="9026"/>
      </w:tabs>
      <w:spacing w:after="0"/>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8C29" w14:textId="77777777" w:rsidR="0078209C" w:rsidRDefault="0078209C">
    <w:pPr>
      <w:tabs>
        <w:tab w:val="center" w:pos="4513"/>
        <w:tab w:val="right" w:pos="9026"/>
      </w:tabs>
      <w:spacing w:after="0"/>
      <w:ind w:left="0"/>
      <w:rPr>
        <w:rFonts w:ascii="Calibri" w:eastAsia="Calibri" w:hAnsi="Calibri" w:cs="Calibri"/>
        <w:color w:val="A6A6A6"/>
      </w:rPr>
    </w:pPr>
  </w:p>
  <w:p w14:paraId="17738C2A" w14:textId="77777777"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RM6299</w:t>
    </w:r>
  </w:p>
  <w:p w14:paraId="17738C2B" w14:textId="77777777"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E42AEF">
      <w:rPr>
        <w:noProof/>
        <w:color w:val="000000"/>
        <w:sz w:val="20"/>
        <w:szCs w:val="20"/>
      </w:rPr>
      <w:t>1</w:t>
    </w:r>
    <w:r>
      <w:rPr>
        <w:color w:val="000000"/>
        <w:sz w:val="20"/>
        <w:szCs w:val="20"/>
      </w:rPr>
      <w:fldChar w:fldCharType="end"/>
    </w:r>
  </w:p>
  <w:p w14:paraId="17738C2C" w14:textId="77777777" w:rsidR="0078209C" w:rsidRDefault="00434D19">
    <w:pPr>
      <w:pBdr>
        <w:top w:val="nil"/>
        <w:left w:val="nil"/>
        <w:bottom w:val="nil"/>
        <w:right w:val="nil"/>
        <w:between w:val="nil"/>
      </w:pBdr>
      <w:tabs>
        <w:tab w:val="left" w:pos="3488"/>
      </w:tabs>
      <w:spacing w:after="0"/>
      <w:ind w:left="0"/>
      <w:rPr>
        <w:color w:val="A6A6A6"/>
        <w:sz w:val="20"/>
        <w:szCs w:val="20"/>
      </w:rPr>
    </w:pPr>
    <w:bookmarkStart w:id="28" w:name="_heading=h.41mghml" w:colFirst="0" w:colLast="0"/>
    <w:bookmarkEnd w:id="28"/>
    <w:r>
      <w:rPr>
        <w:color w:val="000000"/>
        <w:sz w:val="20"/>
        <w:szCs w:val="20"/>
      </w:rPr>
      <w:t>Model Version: v3.</w:t>
    </w:r>
    <w:r>
      <w:rPr>
        <w:sz w:val="20"/>
        <w:szCs w:val="20"/>
      </w:rPr>
      <w:t>5</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8C2E" w14:textId="77777777"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17738C2F" w14:textId="77777777"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17738C30" w14:textId="77777777"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8C1F" w14:textId="77777777" w:rsidR="00434D19" w:rsidRDefault="00434D19">
      <w:pPr>
        <w:spacing w:after="0"/>
      </w:pPr>
      <w:r>
        <w:separator/>
      </w:r>
    </w:p>
  </w:footnote>
  <w:footnote w:type="continuationSeparator" w:id="0">
    <w:p w14:paraId="17738C20" w14:textId="77777777" w:rsidR="00434D19" w:rsidRDefault="00434D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8C23" w14:textId="77777777" w:rsidR="0078209C" w:rsidRDefault="0078209C">
    <w:pPr>
      <w:pBdr>
        <w:top w:val="nil"/>
        <w:left w:val="nil"/>
        <w:bottom w:val="nil"/>
        <w:right w:val="nil"/>
        <w:between w:val="nil"/>
      </w:pBdr>
      <w:tabs>
        <w:tab w:val="center" w:pos="4513"/>
        <w:tab w:val="right" w:pos="9026"/>
      </w:tabs>
      <w:spacing w:after="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8C24" w14:textId="77777777" w:rsidR="0078209C" w:rsidRDefault="00434D19">
    <w:pPr>
      <w:tabs>
        <w:tab w:val="center" w:pos="4513"/>
        <w:tab w:val="right" w:pos="9026"/>
      </w:tabs>
      <w:spacing w:after="0"/>
      <w:ind w:left="0"/>
      <w:jc w:val="left"/>
      <w:rPr>
        <w:sz w:val="20"/>
        <w:szCs w:val="20"/>
      </w:rPr>
    </w:pPr>
    <w:r>
      <w:rPr>
        <w:b/>
        <w:sz w:val="20"/>
        <w:szCs w:val="20"/>
      </w:rPr>
      <w:t>Call-Off Schedule 8 (Business Continuity and Disaster Recovery)</w:t>
    </w:r>
  </w:p>
  <w:p w14:paraId="17738C25" w14:textId="77777777" w:rsidR="0078209C" w:rsidRDefault="00434D19">
    <w:pPr>
      <w:tabs>
        <w:tab w:val="center" w:pos="4513"/>
        <w:tab w:val="right" w:pos="9026"/>
      </w:tabs>
      <w:spacing w:after="0"/>
      <w:ind w:left="0"/>
      <w:jc w:val="left"/>
      <w:rPr>
        <w:sz w:val="20"/>
        <w:szCs w:val="20"/>
      </w:rPr>
    </w:pPr>
    <w:r>
      <w:rPr>
        <w:sz w:val="20"/>
        <w:szCs w:val="20"/>
      </w:rPr>
      <w:t>Call-Off Ref:</w:t>
    </w:r>
  </w:p>
  <w:p w14:paraId="17738C26" w14:textId="77777777" w:rsidR="0078209C" w:rsidRDefault="00434D19">
    <w:pPr>
      <w:tabs>
        <w:tab w:val="center" w:pos="4513"/>
        <w:tab w:val="right" w:pos="9026"/>
      </w:tabs>
      <w:spacing w:after="0"/>
      <w:ind w:left="0"/>
      <w:jc w:val="left"/>
      <w:rPr>
        <w:sz w:val="20"/>
        <w:szCs w:val="20"/>
      </w:rPr>
    </w:pPr>
    <w:r>
      <w:rPr>
        <w:sz w:val="20"/>
        <w:szCs w:val="20"/>
      </w:rPr>
      <w:t>Crown Copyright 2023</w:t>
    </w:r>
  </w:p>
  <w:p w14:paraId="17738C27" w14:textId="77777777" w:rsidR="0078209C" w:rsidRDefault="0078209C">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8C2D" w14:textId="77777777" w:rsidR="0078209C" w:rsidRDefault="0078209C">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A96"/>
    <w:multiLevelType w:val="multilevel"/>
    <w:tmpl w:val="BA84E2B2"/>
    <w:lvl w:ilvl="0">
      <w:start w:val="1"/>
      <w:numFmt w:val="decimal"/>
      <w:pStyle w:val="ScheduleText1"/>
      <w:lvlText w:val="%1."/>
      <w:lvlJc w:val="left"/>
      <w:pPr>
        <w:tabs>
          <w:tab w:val="num" w:pos="720"/>
        </w:tabs>
        <w:ind w:left="720" w:hanging="720"/>
      </w:pPr>
    </w:lvl>
    <w:lvl w:ilvl="1">
      <w:start w:val="1"/>
      <w:numFmt w:val="decimal"/>
      <w:pStyle w:val="ScheduleText2"/>
      <w:lvlText w:val="%2."/>
      <w:lvlJc w:val="left"/>
      <w:pPr>
        <w:tabs>
          <w:tab w:val="num" w:pos="1440"/>
        </w:tabs>
        <w:ind w:left="1440" w:hanging="720"/>
      </w:pPr>
    </w:lvl>
    <w:lvl w:ilvl="2">
      <w:start w:val="1"/>
      <w:numFmt w:val="decimal"/>
      <w:pStyle w:val="ScheduleText3"/>
      <w:lvlText w:val="%3."/>
      <w:lvlJc w:val="left"/>
      <w:pPr>
        <w:tabs>
          <w:tab w:val="num" w:pos="2160"/>
        </w:tabs>
        <w:ind w:left="2160" w:hanging="720"/>
      </w:pPr>
    </w:lvl>
    <w:lvl w:ilvl="3">
      <w:start w:val="1"/>
      <w:numFmt w:val="decimal"/>
      <w:pStyle w:val="ScheduleText4"/>
      <w:lvlText w:val="%4."/>
      <w:lvlJc w:val="left"/>
      <w:pPr>
        <w:tabs>
          <w:tab w:val="num" w:pos="2880"/>
        </w:tabs>
        <w:ind w:left="2880" w:hanging="720"/>
      </w:pPr>
    </w:lvl>
    <w:lvl w:ilvl="4">
      <w:start w:val="1"/>
      <w:numFmt w:val="decimal"/>
      <w:pStyle w:val="ScheduleText5"/>
      <w:lvlText w:val="%5."/>
      <w:lvlJc w:val="left"/>
      <w:pPr>
        <w:tabs>
          <w:tab w:val="num" w:pos="3600"/>
        </w:tabs>
        <w:ind w:left="3600" w:hanging="720"/>
      </w:pPr>
    </w:lvl>
    <w:lvl w:ilvl="5">
      <w:start w:val="1"/>
      <w:numFmt w:val="decimal"/>
      <w:pStyle w:val="ScheduleText6"/>
      <w:lvlText w:val="%6."/>
      <w:lvlJc w:val="left"/>
      <w:pPr>
        <w:tabs>
          <w:tab w:val="num" w:pos="4320"/>
        </w:tabs>
        <w:ind w:left="4320" w:hanging="720"/>
      </w:pPr>
    </w:lvl>
    <w:lvl w:ilvl="6">
      <w:start w:val="1"/>
      <w:numFmt w:val="decimal"/>
      <w:pStyle w:val="ScheduleText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CB0DD7"/>
    <w:multiLevelType w:val="multilevel"/>
    <w:tmpl w:val="49CC95BE"/>
    <w:lvl w:ilvl="0">
      <w:start w:val="7"/>
      <w:numFmt w:val="decimal"/>
      <w:pStyle w:val="GPSL1CLAUSEHEADING"/>
      <w:lvlText w:val="%1"/>
      <w:lvlJc w:val="left"/>
      <w:pPr>
        <w:ind w:left="360" w:hanging="360"/>
      </w:pPr>
    </w:lvl>
    <w:lvl w:ilvl="1">
      <w:start w:val="2"/>
      <w:numFmt w:val="decimal"/>
      <w:pStyle w:val="GPSL2numberedclause"/>
      <w:lvlText w:val="%1.%2"/>
      <w:lvlJc w:val="left"/>
      <w:pPr>
        <w:ind w:left="1080" w:hanging="36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3240" w:hanging="1080"/>
      </w:pPr>
    </w:lvl>
    <w:lvl w:ilvl="4">
      <w:start w:val="1"/>
      <w:numFmt w:val="decimal"/>
      <w:pStyle w:val="GPSL5numberedclause"/>
      <w:lvlText w:val="%1.%2.%3.%4.%5"/>
      <w:lvlJc w:val="left"/>
      <w:pPr>
        <w:ind w:left="3960" w:hanging="1080"/>
      </w:pPr>
    </w:lvl>
    <w:lvl w:ilvl="5">
      <w:start w:val="1"/>
      <w:numFmt w:val="decimal"/>
      <w:pStyle w:val="GPSL6numbered"/>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393A29F3"/>
    <w:multiLevelType w:val="multilevel"/>
    <w:tmpl w:val="F01609C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5BBD2DB3"/>
    <w:multiLevelType w:val="multilevel"/>
    <w:tmpl w:val="AC862E26"/>
    <w:lvl w:ilvl="0">
      <w:start w:val="1"/>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65BA4B0B"/>
    <w:multiLevelType w:val="multilevel"/>
    <w:tmpl w:val="31B07398"/>
    <w:lvl w:ilvl="0">
      <w:start w:val="2"/>
      <w:numFmt w:val="decimal"/>
      <w:lvlText w:val="%1"/>
      <w:lvlJc w:val="left"/>
      <w:pPr>
        <w:ind w:left="660" w:hanging="660"/>
      </w:pPr>
    </w:lvl>
    <w:lvl w:ilvl="1">
      <w:start w:val="1"/>
      <w:numFmt w:val="decimal"/>
      <w:lvlText w:val="%1.%2"/>
      <w:lvlJc w:val="left"/>
      <w:pPr>
        <w:ind w:left="1380" w:hanging="660"/>
      </w:pPr>
    </w:lvl>
    <w:lvl w:ilvl="2">
      <w:start w:val="1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16cid:durableId="2001540279">
    <w:abstractNumId w:val="2"/>
  </w:num>
  <w:num w:numId="2" w16cid:durableId="1227834637">
    <w:abstractNumId w:val="3"/>
  </w:num>
  <w:num w:numId="3" w16cid:durableId="604650873">
    <w:abstractNumId w:val="4"/>
  </w:num>
  <w:num w:numId="4" w16cid:durableId="1344556544">
    <w:abstractNumId w:val="1"/>
  </w:num>
  <w:num w:numId="5" w16cid:durableId="254827902">
    <w:abstractNumId w:val="0"/>
  </w:num>
  <w:num w:numId="6" w16cid:durableId="1155338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62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9C"/>
    <w:rsid w:val="00164B70"/>
    <w:rsid w:val="00434D19"/>
    <w:rsid w:val="004B55FA"/>
    <w:rsid w:val="004F6A1A"/>
    <w:rsid w:val="005D1923"/>
    <w:rsid w:val="0078209C"/>
    <w:rsid w:val="0098552B"/>
    <w:rsid w:val="00E42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8B8C"/>
  <w15:docId w15:val="{007C5C62-6FA7-4035-BE82-A376FC6E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rsid w:val="0052154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2154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154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154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154C"/>
    <w:pPr>
      <w:keepNext/>
      <w:keepLines/>
      <w:spacing w:before="220" w:after="40"/>
      <w:outlineLvl w:val="4"/>
    </w:pPr>
    <w:rPr>
      <w:b/>
    </w:rPr>
  </w:style>
  <w:style w:type="paragraph" w:styleId="Heading6">
    <w:name w:val="heading 6"/>
    <w:basedOn w:val="Normal"/>
    <w:next w:val="Normal"/>
    <w:uiPriority w:val="9"/>
    <w:semiHidden/>
    <w:unhideWhenUsed/>
    <w:qFormat/>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5"/>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5"/>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tabs>
        <w:tab w:val="num" w:pos="720"/>
      </w:tabs>
      <w:overflowPunct/>
      <w:autoSpaceDE/>
      <w:autoSpaceDN/>
      <w:adjustRightInd/>
      <w:spacing w:before="100" w:after="200"/>
      <w:ind w:left="720" w:hanging="720"/>
      <w:jc w:val="left"/>
      <w:textAlignment w:val="auto"/>
    </w:pPr>
    <w:rPr>
      <w:rFonts w:cs="Times New Roman"/>
      <w:sz w:val="24"/>
      <w:szCs w:val="24"/>
    </w:rPr>
  </w:style>
  <w:style w:type="paragraph" w:customStyle="1" w:styleId="BulletsLevel1">
    <w:name w:val="Bullets Level 1"/>
    <w:basedOn w:val="Normal"/>
    <w:rsid w:val="009009FB"/>
    <w:pPr>
      <w:tabs>
        <w:tab w:val="num" w:pos="1440"/>
        <w:tab w:val="left" w:pos="1797"/>
      </w:tabs>
      <w:overflowPunct/>
      <w:autoSpaceDE/>
      <w:autoSpaceDN/>
      <w:adjustRightInd/>
      <w:spacing w:before="100" w:after="200"/>
      <w:ind w:left="1440" w:hanging="72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 w:val="num" w:pos="1440"/>
      </w:tabs>
      <w:ind w:left="1440" w:hanging="720"/>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tabs>
        <w:tab w:val="num" w:pos="2880"/>
      </w:tabs>
      <w:ind w:left="2880" w:hanging="720"/>
    </w:pPr>
  </w:style>
  <w:style w:type="paragraph" w:customStyle="1" w:styleId="AppendixText5">
    <w:name w:val="Appendix Text 5"/>
    <w:basedOn w:val="Normal"/>
    <w:rsid w:val="00666034"/>
    <w:pPr>
      <w:tabs>
        <w:tab w:val="num" w:pos="3600"/>
      </w:tabs>
      <w:ind w:left="3600" w:hanging="720"/>
    </w:pPr>
  </w:style>
  <w:style w:type="table" w:customStyle="1" w:styleId="2">
    <w:name w:val="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If7PNf+Rq0TSm+06NUVy8iNGw==">CgMxLjAyCGguZ2pkZ3hzMgloLjMwajB6bGwyCWguMWZvYjl0ZTIJaC4zem55c2g3MgloLjJldDkycDAyCGgudHlqY3d0MgloLjNkeTZ2a20yCWguMXQzaDVzZjIIaC5paHY2MzYyCWguMWNpOTN4YjIJaC4zMmhpb3F6MgloLjRkMzRvZzgyCWguMnM4ZXlvMTIJaC4xN2RwOHZ1MgloLjNyZGNyam4yCWguMjZpbjFyZzIIaC5sbnhiejkyCWguMzVua3VuMjIJaC4xa3N2NHV2MgloLjQ0c2luaW8yCWguMmp4c3hxaDIIaC56MzM3eWEyCWguM2oycXFtMzIJaC4xeTgxMHR3MgloLjRpN29qaHAyCWguMnhjeXRwaTIJaC4xaG1zeXlzMgloLjIzY2t2dmQyCWguNDFtZ2htbDgAciExTGttVVBZbDh0MXF3Nk11MExaQ0c2UHg1LUJNUzRMLV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Props1.xml><?xml version="1.0" encoding="utf-8"?>
<ds:datastoreItem xmlns:ds="http://schemas.openxmlformats.org/officeDocument/2006/customXml" ds:itemID="{7A99BC29-728C-475C-9DBA-358FF6E7748C}">
  <ds:schemaRefs>
    <ds:schemaRef ds:uri="http://schemas.microsoft.com/sharepoint/v3/contenttype/forms"/>
  </ds:schemaRefs>
</ds:datastoreItem>
</file>

<file path=customXml/itemProps2.xml><?xml version="1.0" encoding="utf-8"?>
<ds:datastoreItem xmlns:ds="http://schemas.openxmlformats.org/officeDocument/2006/customXml" ds:itemID="{6E9D9139-A4B5-4237-A6E5-70161184D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87E2227-7FD0-4F3B-B4B8-8BCC7FE85D7B}">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Bhandal, Jagdeep</cp:lastModifiedBy>
  <cp:revision>2</cp:revision>
  <dcterms:created xsi:type="dcterms:W3CDTF">2025-03-25T12:26:00Z</dcterms:created>
  <dcterms:modified xsi:type="dcterms:W3CDTF">2025-03-25T12:26:00Z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0x01010074F7FB5EB866E44EA3B8C9F795A614A9</vt:lpwstr>
  </property>
</Properties>
</file>