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4E518" w14:textId="77777777" w:rsidR="00D43341" w:rsidRDefault="00D43341">
      <w:pPr>
        <w:keepNext/>
        <w:pBdr>
          <w:top w:val="nil"/>
          <w:left w:val="nil"/>
          <w:bottom w:val="nil"/>
          <w:right w:val="nil"/>
          <w:between w:val="nil"/>
        </w:pBdr>
        <w:tabs>
          <w:tab w:val="left" w:pos="5715"/>
        </w:tabs>
        <w:spacing w:after="240" w:line="240" w:lineRule="auto"/>
        <w:rPr>
          <w:rFonts w:ascii="Arial Bold" w:eastAsia="Arial Bold" w:hAnsi="Arial Bold" w:cs="Arial Bold"/>
          <w:b/>
          <w:color w:val="000000"/>
          <w:sz w:val="36"/>
          <w:szCs w:val="36"/>
        </w:rPr>
      </w:pPr>
      <w:bookmarkStart w:id="0" w:name="_GoBack"/>
      <w:bookmarkEnd w:id="0"/>
    </w:p>
    <w:p w14:paraId="0A04E519" w14:textId="77777777" w:rsidR="00D43341" w:rsidRDefault="000370DD">
      <w:pPr>
        <w:keepNext/>
        <w:pBdr>
          <w:top w:val="nil"/>
          <w:left w:val="nil"/>
          <w:bottom w:val="nil"/>
          <w:right w:val="nil"/>
          <w:between w:val="nil"/>
        </w:pBdr>
        <w:tabs>
          <w:tab w:val="left" w:pos="5715"/>
        </w:tabs>
        <w:spacing w:after="240" w:line="240" w:lineRule="auto"/>
        <w:rPr>
          <w:rFonts w:ascii="Arial Bold" w:eastAsia="Arial Bold" w:hAnsi="Arial Bold" w:cs="Arial Bold"/>
          <w:b/>
          <w:color w:val="000000"/>
          <w:sz w:val="36"/>
          <w:szCs w:val="36"/>
        </w:rPr>
      </w:pPr>
      <w:r>
        <w:rPr>
          <w:rFonts w:ascii="Arial Bold" w:eastAsia="Arial Bold" w:hAnsi="Arial Bold" w:cs="Arial Bold"/>
          <w:b/>
          <w:color w:val="000000"/>
          <w:sz w:val="36"/>
          <w:szCs w:val="36"/>
        </w:rPr>
        <w:t>Call-Off Schedule 1 (Transparency Reports)</w:t>
      </w:r>
    </w:p>
    <w:p w14:paraId="0A04E51A" w14:textId="77777777" w:rsidR="00D43341" w:rsidRDefault="000370DD">
      <w:pPr>
        <w:spacing w:after="0"/>
        <w:ind w:left="360" w:hanging="360"/>
        <w:rPr>
          <w:rFonts w:ascii="Arial" w:eastAsia="Arial" w:hAnsi="Arial" w:cs="Arial"/>
          <w:color w:val="000000"/>
          <w:sz w:val="24"/>
          <w:szCs w:val="24"/>
        </w:rPr>
      </w:pPr>
      <w:r>
        <w:rPr>
          <w:rFonts w:ascii="Arial" w:eastAsia="Arial" w:hAnsi="Arial" w:cs="Arial"/>
          <w:color w:val="000000"/>
          <w:sz w:val="24"/>
          <w:szCs w:val="24"/>
        </w:rPr>
        <w:t>1.1 The Supplier recognises that the Buyer is subject to PPN 01/17 (Updates to transparency principles v1.1 (</w:t>
      </w:r>
      <w:hyperlink r:id="rId11">
        <w:r>
          <w:rPr>
            <w:rFonts w:ascii="Arial" w:eastAsia="Arial" w:hAnsi="Arial" w:cs="Arial"/>
            <w:color w:val="0000FF"/>
            <w:sz w:val="24"/>
            <w:szCs w:val="24"/>
            <w:u w:val="single"/>
          </w:rPr>
          <w:t>https://www.gov.uk/government/publications/procurement-policy-note-0117-update-to-transparency-principles</w:t>
        </w:r>
      </w:hyperlink>
      <w:r>
        <w:rPr>
          <w:rFonts w:ascii="Arial" w:eastAsia="Arial" w:hAnsi="Arial" w:cs="Arial"/>
          <w:color w:val="000000"/>
          <w:sz w:val="24"/>
          <w:szCs w:val="24"/>
        </w:rPr>
        <w:t>). The Supplier shall comply with the provisions of this Schedule in order to assist the Buyer with its compliance with its obligations under that PPN.</w:t>
      </w:r>
    </w:p>
    <w:p w14:paraId="0A04E51B" w14:textId="77777777" w:rsidR="00D43341" w:rsidRDefault="00D43341">
      <w:pPr>
        <w:spacing w:after="0"/>
        <w:ind w:left="720" w:hanging="720"/>
        <w:rPr>
          <w:rFonts w:ascii="Arial" w:eastAsia="Arial" w:hAnsi="Arial" w:cs="Arial"/>
          <w:color w:val="000000"/>
          <w:sz w:val="24"/>
          <w:szCs w:val="24"/>
        </w:rPr>
      </w:pPr>
    </w:p>
    <w:p w14:paraId="0A04E51C" w14:textId="77777777" w:rsidR="00D43341" w:rsidRDefault="000370DD">
      <w:pPr>
        <w:spacing w:after="0"/>
        <w:ind w:left="360" w:hanging="360"/>
        <w:rPr>
          <w:rFonts w:ascii="Arial" w:eastAsia="Arial" w:hAnsi="Arial" w:cs="Arial"/>
          <w:color w:val="000000"/>
          <w:sz w:val="24"/>
          <w:szCs w:val="24"/>
        </w:rPr>
      </w:pPr>
      <w:r>
        <w:rPr>
          <w:rFonts w:ascii="Arial" w:eastAsia="Arial" w:hAnsi="Arial" w:cs="Arial"/>
          <w:color w:val="000000"/>
          <w:sz w:val="24"/>
          <w:szCs w:val="24"/>
        </w:rPr>
        <w:t>1.2</w:t>
      </w:r>
      <w:r>
        <w:rPr>
          <w:rFonts w:ascii="Arial" w:eastAsia="Arial" w:hAnsi="Arial" w:cs="Arial"/>
          <w:color w:val="000000"/>
          <w:sz w:val="24"/>
          <w:szCs w:val="24"/>
        </w:rPr>
        <w:tab/>
        <w:t>Without prejudice to the Supplier's reporting requirements set out in the Framework Contract, within three (3) Months of the Start Date the Supplier shall submit to the Buyer for Approval (such Approval not to be unreasonably withheld or delayed) draft Transparency Reports consistent with the content requirements and format set out in the Annex of this Schedule.</w:t>
      </w:r>
    </w:p>
    <w:p w14:paraId="0A04E51D" w14:textId="77777777" w:rsidR="00D43341" w:rsidRDefault="00D43341">
      <w:pPr>
        <w:spacing w:after="0"/>
        <w:rPr>
          <w:rFonts w:ascii="Arial" w:eastAsia="Arial" w:hAnsi="Arial" w:cs="Arial"/>
          <w:color w:val="000000"/>
          <w:sz w:val="24"/>
          <w:szCs w:val="24"/>
        </w:rPr>
      </w:pPr>
    </w:p>
    <w:p w14:paraId="0A04E51E" w14:textId="77777777" w:rsidR="00D43341" w:rsidRDefault="000370DD">
      <w:pPr>
        <w:spacing w:after="0"/>
        <w:ind w:left="360" w:hanging="360"/>
        <w:rPr>
          <w:rFonts w:ascii="Arial" w:eastAsia="Arial" w:hAnsi="Arial" w:cs="Arial"/>
          <w:color w:val="000000"/>
          <w:sz w:val="24"/>
          <w:szCs w:val="24"/>
        </w:rPr>
      </w:pPr>
      <w:r>
        <w:rPr>
          <w:rFonts w:ascii="Arial" w:eastAsia="Arial" w:hAnsi="Arial" w:cs="Arial"/>
          <w:color w:val="000000"/>
          <w:sz w:val="24"/>
          <w:szCs w:val="24"/>
        </w:rPr>
        <w:t>1.3 If the Buyer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Buyer. If the Parties fail to agree on a draft Transparency Report the Buyer shall determine what should be included. Any other disagreement in connection with Transparency Reports shall be treated as a Dispute.</w:t>
      </w:r>
    </w:p>
    <w:p w14:paraId="0A04E51F" w14:textId="77777777" w:rsidR="00D43341" w:rsidRDefault="00D43341">
      <w:pPr>
        <w:spacing w:after="0"/>
        <w:ind w:left="720" w:hanging="720"/>
        <w:rPr>
          <w:rFonts w:ascii="Arial" w:eastAsia="Arial" w:hAnsi="Arial" w:cs="Arial"/>
          <w:color w:val="000000"/>
          <w:sz w:val="24"/>
          <w:szCs w:val="24"/>
        </w:rPr>
      </w:pPr>
    </w:p>
    <w:p w14:paraId="0A04E520" w14:textId="77777777" w:rsidR="00D43341" w:rsidRDefault="000370DD">
      <w:pPr>
        <w:spacing w:after="0"/>
        <w:ind w:left="360" w:hanging="360"/>
        <w:rPr>
          <w:rFonts w:ascii="Arial" w:eastAsia="Arial" w:hAnsi="Arial" w:cs="Arial"/>
          <w:color w:val="000000"/>
          <w:sz w:val="24"/>
          <w:szCs w:val="24"/>
        </w:rPr>
      </w:pPr>
      <w:r>
        <w:rPr>
          <w:rFonts w:ascii="Arial" w:eastAsia="Arial" w:hAnsi="Arial" w:cs="Arial"/>
          <w:color w:val="000000"/>
          <w:sz w:val="24"/>
          <w:szCs w:val="24"/>
        </w:rPr>
        <w:t>1.4 The Supplier shall provide accurate and up-to-date versions of each Transparency Report to the Buyer at the frequency referred to in the Annex of this Schedule.</w:t>
      </w:r>
    </w:p>
    <w:p w14:paraId="0A04E521" w14:textId="77777777" w:rsidR="00D43341" w:rsidRDefault="000370DD">
      <w:pPr>
        <w:rPr>
          <w:rFonts w:ascii="Arial" w:eastAsia="Arial" w:hAnsi="Arial" w:cs="Arial"/>
          <w:color w:val="000000"/>
          <w:sz w:val="24"/>
          <w:szCs w:val="24"/>
        </w:rPr>
      </w:pPr>
      <w:r>
        <w:br w:type="page"/>
      </w:r>
    </w:p>
    <w:p w14:paraId="0A04E522" w14:textId="77777777" w:rsidR="00D43341" w:rsidRDefault="00D43341">
      <w:pPr>
        <w:spacing w:after="0"/>
        <w:rPr>
          <w:rFonts w:ascii="Arial" w:eastAsia="Arial" w:hAnsi="Arial" w:cs="Arial"/>
          <w:color w:val="000000"/>
          <w:sz w:val="24"/>
          <w:szCs w:val="24"/>
        </w:rPr>
      </w:pPr>
    </w:p>
    <w:p w14:paraId="0A04E523" w14:textId="77777777" w:rsidR="00D43341" w:rsidRDefault="00D43341">
      <w:pPr>
        <w:spacing w:after="0"/>
        <w:rPr>
          <w:rFonts w:ascii="Arial" w:eastAsia="Arial" w:hAnsi="Arial" w:cs="Arial"/>
          <w:color w:val="000000"/>
          <w:sz w:val="24"/>
          <w:szCs w:val="24"/>
        </w:rPr>
      </w:pPr>
    </w:p>
    <w:p w14:paraId="0A04E524" w14:textId="77777777" w:rsidR="00D43341" w:rsidRDefault="000370DD">
      <w:pPr>
        <w:pBdr>
          <w:top w:val="nil"/>
          <w:left w:val="nil"/>
          <w:bottom w:val="nil"/>
          <w:right w:val="nil"/>
          <w:between w:val="nil"/>
        </w:pBdr>
        <w:spacing w:after="240" w:line="240" w:lineRule="auto"/>
        <w:rPr>
          <w:rFonts w:ascii="Arial Bold" w:eastAsia="Arial Bold" w:hAnsi="Arial Bold" w:cs="Arial Bold"/>
          <w:b/>
          <w:color w:val="000000"/>
          <w:sz w:val="36"/>
          <w:szCs w:val="36"/>
        </w:rPr>
      </w:pPr>
      <w:r>
        <w:rPr>
          <w:rFonts w:ascii="Arial Bold" w:eastAsia="Arial Bold" w:hAnsi="Arial Bold" w:cs="Arial Bold"/>
          <w:b/>
          <w:color w:val="000000"/>
          <w:sz w:val="36"/>
          <w:szCs w:val="36"/>
        </w:rPr>
        <w:t>Annex A: List of Transparency Reports</w:t>
      </w:r>
    </w:p>
    <w:tbl>
      <w:tblPr>
        <w:tblStyle w:val="a"/>
        <w:tblW w:w="8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1553"/>
        <w:gridCol w:w="2248"/>
        <w:gridCol w:w="2248"/>
      </w:tblGrid>
      <w:tr w:rsidR="00D43341" w14:paraId="0A04E529" w14:textId="77777777">
        <w:trPr>
          <w:trHeight w:val="123"/>
        </w:trPr>
        <w:tc>
          <w:tcPr>
            <w:tcW w:w="2943" w:type="dxa"/>
            <w:tcBorders>
              <w:top w:val="single" w:sz="4" w:space="0" w:color="000000"/>
              <w:left w:val="single" w:sz="4" w:space="0" w:color="000000"/>
              <w:bottom w:val="single" w:sz="4" w:space="0" w:color="000000"/>
              <w:right w:val="single" w:sz="4" w:space="0" w:color="000000"/>
            </w:tcBorders>
          </w:tcPr>
          <w:p w14:paraId="0A04E525" w14:textId="77777777" w:rsidR="00D43341" w:rsidRDefault="000370DD">
            <w:pPr>
              <w:spacing w:after="0"/>
              <w:rPr>
                <w:rFonts w:ascii="Arial" w:eastAsia="Arial" w:hAnsi="Arial" w:cs="Arial"/>
                <w:color w:val="000000"/>
                <w:sz w:val="24"/>
                <w:szCs w:val="24"/>
              </w:rPr>
            </w:pPr>
            <w:r>
              <w:rPr>
                <w:rFonts w:ascii="Arial" w:eastAsia="Arial" w:hAnsi="Arial" w:cs="Arial"/>
                <w:b/>
                <w:color w:val="000000"/>
                <w:sz w:val="24"/>
                <w:szCs w:val="24"/>
              </w:rPr>
              <w:t xml:space="preserve">Title </w:t>
            </w:r>
          </w:p>
        </w:tc>
        <w:tc>
          <w:tcPr>
            <w:tcW w:w="1553" w:type="dxa"/>
            <w:tcBorders>
              <w:top w:val="single" w:sz="4" w:space="0" w:color="000000"/>
              <w:left w:val="single" w:sz="4" w:space="0" w:color="000000"/>
              <w:bottom w:val="single" w:sz="4" w:space="0" w:color="000000"/>
              <w:right w:val="single" w:sz="4" w:space="0" w:color="000000"/>
            </w:tcBorders>
          </w:tcPr>
          <w:p w14:paraId="0A04E526" w14:textId="77777777" w:rsidR="00D43341" w:rsidRDefault="000370DD">
            <w:pPr>
              <w:spacing w:after="0"/>
              <w:rPr>
                <w:rFonts w:ascii="Arial" w:eastAsia="Arial" w:hAnsi="Arial" w:cs="Arial"/>
                <w:color w:val="000000"/>
                <w:sz w:val="24"/>
                <w:szCs w:val="24"/>
              </w:rPr>
            </w:pPr>
            <w:r>
              <w:rPr>
                <w:rFonts w:ascii="Arial" w:eastAsia="Arial" w:hAnsi="Arial" w:cs="Arial"/>
                <w:b/>
                <w:color w:val="000000"/>
                <w:sz w:val="24"/>
                <w:szCs w:val="24"/>
              </w:rPr>
              <w:t xml:space="preserve">Content </w:t>
            </w:r>
          </w:p>
        </w:tc>
        <w:tc>
          <w:tcPr>
            <w:tcW w:w="2248" w:type="dxa"/>
            <w:tcBorders>
              <w:top w:val="single" w:sz="4" w:space="0" w:color="000000"/>
              <w:left w:val="single" w:sz="4" w:space="0" w:color="000000"/>
              <w:bottom w:val="single" w:sz="4" w:space="0" w:color="000000"/>
              <w:right w:val="single" w:sz="4" w:space="0" w:color="000000"/>
            </w:tcBorders>
          </w:tcPr>
          <w:p w14:paraId="0A04E527" w14:textId="77777777" w:rsidR="00D43341" w:rsidRDefault="000370DD">
            <w:pPr>
              <w:spacing w:after="0"/>
              <w:rPr>
                <w:rFonts w:ascii="Arial" w:eastAsia="Arial" w:hAnsi="Arial" w:cs="Arial"/>
                <w:color w:val="000000"/>
                <w:sz w:val="24"/>
                <w:szCs w:val="24"/>
              </w:rPr>
            </w:pPr>
            <w:r>
              <w:rPr>
                <w:rFonts w:ascii="Arial" w:eastAsia="Arial" w:hAnsi="Arial" w:cs="Arial"/>
                <w:b/>
                <w:color w:val="000000"/>
                <w:sz w:val="24"/>
                <w:szCs w:val="24"/>
              </w:rPr>
              <w:t xml:space="preserve">Format </w:t>
            </w:r>
          </w:p>
        </w:tc>
        <w:tc>
          <w:tcPr>
            <w:tcW w:w="2248" w:type="dxa"/>
            <w:tcBorders>
              <w:top w:val="single" w:sz="4" w:space="0" w:color="000000"/>
              <w:left w:val="single" w:sz="4" w:space="0" w:color="000000"/>
              <w:bottom w:val="single" w:sz="4" w:space="0" w:color="000000"/>
              <w:right w:val="single" w:sz="4" w:space="0" w:color="000000"/>
            </w:tcBorders>
          </w:tcPr>
          <w:p w14:paraId="0A04E528" w14:textId="77777777" w:rsidR="00D43341" w:rsidRDefault="000370DD">
            <w:pPr>
              <w:spacing w:after="0"/>
              <w:rPr>
                <w:rFonts w:ascii="Arial" w:eastAsia="Arial" w:hAnsi="Arial" w:cs="Arial"/>
                <w:color w:val="000000"/>
                <w:sz w:val="24"/>
                <w:szCs w:val="24"/>
              </w:rPr>
            </w:pPr>
            <w:r>
              <w:rPr>
                <w:rFonts w:ascii="Arial" w:eastAsia="Arial" w:hAnsi="Arial" w:cs="Arial"/>
                <w:b/>
                <w:color w:val="000000"/>
                <w:sz w:val="24"/>
                <w:szCs w:val="24"/>
              </w:rPr>
              <w:t xml:space="preserve">Frequency </w:t>
            </w:r>
          </w:p>
        </w:tc>
      </w:tr>
      <w:tr w:rsidR="00D43341" w14:paraId="0A04E541" w14:textId="77777777" w:rsidTr="000370DD">
        <w:trPr>
          <w:trHeight w:val="155"/>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0A04E53A" w14:textId="3018D7D2" w:rsidR="00D43341" w:rsidRDefault="000370DD">
            <w:pPr>
              <w:spacing w:after="0"/>
              <w:rPr>
                <w:rFonts w:ascii="Arial" w:eastAsia="Arial" w:hAnsi="Arial" w:cs="Arial"/>
                <w:color w:val="000000"/>
                <w:sz w:val="24"/>
                <w:szCs w:val="24"/>
                <w:highlight w:val="yellow"/>
              </w:rPr>
            </w:pPr>
            <w:r w:rsidRPr="000370DD">
              <w:rPr>
                <w:rFonts w:ascii="Arial" w:eastAsia="Arial" w:hAnsi="Arial" w:cs="Arial"/>
                <w:color w:val="000000"/>
                <w:sz w:val="24"/>
                <w:szCs w:val="24"/>
              </w:rPr>
              <w:t>Key Subcontractor</w:t>
            </w:r>
          </w:p>
        </w:tc>
        <w:tc>
          <w:tcPr>
            <w:tcW w:w="1553" w:type="dxa"/>
            <w:tcBorders>
              <w:top w:val="single" w:sz="4" w:space="0" w:color="000000"/>
              <w:left w:val="single" w:sz="4" w:space="0" w:color="000000"/>
              <w:bottom w:val="single" w:sz="4" w:space="0" w:color="000000"/>
              <w:right w:val="single" w:sz="4" w:space="0" w:color="000000"/>
            </w:tcBorders>
          </w:tcPr>
          <w:p w14:paraId="0A04E53C" w14:textId="2953C8D3" w:rsidR="00D43341" w:rsidRDefault="000370DD">
            <w:pPr>
              <w:spacing w:after="0"/>
              <w:rPr>
                <w:rFonts w:ascii="Arial" w:eastAsia="Arial" w:hAnsi="Arial" w:cs="Arial"/>
                <w:color w:val="000000"/>
                <w:sz w:val="24"/>
                <w:szCs w:val="24"/>
                <w:highlight w:val="yellow"/>
              </w:rPr>
            </w:pPr>
            <w:r>
              <w:rPr>
                <w:rFonts w:ascii="Arial" w:eastAsia="Arial" w:hAnsi="Arial" w:cs="Arial"/>
                <w:color w:val="000000"/>
                <w:sz w:val="24"/>
                <w:szCs w:val="24"/>
              </w:rPr>
              <w:t>Company details and a full explanation of the exact work being delivered by the subcontractor</w:t>
            </w:r>
          </w:p>
        </w:tc>
        <w:tc>
          <w:tcPr>
            <w:tcW w:w="2248" w:type="dxa"/>
            <w:tcBorders>
              <w:top w:val="single" w:sz="4" w:space="0" w:color="000000"/>
              <w:left w:val="single" w:sz="4" w:space="0" w:color="000000"/>
              <w:bottom w:val="single" w:sz="4" w:space="0" w:color="000000"/>
              <w:right w:val="single" w:sz="4" w:space="0" w:color="000000"/>
            </w:tcBorders>
          </w:tcPr>
          <w:p w14:paraId="0A04E53E" w14:textId="4A74725E" w:rsidR="00D43341" w:rsidRDefault="000370DD" w:rsidP="000370DD">
            <w:pPr>
              <w:spacing w:after="0"/>
              <w:rPr>
                <w:rFonts w:ascii="Arial" w:eastAsia="Arial" w:hAnsi="Arial" w:cs="Arial"/>
                <w:color w:val="000000"/>
                <w:sz w:val="24"/>
                <w:szCs w:val="24"/>
              </w:rPr>
            </w:pPr>
            <w:r>
              <w:rPr>
                <w:rFonts w:ascii="Arial" w:eastAsia="Arial" w:hAnsi="Arial" w:cs="Arial"/>
                <w:color w:val="000000"/>
                <w:sz w:val="24"/>
                <w:szCs w:val="24"/>
              </w:rPr>
              <w:t>Text provided in a Word file or other equivalent format</w:t>
            </w:r>
          </w:p>
        </w:tc>
        <w:tc>
          <w:tcPr>
            <w:tcW w:w="2248" w:type="dxa"/>
            <w:tcBorders>
              <w:top w:val="single" w:sz="4" w:space="0" w:color="000000"/>
              <w:left w:val="single" w:sz="4" w:space="0" w:color="000000"/>
              <w:bottom w:val="single" w:sz="4" w:space="0" w:color="000000"/>
              <w:right w:val="single" w:sz="4" w:space="0" w:color="000000"/>
            </w:tcBorders>
          </w:tcPr>
          <w:p w14:paraId="0A04E540" w14:textId="5D5C2E8E" w:rsidR="00D43341" w:rsidRDefault="000370DD">
            <w:pPr>
              <w:spacing w:after="0"/>
              <w:rPr>
                <w:rFonts w:ascii="Arial" w:eastAsia="Arial" w:hAnsi="Arial" w:cs="Arial"/>
                <w:color w:val="000000"/>
                <w:sz w:val="24"/>
                <w:szCs w:val="24"/>
              </w:rPr>
            </w:pPr>
            <w:r>
              <w:rPr>
                <w:rFonts w:ascii="Arial" w:eastAsia="Arial" w:hAnsi="Arial" w:cs="Arial"/>
                <w:color w:val="000000"/>
                <w:sz w:val="24"/>
                <w:szCs w:val="24"/>
              </w:rPr>
              <w:t>Monthly</w:t>
            </w:r>
          </w:p>
        </w:tc>
      </w:tr>
    </w:tbl>
    <w:p w14:paraId="0A04E552" w14:textId="77777777" w:rsidR="00D43341" w:rsidRDefault="00D43341">
      <w:pPr>
        <w:tabs>
          <w:tab w:val="left" w:pos="1251"/>
        </w:tabs>
        <w:rPr>
          <w:rFonts w:ascii="Arial" w:eastAsia="Arial" w:hAnsi="Arial" w:cs="Arial"/>
          <w:sz w:val="24"/>
          <w:szCs w:val="24"/>
        </w:rPr>
      </w:pPr>
    </w:p>
    <w:sectPr w:rsidR="00D4334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D7155" w14:textId="77777777" w:rsidR="00B83890" w:rsidRDefault="00B83890">
      <w:pPr>
        <w:spacing w:after="0" w:line="240" w:lineRule="auto"/>
      </w:pPr>
      <w:r>
        <w:separator/>
      </w:r>
    </w:p>
  </w:endnote>
  <w:endnote w:type="continuationSeparator" w:id="0">
    <w:p w14:paraId="76EC1F14" w14:textId="77777777" w:rsidR="00B83890" w:rsidRDefault="00B83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4E558" w14:textId="77777777" w:rsidR="00D43341" w:rsidRDefault="00D43341">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4E559" w14:textId="77777777" w:rsidR="00D43341" w:rsidRDefault="00D43341">
    <w:pPr>
      <w:tabs>
        <w:tab w:val="center" w:pos="4513"/>
        <w:tab w:val="right" w:pos="9026"/>
      </w:tabs>
      <w:spacing w:after="0"/>
      <w:rPr>
        <w:rFonts w:ascii="Arial" w:eastAsia="Arial" w:hAnsi="Arial" w:cs="Arial"/>
        <w:color w:val="A6A6A6"/>
        <w:sz w:val="20"/>
        <w:szCs w:val="20"/>
      </w:rPr>
    </w:pPr>
  </w:p>
  <w:p w14:paraId="0A04E55A" w14:textId="77777777" w:rsidR="00D43341" w:rsidRDefault="000370DD">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RM6229</w:t>
    </w:r>
    <w:r>
      <w:rPr>
        <w:rFonts w:ascii="Arial" w:eastAsia="Arial" w:hAnsi="Arial" w:cs="Arial"/>
        <w:sz w:val="20"/>
        <w:szCs w:val="20"/>
      </w:rPr>
      <w:tab/>
      <w:t xml:space="preserve">                                           </w:t>
    </w:r>
  </w:p>
  <w:p w14:paraId="0A04E55B" w14:textId="31FB0A79" w:rsidR="00D43341" w:rsidRDefault="000370D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bookmarkStart w:id="1" w:name="_heading=h.30j0zll" w:colFirst="0" w:colLast="0"/>
    <w:bookmarkEnd w:id="1"/>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751159">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0A04E55C" w14:textId="77777777" w:rsidR="00D43341" w:rsidRDefault="000370DD">
    <w:pPr>
      <w:spacing w:after="0"/>
      <w:rPr>
        <w:rFonts w:ascii="Arial" w:eastAsia="Arial" w:hAnsi="Arial" w:cs="Arial"/>
        <w:color w:val="A6A6A6"/>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4E562" w14:textId="77777777" w:rsidR="00D43341" w:rsidRDefault="00D43341">
    <w:pPr>
      <w:tabs>
        <w:tab w:val="center" w:pos="4513"/>
        <w:tab w:val="right" w:pos="9026"/>
      </w:tabs>
      <w:spacing w:after="0"/>
      <w:rPr>
        <w:rFonts w:ascii="Arial" w:eastAsia="Arial" w:hAnsi="Arial" w:cs="Arial"/>
        <w:color w:val="A6A6A6"/>
        <w:sz w:val="20"/>
        <w:szCs w:val="20"/>
      </w:rPr>
    </w:pPr>
  </w:p>
  <w:p w14:paraId="0A04E563" w14:textId="77777777" w:rsidR="00D43341" w:rsidRDefault="000370DD">
    <w:pPr>
      <w:tabs>
        <w:tab w:val="center" w:pos="4513"/>
        <w:tab w:val="right" w:pos="9026"/>
      </w:tabs>
      <w:spacing w:after="0"/>
      <w:rPr>
        <w:rFonts w:ascii="Arial" w:eastAsia="Arial" w:hAnsi="Arial" w:cs="Arial"/>
        <w:color w:val="A6A6A6"/>
        <w:sz w:val="20"/>
        <w:szCs w:val="20"/>
      </w:rPr>
    </w:pPr>
    <w:r>
      <w:rPr>
        <w:rFonts w:ascii="Arial" w:eastAsia="Arial" w:hAnsi="Arial" w:cs="Arial"/>
        <w:color w:val="A6A6A6"/>
        <w:sz w:val="20"/>
        <w:szCs w:val="20"/>
      </w:rPr>
      <w:t>Framework Ref: RM</w:t>
    </w:r>
    <w:r>
      <w:rPr>
        <w:rFonts w:ascii="Arial" w:eastAsia="Arial" w:hAnsi="Arial" w:cs="Arial"/>
        <w:color w:val="A6A6A6"/>
        <w:sz w:val="20"/>
        <w:szCs w:val="20"/>
      </w:rPr>
      <w:tab/>
      <w:t xml:space="preserve">                                           </w:t>
    </w:r>
  </w:p>
  <w:p w14:paraId="0A04E564" w14:textId="77777777" w:rsidR="00D43341" w:rsidRDefault="000370DD">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Project Version: v1.0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t xml:space="preserve"> </w:t>
    </w:r>
    <w:r>
      <w:rPr>
        <w:rFonts w:ascii="Arial" w:eastAsia="Arial" w:hAnsi="Arial" w:cs="Arial"/>
        <w:color w:val="A6A6A6"/>
        <w:sz w:val="20"/>
        <w:szCs w:val="20"/>
      </w:rPr>
      <w:fldChar w:fldCharType="begin"/>
    </w:r>
    <w:r>
      <w:rPr>
        <w:rFonts w:ascii="Arial" w:eastAsia="Arial" w:hAnsi="Arial" w:cs="Arial"/>
        <w:color w:val="A6A6A6"/>
        <w:sz w:val="20"/>
        <w:szCs w:val="20"/>
      </w:rPr>
      <w:instrText>PAGE</w:instrText>
    </w:r>
    <w:r>
      <w:rPr>
        <w:rFonts w:ascii="Arial" w:eastAsia="Arial" w:hAnsi="Arial" w:cs="Arial"/>
        <w:color w:val="A6A6A6"/>
        <w:sz w:val="20"/>
        <w:szCs w:val="20"/>
      </w:rPr>
      <w:fldChar w:fldCharType="end"/>
    </w:r>
  </w:p>
  <w:p w14:paraId="0A04E565" w14:textId="77777777" w:rsidR="00D43341" w:rsidRDefault="000370DD">
    <w:pPr>
      <w:spacing w:after="0"/>
      <w:rPr>
        <w:rFonts w:ascii="Arial" w:eastAsia="Arial" w:hAnsi="Arial" w:cs="Arial"/>
        <w:color w:val="A6A6A6"/>
        <w:sz w:val="20"/>
        <w:szCs w:val="20"/>
      </w:rPr>
    </w:pPr>
    <w:r>
      <w:rPr>
        <w:rFonts w:ascii="Arial" w:eastAsia="Arial" w:hAnsi="Arial" w:cs="Arial"/>
        <w:color w:val="A6A6A6"/>
        <w:sz w:val="20"/>
        <w:szCs w:val="20"/>
      </w:rPr>
      <w:t>Model Version: v3.0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D4DBD" w14:textId="77777777" w:rsidR="00B83890" w:rsidRDefault="00B83890">
      <w:pPr>
        <w:spacing w:after="0" w:line="240" w:lineRule="auto"/>
      </w:pPr>
      <w:r>
        <w:separator/>
      </w:r>
    </w:p>
  </w:footnote>
  <w:footnote w:type="continuationSeparator" w:id="0">
    <w:p w14:paraId="330787E1" w14:textId="77777777" w:rsidR="00B83890" w:rsidRDefault="00B83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4E553" w14:textId="77777777" w:rsidR="00D43341" w:rsidRDefault="00D43341">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4E554" w14:textId="77777777" w:rsidR="00D43341" w:rsidRDefault="000370DD">
    <w:pPr>
      <w:pBdr>
        <w:top w:val="nil"/>
        <w:left w:val="nil"/>
        <w:bottom w:val="nil"/>
        <w:right w:val="nil"/>
        <w:between w:val="nil"/>
      </w:pBdr>
      <w:tabs>
        <w:tab w:val="center" w:pos="4513"/>
        <w:tab w:val="right" w:pos="9026"/>
      </w:tabs>
      <w:spacing w:after="0" w:line="240" w:lineRule="auto"/>
      <w:rPr>
        <w:color w:val="000000"/>
      </w:rPr>
    </w:pPr>
    <w:r>
      <w:rPr>
        <w:b/>
        <w:color w:val="000000"/>
      </w:rPr>
      <w:t>Call-Off Schedule 1 (Transparency Reports)</w:t>
    </w:r>
  </w:p>
  <w:p w14:paraId="0A04E555" w14:textId="1C19AB9A" w:rsidR="00D43341" w:rsidRDefault="000370DD">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color w:val="000000"/>
        <w:sz w:val="20"/>
        <w:szCs w:val="20"/>
      </w:rPr>
      <w:t xml:space="preserve">Call-Off Ref: </w:t>
    </w:r>
    <w:r w:rsidR="00DE093E" w:rsidRPr="00DE093E">
      <w:rPr>
        <w:rFonts w:ascii="Arial" w:eastAsia="Arial" w:hAnsi="Arial" w:cs="Arial"/>
        <w:color w:val="000000"/>
        <w:sz w:val="20"/>
        <w:szCs w:val="20"/>
      </w:rPr>
      <w:t>CCIT23A27</w:t>
    </w:r>
  </w:p>
  <w:p w14:paraId="0A04E556" w14:textId="77777777" w:rsidR="00D43341" w:rsidRDefault="000370DD">
    <w:pPr>
      <w:pBdr>
        <w:top w:val="nil"/>
        <w:left w:val="nil"/>
        <w:bottom w:val="nil"/>
        <w:right w:val="nil"/>
        <w:between w:val="nil"/>
      </w:pBdr>
      <w:tabs>
        <w:tab w:val="center" w:pos="4513"/>
        <w:tab w:val="right" w:pos="9026"/>
      </w:tabs>
      <w:spacing w:after="0" w:line="240" w:lineRule="auto"/>
      <w:rPr>
        <w:color w:val="000000"/>
      </w:rPr>
    </w:pPr>
    <w:r>
      <w:rPr>
        <w:color w:val="000000"/>
      </w:rPr>
      <w:t>Crown Copyright</w:t>
    </w:r>
    <w:r>
      <w:rPr>
        <w:rFonts w:ascii="Arial" w:eastAsia="Arial" w:hAnsi="Arial" w:cs="Arial"/>
        <w:color w:val="000000"/>
        <w:sz w:val="16"/>
        <w:szCs w:val="16"/>
      </w:rPr>
      <w:t xml:space="preserve"> </w:t>
    </w:r>
    <w:r>
      <w:rPr>
        <w:color w:val="000000"/>
      </w:rPr>
      <w:t>2018</w:t>
    </w:r>
  </w:p>
  <w:p w14:paraId="0A04E557" w14:textId="77777777" w:rsidR="00D43341" w:rsidRDefault="00D43341">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4E55D" w14:textId="77777777" w:rsidR="00D43341" w:rsidRDefault="000370D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Call-Off Schedule 1 (Transparency Reports)</w:t>
    </w:r>
  </w:p>
  <w:p w14:paraId="0A04E55E" w14:textId="77777777" w:rsidR="00D43341" w:rsidRDefault="000370D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Call-Off Ref: </w:t>
    </w:r>
  </w:p>
  <w:p w14:paraId="0A04E55F" w14:textId="77777777" w:rsidR="00D43341" w:rsidRDefault="000370D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2018</w:t>
    </w:r>
  </w:p>
  <w:p w14:paraId="0A04E560" w14:textId="77777777" w:rsidR="00D43341" w:rsidRDefault="00D43341">
    <w:pPr>
      <w:pBdr>
        <w:top w:val="nil"/>
        <w:left w:val="nil"/>
        <w:bottom w:val="nil"/>
        <w:right w:val="nil"/>
        <w:between w:val="nil"/>
      </w:pBdr>
      <w:tabs>
        <w:tab w:val="center" w:pos="4513"/>
        <w:tab w:val="right" w:pos="9026"/>
      </w:tabs>
      <w:spacing w:after="0" w:line="240" w:lineRule="auto"/>
      <w:rPr>
        <w:i/>
        <w:color w:val="000000"/>
      </w:rPr>
    </w:pPr>
  </w:p>
  <w:p w14:paraId="0A04E561" w14:textId="77777777" w:rsidR="00D43341" w:rsidRDefault="00D43341">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41"/>
    <w:rsid w:val="000370DD"/>
    <w:rsid w:val="00243AD7"/>
    <w:rsid w:val="00751159"/>
    <w:rsid w:val="00B83890"/>
    <w:rsid w:val="00D43341"/>
    <w:rsid w:val="00DE0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4E518"/>
  <w15:docId w15:val="{2D5F0EB7-A88E-407E-A135-D9DDC89A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eastAsia="STZhongsong"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jc w:val="both"/>
    </w:pPr>
    <w:rPr>
      <w:rFonts w:eastAsia="Times New Roman"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paragraph" w:styleId="Revision">
    <w:name w:val="Revision"/>
    <w:hidden/>
    <w:uiPriority w:val="99"/>
    <w:semiHidden/>
    <w:rsid w:val="00F42B75"/>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procurement-policy-note-0117-update-to-transparency-principles"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ADII Business Management</Topic>
    <HOMigrated xmlns="662745e8-e224-48e8-a2e3-254862b8c2f5">false</HOMigrated>
    <lcf76f155ced4ddcb4097134ff3c332f xmlns="7b2619d5-7f3d-4dbd-9d3e-09d81efd0ee9">
      <Terms xmlns="http://schemas.microsoft.com/office/infopath/2007/PartnerControls"/>
    </lcf76f155ced4ddcb4097134ff3c332f>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External</TermName>
          <TermId xmlns="http://schemas.microsoft.com/office/infopath/2007/PartnerControls">1104eb68-55d8-494f-b6ba-c5473579de73</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DDTS</TermName>
          <TermId xmlns="http://schemas.microsoft.com/office/infopath/2007/PartnerControls">4b496496-8422-4e09-ae59-802e7f67f771</TermId>
        </TermInfo>
      </Terms>
    </fe59e9859d6a491389c5b03567f5dda5>
    <Team xmlns="662745e8-e224-48e8-a2e3-254862b8c2f5">Defra Architecture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3.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C92B796B53676C4592BC09CCA894A029" ma:contentTypeVersion="18" ma:contentTypeDescription="Create a new document." ma:contentTypeScope="" ma:versionID="d5453730b1df67a20f6083b5076f65d5">
  <xsd:schema xmlns:xsd="http://www.w3.org/2001/XMLSchema" xmlns:xs="http://www.w3.org/2001/XMLSchema" xmlns:p="http://schemas.microsoft.com/office/2006/metadata/properties" xmlns:ns2="662745e8-e224-48e8-a2e3-254862b8c2f5" xmlns:ns3="7b2619d5-7f3d-4dbd-9d3e-09d81efd0ee9" xmlns:ns4="4b53291a-6acd-4c59-b7a8-eb8035a8b46d" targetNamespace="http://schemas.microsoft.com/office/2006/metadata/properties" ma:root="true" ma:fieldsID="d5fbdc56f6f3e698410d0f9810d30e68" ns2:_="" ns3:_="" ns4:_="">
    <xsd:import namespace="662745e8-e224-48e8-a2e3-254862b8c2f5"/>
    <xsd:import namespace="7b2619d5-7f3d-4dbd-9d3e-09d81efd0ee9"/>
    <xsd:import namespace="4b53291a-6acd-4c59-b7a8-eb8035a8b46d"/>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ead2222-f748-4408-9f95-980fc71ec1d3}" ma:internalName="TaxCatchAll" ma:showField="CatchAllData" ma:web="4b53291a-6acd-4c59-b7a8-eb8035a8b46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ead2222-f748-4408-9f95-980fc71ec1d3}" ma:internalName="TaxCatchAllLabel" ma:readOnly="true" ma:showField="CatchAllDataLabel" ma:web="4b53291a-6acd-4c59-b7a8-eb8035a8b46d">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Defra Architecture" ma:internalName="Team">
      <xsd:simpleType>
        <xsd:restriction base="dms:Text"/>
      </xsd:simpleType>
    </xsd:element>
    <xsd:element name="Topic" ma:index="20" nillable="true" ma:displayName="Topic" ma:default="ADII Business Management"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External|1104eb68-55d8-494f-b6ba-c5473579de73"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DDTS|4b496496-8422-4e09-ae59-802e7f67f771"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2619d5-7f3d-4dbd-9d3e-09d81efd0ee9"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3291a-6acd-4c59-b7a8-eb8035a8b46d"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1117845-93f6-4da3-abaa-fcb4fa669c78" ContentTypeId="0x010100A5BF1C78D9F64B679A5EBDE1C6598EBC01" PreviousValue="false"/>
</file>

<file path=customXml/item5.xml><?xml version="1.0" encoding="utf-8"?>
<go:gDocsCustomXmlDataStorage xmlns:go="http://customooxmlschemas.google.com/" xmlns:r="http://schemas.openxmlformats.org/officeDocument/2006/relationships">
  <go:docsCustomData xmlns:go="http://customooxmlschemas.google.com/" roundtripDataSignature="AMtx7mgflgqErUtKL3lLEB9vflo7NdTvbg==">AMUW2mUK/4dq8/L+lmSE07RHY2Py9qHakDgiCU+GLukhbEHtdvtZEy/2JqxrQSfQQhkLbfxwOQI08eiL4Eij81oG8owz3VtH55cwaYxJzbzKhG309fbvz1HVs+P7RUGJvQGUVbT8oI/T</go:docsCustomData>
</go:gDocsCustomXmlDataStorage>
</file>

<file path=customXml/itemProps1.xml><?xml version="1.0" encoding="utf-8"?>
<ds:datastoreItem xmlns:ds="http://schemas.openxmlformats.org/officeDocument/2006/customXml" ds:itemID="{F0C4EF3E-AF23-4A8E-BD6A-2D8B111A642D}">
  <ds:schemaRefs>
    <ds:schemaRef ds:uri="http://schemas.microsoft.com/sharepoint/v3/contenttype/forms"/>
  </ds:schemaRefs>
</ds:datastoreItem>
</file>

<file path=customXml/itemProps2.xml><?xml version="1.0" encoding="utf-8"?>
<ds:datastoreItem xmlns:ds="http://schemas.openxmlformats.org/officeDocument/2006/customXml" ds:itemID="{6112B461-E101-45A8-9194-49AC8D506AE7}">
  <ds:schemaRefs>
    <ds:schemaRef ds:uri="http://schemas.microsoft.com/office/2006/metadata/properties"/>
    <ds:schemaRef ds:uri="http://schemas.microsoft.com/office/infopath/2007/PartnerControls"/>
    <ds:schemaRef ds:uri="662745e8-e224-48e8-a2e3-254862b8c2f5"/>
    <ds:schemaRef ds:uri="7b2619d5-7f3d-4dbd-9d3e-09d81efd0ee9"/>
  </ds:schemaRefs>
</ds:datastoreItem>
</file>

<file path=customXml/itemProps3.xml><?xml version="1.0" encoding="utf-8"?>
<ds:datastoreItem xmlns:ds="http://schemas.openxmlformats.org/officeDocument/2006/customXml" ds:itemID="{616C6333-5C89-450C-9ABB-C655D5636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7b2619d5-7f3d-4dbd-9d3e-09d81efd0ee9"/>
    <ds:schemaRef ds:uri="4b53291a-6acd-4c59-b7a8-eb8035a8b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38ACD8-7AF2-4EA8-B090-1DF2322480C9}">
  <ds:schemaRefs>
    <ds:schemaRef ds:uri="Microsoft.SharePoint.Taxonomy.ContentTypeSync"/>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Cotmore, Christopher  (DEFRA)</dc:creator>
  <cp:lastModifiedBy>Adam Cureton</cp:lastModifiedBy>
  <cp:revision>4</cp:revision>
  <dcterms:created xsi:type="dcterms:W3CDTF">2023-03-14T11:04:00Z</dcterms:created>
  <dcterms:modified xsi:type="dcterms:W3CDTF">2023-03-21T13:10:00Z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y fmtid="{D5CDD505-2E9C-101B-9397-08002B2CF9AE}" pid="3" name="ContentTypeId">
    <vt:lpwstr>0x010100A5BF1C78D9F64B679A5EBDE1C6598EBC0100C92B796B53676C4592BC09CCA894A029</vt:lpwstr>
  </property>
  <property fmtid="{D5CDD505-2E9C-101B-9397-08002B2CF9AE}" pid="4" name="InformationType">
    <vt:lpwstr/>
  </property>
  <property fmtid="{D5CDD505-2E9C-101B-9397-08002B2CF9AE}" pid="5" name="Distribution">
    <vt:lpwstr>9;#External|1104eb68-55d8-494f-b6ba-c5473579de73</vt:lpwstr>
  </property>
  <property fmtid="{D5CDD505-2E9C-101B-9397-08002B2CF9AE}" pid="6" name="MediaServiceImageTags">
    <vt:lpwstr/>
  </property>
  <property fmtid="{D5CDD505-2E9C-101B-9397-08002B2CF9AE}" pid="7" name="HOCopyrightLevel">
    <vt:lpwstr>7;#Crown|69589897-2828-4761-976e-717fd8e631c9</vt:lpwstr>
  </property>
  <property fmtid="{D5CDD505-2E9C-101B-9397-08002B2CF9AE}" pid="8" name="HOGovernmentSecurityClassification">
    <vt:lpwstr>6;#Official|14c80daa-741b-422c-9722-f71693c9ede4</vt:lpwstr>
  </property>
  <property fmtid="{D5CDD505-2E9C-101B-9397-08002B2CF9AE}" pid="9" name="HOSiteType">
    <vt:lpwstr>10;#Team|ff0485df-0575-416f-802f-e999165821b7</vt:lpwstr>
  </property>
  <property fmtid="{D5CDD505-2E9C-101B-9397-08002B2CF9AE}" pid="10" name="OrganisationalUnit">
    <vt:lpwstr>8;#DDTS|4b496496-8422-4e09-ae59-802e7f67f771</vt:lpwstr>
  </property>
</Properties>
</file>