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D9501B">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D9501B">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D9501B">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D9501B">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D9501B">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D9501B">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D9501B">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D9501B">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EB501DE" w14:textId="4BE830CA" w:rsidR="00DE22CB" w:rsidRDefault="00D9501B">
            <w:pPr>
              <w:spacing w:after="0"/>
              <w:rPr>
                <w:rFonts w:ascii="Helvetica Neue" w:eastAsia="Helvetica Neue" w:hAnsi="Helvetica Neue" w:cs="Helvetica Neue"/>
                <w:sz w:val="24"/>
                <w:szCs w:val="24"/>
              </w:rPr>
            </w:pPr>
            <w:hyperlink r:id="rId9" w:history="1">
              <w:r w:rsidR="008F697E" w:rsidRPr="00275079">
                <w:rPr>
                  <w:rStyle w:val="Hyperlink"/>
                  <w:rFonts w:ascii="Helvetica Neue" w:eastAsia="Helvetica Neue" w:hAnsi="Helvetica Neue" w:cs="Helvetica Neue"/>
                  <w:sz w:val="24"/>
                  <w:szCs w:val="24"/>
                </w:rPr>
                <w:t>https://www.digitalmarketplace.service.gov.uk/g-cloud/services/512734493279616</w:t>
              </w:r>
            </w:hyperlink>
          </w:p>
          <w:p w14:paraId="2A285890" w14:textId="4E27860E" w:rsidR="005540D7" w:rsidRDefault="008F697E">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512734493279616</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4481FB2F" w:rsidR="005540D7" w:rsidRPr="002A7577" w:rsidRDefault="002E2577" w:rsidP="008F697E">
            <w:pPr>
              <w:spacing w:after="0"/>
              <w:rPr>
                <w:rFonts w:ascii="Helvetica Neue" w:eastAsia="Helvetica Neue" w:hAnsi="Helvetica Neue" w:cs="Helvetica Neue"/>
                <w:sz w:val="24"/>
                <w:szCs w:val="24"/>
                <w:highlight w:val="yellow"/>
              </w:rPr>
            </w:pPr>
            <w:r w:rsidRPr="002E2577">
              <w:rPr>
                <w:rFonts w:ascii="Helvetica Neue" w:eastAsia="Helvetica Neue" w:hAnsi="Helvetica Neue" w:cs="Helvetica Neue"/>
                <w:sz w:val="24"/>
                <w:szCs w:val="24"/>
              </w:rPr>
              <w:t>SR187917124</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04783BD8" w:rsidR="005540D7" w:rsidRPr="00E76448" w:rsidRDefault="002E2577" w:rsidP="00C96CB6">
            <w:pPr>
              <w:spacing w:after="0"/>
              <w:rPr>
                <w:rFonts w:ascii="Helvetica Neue" w:eastAsia="Helvetica Neue" w:hAnsi="Helvetica Neue" w:cs="Helvetica Neue"/>
                <w:sz w:val="24"/>
                <w:szCs w:val="24"/>
              </w:rPr>
            </w:pPr>
            <w:r w:rsidRPr="002E2577">
              <w:rPr>
                <w:rFonts w:ascii="Helvetica Neue" w:eastAsia="Helvetica Neue" w:hAnsi="Helvetica Neue" w:cs="Helvetica Neue"/>
                <w:sz w:val="24"/>
                <w:szCs w:val="24"/>
              </w:rPr>
              <w:t>DLS Industrialisation Data Quality</w:t>
            </w:r>
          </w:p>
        </w:tc>
      </w:tr>
      <w:tr w:rsidR="005540D7" w14:paraId="4D1D4997"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2F9DA5D9" w:rsidR="005540D7" w:rsidRPr="00E76448" w:rsidRDefault="000E46A1" w:rsidP="0054403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DLS industrialisation Support </w:t>
            </w:r>
          </w:p>
        </w:tc>
      </w:tr>
      <w:tr w:rsidR="005540D7" w14:paraId="083400B2"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6F96F330" w:rsidR="005540D7" w:rsidRPr="002A7577" w:rsidRDefault="005F77EF">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07</w:t>
            </w:r>
            <w:r w:rsidR="005D1543" w:rsidRPr="005D1543">
              <w:rPr>
                <w:rFonts w:ascii="Helvetica Neue" w:eastAsia="Helvetica Neue" w:hAnsi="Helvetica Neue" w:cs="Helvetica Neue"/>
                <w:sz w:val="24"/>
                <w:szCs w:val="24"/>
              </w:rPr>
              <w:t>/01/</w:t>
            </w:r>
            <w:r w:rsidR="005D1543">
              <w:rPr>
                <w:rFonts w:ascii="Helvetica Neue" w:eastAsia="Helvetica Neue" w:hAnsi="Helvetica Neue" w:cs="Helvetica Neue"/>
                <w:sz w:val="24"/>
                <w:szCs w:val="24"/>
              </w:rPr>
              <w:t>2019</w:t>
            </w:r>
          </w:p>
        </w:tc>
      </w:tr>
      <w:tr w:rsidR="005540D7" w14:paraId="5A2B5AD6"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21A62B3F" w:rsidR="005540D7" w:rsidRPr="002A7577" w:rsidRDefault="005D1543" w:rsidP="00732949">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30/</w:t>
            </w:r>
            <w:r w:rsidRPr="005D1543">
              <w:rPr>
                <w:rFonts w:ascii="Helvetica Neue" w:eastAsia="Helvetica Neue" w:hAnsi="Helvetica Neue" w:cs="Helvetica Neue"/>
                <w:sz w:val="24"/>
                <w:szCs w:val="24"/>
              </w:rPr>
              <w:t>04/2019</w:t>
            </w:r>
          </w:p>
        </w:tc>
      </w:tr>
      <w:tr w:rsidR="005540D7" w14:paraId="32386F58"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1F56EC2A" w:rsidR="005540D7" w:rsidRPr="002A7577" w:rsidRDefault="00E76448" w:rsidP="00035006">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w:t>
            </w:r>
            <w:r w:rsidR="00035006">
              <w:rPr>
                <w:rFonts w:ascii="Helvetica Neue" w:eastAsia="Helvetica Neue" w:hAnsi="Helvetica Neue" w:cs="Helvetica Neue"/>
                <w:sz w:val="24"/>
                <w:szCs w:val="24"/>
              </w:rPr>
              <w:t>168,450</w:t>
            </w:r>
            <w:r w:rsidR="002E2577">
              <w:rPr>
                <w:rFonts w:ascii="Helvetica Neue" w:eastAsia="Helvetica Neue" w:hAnsi="Helvetica Neue" w:cs="Helvetica Neue"/>
                <w:sz w:val="24"/>
                <w:szCs w:val="24"/>
              </w:rPr>
              <w:t>.00</w:t>
            </w:r>
            <w:r w:rsidR="00D87D84">
              <w:rPr>
                <w:rFonts w:ascii="Helvetica Neue" w:eastAsia="Helvetica Neue" w:hAnsi="Helvetica Neue" w:cs="Helvetica Neue"/>
                <w:sz w:val="24"/>
                <w:szCs w:val="24"/>
              </w:rPr>
              <w:t xml:space="preserve"> exclusive of VAT</w:t>
            </w:r>
          </w:p>
        </w:tc>
      </w:tr>
      <w:tr w:rsidR="005540D7"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2AA81FF" w:rsidR="005540D7" w:rsidRPr="00E76448" w:rsidRDefault="00363246"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Fixed capacity / Invoice against PO number</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33D29FAA" w14:textId="65AE2BCD" w:rsidR="00363246" w:rsidRPr="00D87D84" w:rsidRDefault="0036324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HMRC</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rsidTr="005D395E">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729C6CC" w14:textId="1ED8D2DB"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r w:rsidR="00172286">
              <w:rPr>
                <w:rFonts w:ascii="Helvetica Neue" w:eastAsia="Helvetica Neue" w:hAnsi="Helvetica Neue" w:cs="Helvetica Neue"/>
                <w:sz w:val="24"/>
                <w:szCs w:val="24"/>
              </w:rPr>
              <w:t xml:space="preserve"> </w:t>
            </w:r>
            <w:r w:rsidR="00172286">
              <w:rPr>
                <w:rFonts w:ascii="Calibri" w:hAnsi="Calibri" w:cs="Calibri"/>
                <w:sz w:val="22"/>
                <w:szCs w:val="22"/>
              </w:rPr>
              <w:t>ICE, Britannia House, Caerphilly, CF83 3GG</w:t>
            </w:r>
          </w:p>
          <w:p w14:paraId="4E859E59" w14:textId="4EEC1E06"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172286">
              <w:rPr>
                <w:rFonts w:ascii="Calibri" w:hAnsi="Calibri" w:cs="Calibri"/>
                <w:sz w:val="22"/>
                <w:szCs w:val="22"/>
              </w:rPr>
              <w:t>4952566</w:t>
            </w:r>
          </w:p>
          <w:p w14:paraId="77189079" w14:textId="6DA5A0C2" w:rsidR="005540D7" w:rsidRDefault="005540D7">
            <w:pPr>
              <w:spacing w:after="0"/>
              <w:rPr>
                <w:rFonts w:ascii="Helvetica Neue" w:eastAsia="Helvetica Neue" w:hAnsi="Helvetica Neue" w:cs="Helvetica Neue"/>
                <w:sz w:val="24"/>
                <w:szCs w:val="24"/>
                <w:highlight w:val="yellow"/>
              </w:rPr>
            </w:pP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6BB53174" w:rsidR="005540D7" w:rsidRPr="00624265" w:rsidRDefault="008E0B6F">
            <w:pPr>
              <w:spacing w:after="0"/>
            </w:pPr>
            <w:r w:rsidRPr="00624265">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157545">
              <w:rPr>
                <w:rFonts w:ascii="Helvetica Neue" w:eastAsia="Helvetica Neue" w:hAnsi="Helvetica Neue" w:cs="Helvetica Neue"/>
                <w:sz w:val="24"/>
                <w:szCs w:val="24"/>
              </w:rPr>
              <w:t>Recruitment and Business Manager</w:t>
            </w:r>
          </w:p>
          <w:p w14:paraId="3B2C5637" w14:textId="2E8D5B8A" w:rsidR="005540D7" w:rsidRPr="00624265" w:rsidRDefault="008E0B6F">
            <w:pPr>
              <w:spacing w:after="0"/>
            </w:pPr>
            <w:r w:rsidRPr="00624265">
              <w:rPr>
                <w:rFonts w:ascii="Helvetica Neue" w:eastAsia="Helvetica Neue" w:hAnsi="Helvetica Neue" w:cs="Helvetica Neue"/>
                <w:sz w:val="24"/>
                <w:szCs w:val="24"/>
              </w:rPr>
              <w:t xml:space="preserve">Name: </w:t>
            </w:r>
            <w:r w:rsidR="00042C30">
              <w:rPr>
                <w:rFonts w:ascii="Helvetica Neue" w:eastAsia="Helvetica Neue" w:hAnsi="Helvetica Neue" w:cs="Helvetica Neue"/>
                <w:sz w:val="24"/>
                <w:szCs w:val="24"/>
              </w:rPr>
              <w:t>Redacted</w:t>
            </w:r>
          </w:p>
          <w:p w14:paraId="2EF457EB" w14:textId="39C4779C" w:rsidR="005540D7" w:rsidRPr="00624265" w:rsidRDefault="008E0B6F">
            <w:pPr>
              <w:spacing w:after="0"/>
            </w:pPr>
            <w:r w:rsidRPr="00624265">
              <w:rPr>
                <w:rFonts w:ascii="Helvetica Neue" w:eastAsia="Helvetica Neue" w:hAnsi="Helvetica Neue" w:cs="Helvetica Neue"/>
                <w:sz w:val="24"/>
                <w:szCs w:val="24"/>
              </w:rPr>
              <w:t xml:space="preserve">Email: </w:t>
            </w:r>
            <w:r w:rsidR="00042C30">
              <w:rPr>
                <w:rFonts w:ascii="Helvetica Neue" w:eastAsia="Helvetica Neue" w:hAnsi="Helvetica Neue" w:cs="Helvetica Neue"/>
                <w:sz w:val="24"/>
                <w:szCs w:val="24"/>
              </w:rPr>
              <w:t>Redacted</w:t>
            </w:r>
          </w:p>
          <w:p w14:paraId="6EDDA756" w14:textId="086F2F5A" w:rsidR="005540D7" w:rsidRPr="00122A42" w:rsidRDefault="008E0B6F" w:rsidP="00157545">
            <w:pPr>
              <w:spacing w:after="0"/>
              <w:rPr>
                <w:highlight w:val="yellow"/>
              </w:rPr>
            </w:pPr>
            <w:r w:rsidRPr="00624265">
              <w:rPr>
                <w:rFonts w:ascii="Helvetica Neue" w:eastAsia="Helvetica Neue" w:hAnsi="Helvetica Neue" w:cs="Helvetica Neue"/>
                <w:sz w:val="24"/>
                <w:szCs w:val="24"/>
              </w:rPr>
              <w:t xml:space="preserve">Phone: </w:t>
            </w:r>
            <w:r w:rsidR="00042C30">
              <w:rPr>
                <w:rFonts w:ascii="Helvetica Neue" w:eastAsia="Helvetica Neue" w:hAnsi="Helvetica Neue" w:cs="Helvetica Neue"/>
                <w:sz w:val="24"/>
                <w:szCs w:val="24"/>
              </w:rPr>
              <w:t>Redacted</w:t>
            </w:r>
          </w:p>
        </w:tc>
      </w:tr>
      <w:tr w:rsidR="005540D7" w14:paraId="54AF52BD" w14:textId="7777777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1A3C2748" w:rsidR="005540D7" w:rsidRPr="00624265" w:rsidRDefault="008E0B6F">
            <w:pPr>
              <w:spacing w:after="0"/>
            </w:pPr>
            <w:r w:rsidRPr="00624265">
              <w:rPr>
                <w:rFonts w:ascii="Helvetica Neue" w:eastAsia="Helvetica Neue" w:hAnsi="Helvetica Neue" w:cs="Helvetica Neue"/>
                <w:sz w:val="24"/>
                <w:szCs w:val="24"/>
              </w:rPr>
              <w:t>Title:</w:t>
            </w:r>
            <w:r w:rsidR="00122A42" w:rsidRPr="00624265">
              <w:rPr>
                <w:rFonts w:ascii="Helvetica Neue" w:eastAsia="Helvetica Neue" w:hAnsi="Helvetica Neue" w:cs="Helvetica Neue"/>
                <w:sz w:val="24"/>
                <w:szCs w:val="24"/>
              </w:rPr>
              <w:t xml:space="preserve"> </w:t>
            </w:r>
            <w:r w:rsidR="00172286">
              <w:rPr>
                <w:rFonts w:ascii="Helvetica Neue" w:eastAsia="Helvetica Neue" w:hAnsi="Helvetica Neue" w:cs="Helvetica Neue"/>
                <w:sz w:val="24"/>
                <w:szCs w:val="24"/>
              </w:rPr>
              <w:t>Director</w:t>
            </w:r>
          </w:p>
          <w:p w14:paraId="44C75BB1" w14:textId="1C2BC6DE" w:rsidR="005540D7" w:rsidRPr="00624265" w:rsidRDefault="008E0B6F">
            <w:pPr>
              <w:spacing w:after="0"/>
            </w:pPr>
            <w:r w:rsidRPr="00624265">
              <w:rPr>
                <w:rFonts w:ascii="Helvetica Neue" w:eastAsia="Helvetica Neue" w:hAnsi="Helvetica Neue" w:cs="Helvetica Neue"/>
                <w:sz w:val="24"/>
                <w:szCs w:val="24"/>
              </w:rPr>
              <w:t xml:space="preserve">Name: </w:t>
            </w:r>
            <w:r w:rsidR="00042C30">
              <w:rPr>
                <w:rFonts w:ascii="Helvetica Neue" w:eastAsia="Helvetica Neue" w:hAnsi="Helvetica Neue" w:cs="Helvetica Neue"/>
                <w:sz w:val="24"/>
                <w:szCs w:val="24"/>
              </w:rPr>
              <w:t>Redacted</w:t>
            </w:r>
          </w:p>
          <w:p w14:paraId="2F155E48" w14:textId="77F5E1B9" w:rsidR="005540D7" w:rsidRPr="00624265" w:rsidRDefault="008E0B6F">
            <w:pPr>
              <w:spacing w:after="0"/>
            </w:pPr>
            <w:r w:rsidRPr="00624265">
              <w:rPr>
                <w:rFonts w:ascii="Helvetica Neue" w:eastAsia="Helvetica Neue" w:hAnsi="Helvetica Neue" w:cs="Helvetica Neue"/>
                <w:sz w:val="24"/>
                <w:szCs w:val="24"/>
              </w:rPr>
              <w:t xml:space="preserve">Email: </w:t>
            </w:r>
            <w:r w:rsidR="00042C30">
              <w:rPr>
                <w:rFonts w:ascii="Helvetica Neue" w:eastAsia="Helvetica Neue" w:hAnsi="Helvetica Neue" w:cs="Helvetica Neue"/>
                <w:sz w:val="24"/>
                <w:szCs w:val="24"/>
              </w:rPr>
              <w:t>Redacted</w:t>
            </w:r>
          </w:p>
          <w:p w14:paraId="61CEC6D9" w14:textId="1AC1E94F" w:rsidR="005540D7" w:rsidRPr="00122A42" w:rsidRDefault="008E0B6F" w:rsidP="00157545">
            <w:pPr>
              <w:spacing w:after="0"/>
              <w:rPr>
                <w:highlight w:val="yellow"/>
              </w:rPr>
            </w:pPr>
            <w:r w:rsidRPr="00624265">
              <w:rPr>
                <w:rFonts w:ascii="Helvetica Neue" w:eastAsia="Helvetica Neue" w:hAnsi="Helvetica Neue" w:cs="Helvetica Neue"/>
                <w:sz w:val="24"/>
                <w:szCs w:val="24"/>
              </w:rPr>
              <w:t xml:space="preserve">Phone: </w:t>
            </w:r>
            <w:r w:rsidR="00042C30">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26DDB1F3" w:rsidR="005540D7" w:rsidRDefault="008E0B6F" w:rsidP="002E2577">
            <w:pPr>
              <w:spacing w:after="0"/>
            </w:pPr>
            <w:r w:rsidRPr="003869E1">
              <w:rPr>
                <w:rFonts w:ascii="Helvetica Neue" w:eastAsia="Helvetica Neue" w:hAnsi="Helvetica Neue" w:cs="Helvetica Neue"/>
                <w:sz w:val="24"/>
                <w:szCs w:val="24"/>
              </w:rPr>
              <w:t>T</w:t>
            </w:r>
            <w:r w:rsidR="00E76448" w:rsidRPr="003869E1">
              <w:rPr>
                <w:rFonts w:ascii="Helvetica Neue" w:eastAsia="Helvetica Neue" w:hAnsi="Helvetica Neue" w:cs="Helvetica Neue"/>
                <w:sz w:val="24"/>
                <w:szCs w:val="24"/>
              </w:rPr>
              <w:t>h</w:t>
            </w:r>
            <w:r w:rsidR="00122A42" w:rsidRPr="003869E1">
              <w:rPr>
                <w:rFonts w:ascii="Helvetica Neue" w:eastAsia="Helvetica Neue" w:hAnsi="Helvetica Neue" w:cs="Helvetica Neue"/>
                <w:sz w:val="24"/>
                <w:szCs w:val="24"/>
              </w:rPr>
              <w:t xml:space="preserve">is </w:t>
            </w:r>
            <w:r w:rsidR="00363246" w:rsidRPr="003869E1">
              <w:rPr>
                <w:rFonts w:ascii="Helvetica Neue" w:eastAsia="Helvetica Neue" w:hAnsi="Helvetica Neue" w:cs="Helvetica Neue"/>
                <w:sz w:val="24"/>
                <w:szCs w:val="24"/>
              </w:rPr>
              <w:t>Call-Off Contract Starts</w:t>
            </w:r>
            <w:r w:rsidR="00363246">
              <w:rPr>
                <w:rFonts w:ascii="Helvetica Neue" w:eastAsia="Helvetica Neue" w:hAnsi="Helvetica Neue" w:cs="Helvetica Neue"/>
                <w:sz w:val="24"/>
                <w:szCs w:val="24"/>
              </w:rPr>
              <w:t xml:space="preserve"> </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4A7F566A" w:rsidR="005540D7" w:rsidRPr="00C05786" w:rsidRDefault="008E0B6F" w:rsidP="00E76448">
            <w:pPr>
              <w:spacing w:after="0"/>
            </w:pPr>
            <w:r w:rsidRPr="003869E1">
              <w:rPr>
                <w:rFonts w:ascii="Helvetica Neue" w:eastAsia="Helvetica Neue" w:hAnsi="Helvetica Neue" w:cs="Helvetica Neue"/>
                <w:sz w:val="24"/>
                <w:szCs w:val="24"/>
              </w:rPr>
              <w:t xml:space="preserve">This Call-Off Contract can be extended by the Buyer for </w:t>
            </w:r>
            <w:r w:rsidR="00C05786" w:rsidRPr="003869E1">
              <w:rPr>
                <w:rFonts w:ascii="Helvetica Neue" w:eastAsia="Helvetica Neue" w:hAnsi="Helvetica Neue" w:cs="Helvetica Neue"/>
                <w:sz w:val="24"/>
                <w:szCs w:val="24"/>
              </w:rPr>
              <w:t xml:space="preserve">1 period(s) of </w:t>
            </w:r>
            <w:r w:rsidR="005F77EF">
              <w:rPr>
                <w:rFonts w:ascii="Helvetica Neue" w:eastAsia="Helvetica Neue" w:hAnsi="Helvetica Neue" w:cs="Helvetica Neue"/>
                <w:sz w:val="24"/>
                <w:szCs w:val="24"/>
              </w:rPr>
              <w:t>3</w:t>
            </w:r>
            <w:r w:rsidR="00E76448" w:rsidRPr="003869E1">
              <w:rPr>
                <w:rFonts w:ascii="Helvetica Neue" w:eastAsia="Helvetica Neue" w:hAnsi="Helvetica Neue" w:cs="Helvetica Neue"/>
                <w:sz w:val="24"/>
                <w:szCs w:val="24"/>
              </w:rPr>
              <w:t xml:space="preserve"> month</w:t>
            </w:r>
            <w:r w:rsidRPr="003869E1">
              <w:rPr>
                <w:rFonts w:ascii="Helvetica Neue" w:eastAsia="Helvetica Neue" w:hAnsi="Helvetica Neue" w:cs="Helvetica Neue"/>
                <w:sz w:val="24"/>
                <w:szCs w:val="24"/>
              </w:rPr>
              <w:t xml:space="preserve">, by giving the Supplier </w:t>
            </w:r>
            <w:r w:rsidR="00E76448" w:rsidRPr="003869E1">
              <w:rPr>
                <w:rFonts w:ascii="Helvetica Neue" w:eastAsia="Helvetica Neue" w:hAnsi="Helvetica Neue" w:cs="Helvetica Neue"/>
                <w:sz w:val="24"/>
                <w:szCs w:val="24"/>
              </w:rPr>
              <w:t xml:space="preserve">30 </w:t>
            </w:r>
            <w:r w:rsidR="00C05786" w:rsidRPr="003869E1">
              <w:rPr>
                <w:rFonts w:ascii="Helvetica Neue" w:eastAsia="Helvetica Neue" w:hAnsi="Helvetica Neue" w:cs="Helvetica Neue"/>
                <w:sz w:val="24"/>
                <w:szCs w:val="24"/>
              </w:rPr>
              <w:t xml:space="preserve">days </w:t>
            </w:r>
            <w:r w:rsidRPr="003869E1">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53C7EA95" w:rsidR="008D3504" w:rsidRPr="003869E1" w:rsidRDefault="008E0B6F" w:rsidP="008D3504">
            <w:pPr>
              <w:spacing w:after="0"/>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 xml:space="preserve">The Services to be provided by the Supplier under the above Lot are listed in </w:t>
            </w:r>
            <w:r w:rsidR="00AE12C3">
              <w:rPr>
                <w:rFonts w:ascii="Helvetica Neue" w:eastAsia="Helvetica Neue" w:hAnsi="Helvetica Neue" w:cs="Helvetica Neue"/>
                <w:sz w:val="24"/>
                <w:szCs w:val="24"/>
              </w:rPr>
              <w:t>”Schedule 1 – Services”</w:t>
            </w:r>
            <w:r w:rsidR="00AE12C3" w:rsidRPr="003869E1">
              <w:rPr>
                <w:rFonts w:ascii="Helvetica Neue" w:eastAsia="Helvetica Neue" w:hAnsi="Helvetica Neue" w:cs="Helvetica Neue"/>
                <w:sz w:val="24"/>
                <w:szCs w:val="24"/>
              </w:rPr>
              <w:t xml:space="preserve"> </w:t>
            </w:r>
            <w:r w:rsidRPr="003869E1">
              <w:rPr>
                <w:rFonts w:ascii="Helvetica Neue" w:eastAsia="Helvetica Neue" w:hAnsi="Helvetica Neue" w:cs="Helvetica Neue"/>
                <w:sz w:val="24"/>
                <w:szCs w:val="24"/>
              </w:rPr>
              <w:t>and outlined below:</w:t>
            </w:r>
          </w:p>
          <w:p w14:paraId="32B81A71" w14:textId="5D48EC0F" w:rsidR="002311A1" w:rsidRPr="003869E1" w:rsidRDefault="002311A1" w:rsidP="002E2577">
            <w:pPr>
              <w:spacing w:after="0"/>
            </w:pP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3869E1" w:rsidRDefault="00002F90">
            <w:pPr>
              <w:spacing w:after="0"/>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N/A</w:t>
            </w:r>
          </w:p>
        </w:tc>
      </w:tr>
      <w:tr w:rsidR="005540D7" w14:paraId="7743E383"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0E14E1" w14:textId="17E7CE84" w:rsidR="00A87D42" w:rsidRPr="003869E1" w:rsidRDefault="00B0770C" w:rsidP="00AE12C3">
            <w:pPr>
              <w:spacing w:after="0" w:line="240" w:lineRule="auto"/>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 xml:space="preserve">Base location will </w:t>
            </w:r>
            <w:r w:rsidR="007712E6" w:rsidRPr="003869E1">
              <w:rPr>
                <w:rFonts w:ascii="Helvetica Neue" w:eastAsia="Helvetica Neue" w:hAnsi="Helvetica Neue" w:cs="Helvetica Neue"/>
                <w:sz w:val="24"/>
                <w:szCs w:val="24"/>
              </w:rPr>
              <w:t xml:space="preserve">be Cardiff with some travel to Manchester and </w:t>
            </w:r>
            <w:r w:rsidR="00AE12C3">
              <w:rPr>
                <w:rFonts w:ascii="Helvetica Neue" w:eastAsia="Helvetica Neue" w:hAnsi="Helvetica Neue" w:cs="Helvetica Neue"/>
                <w:sz w:val="24"/>
                <w:szCs w:val="24"/>
              </w:rPr>
              <w:t>Telford</w:t>
            </w:r>
          </w:p>
        </w:tc>
      </w:tr>
      <w:tr w:rsidR="005540D7" w14:paraId="745B53C8"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4AD99977" w:rsidR="00961F2C" w:rsidRPr="003869E1" w:rsidRDefault="007712E6" w:rsidP="00961F2C">
            <w:pPr>
              <w:spacing w:after="0" w:line="240" w:lineRule="auto"/>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Quality outcomes will be assessed by the Head of Design and Platform and his team</w:t>
            </w:r>
          </w:p>
          <w:p w14:paraId="07CA4D36" w14:textId="77777777" w:rsidR="00961F2C" w:rsidRPr="003869E1" w:rsidRDefault="00961F2C" w:rsidP="00961F2C">
            <w:pPr>
              <w:spacing w:after="0" w:line="240" w:lineRule="auto"/>
              <w:rPr>
                <w:rFonts w:ascii="Helvetica Neue" w:eastAsia="Helvetica Neue" w:hAnsi="Helvetica Neue" w:cs="Helvetica Neue"/>
                <w:sz w:val="24"/>
                <w:szCs w:val="24"/>
              </w:rPr>
            </w:pPr>
          </w:p>
          <w:p w14:paraId="7700CA3C" w14:textId="77777777" w:rsidR="00961F2C" w:rsidRPr="003869E1" w:rsidRDefault="00961F2C" w:rsidP="00A8634D">
            <w:pPr>
              <w:jc w:val="both"/>
            </w:pPr>
          </w:p>
        </w:tc>
      </w:tr>
      <w:tr w:rsidR="005540D7" w14:paraId="186DD751"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9D80C6" w14:textId="259D359D" w:rsidR="005540D7" w:rsidRPr="003869E1" w:rsidRDefault="00732949" w:rsidP="00961F2C">
            <w:pPr>
              <w:spacing w:after="0" w:line="240" w:lineRule="auto"/>
              <w:rPr>
                <w:rFonts w:ascii="Helvetica Neue" w:eastAsia="Helvetica Neue" w:hAnsi="Helvetica Neue" w:cs="Helvetica Neue"/>
                <w:sz w:val="24"/>
                <w:szCs w:val="24"/>
              </w:rPr>
            </w:pPr>
            <w:r w:rsidRPr="003869E1">
              <w:rPr>
                <w:rFonts w:ascii="Helvetica Neue" w:eastAsia="Helvetica Neue" w:hAnsi="Helvetica Neue" w:cs="Helvetica Neue"/>
                <w:sz w:val="24"/>
                <w:szCs w:val="24"/>
              </w:rPr>
              <w:t>Resource provided will be expected to have specific experience of working with warehousing</w:t>
            </w:r>
            <w:r w:rsidR="00035006">
              <w:rPr>
                <w:rFonts w:ascii="Helvetica Neue" w:eastAsia="Helvetica Neue" w:hAnsi="Helvetica Neue" w:cs="Helvetica Neue"/>
                <w:sz w:val="24"/>
                <w:szCs w:val="24"/>
              </w:rPr>
              <w:t xml:space="preserve"> SAS</w:t>
            </w:r>
            <w:r w:rsidRPr="003869E1">
              <w:rPr>
                <w:rFonts w:ascii="Helvetica Neue" w:eastAsia="Helvetica Neue" w:hAnsi="Helvetica Neue" w:cs="Helvetica Neue"/>
                <w:sz w:val="24"/>
                <w:szCs w:val="24"/>
              </w:rPr>
              <w:t xml:space="preserve">, Pentaho and HDFS technologies.  </w:t>
            </w:r>
          </w:p>
          <w:p w14:paraId="0561EA80" w14:textId="77777777" w:rsidR="00961F2C" w:rsidRPr="003869E1" w:rsidRDefault="00961F2C" w:rsidP="00A8634D">
            <w:pPr>
              <w:spacing w:after="0" w:line="240" w:lineRule="auto"/>
              <w:rPr>
                <w:rFonts w:ascii="Helvetica Neue" w:eastAsia="Helvetica Neue" w:hAnsi="Helvetica Neue" w:cs="Helvetica Neue"/>
                <w:sz w:val="24"/>
                <w:szCs w:val="24"/>
              </w:rPr>
            </w:pP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6AC259D6" w:rsidR="005540D7" w:rsidRDefault="00A87D42"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Service level and availability criteria are not applicable</w:t>
            </w:r>
          </w:p>
        </w:tc>
      </w:tr>
      <w:tr w:rsidR="00C05786" w14:paraId="229AA5BD"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3FF8918F"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14:paraId="761860D1" w14:textId="77777777" w:rsidR="00961F2C" w:rsidRPr="00DE22CB" w:rsidRDefault="00961F2C" w:rsidP="00961F2C">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14:paraId="20471967"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77777777" w:rsidR="00961F2C" w:rsidRPr="00002F90" w:rsidRDefault="00C05786" w:rsidP="00002F90">
            <w:pPr>
              <w:rPr>
                <w:rFonts w:ascii="Helvetica Neue" w:eastAsia="Helvetica Neue" w:hAnsi="Helvetica Neue" w:cs="Helvetica Neue"/>
                <w:sz w:val="24"/>
                <w:szCs w:val="24"/>
                <w:highlight w:val="yellow"/>
              </w:rPr>
            </w:pPr>
            <w:r w:rsidRPr="00DE22CB">
              <w:rPr>
                <w:rFonts w:ascii="Helvetica Neue" w:eastAsia="Helvetica Neue" w:hAnsi="Helvetica Neue" w:cs="Helvetica Neue"/>
                <w:sz w:val="24"/>
                <w:szCs w:val="24"/>
              </w:rPr>
              <w:t>The supplier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14:paraId="0A9F50A6"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7777777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E429C39" w:rsidR="00C05786" w:rsidRPr="006401B0" w:rsidRDefault="00596C96" w:rsidP="00C31A9E">
            <w:pPr>
              <w:pStyle w:val="ListParagraph"/>
              <w:numPr>
                <w:ilvl w:val="0"/>
                <w:numId w:val="50"/>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lastRenderedPageBreak/>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14:paraId="6283967F" w14:textId="7777777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11185" w14:textId="77777777" w:rsidR="00E25B5A" w:rsidRDefault="00E25B5A" w:rsidP="00E25B5A">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Pr>
                <w:rFonts w:ascii="Helvetica Neue" w:eastAsia="Helvetica Neue" w:hAnsi="Helvetica Neue" w:cs="Helvetica Neue"/>
                <w:sz w:val="24"/>
                <w:szCs w:val="24"/>
              </w:rPr>
              <w:t>:</w:t>
            </w:r>
          </w:p>
          <w:p w14:paraId="68175778" w14:textId="22CFEA70" w:rsidR="005540D7" w:rsidRPr="002437F2" w:rsidRDefault="00E25B5A" w:rsidP="00E25B5A">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HMRC Networked machines</w:t>
            </w:r>
            <w:r w:rsidR="00AE12C3">
              <w:rPr>
                <w:rFonts w:ascii="Helvetica Neue" w:eastAsia="Helvetica Neue" w:hAnsi="Helvetica Neue" w:cs="Helvetica Neue"/>
                <w:sz w:val="24"/>
                <w:szCs w:val="24"/>
              </w:rPr>
              <w:t>, suitable for SAS Development (i.e. “Data Science” specification)</w:t>
            </w:r>
            <w:r w:rsidR="00AE12C3" w:rsidRPr="0072154A">
              <w:rPr>
                <w:rFonts w:ascii="Helvetica Neue" w:eastAsia="Helvetica Neue" w:hAnsi="Helvetica Neue" w:cs="Helvetica Neue"/>
                <w:sz w:val="24"/>
                <w:szCs w:val="24"/>
              </w:rPr>
              <w:t>.</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rsidTr="0077276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6DFD4D2D" w:rsidR="005540D7" w:rsidRDefault="005540D7">
            <w:pPr>
              <w:spacing w:after="0" w:line="240" w:lineRule="auto"/>
              <w:rPr>
                <w:rFonts w:ascii="Helvetica Neue" w:eastAsia="Helvetica Neue" w:hAnsi="Helvetica Neue" w:cs="Helvetica Neue"/>
                <w:sz w:val="24"/>
                <w:szCs w:val="24"/>
                <w:highlight w:val="green"/>
              </w:rPr>
            </w:pP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10"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lastRenderedPageBreak/>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4507120D"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7B4953">
              <w:rPr>
                <w:rFonts w:ascii="Helvetica Neue" w:eastAsia="Helvetica Neue" w:hAnsi="Helvetica Neue" w:cs="Helvetica Neue"/>
                <w:sz w:val="24"/>
                <w:szCs w:val="24"/>
              </w:rPr>
              <w:t xml:space="preserve"> order number and detailed breakdown of the G-Cloud services supplied.</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378DA088" w:rsidR="00C83E31" w:rsidRPr="002437F2" w:rsidRDefault="00C83E31" w:rsidP="00B8658A">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w:t>
            </w:r>
            <w:r w:rsidR="00B8658A">
              <w:rPr>
                <w:rFonts w:ascii="Helvetica Neue" w:eastAsia="Helvetica Neue" w:hAnsi="Helvetica Neue" w:cs="Helvetica Neue"/>
                <w:sz w:val="24"/>
                <w:szCs w:val="24"/>
              </w:rPr>
              <w:t>submitted in arrears on a monthly basis</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70F8A887" w:rsidR="00C83E31" w:rsidRPr="007712E6" w:rsidRDefault="00C83E31" w:rsidP="00035006">
            <w:r w:rsidRPr="007712E6">
              <w:t xml:space="preserve">The </w:t>
            </w:r>
            <w:r w:rsidR="00A37A92" w:rsidRPr="007712E6">
              <w:t xml:space="preserve">maximum </w:t>
            </w:r>
            <w:r w:rsidRPr="007712E6">
              <w:t xml:space="preserve">total value of this Call-Off Contract is </w:t>
            </w:r>
            <w:r w:rsidR="00961F2C" w:rsidRPr="007712E6">
              <w:t>£</w:t>
            </w:r>
            <w:r w:rsidR="00035006">
              <w:t>168,450.00</w:t>
            </w:r>
            <w:r w:rsidR="00A37A92" w:rsidRPr="007712E6">
              <w:t xml:space="preserve"> (exclusive of VAT)</w:t>
            </w:r>
          </w:p>
        </w:tc>
      </w:tr>
      <w:tr w:rsidR="00C83E31" w14:paraId="4C219CB2" w14:textId="77777777"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7777777" w:rsidR="00451EEA" w:rsidRPr="007712E6" w:rsidRDefault="00D76507" w:rsidP="007712E6">
            <w:r w:rsidRPr="007712E6">
              <w:t>The breakdown of the Charges is:</w:t>
            </w:r>
            <w:r w:rsidR="00451EEA" w:rsidRPr="007712E6">
              <w:t xml:space="preserve"> </w:t>
            </w:r>
          </w:p>
          <w:p w14:paraId="0F29A813" w14:textId="19DE4199" w:rsidR="00B36F67" w:rsidRPr="007712E6" w:rsidRDefault="00732949" w:rsidP="00B36F67">
            <w:r w:rsidRPr="007712E6">
              <w:t xml:space="preserve"> </w:t>
            </w:r>
            <w:r w:rsidR="00042C30">
              <w:rPr>
                <w:rFonts w:ascii="Helvetica Neue" w:eastAsia="Helvetica Neue" w:hAnsi="Helvetica Neue" w:cs="Helvetica Neue"/>
                <w:sz w:val="24"/>
                <w:szCs w:val="24"/>
              </w:rPr>
              <w:t>Redacted</w:t>
            </w:r>
          </w:p>
        </w:tc>
      </w:tr>
    </w:tbl>
    <w:p w14:paraId="4085308E" w14:textId="77777777" w:rsidR="005540D7" w:rsidRDefault="005540D7">
      <w:pPr>
        <w:rPr>
          <w:rFonts w:ascii="Helvetica Neue" w:eastAsia="Helvetica Neue" w:hAnsi="Helvetica Neue" w:cs="Helvetica Neue"/>
          <w:sz w:val="24"/>
          <w:szCs w:val="24"/>
        </w:rPr>
      </w:pPr>
      <w:bookmarkStart w:id="15" w:name="_5iohy2muxioh"/>
      <w:bookmarkEnd w:id="15"/>
    </w:p>
    <w:p w14:paraId="50A493E6"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rsidTr="0077276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D4C9C3E" w14:textId="77777777" w:rsidR="00AE12C3" w:rsidRDefault="00AE12C3" w:rsidP="00AE12C3">
            <w:pPr>
              <w:pStyle w:val="NormalWeb"/>
              <w:shd w:val="clear" w:color="auto" w:fill="FFFFFF"/>
              <w:rPr>
                <w:rFonts w:ascii="Helvetica Neue" w:eastAsia="Helvetica Neue" w:hAnsi="Helvetica Neue" w:cs="Helvetica Neue"/>
              </w:rPr>
            </w:pPr>
            <w:bookmarkStart w:id="18" w:name="_3rdcrjn"/>
            <w:bookmarkEnd w:id="18"/>
            <w:r>
              <w:rPr>
                <w:rFonts w:ascii="Helvetica Neue" w:eastAsia="Helvetica Neue" w:hAnsi="Helvetica Neue" w:cs="Helvetica Neue"/>
              </w:rPr>
              <w:t>As outlined in “Schedule 1 – Services”</w:t>
            </w:r>
          </w:p>
          <w:p w14:paraId="7ECEDAD8" w14:textId="5E20D9B3" w:rsidR="005540D7" w:rsidRPr="00C31A9E" w:rsidRDefault="005540D7" w:rsidP="00CD0867">
            <w:pPr>
              <w:pStyle w:val="NormalWeb"/>
              <w:shd w:val="clear" w:color="auto" w:fill="FFFFFF"/>
              <w:rPr>
                <w:rFonts w:ascii="Helvetica Neue" w:eastAsia="Helvetica Neue" w:hAnsi="Helvetica Neue" w:cs="Helvetica Neue"/>
              </w:rPr>
            </w:pP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189CEA83" w:rsidR="00C83E31" w:rsidRPr="002437F2" w:rsidRDefault="004B7CE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w:t>
            </w:r>
            <w:r w:rsidRPr="002437F2">
              <w:rPr>
                <w:rFonts w:ascii="Helvetica Neue" w:eastAsia="Helvetica Neue" w:hAnsi="Helvetica Neue" w:cs="Helvetica Neue"/>
                <w:sz w:val="24"/>
                <w:szCs w:val="24"/>
              </w:rPr>
              <w:lastRenderedPageBreak/>
              <w:t>Contract shall belong to the Buyer; and the Supplier shall not, and shall ensure that the Staff shall not, (except when necessary for the performance of the Contract) without prior Approval, use or disclose any intellectual Property Rights in the lP 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7DBAE280" w14:textId="4097F625" w:rsidR="00653529" w:rsidRPr="00732949"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732949">
              <w:rPr>
                <w:rFonts w:ascii="Helvetica Neue" w:eastAsia="Helvetica Neue" w:hAnsi="Helvetica Neue" w:cs="Helvetica Neue"/>
                <w:sz w:val="24"/>
                <w:szCs w:val="24"/>
              </w:rPr>
              <w:br/>
              <w:t> </w:t>
            </w:r>
          </w:p>
          <w:p w14:paraId="05904389" w14:textId="77777777" w:rsidR="00653529" w:rsidRPr="002437F2" w:rsidRDefault="00653529" w:rsidP="00C31A9E">
            <w:pPr>
              <w:numPr>
                <w:ilvl w:val="0"/>
                <w:numId w:val="49"/>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5"/>
              <w:gridCol w:w="3948"/>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45E54396"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732949">
                    <w:rPr>
                      <w:rFonts w:ascii="Helvetica Neue" w:eastAsia="Helvetica Neue" w:hAnsi="Helvetica Neue" w:cs="Helvetica Neue"/>
                      <w:sz w:val="24"/>
                      <w:szCs w:val="24"/>
                    </w:rPr>
                    <w:t>ped Rates</w:t>
                  </w:r>
                  <w:r w:rsidR="00732949">
                    <w:rPr>
                      <w:rFonts w:ascii="Helvetica Neue" w:eastAsia="Helvetica Neue" w:hAnsi="Helvetica Neue" w:cs="Helvetica Neue"/>
                      <w:sz w:val="24"/>
                      <w:szCs w:val="24"/>
                    </w:rPr>
                    <w:br/>
                    <w:t>Effective from 01/05/0</w:t>
                  </w:r>
                  <w:r w:rsidRPr="00EB2264">
                    <w:rPr>
                      <w:rFonts w:ascii="Helvetica Neue" w:eastAsia="Helvetica Neue" w:hAnsi="Helvetica Neue" w:cs="Helvetica Neue"/>
                      <w:sz w:val="24"/>
                      <w:szCs w:val="24"/>
                    </w:rPr>
                    <w:t>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lastRenderedPageBreak/>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C9286C" w14:textId="475E0C8E" w:rsidR="005540D7" w:rsidRPr="00EB2264" w:rsidRDefault="004118B4" w:rsidP="00D87D8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2.1 Suppliers should ensure that the relevant purchase order reference number is shown on all invoices and other ancillary documentation, such as </w:t>
            </w:r>
            <w:r w:rsidRPr="00C83E31">
              <w:rPr>
                <w:rFonts w:ascii="Helvetica Neue" w:eastAsia="Helvetica Neue" w:hAnsi="Helvetica Neue" w:cs="Helvetica Neue"/>
                <w:sz w:val="24"/>
                <w:szCs w:val="24"/>
              </w:rPr>
              <w:lastRenderedPageBreak/>
              <w:t>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t>
            </w:r>
            <w:r w:rsidRPr="00C83E31">
              <w:rPr>
                <w:rFonts w:ascii="Helvetica Neue" w:eastAsia="Helvetica Neue" w:hAnsi="Helvetica Neue" w:cs="Helvetica Neue"/>
                <w:sz w:val="24"/>
                <w:szCs w:val="24"/>
              </w:rPr>
              <w:lastRenderedPageBreak/>
              <w:t xml:space="preserve">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206FA902" w:rsidR="00C83E31" w:rsidRPr="00C83E31" w:rsidRDefault="00943710"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object w:dxaOrig="1412" w:dyaOrig="922" w14:anchorId="6C349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8pt;height:45.75pt" o:ole="">
                  <v:imagedata r:id="rId11" o:title=""/>
                </v:shape>
                <o:OLEObject Type="Embed" ProgID="AcroExch.Document.11" ShapeID="_x0000_i1026" DrawAspect="Icon" ObjectID="_1608550762" r:id="rId12"/>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0" w:name="_MON_1488776068"/>
          <w:bookmarkEnd w:id="20"/>
          <w:p w14:paraId="2241A465"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7" type="#_x0000_t75" style="width:79.3pt;height:50.65pt" o:ole="">
                  <v:imagedata r:id="rId13" o:title=""/>
                </v:shape>
                <o:OLEObject Type="Embed" ProgID="Word.Document.8" ShapeID="_x0000_i1027" DrawAspect="Icon" ObjectID="_1608550763" r:id="rId14">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3852B5CD" w:rsidR="00C83E31" w:rsidRPr="00C83E31" w:rsidRDefault="00943710" w:rsidP="00C83E31">
            <w:pPr>
              <w:rPr>
                <w:rFonts w:ascii="Helvetica Neue" w:eastAsia="Helvetica Neue" w:hAnsi="Helvetica Neue" w:cs="Helvetica Neue"/>
                <w:sz w:val="24"/>
                <w:szCs w:val="24"/>
              </w:rPr>
            </w:pPr>
            <w:r>
              <w:rPr>
                <w:rFonts w:ascii="Helvetica Neue" w:eastAsia="Helvetica Neue" w:hAnsi="Helvetica Neue" w:cs="Helvetica Neue"/>
                <w:sz w:val="24"/>
                <w:szCs w:val="24"/>
              </w:rPr>
              <w:object w:dxaOrig="1412" w:dyaOrig="922" w14:anchorId="605CC58E">
                <v:shape id="_x0000_i1028" type="#_x0000_t75" style="width:70.8pt;height:45.75pt" o:ole="">
                  <v:imagedata r:id="rId15" o:title=""/>
                </v:shape>
                <o:OLEObject Type="Embed" ProgID="AcroExch.Document.11" ShapeID="_x0000_i1028" DrawAspect="Icon" ObjectID="_1608550764" r:id="rId16"/>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15CE4317" w14:textId="77777777"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29" type="#_x0000_t75" style="width:79.3pt;height:50.65pt" o:ole="">
                  <v:imagedata r:id="rId17" o:title=""/>
                </v:shape>
                <o:OLEObject Type="Embed" ProgID="Word.Document.8" ShapeID="_x0000_i1029" DrawAspect="Icon" ObjectID="_1608550765" r:id="rId18">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6D0ECB5A" w:rsidR="005540D7" w:rsidRDefault="00B36F6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w:t>
            </w:r>
          </w:p>
        </w:tc>
      </w:tr>
      <w:tr w:rsidR="005540D7" w14:paraId="0CF6FEB3" w14:textId="77777777" w:rsidTr="005D395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3323E337" w:rsidR="005540D7" w:rsidRDefault="008E0B6F" w:rsidP="001C182B">
            <w:pPr>
              <w:spacing w:after="0" w:line="240" w:lineRule="auto"/>
            </w:pPr>
            <w:r>
              <w:rPr>
                <w:rFonts w:ascii="Helvetica Neue" w:hAnsi="Helvetica Neue" w:cs="Helvetica"/>
                <w:color w:val="353535"/>
                <w:sz w:val="24"/>
                <w:szCs w:val="24"/>
              </w:rPr>
              <w:t>Will Schedule 7 – Processing, Personal Data and Data Subjects be used</w:t>
            </w:r>
            <w:r w:rsidR="00732949">
              <w:rPr>
                <w:rFonts w:ascii="Helvetica Neue" w:hAnsi="Helvetica Neue" w:cs="Helvetica"/>
                <w:color w:val="353535"/>
                <w:sz w:val="24"/>
                <w:szCs w:val="24"/>
              </w:rPr>
              <w:t xml:space="preserve"> – </w:t>
            </w:r>
            <w:r w:rsidR="001C182B">
              <w:rPr>
                <w:rFonts w:ascii="Helvetica Neue" w:hAnsi="Helvetica Neue" w:cs="Helvetica"/>
                <w:color w:val="353535"/>
                <w:sz w:val="24"/>
                <w:szCs w:val="24"/>
              </w:rPr>
              <w:t>Yes</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C31A9E">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7E875D00"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465F21C9"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2A07C1B6"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325A1EDF"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069F2E93" w:rsidR="005540D7" w:rsidRPr="00596C96" w:rsidRDefault="00042C30">
            <w:pPr>
              <w:spacing w:before="60" w:after="60"/>
              <w:rPr>
                <w:rFonts w:ascii="Brush Script MT" w:hAnsi="Brush Script MT"/>
                <w:i/>
                <w:sz w:val="48"/>
                <w:szCs w:val="48"/>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1F9BAD75" w:rsidR="005540D7" w:rsidRDefault="00042C30">
            <w:pPr>
              <w:spacing w:before="60" w:after="60"/>
            </w:pPr>
            <w:r>
              <w:rPr>
                <w:rFonts w:ascii="Helvetica Neue" w:eastAsia="Helvetica Neue" w:hAnsi="Helvetica Neue" w:cs="Helvetica Neue"/>
                <w:sz w:val="24"/>
                <w:szCs w:val="24"/>
              </w:rPr>
              <w:t>Redacted</w:t>
            </w: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23CA6D82"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27D7DF3B" w:rsidR="005540D7" w:rsidRDefault="00042C30">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bl>
    <w:p w14:paraId="4C6BA48D" w14:textId="77777777" w:rsidR="005540D7" w:rsidRDefault="005540D7">
      <w:pPr>
        <w:spacing w:after="0"/>
        <w:rPr>
          <w:rFonts w:ascii="Helvetica Neue" w:eastAsia="Helvetica Neue" w:hAnsi="Helvetica Neue" w:cs="Helvetica Neue"/>
          <w:b/>
          <w:sz w:val="24"/>
          <w:szCs w:val="24"/>
        </w:rPr>
      </w:pPr>
    </w:p>
    <w:p w14:paraId="589487B8" w14:textId="77777777" w:rsidR="005540D7" w:rsidRDefault="008E0B6F">
      <w:pPr>
        <w:pStyle w:val="Heading1"/>
        <w:spacing w:after="200" w:line="276" w:lineRule="auto"/>
        <w:rPr>
          <w:rFonts w:ascii="Helvetica Neue" w:eastAsia="Helvetica Neue" w:hAnsi="Helvetica Neue" w:cs="Helvetica Neue"/>
          <w:sz w:val="24"/>
          <w:szCs w:val="24"/>
        </w:rPr>
      </w:pPr>
      <w:bookmarkStart w:id="22" w:name="_Toc509486707"/>
      <w:r w:rsidRPr="007F3E56">
        <w:rPr>
          <w:rFonts w:ascii="Helvetica Neue" w:eastAsia="Helvetica Neue" w:hAnsi="Helvetica Neue" w:cs="Helvetica Neue"/>
          <w:sz w:val="24"/>
          <w:szCs w:val="24"/>
        </w:rPr>
        <w:t xml:space="preserve">Schedule 1 </w:t>
      </w:r>
      <w:r w:rsidR="00961F2C" w:rsidRPr="007F3E56">
        <w:rPr>
          <w:rFonts w:ascii="Helvetica Neue" w:eastAsia="Helvetica Neue" w:hAnsi="Helvetica Neue" w:cs="Helvetica Neue"/>
          <w:sz w:val="24"/>
          <w:szCs w:val="24"/>
        </w:rPr>
        <w:t>–</w:t>
      </w:r>
      <w:r w:rsidRPr="007F3E56">
        <w:rPr>
          <w:rFonts w:ascii="Helvetica Neue" w:eastAsia="Helvetica Neue" w:hAnsi="Helvetica Neue" w:cs="Helvetica Neue"/>
          <w:sz w:val="24"/>
          <w:szCs w:val="24"/>
        </w:rPr>
        <w:t xml:space="preserve"> Services</w:t>
      </w:r>
      <w:bookmarkEnd w:id="22"/>
    </w:p>
    <w:p w14:paraId="00423C7D" w14:textId="77777777" w:rsidR="00113E3A" w:rsidRDefault="00113E3A" w:rsidP="00113E3A">
      <w:pPr>
        <w:spacing w:after="40" w:line="240" w:lineRule="auto"/>
      </w:pPr>
      <w:bookmarkStart w:id="23" w:name="_Toc509486708"/>
      <w:r>
        <w:t>1.1</w:t>
      </w:r>
      <w:r>
        <w:tab/>
        <w:t xml:space="preserve">Requirements </w:t>
      </w:r>
    </w:p>
    <w:p w14:paraId="08172C21" w14:textId="77777777" w:rsidR="00113E3A" w:rsidRDefault="00113E3A" w:rsidP="00113E3A">
      <w:pPr>
        <w:spacing w:after="40" w:line="240" w:lineRule="auto"/>
      </w:pPr>
      <w:r>
        <w:t>1.1.1</w:t>
      </w:r>
      <w:r>
        <w:tab/>
        <w:t>SAS Tenancy for DLS Data Quality</w:t>
      </w:r>
    </w:p>
    <w:p w14:paraId="7C04A19D" w14:textId="77777777" w:rsidR="00113E3A" w:rsidRDefault="00113E3A" w:rsidP="00113E3A">
      <w:pPr>
        <w:spacing w:after="40" w:line="240" w:lineRule="auto"/>
        <w:ind w:left="709"/>
      </w:pPr>
      <w:r>
        <w:t>CNI require a SAS tenancy providing the tools, environments and data access necessary to develop and deploy data quality processes.</w:t>
      </w:r>
    </w:p>
    <w:p w14:paraId="58B8F205" w14:textId="77777777" w:rsidR="00113E3A" w:rsidRDefault="00113E3A" w:rsidP="00113E3A">
      <w:pPr>
        <w:spacing w:after="40" w:line="240" w:lineRule="auto"/>
        <w:ind w:left="709"/>
      </w:pPr>
      <w:r>
        <w:t></w:t>
      </w:r>
      <w:r>
        <w:tab/>
        <w:t>Ongoing support for the provisioning of the in-flight DQ project deliverables, including:</w:t>
      </w:r>
    </w:p>
    <w:p w14:paraId="4A298D65" w14:textId="77777777" w:rsidR="00113E3A" w:rsidRDefault="00113E3A" w:rsidP="00113E3A">
      <w:pPr>
        <w:spacing w:after="40" w:line="240" w:lineRule="auto"/>
        <w:ind w:left="1418"/>
      </w:pPr>
      <w:r>
        <w:t>-</w:t>
      </w:r>
      <w:r>
        <w:tab/>
        <w:t>Platform assurance: defect identification and resolution/workarounds</w:t>
      </w:r>
    </w:p>
    <w:p w14:paraId="372244E4" w14:textId="77777777" w:rsidR="00113E3A" w:rsidRDefault="00113E3A" w:rsidP="00113E3A">
      <w:pPr>
        <w:spacing w:after="40" w:line="240" w:lineRule="auto"/>
        <w:ind w:left="1418"/>
      </w:pPr>
      <w:r>
        <w:t>-</w:t>
      </w:r>
      <w:r>
        <w:tab/>
        <w:t>UAT &amp; live-proving: execution and documentation</w:t>
      </w:r>
    </w:p>
    <w:p w14:paraId="38B9B991" w14:textId="77777777" w:rsidR="00113E3A" w:rsidRDefault="00113E3A" w:rsidP="00113E3A">
      <w:pPr>
        <w:spacing w:after="40" w:line="240" w:lineRule="auto"/>
        <w:ind w:left="709"/>
      </w:pPr>
      <w:r>
        <w:t></w:t>
      </w:r>
      <w:r>
        <w:tab/>
        <w:t>Supporting the CNI team through adopting SAS, and adapting workflows.</w:t>
      </w:r>
    </w:p>
    <w:p w14:paraId="4810C83E" w14:textId="77777777" w:rsidR="00113E3A" w:rsidRDefault="00113E3A" w:rsidP="00113E3A">
      <w:pPr>
        <w:spacing w:after="40" w:line="240" w:lineRule="auto"/>
        <w:ind w:left="1418"/>
      </w:pPr>
      <w:r>
        <w:t>-</w:t>
      </w:r>
      <w:r>
        <w:tab/>
        <w:t xml:space="preserve">Testing &amp; deployment of SAS processes to production for execution against live data. </w:t>
      </w:r>
    </w:p>
    <w:p w14:paraId="46DEC0D3" w14:textId="77777777" w:rsidR="00113E3A" w:rsidRDefault="00113E3A" w:rsidP="00113E3A">
      <w:pPr>
        <w:spacing w:after="40" w:line="240" w:lineRule="auto"/>
        <w:ind w:left="1418"/>
      </w:pPr>
      <w:r>
        <w:t>-</w:t>
      </w:r>
      <w:r>
        <w:tab/>
        <w:t>Running procedures, interpreting results and taking appropriate actions.</w:t>
      </w:r>
    </w:p>
    <w:p w14:paraId="6A98315F" w14:textId="77777777" w:rsidR="00113E3A" w:rsidRDefault="00113E3A" w:rsidP="00113E3A">
      <w:pPr>
        <w:spacing w:after="40" w:line="240" w:lineRule="auto"/>
      </w:pPr>
      <w:r>
        <w:t>1.1.2</w:t>
      </w:r>
      <w:r>
        <w:tab/>
        <w:t>View, Assess &amp; Enhance DLS Outputs</w:t>
      </w:r>
    </w:p>
    <w:p w14:paraId="6BAAF7BB" w14:textId="77777777" w:rsidR="00113E3A" w:rsidRDefault="00113E3A" w:rsidP="00113E3A">
      <w:pPr>
        <w:spacing w:after="40" w:line="240" w:lineRule="auto"/>
        <w:ind w:left="709"/>
      </w:pPr>
      <w:r>
        <w:t>CNI require the ability to view and assess outputs for compliance with data quality standards, prior to hand-off to Data Acquisition (or elsewhere).</w:t>
      </w:r>
    </w:p>
    <w:p w14:paraId="18EEA231" w14:textId="77777777" w:rsidR="00113E3A" w:rsidRDefault="00113E3A" w:rsidP="00113E3A">
      <w:pPr>
        <w:spacing w:after="40" w:line="240" w:lineRule="auto"/>
        <w:ind w:left="709"/>
      </w:pPr>
      <w:r>
        <w:t></w:t>
      </w:r>
      <w:r>
        <w:tab/>
        <w:t>Develop and test scripts to import DLS outputs leveraging DLS metadata.</w:t>
      </w:r>
    </w:p>
    <w:p w14:paraId="15D102F3" w14:textId="77777777" w:rsidR="00113E3A" w:rsidRDefault="00113E3A" w:rsidP="00113E3A">
      <w:pPr>
        <w:spacing w:after="40" w:line="240" w:lineRule="auto"/>
        <w:ind w:left="709"/>
      </w:pPr>
      <w:r>
        <w:t></w:t>
      </w:r>
      <w:r>
        <w:tab/>
        <w:t>Develop and test scripts to assess &amp; enhance DLS outputs by calling on a Data Quality Service.</w:t>
      </w:r>
    </w:p>
    <w:p w14:paraId="0E6AF341" w14:textId="77777777" w:rsidR="00113E3A" w:rsidRDefault="00113E3A" w:rsidP="00113E3A">
      <w:pPr>
        <w:spacing w:after="40" w:line="240" w:lineRule="auto"/>
        <w:ind w:left="709"/>
      </w:pPr>
      <w:r>
        <w:t></w:t>
      </w:r>
      <w:r>
        <w:tab/>
        <w:t>Develop and test scripts to export enhanced data which conforms to recipient expectations.</w:t>
      </w:r>
    </w:p>
    <w:p w14:paraId="3802C953" w14:textId="77777777" w:rsidR="00113E3A" w:rsidRDefault="00113E3A" w:rsidP="00113E3A">
      <w:pPr>
        <w:spacing w:after="40" w:line="240" w:lineRule="auto"/>
      </w:pPr>
      <w:r>
        <w:t>1.1.3</w:t>
      </w:r>
      <w:r>
        <w:tab/>
        <w:t>Data Quality Service</w:t>
      </w:r>
    </w:p>
    <w:p w14:paraId="5DF23E48" w14:textId="77777777" w:rsidR="00113E3A" w:rsidRDefault="00113E3A" w:rsidP="00113E3A">
      <w:pPr>
        <w:spacing w:after="40" w:line="240" w:lineRule="auto"/>
        <w:ind w:left="709"/>
      </w:pPr>
      <w:r>
        <w:t>Data assessments and enhancements should be carried out via a common DQ service framework which introduces code encapsulation and standardised process outputs.</w:t>
      </w:r>
    </w:p>
    <w:p w14:paraId="314C34C9" w14:textId="77777777" w:rsidR="00113E3A" w:rsidRDefault="00113E3A" w:rsidP="00113E3A">
      <w:pPr>
        <w:spacing w:after="40" w:line="240" w:lineRule="auto"/>
        <w:ind w:left="709"/>
      </w:pPr>
      <w:r>
        <w:t></w:t>
      </w:r>
      <w:r>
        <w:tab/>
        <w:t>Develop and test DQ micro-services which can be deployed across multiple DLS data feeds.</w:t>
      </w:r>
    </w:p>
    <w:p w14:paraId="5391DAAF" w14:textId="77777777" w:rsidR="00113E3A" w:rsidRDefault="00113E3A" w:rsidP="00113E3A">
      <w:pPr>
        <w:spacing w:after="40" w:line="240" w:lineRule="auto"/>
        <w:ind w:left="709"/>
      </w:pPr>
      <w:r>
        <w:t></w:t>
      </w:r>
      <w:r>
        <w:tab/>
        <w:t>Development of assessment metadata, e.g. rejected record counts, acceptance thresholds, etc.</w:t>
      </w:r>
    </w:p>
    <w:p w14:paraId="1D7F5959" w14:textId="77777777" w:rsidR="00113E3A" w:rsidRDefault="00113E3A" w:rsidP="00113E3A">
      <w:pPr>
        <w:spacing w:after="40" w:line="240" w:lineRule="auto"/>
        <w:ind w:left="709"/>
      </w:pPr>
      <w:r>
        <w:t></w:t>
      </w:r>
      <w:r>
        <w:tab/>
        <w:t>Development of enhancement metadata, e.g. summary of insertions, deletions, substitutions, etc.</w:t>
      </w:r>
    </w:p>
    <w:p w14:paraId="399362C8" w14:textId="77777777" w:rsidR="00113E3A" w:rsidRDefault="00113E3A" w:rsidP="00113E3A">
      <w:pPr>
        <w:spacing w:after="40" w:line="240" w:lineRule="auto"/>
      </w:pPr>
      <w:r>
        <w:t>1.1.4</w:t>
      </w:r>
      <w:r>
        <w:tab/>
        <w:t>Data Quality Reports</w:t>
      </w:r>
    </w:p>
    <w:p w14:paraId="66415604" w14:textId="77777777" w:rsidR="00113E3A" w:rsidRDefault="00113E3A" w:rsidP="00113E3A">
      <w:pPr>
        <w:spacing w:after="40" w:line="240" w:lineRule="auto"/>
        <w:ind w:left="709"/>
      </w:pPr>
      <w:r>
        <w:t>CNI require a report for a given return, summarising the relevant DQ issues and recommendations.</w:t>
      </w:r>
    </w:p>
    <w:p w14:paraId="738DBC9A" w14:textId="77777777" w:rsidR="00113E3A" w:rsidRDefault="00113E3A" w:rsidP="00113E3A">
      <w:pPr>
        <w:spacing w:after="40" w:line="240" w:lineRule="auto"/>
        <w:ind w:left="709"/>
      </w:pPr>
      <w:r>
        <w:t></w:t>
      </w:r>
      <w:r>
        <w:tab/>
        <w:t>Development of user-friendly, metadata-driven reports.</w:t>
      </w:r>
    </w:p>
    <w:p w14:paraId="1F896864" w14:textId="77777777" w:rsidR="00113E3A" w:rsidRDefault="00113E3A" w:rsidP="00113E3A">
      <w:pPr>
        <w:spacing w:after="40" w:line="240" w:lineRule="auto"/>
        <w:ind w:left="709"/>
      </w:pPr>
      <w:r>
        <w:t></w:t>
      </w:r>
      <w:r>
        <w:tab/>
        <w:t>Introduction of configurable tolerances levels and triggers for return suspension.</w:t>
      </w:r>
    </w:p>
    <w:p w14:paraId="75769553" w14:textId="77777777" w:rsidR="00113E3A" w:rsidRDefault="00113E3A" w:rsidP="00113E3A">
      <w:pPr>
        <w:spacing w:after="40" w:line="240" w:lineRule="auto"/>
        <w:ind w:left="709"/>
      </w:pPr>
      <w:r>
        <w:t></w:t>
      </w:r>
      <w:r>
        <w:tab/>
        <w:t>Recommendations for user actions, i.e. accept or reject the return</w:t>
      </w:r>
    </w:p>
    <w:p w14:paraId="614B788D" w14:textId="77777777" w:rsidR="00113E3A" w:rsidRDefault="00113E3A" w:rsidP="00113E3A">
      <w:pPr>
        <w:spacing w:after="40" w:line="240" w:lineRule="auto"/>
      </w:pPr>
      <w:r>
        <w:t>1.1.5</w:t>
      </w:r>
      <w:r>
        <w:tab/>
        <w:t xml:space="preserve">SAS-DLS Integration </w:t>
      </w:r>
    </w:p>
    <w:p w14:paraId="275CAC8A" w14:textId="77777777" w:rsidR="00113E3A" w:rsidRDefault="00113E3A" w:rsidP="00113E3A">
      <w:pPr>
        <w:spacing w:after="40" w:line="240" w:lineRule="auto"/>
        <w:ind w:left="709"/>
      </w:pPr>
      <w:r>
        <w:t xml:space="preserve">CNI require a solution which partially integrates SAS data quality with DLS processing, to demonstrate that both platforms are able to share relevant information. </w:t>
      </w:r>
    </w:p>
    <w:p w14:paraId="2953F284" w14:textId="77777777" w:rsidR="00113E3A" w:rsidRDefault="00113E3A" w:rsidP="00113E3A">
      <w:pPr>
        <w:spacing w:after="40" w:line="240" w:lineRule="auto"/>
        <w:ind w:left="709"/>
      </w:pPr>
      <w:r>
        <w:t></w:t>
      </w:r>
      <w:r>
        <w:tab/>
        <w:t>Exploring SAS-HDFS methodologies to exploit hadoop/grid capabilities &amp; performance</w:t>
      </w:r>
    </w:p>
    <w:p w14:paraId="148B7744" w14:textId="77777777" w:rsidR="00113E3A" w:rsidRDefault="00113E3A" w:rsidP="00113E3A">
      <w:pPr>
        <w:spacing w:after="40" w:line="240" w:lineRule="auto"/>
        <w:ind w:left="709"/>
      </w:pPr>
      <w:r>
        <w:t></w:t>
      </w:r>
      <w:r>
        <w:tab/>
        <w:t>Working with CapG to develop a suitable triage process for data feeds which are DQ ready</w:t>
      </w:r>
    </w:p>
    <w:p w14:paraId="456B1FDA" w14:textId="77777777" w:rsidR="00113E3A" w:rsidRDefault="00113E3A" w:rsidP="00113E3A">
      <w:pPr>
        <w:spacing w:after="40" w:line="240" w:lineRule="auto"/>
        <w:ind w:left="709"/>
      </w:pPr>
      <w:r>
        <w:t></w:t>
      </w:r>
      <w:r>
        <w:tab/>
        <w:t>Reading DLS metadata to inform SAS of the DLS output file structures</w:t>
      </w:r>
    </w:p>
    <w:p w14:paraId="39B1D838" w14:textId="77777777" w:rsidR="00113E3A" w:rsidRDefault="00113E3A" w:rsidP="00113E3A">
      <w:pPr>
        <w:spacing w:after="40" w:line="240" w:lineRule="auto"/>
        <w:ind w:left="709"/>
      </w:pPr>
      <w:r>
        <w:t></w:t>
      </w:r>
      <w:r>
        <w:tab/>
        <w:t>Identifying and producing outputs suitable for introduction into existing DLS metadata</w:t>
      </w:r>
    </w:p>
    <w:p w14:paraId="76C0B701" w14:textId="77777777" w:rsidR="00113E3A" w:rsidRDefault="00113E3A" w:rsidP="00113E3A">
      <w:pPr>
        <w:spacing w:after="40" w:line="240" w:lineRule="auto"/>
      </w:pPr>
      <w:r>
        <w:t>1.1.6</w:t>
      </w:r>
      <w:r>
        <w:tab/>
        <w:t xml:space="preserve">Documentation </w:t>
      </w:r>
    </w:p>
    <w:p w14:paraId="5A399952" w14:textId="77777777" w:rsidR="00113E3A" w:rsidRDefault="00113E3A" w:rsidP="00113E3A">
      <w:pPr>
        <w:spacing w:after="40" w:line="240" w:lineRule="auto"/>
        <w:ind w:left="709"/>
      </w:pPr>
      <w:r>
        <w:t></w:t>
      </w:r>
      <w:r>
        <w:tab/>
        <w:t xml:space="preserve">Data Quality Design – detailing the architecture and interfaces for the requirements above. </w:t>
      </w:r>
    </w:p>
    <w:p w14:paraId="6EBBD7A5" w14:textId="77777777" w:rsidR="00113E3A" w:rsidRDefault="00113E3A" w:rsidP="00113E3A">
      <w:pPr>
        <w:spacing w:after="40" w:line="240" w:lineRule="auto"/>
        <w:ind w:left="709"/>
      </w:pPr>
      <w:r>
        <w:t></w:t>
      </w:r>
      <w:r>
        <w:tab/>
        <w:t xml:space="preserve">Implementation Documentation – detailing SAS code, test evidence, version controls, etc. </w:t>
      </w:r>
    </w:p>
    <w:p w14:paraId="374CD49F" w14:textId="77777777" w:rsidR="00113E3A" w:rsidRDefault="00113E3A" w:rsidP="00113E3A">
      <w:pPr>
        <w:spacing w:after="40" w:line="240" w:lineRule="auto"/>
        <w:ind w:left="709"/>
      </w:pPr>
    </w:p>
    <w:p w14:paraId="19859F05" w14:textId="77777777" w:rsidR="00113E3A" w:rsidRDefault="00113E3A" w:rsidP="00113E3A">
      <w:pPr>
        <w:spacing w:after="40" w:line="240" w:lineRule="auto"/>
      </w:pPr>
      <w:r>
        <w:t>1.2</w:t>
      </w:r>
      <w:r>
        <w:tab/>
        <w:t>Scope</w:t>
      </w:r>
    </w:p>
    <w:p w14:paraId="363252B1" w14:textId="77777777" w:rsidR="00113E3A" w:rsidRDefault="00113E3A" w:rsidP="00113E3A">
      <w:pPr>
        <w:spacing w:after="40" w:line="240" w:lineRule="auto"/>
        <w:ind w:left="709"/>
      </w:pPr>
      <w:r>
        <w:t>To manage costs and timescales, this work package does not include all data feeds and business rules. The scope of delivery is thus limited in accordance with HMRC’s agreed priorities, as follows:</w:t>
      </w:r>
    </w:p>
    <w:p w14:paraId="439B1BE7" w14:textId="77777777" w:rsidR="00113E3A" w:rsidRDefault="00113E3A" w:rsidP="00113E3A">
      <w:pPr>
        <w:spacing w:after="40" w:line="240" w:lineRule="auto"/>
      </w:pPr>
      <w:r>
        <w:t>1.2.1</w:t>
      </w:r>
      <w:r>
        <w:tab/>
        <w:t>Data Feeds</w:t>
      </w:r>
    </w:p>
    <w:p w14:paraId="308A5153" w14:textId="77777777" w:rsidR="00113E3A" w:rsidRDefault="00113E3A" w:rsidP="00113E3A">
      <w:pPr>
        <w:spacing w:after="40" w:line="240" w:lineRule="auto"/>
        <w:ind w:left="709"/>
      </w:pPr>
      <w:r>
        <w:t>The following outputs from DLS are in scope:</w:t>
      </w:r>
    </w:p>
    <w:p w14:paraId="455E9FEA" w14:textId="77777777" w:rsidR="00113E3A" w:rsidRDefault="00113E3A" w:rsidP="00113E3A">
      <w:pPr>
        <w:spacing w:after="40" w:line="240" w:lineRule="auto"/>
        <w:ind w:left="709"/>
      </w:pPr>
      <w:r>
        <w:t></w:t>
      </w:r>
      <w:r>
        <w:tab/>
        <w:t>Bank and Building Society Information</w:t>
      </w:r>
    </w:p>
    <w:p w14:paraId="5A29A7C7" w14:textId="77777777" w:rsidR="00113E3A" w:rsidRDefault="00113E3A" w:rsidP="00113E3A">
      <w:pPr>
        <w:spacing w:after="40" w:line="240" w:lineRule="auto"/>
        <w:ind w:left="709"/>
      </w:pPr>
      <w:r>
        <w:t></w:t>
      </w:r>
      <w:r>
        <w:tab/>
        <w:t>Registered Pension Scheme Relief at Source</w:t>
      </w:r>
    </w:p>
    <w:p w14:paraId="0B1659FC" w14:textId="77777777" w:rsidR="00113E3A" w:rsidRDefault="00113E3A" w:rsidP="00113E3A">
      <w:pPr>
        <w:spacing w:after="40" w:line="240" w:lineRule="auto"/>
        <w:ind w:left="709"/>
      </w:pPr>
      <w:r>
        <w:t></w:t>
      </w:r>
      <w:r>
        <w:tab/>
        <w:t>Merchant Acquirers  (incl. Amex, Barclaycard, Elavon, First Data, Global Pay, World Pay)</w:t>
      </w:r>
    </w:p>
    <w:p w14:paraId="7386C01B" w14:textId="77777777" w:rsidR="00113E3A" w:rsidRDefault="00113E3A" w:rsidP="00113E3A">
      <w:pPr>
        <w:spacing w:after="40" w:line="240" w:lineRule="auto"/>
        <w:ind w:left="709"/>
      </w:pPr>
      <w:r>
        <w:t></w:t>
      </w:r>
      <w:r>
        <w:tab/>
        <w:t>Land Registry</w:t>
      </w:r>
    </w:p>
    <w:p w14:paraId="1384C86B" w14:textId="77777777" w:rsidR="00113E3A" w:rsidRDefault="00113E3A" w:rsidP="00113E3A">
      <w:pPr>
        <w:spacing w:after="40" w:line="240" w:lineRule="auto"/>
        <w:ind w:left="709"/>
      </w:pPr>
      <w:r>
        <w:t></w:t>
      </w:r>
      <w:r>
        <w:tab/>
        <w:t>Intermediaries Data</w:t>
      </w:r>
    </w:p>
    <w:p w14:paraId="6809670B" w14:textId="77777777" w:rsidR="00113E3A" w:rsidRDefault="00113E3A" w:rsidP="00113E3A">
      <w:pPr>
        <w:spacing w:after="40" w:line="240" w:lineRule="auto"/>
      </w:pPr>
      <w:r>
        <w:lastRenderedPageBreak/>
        <w:t>1.2.2</w:t>
      </w:r>
      <w:r>
        <w:tab/>
        <w:t>Business Rules</w:t>
      </w:r>
    </w:p>
    <w:p w14:paraId="4BC2F759" w14:textId="77777777" w:rsidR="00113E3A" w:rsidRDefault="00113E3A" w:rsidP="00113E3A">
      <w:pPr>
        <w:spacing w:after="40" w:line="240" w:lineRule="auto"/>
      </w:pPr>
      <w:r>
        <w:t>1.2.2.1</w:t>
      </w:r>
      <w:r>
        <w:tab/>
        <w:t>Supplied Name Quality Assessment &amp; Remediation</w:t>
      </w:r>
    </w:p>
    <w:p w14:paraId="1197EFD2" w14:textId="77777777" w:rsidR="00113E3A" w:rsidRDefault="00113E3A" w:rsidP="00113E3A">
      <w:pPr>
        <w:spacing w:after="40" w:line="240" w:lineRule="auto"/>
        <w:ind w:left="709"/>
      </w:pPr>
      <w:r>
        <w:t>For each of the data feeds in scope, the supplied name will be subject to data quality assessment and remediation.</w:t>
      </w:r>
    </w:p>
    <w:p w14:paraId="0CD800A4" w14:textId="77777777" w:rsidR="00113E3A" w:rsidRDefault="00113E3A" w:rsidP="00113E3A">
      <w:pPr>
        <w:spacing w:after="40" w:line="240" w:lineRule="auto"/>
        <w:ind w:left="709"/>
      </w:pPr>
      <w:r>
        <w:t>Assessment will consider whether the supplied name complies with the requirements, and the likelihood that it may be successfully matched to another data source. Examples include:</w:t>
      </w:r>
    </w:p>
    <w:p w14:paraId="559D53A4" w14:textId="77777777" w:rsidR="00113E3A" w:rsidRDefault="00113E3A" w:rsidP="00113E3A">
      <w:pPr>
        <w:spacing w:after="40" w:line="240" w:lineRule="auto"/>
        <w:ind w:left="709"/>
      </w:pPr>
      <w:r>
        <w:t></w:t>
      </w:r>
      <w:r>
        <w:tab/>
        <w:t>Entity type identification</w:t>
      </w:r>
    </w:p>
    <w:p w14:paraId="0F9EA009" w14:textId="77777777" w:rsidR="00113E3A" w:rsidRDefault="00113E3A" w:rsidP="00113E3A">
      <w:pPr>
        <w:spacing w:after="40" w:line="240" w:lineRule="auto"/>
        <w:ind w:left="709"/>
      </w:pPr>
      <w:r>
        <w:t></w:t>
      </w:r>
      <w:r>
        <w:tab/>
        <w:t xml:space="preserve">Naming convention adherence </w:t>
      </w:r>
    </w:p>
    <w:p w14:paraId="536E2A7F" w14:textId="77777777" w:rsidR="00113E3A" w:rsidRDefault="00113E3A" w:rsidP="00113E3A">
      <w:pPr>
        <w:spacing w:after="40" w:line="240" w:lineRule="auto"/>
        <w:ind w:left="709"/>
      </w:pPr>
      <w:r>
        <w:t></w:t>
      </w:r>
      <w:r>
        <w:tab/>
        <w:t xml:space="preserve">Parsing &amp; standardisation potential </w:t>
      </w:r>
    </w:p>
    <w:p w14:paraId="446130F0" w14:textId="77777777" w:rsidR="00113E3A" w:rsidRDefault="00113E3A" w:rsidP="00113E3A">
      <w:pPr>
        <w:spacing w:after="40" w:line="240" w:lineRule="auto"/>
        <w:ind w:left="709"/>
      </w:pPr>
      <w:r>
        <w:t>Remediation will be limited to changes agreed through an appropriate DQ governance forum, but may include alterations such as:</w:t>
      </w:r>
    </w:p>
    <w:p w14:paraId="5F9F491E" w14:textId="77777777" w:rsidR="00113E3A" w:rsidRDefault="00113E3A" w:rsidP="00113E3A">
      <w:pPr>
        <w:spacing w:after="40" w:line="240" w:lineRule="auto"/>
        <w:ind w:left="709"/>
      </w:pPr>
      <w:r>
        <w:t></w:t>
      </w:r>
      <w:r>
        <w:tab/>
        <w:t>Prefix/title standardisation</w:t>
      </w:r>
    </w:p>
    <w:p w14:paraId="7CC4ED3F" w14:textId="77777777" w:rsidR="00113E3A" w:rsidRDefault="00113E3A" w:rsidP="00113E3A">
      <w:pPr>
        <w:spacing w:after="40" w:line="240" w:lineRule="auto"/>
        <w:ind w:left="709"/>
      </w:pPr>
      <w:r>
        <w:t></w:t>
      </w:r>
      <w:r>
        <w:tab/>
        <w:t xml:space="preserve">Proper spacing of supplied initials </w:t>
      </w:r>
    </w:p>
    <w:p w14:paraId="29CE7290" w14:textId="77777777" w:rsidR="00113E3A" w:rsidRDefault="00113E3A" w:rsidP="00113E3A">
      <w:pPr>
        <w:spacing w:after="40" w:line="240" w:lineRule="auto"/>
        <w:ind w:left="709"/>
      </w:pPr>
      <w:r>
        <w:t></w:t>
      </w:r>
      <w:r>
        <w:tab/>
        <w:t>Right-fielding</w:t>
      </w:r>
    </w:p>
    <w:p w14:paraId="700DCEB5" w14:textId="77777777" w:rsidR="00113E3A" w:rsidRDefault="00113E3A" w:rsidP="00113E3A">
      <w:pPr>
        <w:spacing w:after="40" w:line="240" w:lineRule="auto"/>
      </w:pPr>
      <w:r>
        <w:t>1.2.2.2</w:t>
      </w:r>
      <w:r>
        <w:tab/>
        <w:t>Supplied Address Quality Assessment &amp; Remediation</w:t>
      </w:r>
    </w:p>
    <w:p w14:paraId="5CBFF222" w14:textId="77777777" w:rsidR="00113E3A" w:rsidRDefault="00113E3A" w:rsidP="00113E3A">
      <w:pPr>
        <w:spacing w:after="40" w:line="240" w:lineRule="auto"/>
        <w:ind w:left="709"/>
      </w:pPr>
      <w:r>
        <w:t>For each of the data feeds in scope, the supplied address will be subject to data quality assessment and remediation.</w:t>
      </w:r>
    </w:p>
    <w:p w14:paraId="4AB8F045" w14:textId="77777777" w:rsidR="00113E3A" w:rsidRDefault="00113E3A" w:rsidP="00113E3A">
      <w:pPr>
        <w:spacing w:after="40" w:line="240" w:lineRule="auto"/>
        <w:ind w:left="709"/>
      </w:pPr>
      <w:r>
        <w:t>Assessment will consider whether the supplied address complies with the requirements, and the likelihood that it may be successfully matched to another data source. Examples include:</w:t>
      </w:r>
    </w:p>
    <w:p w14:paraId="33E672D0" w14:textId="77777777" w:rsidR="00113E3A" w:rsidRDefault="00113E3A" w:rsidP="00113E3A">
      <w:pPr>
        <w:spacing w:after="40" w:line="240" w:lineRule="auto"/>
        <w:ind w:left="709"/>
      </w:pPr>
      <w:r>
        <w:t></w:t>
      </w:r>
      <w:r>
        <w:tab/>
        <w:t>Address line content identification</w:t>
      </w:r>
    </w:p>
    <w:p w14:paraId="2ACF770C" w14:textId="77777777" w:rsidR="00113E3A" w:rsidRDefault="00113E3A" w:rsidP="00113E3A">
      <w:pPr>
        <w:spacing w:after="40" w:line="240" w:lineRule="auto"/>
        <w:ind w:left="709"/>
      </w:pPr>
      <w:r>
        <w:t></w:t>
      </w:r>
      <w:r>
        <w:tab/>
        <w:t>UK postcode format validity</w:t>
      </w:r>
    </w:p>
    <w:p w14:paraId="7416C6E5" w14:textId="77777777" w:rsidR="00113E3A" w:rsidRDefault="00113E3A" w:rsidP="00113E3A">
      <w:pPr>
        <w:spacing w:after="40" w:line="240" w:lineRule="auto"/>
        <w:ind w:left="709"/>
      </w:pPr>
      <w:r>
        <w:t></w:t>
      </w:r>
      <w:r>
        <w:tab/>
        <w:t xml:space="preserve">Parsing &amp; standardisation potential </w:t>
      </w:r>
    </w:p>
    <w:p w14:paraId="28D94098" w14:textId="77777777" w:rsidR="00113E3A" w:rsidRDefault="00113E3A" w:rsidP="00113E3A">
      <w:pPr>
        <w:spacing w:after="40" w:line="240" w:lineRule="auto"/>
        <w:ind w:left="709"/>
      </w:pPr>
      <w:r>
        <w:t>Remediation will be limited to changes agreed through an appropriate DQ governance forum, but may include alterations such as:</w:t>
      </w:r>
    </w:p>
    <w:p w14:paraId="318FD55F" w14:textId="77777777" w:rsidR="00113E3A" w:rsidRDefault="00113E3A" w:rsidP="00113E3A">
      <w:pPr>
        <w:spacing w:after="40" w:line="240" w:lineRule="auto"/>
        <w:ind w:left="709"/>
      </w:pPr>
      <w:r>
        <w:t></w:t>
      </w:r>
      <w:r>
        <w:tab/>
        <w:t>Town/County standardisation</w:t>
      </w:r>
    </w:p>
    <w:p w14:paraId="75F9624B" w14:textId="77777777" w:rsidR="00113E3A" w:rsidRDefault="00113E3A" w:rsidP="00113E3A">
      <w:pPr>
        <w:spacing w:after="40" w:line="240" w:lineRule="auto"/>
        <w:ind w:left="709"/>
      </w:pPr>
      <w:r>
        <w:t></w:t>
      </w:r>
      <w:r>
        <w:tab/>
        <w:t>Proper spacing of postcodes</w:t>
      </w:r>
    </w:p>
    <w:p w14:paraId="7B3CCDB4" w14:textId="77777777" w:rsidR="00113E3A" w:rsidRDefault="00113E3A" w:rsidP="00113E3A">
      <w:pPr>
        <w:spacing w:after="40" w:line="240" w:lineRule="auto"/>
        <w:ind w:left="709"/>
      </w:pPr>
      <w:r>
        <w:t></w:t>
      </w:r>
      <w:r>
        <w:tab/>
        <w:t>Removal of addressee from line 1 (where this is a duplicate of supplied name).</w:t>
      </w:r>
    </w:p>
    <w:p w14:paraId="66AC7956" w14:textId="77777777" w:rsidR="00113E3A" w:rsidRDefault="00113E3A" w:rsidP="00113E3A">
      <w:pPr>
        <w:spacing w:after="40" w:line="240" w:lineRule="auto"/>
      </w:pPr>
      <w:r>
        <w:t>1.2.2.3</w:t>
      </w:r>
      <w:r>
        <w:tab/>
        <w:t>BBSI Participant Reconciliations</w:t>
      </w:r>
    </w:p>
    <w:p w14:paraId="01B7B755" w14:textId="77777777" w:rsidR="00113E3A" w:rsidRDefault="00113E3A" w:rsidP="00113E3A">
      <w:pPr>
        <w:spacing w:after="40" w:line="240" w:lineRule="auto"/>
        <w:ind w:left="709"/>
      </w:pPr>
      <w:r>
        <w:t>For the BBSI data feed, the return will be subject to data quality assessment to determine the quality of the Participant Number and Number of Participants fields.</w:t>
      </w:r>
    </w:p>
    <w:p w14:paraId="0000D841" w14:textId="77777777" w:rsidR="00113E3A" w:rsidRDefault="00113E3A" w:rsidP="00113E3A">
      <w:pPr>
        <w:spacing w:after="40" w:line="240" w:lineRule="auto"/>
        <w:ind w:left="709"/>
      </w:pPr>
      <w:r>
        <w:t>Assessment will consider whether the Participant fields are valid. Examples include:</w:t>
      </w:r>
    </w:p>
    <w:p w14:paraId="3B74D4B6" w14:textId="77777777" w:rsidR="00113E3A" w:rsidRDefault="00113E3A" w:rsidP="00113E3A">
      <w:pPr>
        <w:spacing w:after="40" w:line="240" w:lineRule="auto"/>
        <w:ind w:left="709"/>
      </w:pPr>
      <w:r>
        <w:t></w:t>
      </w:r>
      <w:r>
        <w:tab/>
        <w:t>Missing mandatory fields</w:t>
      </w:r>
    </w:p>
    <w:p w14:paraId="0C112334" w14:textId="77777777" w:rsidR="00113E3A" w:rsidRDefault="00113E3A" w:rsidP="00113E3A">
      <w:pPr>
        <w:spacing w:after="40" w:line="240" w:lineRule="auto"/>
        <w:ind w:left="709"/>
      </w:pPr>
      <w:r>
        <w:t></w:t>
      </w:r>
      <w:r>
        <w:tab/>
        <w:t>Duplicates</w:t>
      </w:r>
    </w:p>
    <w:p w14:paraId="088049C0" w14:textId="77777777" w:rsidR="00113E3A" w:rsidRDefault="00113E3A" w:rsidP="00113E3A">
      <w:pPr>
        <w:spacing w:after="40" w:line="240" w:lineRule="auto"/>
        <w:ind w:left="709"/>
      </w:pPr>
      <w:r>
        <w:t></w:t>
      </w:r>
      <w:r>
        <w:tab/>
        <w:t>Missing sequence</w:t>
      </w:r>
    </w:p>
    <w:p w14:paraId="3C9A05A5" w14:textId="77777777" w:rsidR="00113E3A" w:rsidRDefault="00113E3A" w:rsidP="00113E3A">
      <w:pPr>
        <w:spacing w:after="40" w:line="240" w:lineRule="auto"/>
        <w:ind w:left="709"/>
      </w:pPr>
      <w:r>
        <w:t>Remediation will be limited to changes agreed through an appropriate DQ governance forum, but may include alterations such as:</w:t>
      </w:r>
    </w:p>
    <w:p w14:paraId="7BD75BF0" w14:textId="77777777" w:rsidR="00113E3A" w:rsidRDefault="00113E3A" w:rsidP="00113E3A">
      <w:pPr>
        <w:spacing w:after="40" w:line="240" w:lineRule="auto"/>
        <w:ind w:left="709"/>
      </w:pPr>
      <w:r>
        <w:t></w:t>
      </w:r>
      <w:r>
        <w:tab/>
        <w:t>Addressing known source format disparities</w:t>
      </w:r>
    </w:p>
    <w:p w14:paraId="0FEEED98" w14:textId="77777777" w:rsidR="00113E3A" w:rsidRDefault="00113E3A" w:rsidP="00113E3A">
      <w:pPr>
        <w:spacing w:after="40" w:line="240" w:lineRule="auto"/>
        <w:ind w:left="709"/>
      </w:pPr>
      <w:r>
        <w:t></w:t>
      </w:r>
      <w:r>
        <w:tab/>
        <w:t>Imputing missing “Participant Number”</w:t>
      </w:r>
    </w:p>
    <w:p w14:paraId="5C1D86CE" w14:textId="77777777" w:rsidR="00113E3A" w:rsidRDefault="00113E3A" w:rsidP="00113E3A">
      <w:pPr>
        <w:spacing w:after="40" w:line="240" w:lineRule="auto"/>
        <w:ind w:left="709"/>
      </w:pPr>
      <w:r>
        <w:t></w:t>
      </w:r>
      <w:r>
        <w:tab/>
        <w:t>Restating corrected “Number of Participants”</w:t>
      </w:r>
    </w:p>
    <w:p w14:paraId="66132726" w14:textId="31728569" w:rsidR="005540D7" w:rsidRDefault="008E0B6F" w:rsidP="00A47EDC">
      <w:pPr>
        <w:pStyle w:val="Heading1"/>
        <w:spacing w:after="200" w:line="276" w:lineRule="auto"/>
        <w:rPr>
          <w:rFonts w:ascii="Helvetica Neue" w:eastAsia="Helvetica Neue" w:hAnsi="Helvetica Neue" w:cs="Helvetica Neue"/>
          <w:sz w:val="24"/>
          <w:szCs w:val="24"/>
        </w:rPr>
      </w:pPr>
      <w:r w:rsidRPr="007F3E56">
        <w:rPr>
          <w:rFonts w:ascii="Helvetica Neue" w:eastAsia="Helvetica Neue" w:hAnsi="Helvetica Neue" w:cs="Helvetica Neue"/>
          <w:sz w:val="24"/>
          <w:szCs w:val="24"/>
        </w:rPr>
        <w:t>Schedule 2 - Call-Off Contract charges</w:t>
      </w:r>
      <w:bookmarkEnd w:id="23"/>
    </w:p>
    <w:p w14:paraId="15B5A6C8" w14:textId="4A9FEE84" w:rsidR="00553F22" w:rsidRDefault="00042C30" w:rsidP="00553F2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748E1744" w14:textId="77777777" w:rsidR="00042C30" w:rsidRDefault="00042C30" w:rsidP="00553F22">
      <w:pPr>
        <w:spacing w:after="0"/>
        <w:rPr>
          <w:rFonts w:ascii="Helvetica Neue" w:eastAsia="Helvetica Neue" w:hAnsi="Helvetica Neue" w:cs="Helvetica Neue"/>
          <w:b/>
          <w:sz w:val="24"/>
          <w:szCs w:val="24"/>
        </w:rPr>
      </w:pPr>
      <w:bookmarkStart w:id="24" w:name="_GoBack"/>
      <w:bookmarkEnd w:id="24"/>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C31A9E">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C31A9E">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C31A9E">
      <w:pPr>
        <w:numPr>
          <w:ilvl w:val="1"/>
          <w:numId w:val="23"/>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C31A9E">
      <w:pPr>
        <w:numPr>
          <w:ilvl w:val="1"/>
          <w:numId w:val="23"/>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1C90FF92"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C31A9E">
      <w:pPr>
        <w:numPr>
          <w:ilvl w:val="1"/>
          <w:numId w:val="23"/>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C31A9E">
      <w:pPr>
        <w:numPr>
          <w:ilvl w:val="1"/>
          <w:numId w:val="23"/>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C31A9E">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lastRenderedPageBreak/>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C31A9E">
      <w:pPr>
        <w:numPr>
          <w:ilvl w:val="1"/>
          <w:numId w:val="23"/>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C31A9E">
      <w:pPr>
        <w:numPr>
          <w:ilvl w:val="0"/>
          <w:numId w:val="23"/>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C31A9E">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C31A9E">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C31A9E">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C31A9E">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C31A9E">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C31A9E">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C31A9E">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ensure that:</w:t>
      </w:r>
    </w:p>
    <w:p w14:paraId="14F6209C"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C31A9E">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premiums, which it will pay promptly</w:t>
      </w:r>
    </w:p>
    <w:p w14:paraId="5EF87B14" w14:textId="77777777" w:rsidR="005540D7" w:rsidRDefault="008E0B6F" w:rsidP="00C31A9E">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C31A9E">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buy a licence to use and supply the Services which are the subject of the alleged infringement, on terms acceptable to the Buyer</w:t>
      </w:r>
    </w:p>
    <w:p w14:paraId="482A760B"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C31A9E">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C31A9E">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Buyer Data is processed by the Supplier, the Supplier will supply the data to the Buyer as requested.</w:t>
      </w:r>
    </w:p>
    <w:p w14:paraId="05957151"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14:paraId="4928AE7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14:paraId="29EF5B55" w14:textId="77777777" w:rsidR="005540D7" w:rsidRDefault="008E0B6F" w:rsidP="00C31A9E">
      <w:pPr>
        <w:numPr>
          <w:ilvl w:val="1"/>
          <w:numId w:val="36"/>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14:paraId="5E8F96E1" w14:textId="77777777" w:rsidR="005540D7" w:rsidRDefault="008E0B6F" w:rsidP="00C31A9E">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C31A9E">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D9501B" w:rsidP="00C31A9E">
      <w:pPr>
        <w:numPr>
          <w:ilvl w:val="0"/>
          <w:numId w:val="35"/>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14:paraId="2753812D"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C31A9E">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C31A9E">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C31A9E">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C31A9E">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Call-Off Contract Charges paid during the notice period is reasonable compensation and covers all the Supplier’s avoidable costs or Losses</w:t>
      </w:r>
    </w:p>
    <w:p w14:paraId="5A9744B5"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C31A9E">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Ending or expiry of this Call-Off Contract will not affect:</w:t>
      </w:r>
    </w:p>
    <w:p w14:paraId="14E253E6"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C31A9E">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C31A9E">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C31A9E">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C31A9E">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C31A9E">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C31A9E">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immediately notify the Buyer of any incident on the premises that causes any damage to Property which could cause personal injury</w:t>
      </w:r>
    </w:p>
    <w:p w14:paraId="146E7A90" w14:textId="77777777" w:rsidR="005540D7" w:rsidRDefault="008E0B6F" w:rsidP="00C31A9E">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C31A9E">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start date </w:t>
      </w:r>
    </w:p>
    <w:p w14:paraId="23362EC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C31A9E">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C31A9E">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C31A9E">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 xml:space="preserve">The Supplier will assist the Buyer with the preparation of any Data Protection Impact Assessment required by the Data Protection Legislation before commencing any Processing (including provision </w:t>
      </w:r>
      <w:r>
        <w:rPr>
          <w:rFonts w:ascii="Helvetica Neue" w:hAnsi="Helvetica Neue" w:cs="Helvetica"/>
          <w:sz w:val="24"/>
          <w:szCs w:val="24"/>
        </w:rPr>
        <w:lastRenderedPageBreak/>
        <w:t>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C31A9E">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agreement, substantially in the form set out at Schedule 3, between the Buyer and any combination of the Supplier and contractors, to ensure collaborative working in their delivery of the </w:t>
            </w:r>
            <w:r>
              <w:rPr>
                <w:rFonts w:ascii="Helvetica Neue" w:eastAsia="Helvetica Neue" w:hAnsi="Helvetica Neue" w:cs="Helvetica Neue"/>
                <w:sz w:val="24"/>
                <w:szCs w:val="24"/>
              </w:rPr>
              <w:lastRenderedPageBreak/>
              <w:t>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C31A9E">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C31A9E">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0">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D9501B">
            <w:pPr>
              <w:spacing w:after="0" w:line="240" w:lineRule="auto"/>
            </w:pPr>
            <w:hyperlink r:id="rId41">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C31A9E">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C31A9E">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cloud services described in Framework Agreement Section 2 (Services Offered) as defined by the Service Definition, the Supplier Terms and any related Application documentation, which the Supplier </w:t>
            </w:r>
            <w:r>
              <w:rPr>
                <w:rFonts w:ascii="Helvetica Neue" w:eastAsia="Helvetica Neue" w:hAnsi="Helvetica Neue" w:cs="Helvetica Neue"/>
                <w:sz w:val="24"/>
                <w:szCs w:val="24"/>
              </w:rPr>
              <w:lastRenderedPageBreak/>
              <w:t>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C31A9E">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C31A9E">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w:t>
            </w:r>
            <w:r>
              <w:rPr>
                <w:rFonts w:ascii="Helvetica Neue" w:eastAsia="Helvetica Neue" w:hAnsi="Helvetica Neue" w:cs="Helvetica Neue"/>
                <w:sz w:val="24"/>
                <w:szCs w:val="24"/>
              </w:rPr>
              <w:lastRenderedPageBreak/>
              <w:t>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C31A9E">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C31A9E">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 xml:space="preserve">Any services which are the same as or substantially similar to any of the Services and which the Buyer receives in substitution for any of the </w:t>
            </w:r>
            <w:r>
              <w:rPr>
                <w:rFonts w:ascii="Helvetica Neue" w:eastAsia="Helvetica Neue" w:hAnsi="Helvetica Neue" w:cs="Helvetica Neue"/>
                <w:sz w:val="24"/>
                <w:szCs w:val="24"/>
              </w:rPr>
              <w:lastRenderedPageBreak/>
              <w:t>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5AF5452A" w14:textId="11CD2B53" w:rsidR="00113E3A" w:rsidRDefault="00113E3A">
      <w:r>
        <w:t>A</w:t>
      </w:r>
      <w:r w:rsidRPr="00113E3A">
        <w:t>ppropriate technical and organisational measures are in place to protect the confidentiality, integrity and availability of all data before, during and after the contract. All access to environments in scope is strictly controlled via Role Based Access Controls and all user activity is audited in addition to other technical</w:t>
      </w:r>
      <w:r>
        <w:t xml:space="preserve"> measures</w:t>
      </w:r>
      <w:r w:rsidRPr="00113E3A">
        <w:t xml:space="preserve">. </w:t>
      </w:r>
    </w:p>
    <w:p w14:paraId="41E99CC7" w14:textId="3C901A8E" w:rsidR="005540D7" w:rsidRDefault="00113E3A">
      <w:r w:rsidRPr="00113E3A">
        <w:t xml:space="preserve"> </w:t>
      </w:r>
      <w:r w:rsidR="008E0B6F">
        <w:rPr>
          <w:rFonts w:ascii="Helvetica Neue" w:hAnsi="Helvetica Neue" w:cs="Helvetica"/>
          <w:b/>
          <w:bCs/>
          <w:sz w:val="24"/>
          <w:szCs w:val="24"/>
        </w:rPr>
        <w:t xml:space="preserve">Subject matter of the processing: </w:t>
      </w:r>
      <w:r w:rsidR="008E0B6F">
        <w:rPr>
          <w:rFonts w:ascii="Helvetica Neue" w:hAnsi="Helvetica Neue" w:cs="Helvetica"/>
          <w:b/>
          <w:bCs/>
          <w:color w:val="353535"/>
          <w:sz w:val="24"/>
          <w:szCs w:val="24"/>
        </w:rPr>
        <w:br/>
      </w:r>
      <w:r w:rsidRPr="00113E3A">
        <w:t>To support the DLS Industrialisation programme, Butterfly Data aim to deliver data quality enhancements using SAS tools and processes.</w:t>
      </w:r>
    </w:p>
    <w:p w14:paraId="3A306399" w14:textId="33593137"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113E3A" w:rsidRPr="00113E3A">
        <w:rPr>
          <w:color w:val="353535"/>
        </w:rPr>
        <w:t>Contractors log on details will be revoked during the off-boarding process to remove access rights to any data.</w:t>
      </w:r>
    </w:p>
    <w:p w14:paraId="428B8031" w14:textId="2FC819B9" w:rsidR="00113E3A"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113E3A" w:rsidRPr="00113E3A">
        <w:t>Butterfly Data will use live data to conduct UAT and live-proving in order to test running procedures and newly developed processes. No other form of data processing is required as part of this project. Any use of data outside of this scope is to be approved by HMRC DPO.</w:t>
      </w:r>
    </w:p>
    <w:p w14:paraId="0A4E22D8" w14:textId="28A9341C"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5F77EF" w:rsidRPr="005F77EF">
        <w:rPr>
          <w:color w:val="auto"/>
        </w:rPr>
        <w:t>Examples include; name, address, DoB, NINO, telephone number, pay etc. From the feeds in scope, it doesn’t look like there will be much Pii. Any sensitive information is tokenised therefore, Butterfly contractors will not be able to access this type of data without prior approval.</w:t>
      </w:r>
      <w:r w:rsidRPr="005F77EF">
        <w:rPr>
          <w:rFonts w:ascii="Helvetica Neue" w:hAnsi="Helvetica Neue" w:cs="Helvetica"/>
          <w:color w:val="auto"/>
          <w:sz w:val="24"/>
          <w:szCs w:val="24"/>
        </w:rPr>
        <w:tab/>
      </w:r>
    </w:p>
    <w:p w14:paraId="729B736F" w14:textId="37CF8078"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5F77EF" w:rsidRPr="005F77EF">
        <w:rPr>
          <w:color w:val="auto"/>
        </w:rPr>
        <w:t>Customers/Staff</w:t>
      </w:r>
    </w:p>
    <w:p w14:paraId="50A867A7" w14:textId="07447B47"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5F77EF">
        <w:rPr>
          <w:color w:val="auto"/>
        </w:rPr>
        <w:t>T</w:t>
      </w:r>
      <w:r w:rsidR="005F77EF" w:rsidRPr="005F77EF">
        <w:rPr>
          <w:color w:val="auto"/>
        </w:rPr>
        <w:t xml:space="preserve">he project will not be collating any new data. They will only have access to data that already persists within the environments in which they will be working in. This data is required by HMRC beyond the project lifespan. No data will leave HMRC controlled environments.   </w:t>
      </w:r>
    </w:p>
    <w:p w14:paraId="679D5519" w14:textId="77777777" w:rsidR="005540D7" w:rsidRDefault="005540D7"/>
    <w:sectPr w:rsidR="005540D7">
      <w:headerReference w:type="default" r:id="rId43"/>
      <w:footerReference w:type="default" r:id="rId44"/>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F9B7" w14:textId="77777777" w:rsidR="00D9501B" w:rsidRDefault="00D9501B">
      <w:pPr>
        <w:spacing w:after="0" w:line="240" w:lineRule="auto"/>
      </w:pPr>
      <w:r>
        <w:separator/>
      </w:r>
    </w:p>
  </w:endnote>
  <w:endnote w:type="continuationSeparator" w:id="0">
    <w:p w14:paraId="3BF1074D" w14:textId="77777777" w:rsidR="00D9501B" w:rsidRDefault="00D9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D9501B" w:rsidRDefault="00D9501B">
    <w:pPr>
      <w:rPr>
        <w:sz w:val="16"/>
        <w:szCs w:val="16"/>
      </w:rPr>
    </w:pPr>
  </w:p>
  <w:p w14:paraId="4F198820" w14:textId="77777777" w:rsidR="00D9501B" w:rsidRDefault="00D9501B">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D9501B" w:rsidRDefault="00D9501B">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42C30">
      <w:rPr>
        <w:noProof/>
        <w:sz w:val="16"/>
        <w:szCs w:val="16"/>
      </w:rPr>
      <w:t>44</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C0BD" w14:textId="77777777" w:rsidR="00D9501B" w:rsidRDefault="00D9501B">
      <w:pPr>
        <w:spacing w:after="0" w:line="240" w:lineRule="auto"/>
      </w:pPr>
      <w:r>
        <w:separator/>
      </w:r>
    </w:p>
  </w:footnote>
  <w:footnote w:type="continuationSeparator" w:id="0">
    <w:p w14:paraId="41851237" w14:textId="77777777" w:rsidR="00D9501B" w:rsidRDefault="00D95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D9501B" w:rsidRDefault="00D9501B">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7"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4"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70F422C"/>
    <w:multiLevelType w:val="hybridMultilevel"/>
    <w:tmpl w:val="F940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2"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51AD14AA"/>
    <w:multiLevelType w:val="hybridMultilevel"/>
    <w:tmpl w:val="BBF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05700B1"/>
    <w:multiLevelType w:val="hybridMultilevel"/>
    <w:tmpl w:val="F8D006B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3"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5"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6"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6B42440"/>
    <w:multiLevelType w:val="hybridMultilevel"/>
    <w:tmpl w:val="BC5E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F2E6E82"/>
    <w:multiLevelType w:val="hybridMultilevel"/>
    <w:tmpl w:val="45BC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1"/>
  </w:num>
  <w:num w:numId="2">
    <w:abstractNumId w:val="3"/>
  </w:num>
  <w:num w:numId="3">
    <w:abstractNumId w:val="20"/>
  </w:num>
  <w:num w:numId="4">
    <w:abstractNumId w:val="6"/>
  </w:num>
  <w:num w:numId="5">
    <w:abstractNumId w:val="15"/>
  </w:num>
  <w:num w:numId="6">
    <w:abstractNumId w:val="32"/>
  </w:num>
  <w:num w:numId="7">
    <w:abstractNumId w:val="31"/>
  </w:num>
  <w:num w:numId="8">
    <w:abstractNumId w:val="16"/>
  </w:num>
  <w:num w:numId="9">
    <w:abstractNumId w:val="10"/>
  </w:num>
  <w:num w:numId="10">
    <w:abstractNumId w:val="1"/>
  </w:num>
  <w:num w:numId="11">
    <w:abstractNumId w:val="27"/>
  </w:num>
  <w:num w:numId="12">
    <w:abstractNumId w:val="39"/>
  </w:num>
  <w:num w:numId="13">
    <w:abstractNumId w:val="0"/>
  </w:num>
  <w:num w:numId="14">
    <w:abstractNumId w:val="37"/>
  </w:num>
  <w:num w:numId="15">
    <w:abstractNumId w:val="44"/>
  </w:num>
  <w:num w:numId="16">
    <w:abstractNumId w:val="34"/>
  </w:num>
  <w:num w:numId="17">
    <w:abstractNumId w:val="29"/>
  </w:num>
  <w:num w:numId="18">
    <w:abstractNumId w:val="40"/>
  </w:num>
  <w:num w:numId="19">
    <w:abstractNumId w:val="7"/>
  </w:num>
  <w:num w:numId="20">
    <w:abstractNumId w:val="9"/>
  </w:num>
  <w:num w:numId="21">
    <w:abstractNumId w:val="48"/>
  </w:num>
  <w:num w:numId="22">
    <w:abstractNumId w:val="12"/>
  </w:num>
  <w:num w:numId="23">
    <w:abstractNumId w:val="5"/>
  </w:num>
  <w:num w:numId="24">
    <w:abstractNumId w:val="28"/>
  </w:num>
  <w:num w:numId="25">
    <w:abstractNumId w:val="18"/>
  </w:num>
  <w:num w:numId="26">
    <w:abstractNumId w:val="14"/>
  </w:num>
  <w:num w:numId="27">
    <w:abstractNumId w:val="43"/>
  </w:num>
  <w:num w:numId="28">
    <w:abstractNumId w:val="38"/>
  </w:num>
  <w:num w:numId="29">
    <w:abstractNumId w:val="30"/>
  </w:num>
  <w:num w:numId="30">
    <w:abstractNumId w:val="19"/>
  </w:num>
  <w:num w:numId="31">
    <w:abstractNumId w:val="46"/>
  </w:num>
  <w:num w:numId="32">
    <w:abstractNumId w:val="26"/>
  </w:num>
  <w:num w:numId="33">
    <w:abstractNumId w:val="23"/>
  </w:num>
  <w:num w:numId="34">
    <w:abstractNumId w:val="49"/>
  </w:num>
  <w:num w:numId="35">
    <w:abstractNumId w:val="4"/>
  </w:num>
  <w:num w:numId="36">
    <w:abstractNumId w:val="8"/>
  </w:num>
  <w:num w:numId="37">
    <w:abstractNumId w:val="2"/>
  </w:num>
  <w:num w:numId="38">
    <w:abstractNumId w:val="52"/>
  </w:num>
  <w:num w:numId="39">
    <w:abstractNumId w:val="45"/>
  </w:num>
  <w:num w:numId="40">
    <w:abstractNumId w:val="36"/>
  </w:num>
  <w:num w:numId="41">
    <w:abstractNumId w:val="13"/>
  </w:num>
  <w:num w:numId="42">
    <w:abstractNumId w:val="35"/>
  </w:num>
  <w:num w:numId="43">
    <w:abstractNumId w:val="24"/>
  </w:num>
  <w:num w:numId="44">
    <w:abstractNumId w:val="21"/>
  </w:num>
  <w:num w:numId="45">
    <w:abstractNumId w:val="50"/>
  </w:num>
  <w:num w:numId="46">
    <w:abstractNumId w:val="17"/>
  </w:num>
  <w:num w:numId="47">
    <w:abstractNumId w:val="22"/>
  </w:num>
  <w:num w:numId="48">
    <w:abstractNumId w:val="53"/>
  </w:num>
  <w:num w:numId="49">
    <w:abstractNumId w:val="41"/>
  </w:num>
  <w:num w:numId="50">
    <w:abstractNumId w:val="42"/>
  </w:num>
  <w:num w:numId="51">
    <w:abstractNumId w:val="47"/>
  </w:num>
  <w:num w:numId="52">
    <w:abstractNumId w:val="51"/>
  </w:num>
  <w:num w:numId="53">
    <w:abstractNumId w:val="3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isplayBackgroundShap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15DD4"/>
    <w:rsid w:val="00031F76"/>
    <w:rsid w:val="00035006"/>
    <w:rsid w:val="00042C30"/>
    <w:rsid w:val="0004349F"/>
    <w:rsid w:val="000A5178"/>
    <w:rsid w:val="000E46A1"/>
    <w:rsid w:val="00113E3A"/>
    <w:rsid w:val="00122A42"/>
    <w:rsid w:val="001361C9"/>
    <w:rsid w:val="00154DB1"/>
    <w:rsid w:val="00157545"/>
    <w:rsid w:val="00172286"/>
    <w:rsid w:val="001C182B"/>
    <w:rsid w:val="001D4537"/>
    <w:rsid w:val="002005AC"/>
    <w:rsid w:val="002311A1"/>
    <w:rsid w:val="002437F2"/>
    <w:rsid w:val="0029058B"/>
    <w:rsid w:val="002A7577"/>
    <w:rsid w:val="002C3027"/>
    <w:rsid w:val="002C55EA"/>
    <w:rsid w:val="002C6952"/>
    <w:rsid w:val="002E2577"/>
    <w:rsid w:val="003328EA"/>
    <w:rsid w:val="003344C5"/>
    <w:rsid w:val="00363246"/>
    <w:rsid w:val="003869E1"/>
    <w:rsid w:val="003879C2"/>
    <w:rsid w:val="003C7283"/>
    <w:rsid w:val="003C761F"/>
    <w:rsid w:val="004118B4"/>
    <w:rsid w:val="00425E37"/>
    <w:rsid w:val="00451EEA"/>
    <w:rsid w:val="0049772B"/>
    <w:rsid w:val="004A36E2"/>
    <w:rsid w:val="004B7CE2"/>
    <w:rsid w:val="004D58C0"/>
    <w:rsid w:val="0054403A"/>
    <w:rsid w:val="0054704B"/>
    <w:rsid w:val="00553F22"/>
    <w:rsid w:val="005540D7"/>
    <w:rsid w:val="00557672"/>
    <w:rsid w:val="00571853"/>
    <w:rsid w:val="00596C96"/>
    <w:rsid w:val="005D1543"/>
    <w:rsid w:val="005D395E"/>
    <w:rsid w:val="005F77EF"/>
    <w:rsid w:val="0062270F"/>
    <w:rsid w:val="00624265"/>
    <w:rsid w:val="006401B0"/>
    <w:rsid w:val="00653529"/>
    <w:rsid w:val="00673753"/>
    <w:rsid w:val="006877F7"/>
    <w:rsid w:val="006D1F38"/>
    <w:rsid w:val="00732949"/>
    <w:rsid w:val="0074552F"/>
    <w:rsid w:val="0075185A"/>
    <w:rsid w:val="007712E6"/>
    <w:rsid w:val="0077276E"/>
    <w:rsid w:val="007B4953"/>
    <w:rsid w:val="007D5AAC"/>
    <w:rsid w:val="007F3E56"/>
    <w:rsid w:val="00820A2B"/>
    <w:rsid w:val="00824054"/>
    <w:rsid w:val="00843EEA"/>
    <w:rsid w:val="008473CC"/>
    <w:rsid w:val="00852C61"/>
    <w:rsid w:val="00872A9B"/>
    <w:rsid w:val="00881737"/>
    <w:rsid w:val="008D3504"/>
    <w:rsid w:val="008E0B6F"/>
    <w:rsid w:val="008F697E"/>
    <w:rsid w:val="00900075"/>
    <w:rsid w:val="00936018"/>
    <w:rsid w:val="00943710"/>
    <w:rsid w:val="00961F2C"/>
    <w:rsid w:val="00974855"/>
    <w:rsid w:val="009C7B2D"/>
    <w:rsid w:val="009D10F0"/>
    <w:rsid w:val="00A37A92"/>
    <w:rsid w:val="00A47EDC"/>
    <w:rsid w:val="00A71363"/>
    <w:rsid w:val="00A827A9"/>
    <w:rsid w:val="00A8634D"/>
    <w:rsid w:val="00A87D42"/>
    <w:rsid w:val="00AB05DB"/>
    <w:rsid w:val="00AC6E2A"/>
    <w:rsid w:val="00AE12C3"/>
    <w:rsid w:val="00AE1DD5"/>
    <w:rsid w:val="00AF47EB"/>
    <w:rsid w:val="00B0770C"/>
    <w:rsid w:val="00B36F67"/>
    <w:rsid w:val="00B8658A"/>
    <w:rsid w:val="00C05786"/>
    <w:rsid w:val="00C31A9E"/>
    <w:rsid w:val="00C74701"/>
    <w:rsid w:val="00C83E31"/>
    <w:rsid w:val="00C96CB6"/>
    <w:rsid w:val="00CC513C"/>
    <w:rsid w:val="00CD0867"/>
    <w:rsid w:val="00CE6ADF"/>
    <w:rsid w:val="00D24683"/>
    <w:rsid w:val="00D4580A"/>
    <w:rsid w:val="00D76507"/>
    <w:rsid w:val="00D87D84"/>
    <w:rsid w:val="00D9501B"/>
    <w:rsid w:val="00DA52E9"/>
    <w:rsid w:val="00DD0915"/>
    <w:rsid w:val="00DE22CB"/>
    <w:rsid w:val="00E25B5A"/>
    <w:rsid w:val="00E2665F"/>
    <w:rsid w:val="00E6289B"/>
    <w:rsid w:val="00E76448"/>
    <w:rsid w:val="00EB2264"/>
    <w:rsid w:val="00ED1454"/>
    <w:rsid w:val="00F00D44"/>
    <w:rsid w:val="00FB5097"/>
    <w:rsid w:val="00FD6316"/>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445924889">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marketplace.service.gov.uk/g-cloud/services/512734493279616"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5D3F0-BD56-4A40-A17D-32E64EEB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13614</Words>
  <Characters>77600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Egan, Arron (Commercial)</cp:lastModifiedBy>
  <cp:revision>2</cp:revision>
  <cp:lastPrinted>2018-03-08T12:11:00Z</cp:lastPrinted>
  <dcterms:created xsi:type="dcterms:W3CDTF">2019-01-09T14:53:00Z</dcterms:created>
  <dcterms:modified xsi:type="dcterms:W3CDTF">2019-01-09T14:53:00Z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