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7291" w14:textId="7D0CA9EB" w:rsidR="009B463E" w:rsidRPr="009E4402" w:rsidRDefault="009B463E" w:rsidP="009E4402">
      <w:pPr>
        <w:pStyle w:val="Norma"/>
        <w:spacing w:after="120" w:line="264" w:lineRule="auto"/>
        <w:ind w:left="0"/>
        <w:jc w:val="center"/>
        <w:rPr>
          <w:rFonts w:ascii="Century Gothic" w:hAnsi="Century Gothic"/>
          <w:b/>
          <w:bCs w:val="0"/>
          <w:color w:val="7142FF"/>
          <w:sz w:val="28"/>
          <w:szCs w:val="28"/>
        </w:rPr>
      </w:pPr>
      <w:r w:rsidRPr="009E4402">
        <w:rPr>
          <w:rFonts w:ascii="Century Gothic" w:hAnsi="Century Gothic"/>
          <w:b/>
          <w:bCs w:val="0"/>
          <w:color w:val="7142FF"/>
          <w:sz w:val="28"/>
          <w:szCs w:val="28"/>
        </w:rPr>
        <w:t xml:space="preserve">Early engagement notice – </w:t>
      </w:r>
      <w:r w:rsidR="00E371C5">
        <w:rPr>
          <w:rFonts w:ascii="Century Gothic" w:hAnsi="Century Gothic"/>
          <w:b/>
          <w:bCs w:val="0"/>
          <w:color w:val="7142FF"/>
          <w:sz w:val="28"/>
          <w:szCs w:val="28"/>
        </w:rPr>
        <w:t xml:space="preserve">Understanding the tail of the </w:t>
      </w:r>
      <w:r w:rsidR="001F21EA">
        <w:rPr>
          <w:rFonts w:ascii="Century Gothic" w:hAnsi="Century Gothic"/>
          <w:b/>
          <w:bCs w:val="0"/>
          <w:color w:val="7142FF"/>
          <w:sz w:val="28"/>
          <w:szCs w:val="28"/>
        </w:rPr>
        <w:t>electric vehicle</w:t>
      </w:r>
      <w:r w:rsidR="00E371C5">
        <w:rPr>
          <w:rFonts w:ascii="Century Gothic" w:hAnsi="Century Gothic"/>
          <w:b/>
          <w:bCs w:val="0"/>
          <w:color w:val="7142FF"/>
          <w:sz w:val="28"/>
          <w:szCs w:val="28"/>
        </w:rPr>
        <w:t xml:space="preserve"> </w:t>
      </w:r>
      <w:proofErr w:type="gramStart"/>
      <w:r w:rsidR="00E371C5">
        <w:rPr>
          <w:rFonts w:ascii="Century Gothic" w:hAnsi="Century Gothic"/>
          <w:b/>
          <w:bCs w:val="0"/>
          <w:color w:val="7142FF"/>
          <w:sz w:val="28"/>
          <w:szCs w:val="28"/>
        </w:rPr>
        <w:t>transition</w:t>
      </w:r>
      <w:proofErr w:type="gramEnd"/>
    </w:p>
    <w:p w14:paraId="2FDAA0B3" w14:textId="77777777" w:rsidR="009B463E" w:rsidRPr="009B463E" w:rsidRDefault="009B463E" w:rsidP="009B463E">
      <w:pPr>
        <w:rPr>
          <w:rFonts w:ascii="Century Gothic" w:hAnsi="Century Gothic"/>
          <w:b/>
          <w:bCs/>
        </w:rPr>
      </w:pPr>
    </w:p>
    <w:p w14:paraId="062B253F" w14:textId="073FA647" w:rsidR="00965A11" w:rsidRPr="005B67B2" w:rsidRDefault="009B463E" w:rsidP="009B463E">
      <w:pPr>
        <w:rPr>
          <w:rFonts w:ascii="Century Gothic" w:hAnsi="Century Gothic"/>
          <w:b/>
          <w:bCs/>
          <w:sz w:val="24"/>
          <w:szCs w:val="24"/>
        </w:rPr>
      </w:pPr>
      <w:r w:rsidRPr="005B67B2">
        <w:rPr>
          <w:rFonts w:ascii="Century Gothic" w:hAnsi="Century Gothic"/>
          <w:b/>
          <w:bCs/>
          <w:sz w:val="24"/>
          <w:szCs w:val="24"/>
        </w:rPr>
        <w:t>A Pre-Procurement Notice from the Climate Change Committee</w:t>
      </w:r>
    </w:p>
    <w:p w14:paraId="089110A8" w14:textId="573BC245" w:rsidR="00910DE4" w:rsidRPr="00A2007D" w:rsidRDefault="00910DE4" w:rsidP="00843D3A">
      <w:pPr>
        <w:spacing w:after="240"/>
        <w:rPr>
          <w:rFonts w:ascii="Century Gothic" w:hAnsi="Century Gothic"/>
          <w:b/>
          <w:bCs/>
        </w:rPr>
      </w:pPr>
      <w:r w:rsidRPr="00A2007D">
        <w:rPr>
          <w:rFonts w:ascii="Century Gothic" w:hAnsi="Century Gothic"/>
          <w:b/>
          <w:bCs/>
        </w:rPr>
        <w:t>Background</w:t>
      </w:r>
    </w:p>
    <w:p w14:paraId="5BC05B67" w14:textId="4BDD6C50" w:rsidR="009B463E" w:rsidRPr="00A2007D" w:rsidRDefault="009B463E" w:rsidP="00843D3A">
      <w:pPr>
        <w:spacing w:after="240"/>
        <w:rPr>
          <w:rFonts w:ascii="Century Gothic" w:hAnsi="Century Gothic"/>
        </w:rPr>
      </w:pPr>
      <w:r w:rsidRPr="00A2007D">
        <w:rPr>
          <w:rFonts w:ascii="Century Gothic" w:hAnsi="Century Gothic"/>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0E3EC113" w14:textId="7F8577EA" w:rsidR="00094709" w:rsidRDefault="00BC6FE9" w:rsidP="00843D3A">
      <w:pPr>
        <w:shd w:val="clear" w:color="auto" w:fill="FFFFFF"/>
        <w:spacing w:before="100" w:beforeAutospacing="1" w:after="240" w:line="240" w:lineRule="auto"/>
        <w:rPr>
          <w:rFonts w:ascii="Century Gothic" w:hAnsi="Century Gothic"/>
        </w:rPr>
      </w:pPr>
      <w:r>
        <w:rPr>
          <w:rFonts w:ascii="Century Gothic" w:hAnsi="Century Gothic"/>
        </w:rPr>
        <w:t xml:space="preserve">Part of the CCC’s role is to advise the Government </w:t>
      </w:r>
      <w:r w:rsidRPr="00BC6FE9">
        <w:rPr>
          <w:rFonts w:ascii="Century Gothic" w:hAnsi="Century Gothic"/>
        </w:rPr>
        <w:t xml:space="preserve">on the appropriate level </w:t>
      </w:r>
      <w:r>
        <w:rPr>
          <w:rFonts w:ascii="Century Gothic" w:hAnsi="Century Gothic"/>
        </w:rPr>
        <w:t>for</w:t>
      </w:r>
      <w:r w:rsidRPr="00BC6FE9">
        <w:rPr>
          <w:rFonts w:ascii="Century Gothic" w:hAnsi="Century Gothic"/>
        </w:rPr>
        <w:t xml:space="preserve"> </w:t>
      </w:r>
      <w:r w:rsidR="00094709">
        <w:rPr>
          <w:rFonts w:ascii="Century Gothic" w:hAnsi="Century Gothic"/>
        </w:rPr>
        <w:t xml:space="preserve">each </w:t>
      </w:r>
      <w:r w:rsidRPr="00BC6FE9">
        <w:rPr>
          <w:rFonts w:ascii="Century Gothic" w:hAnsi="Century Gothic"/>
        </w:rPr>
        <w:t>carbon budget</w:t>
      </w:r>
      <w:r w:rsidR="00094709">
        <w:rPr>
          <w:rFonts w:ascii="Century Gothic" w:hAnsi="Century Gothic"/>
        </w:rPr>
        <w:t xml:space="preserve"> </w:t>
      </w:r>
      <w:r>
        <w:rPr>
          <w:rFonts w:ascii="Century Gothic" w:hAnsi="Century Gothic"/>
        </w:rPr>
        <w:t xml:space="preserve">– </w:t>
      </w:r>
      <w:r w:rsidRPr="00BC6FE9">
        <w:rPr>
          <w:rFonts w:ascii="Century Gothic" w:hAnsi="Century Gothic"/>
        </w:rPr>
        <w:t>a cap on the amount of greenhouse gases emitted in the UK over a five-year period.</w:t>
      </w:r>
      <w:r>
        <w:rPr>
          <w:rFonts w:ascii="Century Gothic" w:hAnsi="Century Gothic"/>
        </w:rPr>
        <w:t xml:space="preserve"> </w:t>
      </w:r>
      <w:r w:rsidR="00094709" w:rsidRPr="00094709">
        <w:rPr>
          <w:rFonts w:ascii="Century Gothic" w:hAnsi="Century Gothic"/>
        </w:rPr>
        <w:t xml:space="preserve">The budgets describe the cost-effective pathway to achieving the UK’s long-term climate change objectives. They take account </w:t>
      </w:r>
      <w:r w:rsidR="00094709">
        <w:rPr>
          <w:rFonts w:ascii="Century Gothic" w:hAnsi="Century Gothic"/>
        </w:rPr>
        <w:t xml:space="preserve">of economic, social and technological </w:t>
      </w:r>
      <w:r w:rsidR="00094709" w:rsidRPr="00094709">
        <w:rPr>
          <w:rFonts w:ascii="Century Gothic" w:hAnsi="Century Gothic"/>
        </w:rPr>
        <w:t>factors.</w:t>
      </w:r>
    </w:p>
    <w:p w14:paraId="7B602089" w14:textId="003BA2AE" w:rsidR="00DB64A6" w:rsidRDefault="00094709" w:rsidP="00843D3A">
      <w:pPr>
        <w:spacing w:after="240"/>
        <w:rPr>
          <w:rFonts w:ascii="Century Gothic" w:hAnsi="Century Gothic"/>
        </w:rPr>
      </w:pPr>
      <w:r>
        <w:rPr>
          <w:rFonts w:ascii="Century Gothic" w:hAnsi="Century Gothic"/>
        </w:rPr>
        <w:t>We are about to start our work programme for the Seventh Carbon Budget (</w:t>
      </w:r>
      <w:r w:rsidR="00F66C4D">
        <w:rPr>
          <w:rFonts w:ascii="Century Gothic" w:hAnsi="Century Gothic"/>
        </w:rPr>
        <w:t xml:space="preserve">the period from </w:t>
      </w:r>
      <w:r>
        <w:rPr>
          <w:rFonts w:ascii="Century Gothic" w:hAnsi="Century Gothic"/>
        </w:rPr>
        <w:t>2038</w:t>
      </w:r>
      <w:r w:rsidR="009B0086">
        <w:rPr>
          <w:rFonts w:ascii="Century Gothic" w:hAnsi="Century Gothic"/>
        </w:rPr>
        <w:t>-</w:t>
      </w:r>
      <w:r>
        <w:rPr>
          <w:rFonts w:ascii="Century Gothic" w:hAnsi="Century Gothic"/>
        </w:rPr>
        <w:t>2042).</w:t>
      </w:r>
      <w:r w:rsidR="00DB64A6">
        <w:rPr>
          <w:rFonts w:ascii="Century Gothic" w:hAnsi="Century Gothic"/>
        </w:rPr>
        <w:t xml:space="preserve"> As part of this we would like to explore </w:t>
      </w:r>
      <w:r w:rsidR="00E371C5">
        <w:rPr>
          <w:rFonts w:ascii="Century Gothic" w:hAnsi="Century Gothic"/>
        </w:rPr>
        <w:t>the impacts, delivery challenges and opportunities that are likely at the tail end of the transition to electric vehicles</w:t>
      </w:r>
      <w:r w:rsidR="001F21EA">
        <w:rPr>
          <w:rFonts w:ascii="Century Gothic" w:hAnsi="Century Gothic"/>
        </w:rPr>
        <w:t xml:space="preserve"> (EVs)</w:t>
      </w:r>
      <w:r w:rsidR="00E371C5">
        <w:rPr>
          <w:rFonts w:ascii="Century Gothic" w:hAnsi="Century Gothic"/>
        </w:rPr>
        <w:t>.</w:t>
      </w:r>
    </w:p>
    <w:p w14:paraId="5AD1C527" w14:textId="5E178BD9" w:rsidR="00910DE4" w:rsidRPr="00910DE4" w:rsidRDefault="00910DE4" w:rsidP="00843D3A">
      <w:pPr>
        <w:spacing w:after="240"/>
        <w:rPr>
          <w:rFonts w:ascii="Century Gothic" w:hAnsi="Century Gothic"/>
          <w:b/>
          <w:bCs/>
        </w:rPr>
      </w:pPr>
      <w:r w:rsidRPr="00910DE4">
        <w:rPr>
          <w:rFonts w:ascii="Century Gothic" w:hAnsi="Century Gothic"/>
          <w:b/>
          <w:bCs/>
        </w:rPr>
        <w:t>Potential project</w:t>
      </w:r>
    </w:p>
    <w:p w14:paraId="2B12BDF6" w14:textId="3683CF79" w:rsidR="00E371C5" w:rsidRDefault="00E371C5" w:rsidP="00E371C5">
      <w:pPr>
        <w:spacing w:after="240"/>
        <w:rPr>
          <w:rFonts w:ascii="Century Gothic" w:hAnsi="Century Gothic"/>
        </w:rPr>
      </w:pPr>
      <w:r>
        <w:rPr>
          <w:rFonts w:ascii="Century Gothic" w:hAnsi="Century Gothic"/>
        </w:rPr>
        <w:t>EV uptake has increased rapidly over recent years, and the ZEV mandate now provides a level of certainty</w:t>
      </w:r>
      <w:r w:rsidR="003B577D">
        <w:rPr>
          <w:rFonts w:ascii="Century Gothic" w:hAnsi="Century Gothic"/>
        </w:rPr>
        <w:t xml:space="preserve"> on the minimum rate at which this can be expected to scale up through the 2020s. A</w:t>
      </w:r>
      <w:r w:rsidRPr="00E371C5">
        <w:rPr>
          <w:rFonts w:ascii="Century Gothic" w:hAnsi="Century Gothic"/>
        </w:rPr>
        <w:t xml:space="preserve">s EVs get closer to full market penetration, they will have to target </w:t>
      </w:r>
      <w:r w:rsidR="008E7341">
        <w:rPr>
          <w:rFonts w:ascii="Century Gothic" w:hAnsi="Century Gothic"/>
        </w:rPr>
        <w:t>increasing</w:t>
      </w:r>
      <w:r w:rsidR="00F0427E">
        <w:rPr>
          <w:rFonts w:ascii="Century Gothic" w:hAnsi="Century Gothic"/>
        </w:rPr>
        <w:t xml:space="preserve"> </w:t>
      </w:r>
      <w:r w:rsidR="008E7341">
        <w:rPr>
          <w:rFonts w:ascii="Century Gothic" w:hAnsi="Century Gothic"/>
        </w:rPr>
        <w:t>pro</w:t>
      </w:r>
      <w:r w:rsidRPr="00E371C5">
        <w:rPr>
          <w:rFonts w:ascii="Century Gothic" w:hAnsi="Century Gothic"/>
        </w:rPr>
        <w:t>portions of the market</w:t>
      </w:r>
      <w:r w:rsidR="00F0427E">
        <w:rPr>
          <w:rFonts w:ascii="Century Gothic" w:hAnsi="Century Gothic"/>
        </w:rPr>
        <w:t>, including groups</w:t>
      </w:r>
      <w:r w:rsidRPr="00E371C5">
        <w:rPr>
          <w:rFonts w:ascii="Century Gothic" w:hAnsi="Century Gothic"/>
        </w:rPr>
        <w:t xml:space="preserve"> for whom </w:t>
      </w:r>
      <w:r w:rsidR="00F0427E">
        <w:rPr>
          <w:rFonts w:ascii="Century Gothic" w:hAnsi="Century Gothic"/>
        </w:rPr>
        <w:t>EVs</w:t>
      </w:r>
      <w:r w:rsidRPr="00E371C5">
        <w:rPr>
          <w:rFonts w:ascii="Century Gothic" w:hAnsi="Century Gothic"/>
        </w:rPr>
        <w:t xml:space="preserve"> </w:t>
      </w:r>
      <w:r w:rsidR="00F0427E">
        <w:rPr>
          <w:rFonts w:ascii="Century Gothic" w:hAnsi="Century Gothic"/>
        </w:rPr>
        <w:t xml:space="preserve">may </w:t>
      </w:r>
      <w:r w:rsidRPr="00E371C5">
        <w:rPr>
          <w:rFonts w:ascii="Century Gothic" w:hAnsi="Century Gothic"/>
        </w:rPr>
        <w:t>present challenges. Th</w:t>
      </w:r>
      <w:r w:rsidR="008E7341">
        <w:rPr>
          <w:rFonts w:ascii="Century Gothic" w:hAnsi="Century Gothic"/>
        </w:rPr>
        <w:t>ese</w:t>
      </w:r>
      <w:r w:rsidRPr="00E371C5" w:rsidDel="008E7341">
        <w:rPr>
          <w:rFonts w:ascii="Century Gothic" w:hAnsi="Century Gothic"/>
        </w:rPr>
        <w:t xml:space="preserve"> </w:t>
      </w:r>
      <w:r w:rsidRPr="00E371C5">
        <w:rPr>
          <w:rFonts w:ascii="Century Gothic" w:hAnsi="Century Gothic"/>
        </w:rPr>
        <w:t xml:space="preserve">could include difficulty affording possibly higher upfront costs, </w:t>
      </w:r>
      <w:r w:rsidR="003B577D">
        <w:rPr>
          <w:rFonts w:ascii="Century Gothic" w:hAnsi="Century Gothic"/>
        </w:rPr>
        <w:t>reliance on used car markets</w:t>
      </w:r>
      <w:r w:rsidR="008E7341">
        <w:rPr>
          <w:rFonts w:ascii="Century Gothic" w:hAnsi="Century Gothic"/>
        </w:rPr>
        <w:t xml:space="preserve"> with more limited options</w:t>
      </w:r>
      <w:r w:rsidR="003B577D">
        <w:rPr>
          <w:rFonts w:ascii="Century Gothic" w:hAnsi="Century Gothic"/>
        </w:rPr>
        <w:t xml:space="preserve">, </w:t>
      </w:r>
      <w:r w:rsidRPr="00E371C5">
        <w:rPr>
          <w:rFonts w:ascii="Century Gothic" w:hAnsi="Century Gothic"/>
        </w:rPr>
        <w:t>concern about suitability of charging infrastructure (e.g. in rural locations or in densely-populated areas)</w:t>
      </w:r>
      <w:r w:rsidR="00430183">
        <w:rPr>
          <w:rFonts w:ascii="Century Gothic" w:hAnsi="Century Gothic"/>
        </w:rPr>
        <w:t xml:space="preserve"> and</w:t>
      </w:r>
      <w:r w:rsidRPr="00E371C5">
        <w:rPr>
          <w:rFonts w:ascii="Century Gothic" w:hAnsi="Century Gothic"/>
        </w:rPr>
        <w:t xml:space="preserve"> scepticism more generally.</w:t>
      </w:r>
      <w:r w:rsidR="003B577D">
        <w:rPr>
          <w:rFonts w:ascii="Century Gothic" w:hAnsi="Century Gothic"/>
        </w:rPr>
        <w:t xml:space="preserve"> The CCC is considering how to exp</w:t>
      </w:r>
      <w:r w:rsidRPr="00E371C5">
        <w:rPr>
          <w:rFonts w:ascii="Century Gothic" w:hAnsi="Century Gothic"/>
        </w:rPr>
        <w:t xml:space="preserve">lore the impacts that these </w:t>
      </w:r>
      <w:r w:rsidR="008E7341">
        <w:rPr>
          <w:rFonts w:ascii="Century Gothic" w:hAnsi="Century Gothic"/>
        </w:rPr>
        <w:t>issues</w:t>
      </w:r>
      <w:r w:rsidR="008E7341" w:rsidRPr="00E371C5">
        <w:rPr>
          <w:rFonts w:ascii="Century Gothic" w:hAnsi="Century Gothic"/>
        </w:rPr>
        <w:t xml:space="preserve"> </w:t>
      </w:r>
      <w:r w:rsidRPr="00E371C5">
        <w:rPr>
          <w:rFonts w:ascii="Century Gothic" w:hAnsi="Century Gothic"/>
        </w:rPr>
        <w:t>could have on the tail of the transition, as well as approaches that could mitigate these</w:t>
      </w:r>
      <w:r w:rsidR="00417D97">
        <w:rPr>
          <w:rFonts w:ascii="Century Gothic" w:hAnsi="Century Gothic"/>
        </w:rPr>
        <w:t xml:space="preserve"> impacts</w:t>
      </w:r>
      <w:r w:rsidR="003B577D">
        <w:rPr>
          <w:rFonts w:ascii="Century Gothic" w:hAnsi="Century Gothic"/>
        </w:rPr>
        <w:t>.</w:t>
      </w:r>
    </w:p>
    <w:p w14:paraId="4129906B" w14:textId="4F435526" w:rsidR="003B577D" w:rsidRDefault="003B577D" w:rsidP="00E371C5">
      <w:pPr>
        <w:spacing w:after="240"/>
        <w:rPr>
          <w:rFonts w:ascii="Century Gothic" w:hAnsi="Century Gothic"/>
        </w:rPr>
      </w:pPr>
      <w:r>
        <w:rPr>
          <w:rFonts w:ascii="Century Gothic" w:hAnsi="Century Gothic"/>
        </w:rPr>
        <w:t>We are keen to understand what impact these and other “tail effects” could have on the rate of EV adoption in the later years of the transition, beyond the 2030 end-of-sales date</w:t>
      </w:r>
      <w:r w:rsidR="008E7341">
        <w:rPr>
          <w:rFonts w:ascii="Century Gothic" w:hAnsi="Century Gothic"/>
        </w:rPr>
        <w:t xml:space="preserve"> for </w:t>
      </w:r>
      <w:r w:rsidR="0004629F">
        <w:rPr>
          <w:rFonts w:ascii="Century Gothic" w:hAnsi="Century Gothic"/>
        </w:rPr>
        <w:t xml:space="preserve">new </w:t>
      </w:r>
      <w:r w:rsidR="008E7341">
        <w:rPr>
          <w:rFonts w:ascii="Century Gothic" w:hAnsi="Century Gothic"/>
        </w:rPr>
        <w:t>petrol and diesel vehicles</w:t>
      </w:r>
      <w:r>
        <w:rPr>
          <w:rFonts w:ascii="Century Gothic" w:hAnsi="Century Gothic"/>
        </w:rPr>
        <w:t xml:space="preserve">. </w:t>
      </w:r>
      <w:r w:rsidR="00822113">
        <w:rPr>
          <w:rFonts w:ascii="Century Gothic" w:hAnsi="Century Gothic"/>
        </w:rPr>
        <w:t>This could include consideration of:</w:t>
      </w:r>
    </w:p>
    <w:p w14:paraId="08E56AE0" w14:textId="01C0F2CC" w:rsidR="00822113" w:rsidRDefault="00822113" w:rsidP="003C1678">
      <w:pPr>
        <w:pStyle w:val="ListParagraph"/>
        <w:numPr>
          <w:ilvl w:val="0"/>
          <w:numId w:val="1"/>
        </w:numPr>
        <w:spacing w:after="120"/>
        <w:ind w:left="714" w:hanging="357"/>
        <w:contextualSpacing w:val="0"/>
        <w:rPr>
          <w:rFonts w:ascii="Century Gothic" w:hAnsi="Century Gothic"/>
        </w:rPr>
      </w:pPr>
      <w:r>
        <w:rPr>
          <w:rFonts w:ascii="Century Gothic" w:hAnsi="Century Gothic"/>
        </w:rPr>
        <w:t>The proportion of drivers likely to remain unable or reluctant to switch to EVs.</w:t>
      </w:r>
    </w:p>
    <w:p w14:paraId="1FB14936" w14:textId="30B168C3" w:rsidR="003C1678" w:rsidRDefault="00822113" w:rsidP="003C1678">
      <w:pPr>
        <w:pStyle w:val="ListParagraph"/>
        <w:numPr>
          <w:ilvl w:val="0"/>
          <w:numId w:val="1"/>
        </w:numPr>
        <w:spacing w:after="120"/>
        <w:ind w:left="714" w:hanging="357"/>
        <w:contextualSpacing w:val="0"/>
        <w:rPr>
          <w:rFonts w:ascii="Century Gothic" w:hAnsi="Century Gothic"/>
        </w:rPr>
      </w:pPr>
      <w:r>
        <w:rPr>
          <w:rFonts w:ascii="Century Gothic" w:hAnsi="Century Gothic"/>
        </w:rPr>
        <w:t xml:space="preserve">The rate at which </w:t>
      </w:r>
      <w:r w:rsidR="00417D97">
        <w:rPr>
          <w:rFonts w:ascii="Century Gothic" w:hAnsi="Century Gothic"/>
        </w:rPr>
        <w:t xml:space="preserve">electric </w:t>
      </w:r>
      <w:r>
        <w:rPr>
          <w:rFonts w:ascii="Century Gothic" w:hAnsi="Century Gothic"/>
        </w:rPr>
        <w:t>vehicles will become available and affordable through used</w:t>
      </w:r>
      <w:r w:rsidR="000D05DC">
        <w:rPr>
          <w:rFonts w:ascii="Century Gothic" w:hAnsi="Century Gothic"/>
        </w:rPr>
        <w:t>-</w:t>
      </w:r>
      <w:r>
        <w:rPr>
          <w:rFonts w:ascii="Century Gothic" w:hAnsi="Century Gothic"/>
        </w:rPr>
        <w:t>car markets (in particular looking at access to EVs for drivers who typically buy vehicles</w:t>
      </w:r>
      <w:r w:rsidR="003C1678">
        <w:rPr>
          <w:rFonts w:ascii="Century Gothic" w:hAnsi="Century Gothic"/>
        </w:rPr>
        <w:t xml:space="preserve"> third- or fourth-hand or later)</w:t>
      </w:r>
      <w:r w:rsidR="0057537D">
        <w:rPr>
          <w:rFonts w:ascii="Century Gothic" w:hAnsi="Century Gothic"/>
        </w:rPr>
        <w:t xml:space="preserve"> </w:t>
      </w:r>
      <w:r w:rsidR="0057537D" w:rsidRPr="0057537D">
        <w:rPr>
          <w:rFonts w:ascii="Century Gothic" w:hAnsi="Century Gothic"/>
        </w:rPr>
        <w:t xml:space="preserve">and what factors (e.g. the relative operating costs of </w:t>
      </w:r>
      <w:r w:rsidR="0057537D">
        <w:rPr>
          <w:rFonts w:ascii="Century Gothic" w:hAnsi="Century Gothic"/>
        </w:rPr>
        <w:t>internal combustion engine (</w:t>
      </w:r>
      <w:r w:rsidR="0057537D" w:rsidRPr="0057537D">
        <w:rPr>
          <w:rFonts w:ascii="Century Gothic" w:hAnsi="Century Gothic"/>
        </w:rPr>
        <w:t>ICE</w:t>
      </w:r>
      <w:r w:rsidR="0057537D">
        <w:rPr>
          <w:rFonts w:ascii="Century Gothic" w:hAnsi="Century Gothic"/>
        </w:rPr>
        <w:t>)</w:t>
      </w:r>
      <w:r w:rsidR="0057537D" w:rsidRPr="0057537D">
        <w:rPr>
          <w:rFonts w:ascii="Century Gothic" w:hAnsi="Century Gothic"/>
        </w:rPr>
        <w:t xml:space="preserve"> and </w:t>
      </w:r>
      <w:r w:rsidR="0057537D" w:rsidRPr="0057537D">
        <w:rPr>
          <w:rFonts w:ascii="Century Gothic" w:hAnsi="Century Gothic"/>
        </w:rPr>
        <w:lastRenderedPageBreak/>
        <w:t>electric vehicles) are likely to affect the prices of used vehicles (both electric and ICE)</w:t>
      </w:r>
      <w:r w:rsidR="003C1678">
        <w:rPr>
          <w:rFonts w:ascii="Century Gothic" w:hAnsi="Century Gothic"/>
        </w:rPr>
        <w:t>.</w:t>
      </w:r>
    </w:p>
    <w:p w14:paraId="622F31AE" w14:textId="42CDC269" w:rsidR="00822113" w:rsidRPr="003C1678" w:rsidRDefault="00822113" w:rsidP="003C1678">
      <w:pPr>
        <w:pStyle w:val="ListParagraph"/>
        <w:numPr>
          <w:ilvl w:val="0"/>
          <w:numId w:val="1"/>
        </w:numPr>
        <w:spacing w:after="120"/>
        <w:ind w:left="714" w:hanging="357"/>
        <w:contextualSpacing w:val="0"/>
        <w:rPr>
          <w:rFonts w:ascii="Century Gothic" w:hAnsi="Century Gothic"/>
        </w:rPr>
      </w:pPr>
      <w:r w:rsidRPr="003C1678">
        <w:rPr>
          <w:rFonts w:ascii="Century Gothic" w:hAnsi="Century Gothic"/>
        </w:rPr>
        <w:t>Impacts on vehicle ages and emissions if drivers choose to keep older fossil-fuelled cars.</w:t>
      </w:r>
    </w:p>
    <w:p w14:paraId="45C16BCF" w14:textId="32415D32" w:rsidR="00822113" w:rsidRDefault="00822113" w:rsidP="003C1678">
      <w:pPr>
        <w:pStyle w:val="ListParagraph"/>
        <w:numPr>
          <w:ilvl w:val="0"/>
          <w:numId w:val="1"/>
        </w:numPr>
        <w:spacing w:after="120"/>
        <w:ind w:left="714" w:hanging="357"/>
        <w:contextualSpacing w:val="0"/>
        <w:rPr>
          <w:rFonts w:ascii="Century Gothic" w:hAnsi="Century Gothic"/>
        </w:rPr>
      </w:pPr>
      <w:r>
        <w:rPr>
          <w:rFonts w:ascii="Century Gothic" w:hAnsi="Century Gothic"/>
        </w:rPr>
        <w:t xml:space="preserve">Cost and convenience impacts (e.g. whether/how drivers will </w:t>
      </w:r>
      <w:r w:rsidR="00C87946">
        <w:rPr>
          <w:rFonts w:ascii="Century Gothic" w:hAnsi="Century Gothic"/>
        </w:rPr>
        <w:t xml:space="preserve">still </w:t>
      </w:r>
      <w:r>
        <w:rPr>
          <w:rFonts w:ascii="Century Gothic" w:hAnsi="Century Gothic"/>
        </w:rPr>
        <w:t>be able to refuel</w:t>
      </w:r>
      <w:r w:rsidR="00113AEF">
        <w:rPr>
          <w:rFonts w:ascii="Century Gothic" w:hAnsi="Century Gothic"/>
        </w:rPr>
        <w:t xml:space="preserve"> as overall demand for liquid fuels drops</w:t>
      </w:r>
      <w:r>
        <w:rPr>
          <w:rFonts w:ascii="Century Gothic" w:hAnsi="Century Gothic"/>
        </w:rPr>
        <w:t>) for drivers who cannot afford</w:t>
      </w:r>
      <w:r w:rsidR="008E7341">
        <w:rPr>
          <w:rFonts w:ascii="Century Gothic" w:hAnsi="Century Gothic"/>
        </w:rPr>
        <w:t xml:space="preserve"> or choose not to take up</w:t>
      </w:r>
      <w:r>
        <w:rPr>
          <w:rFonts w:ascii="Century Gothic" w:hAnsi="Century Gothic"/>
        </w:rPr>
        <w:t xml:space="preserve"> an EV.</w:t>
      </w:r>
    </w:p>
    <w:p w14:paraId="3245AC0E" w14:textId="616060B9" w:rsidR="003C1678" w:rsidRDefault="003C1678" w:rsidP="003C1678">
      <w:pPr>
        <w:pStyle w:val="ListParagraph"/>
        <w:numPr>
          <w:ilvl w:val="0"/>
          <w:numId w:val="1"/>
        </w:numPr>
        <w:spacing w:after="120"/>
        <w:ind w:left="714" w:hanging="357"/>
        <w:contextualSpacing w:val="0"/>
        <w:rPr>
          <w:rFonts w:ascii="Century Gothic" w:hAnsi="Century Gothic"/>
        </w:rPr>
      </w:pPr>
      <w:r>
        <w:rPr>
          <w:rFonts w:ascii="Century Gothic" w:hAnsi="Century Gothic"/>
        </w:rPr>
        <w:t>Whether particular regions or groups within society are likely to be particularly impacted by the above factors.</w:t>
      </w:r>
    </w:p>
    <w:p w14:paraId="496B8A0C" w14:textId="51295B97" w:rsidR="003C1678" w:rsidRDefault="005E77DC" w:rsidP="003C1678">
      <w:pPr>
        <w:spacing w:after="240"/>
        <w:rPr>
          <w:rFonts w:ascii="Century Gothic" w:hAnsi="Century Gothic"/>
        </w:rPr>
      </w:pPr>
      <w:r>
        <w:rPr>
          <w:rFonts w:ascii="Century Gothic" w:hAnsi="Century Gothic"/>
        </w:rPr>
        <w:t>W</w:t>
      </w:r>
      <w:r w:rsidR="003C1678">
        <w:rPr>
          <w:rFonts w:ascii="Century Gothic" w:hAnsi="Century Gothic"/>
        </w:rPr>
        <w:t xml:space="preserve">e would also like to </w:t>
      </w:r>
      <w:r>
        <w:rPr>
          <w:rFonts w:ascii="Century Gothic" w:hAnsi="Century Gothic"/>
        </w:rPr>
        <w:t xml:space="preserve">explore the potential effectiveness of measures that could address </w:t>
      </w:r>
      <w:r w:rsidR="00430183">
        <w:rPr>
          <w:rFonts w:ascii="Century Gothic" w:hAnsi="Century Gothic"/>
        </w:rPr>
        <w:t xml:space="preserve">risks posed by these </w:t>
      </w:r>
      <w:r w:rsidR="008E7341">
        <w:rPr>
          <w:rFonts w:ascii="Century Gothic" w:hAnsi="Century Gothic"/>
        </w:rPr>
        <w:t xml:space="preserve">issues </w:t>
      </w:r>
      <w:r w:rsidR="00430183">
        <w:rPr>
          <w:rFonts w:ascii="Century Gothic" w:hAnsi="Century Gothic"/>
        </w:rPr>
        <w:t>to the pace, fairness and cost-effectiveness of the EV transition.</w:t>
      </w:r>
      <w:r>
        <w:rPr>
          <w:rFonts w:ascii="Century Gothic" w:hAnsi="Century Gothic"/>
        </w:rPr>
        <w:t xml:space="preserve"> Such measures could include:</w:t>
      </w:r>
    </w:p>
    <w:p w14:paraId="27649C3A" w14:textId="77777777" w:rsidR="005E77DC" w:rsidRPr="00E371C5" w:rsidRDefault="005E77DC" w:rsidP="005E77DC">
      <w:pPr>
        <w:pStyle w:val="ListParagraph"/>
        <w:numPr>
          <w:ilvl w:val="0"/>
          <w:numId w:val="1"/>
        </w:numPr>
        <w:spacing w:after="120"/>
        <w:ind w:left="714" w:hanging="357"/>
        <w:contextualSpacing w:val="0"/>
        <w:rPr>
          <w:rFonts w:ascii="Century Gothic" w:hAnsi="Century Gothic"/>
        </w:rPr>
      </w:pPr>
      <w:r w:rsidRPr="00E371C5">
        <w:rPr>
          <w:rFonts w:ascii="Century Gothic" w:hAnsi="Century Gothic"/>
        </w:rPr>
        <w:t>Targeted incentives to encourage private-owner EV adoption.</w:t>
      </w:r>
    </w:p>
    <w:p w14:paraId="59CA35A2" w14:textId="085CE8ED" w:rsidR="005E77DC" w:rsidRPr="00E371C5" w:rsidRDefault="005E77DC" w:rsidP="005E77DC">
      <w:pPr>
        <w:pStyle w:val="ListParagraph"/>
        <w:numPr>
          <w:ilvl w:val="0"/>
          <w:numId w:val="1"/>
        </w:numPr>
        <w:spacing w:after="120"/>
        <w:ind w:left="714" w:hanging="357"/>
        <w:contextualSpacing w:val="0"/>
        <w:rPr>
          <w:rFonts w:ascii="Century Gothic" w:hAnsi="Century Gothic"/>
        </w:rPr>
      </w:pPr>
      <w:r w:rsidRPr="00E371C5">
        <w:rPr>
          <w:rFonts w:ascii="Century Gothic" w:hAnsi="Century Gothic"/>
        </w:rPr>
        <w:t>Targeted scrappage schemes to replace or remove older vehicles.</w:t>
      </w:r>
    </w:p>
    <w:p w14:paraId="3D787C84" w14:textId="6538CE7E" w:rsidR="005E77DC" w:rsidRPr="00E371C5" w:rsidRDefault="005E77DC" w:rsidP="005E77DC">
      <w:pPr>
        <w:pStyle w:val="ListParagraph"/>
        <w:numPr>
          <w:ilvl w:val="0"/>
          <w:numId w:val="1"/>
        </w:numPr>
        <w:spacing w:after="120"/>
        <w:ind w:left="714" w:hanging="357"/>
        <w:contextualSpacing w:val="0"/>
        <w:rPr>
          <w:rFonts w:ascii="Century Gothic" w:hAnsi="Century Gothic"/>
        </w:rPr>
      </w:pPr>
      <w:r w:rsidRPr="00E371C5">
        <w:rPr>
          <w:rFonts w:ascii="Century Gothic" w:hAnsi="Century Gothic"/>
        </w:rPr>
        <w:t>Schemes to retrofit existing vehicles to battery power.</w:t>
      </w:r>
    </w:p>
    <w:p w14:paraId="524DA6AC" w14:textId="45BAFB5E" w:rsidR="005E77DC" w:rsidRPr="00E371C5" w:rsidRDefault="005E77DC" w:rsidP="005E77DC">
      <w:pPr>
        <w:pStyle w:val="ListParagraph"/>
        <w:numPr>
          <w:ilvl w:val="0"/>
          <w:numId w:val="1"/>
        </w:numPr>
        <w:spacing w:after="120"/>
        <w:ind w:left="714" w:hanging="357"/>
        <w:contextualSpacing w:val="0"/>
        <w:rPr>
          <w:rFonts w:ascii="Century Gothic" w:hAnsi="Century Gothic"/>
        </w:rPr>
      </w:pPr>
      <w:r w:rsidRPr="00E371C5">
        <w:rPr>
          <w:rFonts w:ascii="Century Gothic" w:hAnsi="Century Gothic"/>
        </w:rPr>
        <w:t>Measures to support affordability of EVs in the used</w:t>
      </w:r>
      <w:r w:rsidR="00054ACD">
        <w:rPr>
          <w:rFonts w:ascii="Century Gothic" w:hAnsi="Century Gothic"/>
        </w:rPr>
        <w:t>-</w:t>
      </w:r>
      <w:r w:rsidRPr="00E371C5">
        <w:rPr>
          <w:rFonts w:ascii="Century Gothic" w:hAnsi="Century Gothic"/>
        </w:rPr>
        <w:t>car market.</w:t>
      </w:r>
    </w:p>
    <w:p w14:paraId="080002B5" w14:textId="210CC7CD" w:rsidR="005E77DC" w:rsidRDefault="005E77DC" w:rsidP="005E77DC">
      <w:pPr>
        <w:pStyle w:val="ListParagraph"/>
        <w:numPr>
          <w:ilvl w:val="0"/>
          <w:numId w:val="1"/>
        </w:numPr>
        <w:spacing w:after="120"/>
        <w:ind w:left="714" w:hanging="357"/>
        <w:contextualSpacing w:val="0"/>
        <w:rPr>
          <w:rFonts w:ascii="Century Gothic" w:hAnsi="Century Gothic"/>
        </w:rPr>
      </w:pPr>
      <w:r w:rsidRPr="00E371C5">
        <w:rPr>
          <w:rFonts w:ascii="Century Gothic" w:hAnsi="Century Gothic"/>
        </w:rPr>
        <w:t xml:space="preserve">Greater use of car </w:t>
      </w:r>
      <w:r w:rsidR="00074381">
        <w:rPr>
          <w:rFonts w:ascii="Century Gothic" w:hAnsi="Century Gothic"/>
        </w:rPr>
        <w:t>clubs</w:t>
      </w:r>
      <w:r w:rsidRPr="00E371C5">
        <w:rPr>
          <w:rFonts w:ascii="Century Gothic" w:hAnsi="Century Gothic"/>
        </w:rPr>
        <w:t>.</w:t>
      </w:r>
    </w:p>
    <w:p w14:paraId="6244DEE1" w14:textId="78483041" w:rsidR="0004629F" w:rsidRDefault="0004629F" w:rsidP="00843D3A">
      <w:pPr>
        <w:spacing w:after="240"/>
        <w:rPr>
          <w:rFonts w:ascii="Century Gothic" w:hAnsi="Century Gothic"/>
        </w:rPr>
      </w:pPr>
      <w:r>
        <w:rPr>
          <w:rFonts w:ascii="Century Gothic" w:hAnsi="Century Gothic"/>
        </w:rPr>
        <w:t>While many projections of EV uptake assume a smooth tail, in practice it</w:t>
      </w:r>
      <w:r w:rsidR="0027713B">
        <w:rPr>
          <w:rFonts w:ascii="Century Gothic" w:hAnsi="Century Gothic"/>
        </w:rPr>
        <w:t xml:space="preserve"> may not be</w:t>
      </w:r>
      <w:r>
        <w:rPr>
          <w:rFonts w:ascii="Century Gothic" w:hAnsi="Century Gothic"/>
        </w:rPr>
        <w:t xml:space="preserve"> cost-effective for the required supporting infrastructure (refuelling stations, maintenance provision, etc.) to remain in place to support such a gradual reduction in fossil-fuelled vehicles. Therefore, </w:t>
      </w:r>
      <w:r w:rsidR="0060138F">
        <w:rPr>
          <w:rFonts w:ascii="Century Gothic" w:hAnsi="Century Gothic"/>
        </w:rPr>
        <w:t xml:space="preserve">it </w:t>
      </w:r>
      <w:r w:rsidR="00922882">
        <w:rPr>
          <w:rFonts w:ascii="Century Gothic" w:hAnsi="Century Gothic"/>
        </w:rPr>
        <w:t>may</w:t>
      </w:r>
      <w:r w:rsidR="0060138F">
        <w:rPr>
          <w:rFonts w:ascii="Century Gothic" w:hAnsi="Century Gothic"/>
        </w:rPr>
        <w:t xml:space="preserve"> be necessary to use measures such as those above to </w:t>
      </w:r>
      <w:r w:rsidR="00CA44F6">
        <w:rPr>
          <w:rFonts w:ascii="Century Gothic" w:hAnsi="Century Gothic"/>
        </w:rPr>
        <w:t>accelerate the final stages of the transition. We are keen for the research to explore how this might be achieved and the optimal timing for such interventions to be introduced.</w:t>
      </w:r>
    </w:p>
    <w:p w14:paraId="0CDD5365" w14:textId="485B03A4" w:rsidR="00430183" w:rsidRDefault="00430183" w:rsidP="00843D3A">
      <w:pPr>
        <w:spacing w:after="240"/>
        <w:rPr>
          <w:rFonts w:ascii="Century Gothic" w:hAnsi="Century Gothic"/>
        </w:rPr>
      </w:pPr>
      <w:r>
        <w:rPr>
          <w:rFonts w:ascii="Century Gothic" w:hAnsi="Century Gothic"/>
        </w:rPr>
        <w:t xml:space="preserve">This research would be used to inform updates to the CCC’s assumed pathways for EV uptake. Therefore, it will be crucial for </w:t>
      </w:r>
      <w:r w:rsidR="00CA44F6">
        <w:rPr>
          <w:rFonts w:ascii="Century Gothic" w:hAnsi="Century Gothic"/>
        </w:rPr>
        <w:t>it</w:t>
      </w:r>
      <w:r>
        <w:rPr>
          <w:rFonts w:ascii="Century Gothic" w:hAnsi="Century Gothic"/>
        </w:rPr>
        <w:t xml:space="preserve"> to </w:t>
      </w:r>
      <w:r w:rsidR="00CA44F6">
        <w:rPr>
          <w:rFonts w:ascii="Century Gothic" w:hAnsi="Century Gothic"/>
        </w:rPr>
        <w:t>assess the quantified impacts that such an approach could have on both the rates of EV uptake and the costs and cost savings that will be incurred.</w:t>
      </w:r>
    </w:p>
    <w:p w14:paraId="6EDFEE25" w14:textId="597D8045" w:rsidR="009B463E" w:rsidRPr="001B7BAB" w:rsidRDefault="006967C5" w:rsidP="00843D3A">
      <w:pPr>
        <w:spacing w:after="240"/>
        <w:rPr>
          <w:rFonts w:ascii="Century Gothic" w:hAnsi="Century Gothic"/>
        </w:rPr>
      </w:pPr>
      <w:r>
        <w:rPr>
          <w:rFonts w:ascii="Century Gothic" w:hAnsi="Century Gothic"/>
        </w:rPr>
        <w:t>We are planning to advertise a tender for this research project in September</w:t>
      </w:r>
      <w:r w:rsidR="004A1BB7">
        <w:rPr>
          <w:rFonts w:ascii="Century Gothic" w:hAnsi="Century Gothic"/>
        </w:rPr>
        <w:t xml:space="preserve"> 2023</w:t>
      </w:r>
      <w:r>
        <w:rPr>
          <w:rFonts w:ascii="Century Gothic" w:hAnsi="Century Gothic"/>
        </w:rPr>
        <w:t>, with the intention that the research should commence in January</w:t>
      </w:r>
      <w:r w:rsidR="004A1BB7">
        <w:rPr>
          <w:rFonts w:ascii="Century Gothic" w:hAnsi="Century Gothic"/>
        </w:rPr>
        <w:t xml:space="preserve"> 2024 and last for </w:t>
      </w:r>
      <w:r w:rsidR="00BC5055">
        <w:rPr>
          <w:rFonts w:ascii="Century Gothic" w:hAnsi="Century Gothic"/>
        </w:rPr>
        <w:t>a</w:t>
      </w:r>
      <w:r w:rsidR="004A1BB7">
        <w:rPr>
          <w:rFonts w:ascii="Century Gothic" w:hAnsi="Century Gothic"/>
        </w:rPr>
        <w:t xml:space="preserve">round four months. A first-draft set of analytical outputs, setting out an initial assessment of the likely impact on rates of uptake of EVs, will be required </w:t>
      </w:r>
      <w:r w:rsidR="00BC5055">
        <w:rPr>
          <w:rFonts w:ascii="Century Gothic" w:hAnsi="Century Gothic"/>
        </w:rPr>
        <w:t>by</w:t>
      </w:r>
      <w:r w:rsidR="004A1BB7">
        <w:rPr>
          <w:rFonts w:ascii="Century Gothic" w:hAnsi="Century Gothic"/>
        </w:rPr>
        <w:t xml:space="preserve"> March 2024. W</w:t>
      </w:r>
      <w:r w:rsidR="009B463E" w:rsidRPr="001B7BAB">
        <w:rPr>
          <w:rFonts w:ascii="Century Gothic" w:hAnsi="Century Gothic"/>
        </w:rPr>
        <w:t xml:space="preserve">e are inviting feedback </w:t>
      </w:r>
      <w:r w:rsidR="00910DE4">
        <w:rPr>
          <w:rFonts w:ascii="Century Gothic" w:hAnsi="Century Gothic"/>
        </w:rPr>
        <w:t xml:space="preserve">on the idea outlined above </w:t>
      </w:r>
      <w:r w:rsidR="009B463E" w:rsidRPr="001B7BAB">
        <w:rPr>
          <w:rFonts w:ascii="Century Gothic" w:hAnsi="Century Gothic"/>
        </w:rPr>
        <w:t>to gauge the feasibility of undertaking</w:t>
      </w:r>
      <w:r w:rsidR="00DE1E69" w:rsidRPr="001B7BAB">
        <w:rPr>
          <w:rFonts w:ascii="Century Gothic" w:hAnsi="Century Gothic"/>
        </w:rPr>
        <w:t xml:space="preserve"> </w:t>
      </w:r>
      <w:r w:rsidR="009B463E" w:rsidRPr="001B7BAB">
        <w:rPr>
          <w:rFonts w:ascii="Century Gothic" w:hAnsi="Century Gothic"/>
        </w:rPr>
        <w:t>credible and robust analysis</w:t>
      </w:r>
      <w:r w:rsidR="004A1BB7">
        <w:rPr>
          <w:rFonts w:ascii="Century Gothic" w:hAnsi="Century Gothic"/>
        </w:rPr>
        <w:t xml:space="preserve"> within the timelines described</w:t>
      </w:r>
      <w:r w:rsidR="00910DE4">
        <w:rPr>
          <w:rFonts w:ascii="Century Gothic" w:hAnsi="Century Gothic"/>
        </w:rPr>
        <w:t>.</w:t>
      </w:r>
      <w:r w:rsidR="009B463E" w:rsidRPr="001B7BAB">
        <w:rPr>
          <w:rFonts w:ascii="Century Gothic" w:hAnsi="Century Gothic"/>
        </w:rPr>
        <w:t xml:space="preserve"> </w:t>
      </w:r>
      <w:r w:rsidR="00910DE4" w:rsidRPr="001B7BAB">
        <w:rPr>
          <w:rFonts w:ascii="Century Gothic" w:eastAsia="Times New Roman" w:hAnsi="Century Gothic" w:cs="Segoe UI"/>
          <w:color w:val="212529"/>
          <w:lang w:eastAsia="en-GB"/>
        </w:rPr>
        <w:t>We are open to suggestions on the appropriate methodology for undertaking this work</w:t>
      </w:r>
      <w:r w:rsidR="001631D3">
        <w:rPr>
          <w:rFonts w:ascii="Century Gothic" w:eastAsia="Times New Roman" w:hAnsi="Century Gothic" w:cs="Segoe UI"/>
          <w:color w:val="212529"/>
          <w:lang w:eastAsia="en-GB"/>
        </w:rPr>
        <w:t xml:space="preserve">, </w:t>
      </w:r>
      <w:r w:rsidR="00C56FFA">
        <w:rPr>
          <w:rFonts w:ascii="Century Gothic" w:eastAsia="Times New Roman" w:hAnsi="Century Gothic" w:cs="Segoe UI"/>
          <w:color w:val="212529"/>
          <w:lang w:eastAsia="en-GB"/>
        </w:rPr>
        <w:t>and to alternative ideas on its potential outputs.</w:t>
      </w:r>
    </w:p>
    <w:p w14:paraId="2460616A" w14:textId="6F02A2ED" w:rsidR="009B463E" w:rsidRPr="001B7BAB" w:rsidRDefault="009B463E" w:rsidP="00843D3A">
      <w:pPr>
        <w:shd w:val="clear" w:color="auto" w:fill="FFFFFF"/>
        <w:spacing w:before="100" w:beforeAutospacing="1" w:after="240" w:line="240" w:lineRule="auto"/>
        <w:rPr>
          <w:rFonts w:ascii="Century Gothic" w:eastAsia="Times New Roman" w:hAnsi="Century Gothic" w:cs="Segoe UI"/>
          <w:color w:val="212529"/>
          <w:lang w:eastAsia="en-GB"/>
        </w:rPr>
      </w:pPr>
      <w:r w:rsidRPr="001B7BAB">
        <w:rPr>
          <w:rFonts w:ascii="Century Gothic" w:eastAsia="Times New Roman" w:hAnsi="Century Gothic" w:cs="Segoe UI"/>
          <w:color w:val="212529"/>
          <w:lang w:eastAsia="en-GB"/>
        </w:rPr>
        <w:t>We are inviting suppliers who may be interested in this project, have ideas on how to refine or tighten its scope, or want further information to get in touch with Bianca de Farias Letti (</w:t>
      </w:r>
      <w:hyperlink r:id="rId12" w:history="1">
        <w:r w:rsidR="00843D3A" w:rsidRPr="00DF59AF">
          <w:rPr>
            <w:rStyle w:val="Hyperlink"/>
            <w:rFonts w:ascii="Century Gothic" w:eastAsia="Times New Roman" w:hAnsi="Century Gothic" w:cs="Segoe UI"/>
            <w:lang w:eastAsia="en-GB"/>
          </w:rPr>
          <w:t>bianca.letti@theccc.org.uk</w:t>
        </w:r>
      </w:hyperlink>
      <w:r w:rsidRPr="001B7BAB">
        <w:rPr>
          <w:rFonts w:ascii="Century Gothic" w:eastAsia="Times New Roman" w:hAnsi="Century Gothic" w:cs="Segoe UI"/>
          <w:color w:val="212529"/>
          <w:lang w:eastAsia="en-GB"/>
        </w:rPr>
        <w:t xml:space="preserve">) and </w:t>
      </w:r>
      <w:r w:rsidR="00430183">
        <w:rPr>
          <w:rFonts w:ascii="Century Gothic" w:eastAsia="Times New Roman" w:hAnsi="Century Gothic" w:cs="Segoe UI"/>
          <w:color w:val="212529"/>
          <w:lang w:eastAsia="en-GB"/>
        </w:rPr>
        <w:t>Eoin Devane (</w:t>
      </w:r>
      <w:hyperlink r:id="rId13" w:history="1">
        <w:r w:rsidR="00430183" w:rsidRPr="002B7D35">
          <w:rPr>
            <w:rStyle w:val="Hyperlink"/>
            <w:rFonts w:ascii="Century Gothic" w:eastAsia="Times New Roman" w:hAnsi="Century Gothic" w:cs="Segoe UI"/>
            <w:lang w:eastAsia="en-GB"/>
          </w:rPr>
          <w:t>eoin.devane@theccc.org.uk</w:t>
        </w:r>
      </w:hyperlink>
      <w:r w:rsidR="00430183">
        <w:rPr>
          <w:rFonts w:ascii="Century Gothic" w:eastAsia="Times New Roman" w:hAnsi="Century Gothic" w:cs="Segoe UI"/>
          <w:color w:val="212529"/>
          <w:lang w:eastAsia="en-GB"/>
        </w:rPr>
        <w:t xml:space="preserve">) by </w:t>
      </w:r>
      <w:r w:rsidR="00494EE8">
        <w:rPr>
          <w:rFonts w:ascii="Century Gothic" w:eastAsia="Times New Roman" w:hAnsi="Century Gothic" w:cs="Segoe UI"/>
          <w:color w:val="212529"/>
          <w:lang w:eastAsia="en-GB"/>
        </w:rPr>
        <w:t>2</w:t>
      </w:r>
      <w:r w:rsidR="0092520E">
        <w:rPr>
          <w:rFonts w:ascii="Century Gothic" w:eastAsia="Times New Roman" w:hAnsi="Century Gothic" w:cs="Segoe UI"/>
          <w:color w:val="212529"/>
          <w:lang w:eastAsia="en-GB"/>
        </w:rPr>
        <w:t>8</w:t>
      </w:r>
      <w:r w:rsidR="00430183">
        <w:rPr>
          <w:rFonts w:ascii="Century Gothic" w:eastAsia="Times New Roman" w:hAnsi="Century Gothic" w:cs="Segoe UI"/>
          <w:color w:val="212529"/>
          <w:lang w:eastAsia="en-GB"/>
        </w:rPr>
        <w:t xml:space="preserve"> August </w:t>
      </w:r>
      <w:r w:rsidR="008D5F4C">
        <w:rPr>
          <w:rFonts w:ascii="Century Gothic" w:eastAsia="Times New Roman" w:hAnsi="Century Gothic" w:cs="Segoe UI"/>
          <w:color w:val="212529"/>
          <w:lang w:eastAsia="en-GB"/>
        </w:rPr>
        <w:t>2023</w:t>
      </w:r>
      <w:r w:rsidRPr="00183595">
        <w:rPr>
          <w:rFonts w:ascii="Century Gothic" w:eastAsia="Times New Roman" w:hAnsi="Century Gothic" w:cs="Segoe UI"/>
          <w:color w:val="212529"/>
          <w:lang w:eastAsia="en-GB"/>
        </w:rPr>
        <w:t>.</w:t>
      </w:r>
    </w:p>
    <w:sectPr w:rsidR="009B463E" w:rsidRPr="001B7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E640" w14:textId="77777777" w:rsidR="00A24B6F" w:rsidRDefault="00A24B6F" w:rsidP="002D21AD">
      <w:pPr>
        <w:spacing w:after="0" w:line="240" w:lineRule="auto"/>
      </w:pPr>
      <w:r>
        <w:separator/>
      </w:r>
    </w:p>
  </w:endnote>
  <w:endnote w:type="continuationSeparator" w:id="0">
    <w:p w14:paraId="2778C1BA" w14:textId="77777777" w:rsidR="00A24B6F" w:rsidRDefault="00A24B6F" w:rsidP="002D21AD">
      <w:pPr>
        <w:spacing w:after="0" w:line="240" w:lineRule="auto"/>
      </w:pPr>
      <w:r>
        <w:continuationSeparator/>
      </w:r>
    </w:p>
  </w:endnote>
  <w:endnote w:type="continuationNotice" w:id="1">
    <w:p w14:paraId="2546075D" w14:textId="77777777" w:rsidR="00A24B6F" w:rsidRDefault="00A24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9B0F" w14:textId="77777777" w:rsidR="00A24B6F" w:rsidRDefault="00A24B6F" w:rsidP="002D21AD">
      <w:pPr>
        <w:spacing w:after="0" w:line="240" w:lineRule="auto"/>
      </w:pPr>
      <w:r>
        <w:separator/>
      </w:r>
    </w:p>
  </w:footnote>
  <w:footnote w:type="continuationSeparator" w:id="0">
    <w:p w14:paraId="01918A2A" w14:textId="77777777" w:rsidR="00A24B6F" w:rsidRDefault="00A24B6F" w:rsidP="002D21AD">
      <w:pPr>
        <w:spacing w:after="0" w:line="240" w:lineRule="auto"/>
      </w:pPr>
      <w:r>
        <w:continuationSeparator/>
      </w:r>
    </w:p>
  </w:footnote>
  <w:footnote w:type="continuationNotice" w:id="1">
    <w:p w14:paraId="68660CE6" w14:textId="77777777" w:rsidR="00A24B6F" w:rsidRDefault="00A24B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9D8"/>
    <w:multiLevelType w:val="multilevel"/>
    <w:tmpl w:val="54C2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856"/>
    <w:multiLevelType w:val="hybridMultilevel"/>
    <w:tmpl w:val="BEEE2A2A"/>
    <w:lvl w:ilvl="0" w:tplc="878ED93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50491"/>
    <w:multiLevelType w:val="hybridMultilevel"/>
    <w:tmpl w:val="D314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6262E"/>
    <w:multiLevelType w:val="hybridMultilevel"/>
    <w:tmpl w:val="B2D8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638873">
    <w:abstractNumId w:val="2"/>
  </w:num>
  <w:num w:numId="2" w16cid:durableId="1034647355">
    <w:abstractNumId w:val="3"/>
  </w:num>
  <w:num w:numId="3" w16cid:durableId="949553629">
    <w:abstractNumId w:val="0"/>
  </w:num>
  <w:num w:numId="4" w16cid:durableId="84196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E"/>
    <w:rsid w:val="00010B6E"/>
    <w:rsid w:val="0004629F"/>
    <w:rsid w:val="00054ACD"/>
    <w:rsid w:val="00057405"/>
    <w:rsid w:val="00074381"/>
    <w:rsid w:val="00094709"/>
    <w:rsid w:val="000958D7"/>
    <w:rsid w:val="000C156B"/>
    <w:rsid w:val="000D05DC"/>
    <w:rsid w:val="000E4C3E"/>
    <w:rsid w:val="00113AEF"/>
    <w:rsid w:val="001274A2"/>
    <w:rsid w:val="001631D3"/>
    <w:rsid w:val="001718EC"/>
    <w:rsid w:val="0017663E"/>
    <w:rsid w:val="00176F18"/>
    <w:rsid w:val="00183595"/>
    <w:rsid w:val="001B7BAB"/>
    <w:rsid w:val="001C340B"/>
    <w:rsid w:val="001D0212"/>
    <w:rsid w:val="001F0997"/>
    <w:rsid w:val="001F21EA"/>
    <w:rsid w:val="001F7D09"/>
    <w:rsid w:val="00241B68"/>
    <w:rsid w:val="00263E59"/>
    <w:rsid w:val="0027713B"/>
    <w:rsid w:val="0029487E"/>
    <w:rsid w:val="0029621B"/>
    <w:rsid w:val="002B32F7"/>
    <w:rsid w:val="002D21AD"/>
    <w:rsid w:val="002F2648"/>
    <w:rsid w:val="0031181E"/>
    <w:rsid w:val="003144C3"/>
    <w:rsid w:val="003218CB"/>
    <w:rsid w:val="00342B9A"/>
    <w:rsid w:val="0036633B"/>
    <w:rsid w:val="003B577D"/>
    <w:rsid w:val="003C1678"/>
    <w:rsid w:val="003E4DC9"/>
    <w:rsid w:val="003F357A"/>
    <w:rsid w:val="00402FC7"/>
    <w:rsid w:val="004046D1"/>
    <w:rsid w:val="00417D97"/>
    <w:rsid w:val="00430183"/>
    <w:rsid w:val="00441499"/>
    <w:rsid w:val="00474310"/>
    <w:rsid w:val="004871A2"/>
    <w:rsid w:val="00494EE8"/>
    <w:rsid w:val="004A1BB7"/>
    <w:rsid w:val="004E59A9"/>
    <w:rsid w:val="00504176"/>
    <w:rsid w:val="005131C9"/>
    <w:rsid w:val="00540182"/>
    <w:rsid w:val="0057537D"/>
    <w:rsid w:val="005B67B2"/>
    <w:rsid w:val="005D47C1"/>
    <w:rsid w:val="005E77DC"/>
    <w:rsid w:val="0060138F"/>
    <w:rsid w:val="00601810"/>
    <w:rsid w:val="006113C1"/>
    <w:rsid w:val="00617F22"/>
    <w:rsid w:val="00680884"/>
    <w:rsid w:val="006967C5"/>
    <w:rsid w:val="006C5480"/>
    <w:rsid w:val="006E5831"/>
    <w:rsid w:val="006F6989"/>
    <w:rsid w:val="00707DF5"/>
    <w:rsid w:val="0071654B"/>
    <w:rsid w:val="00724373"/>
    <w:rsid w:val="00725E23"/>
    <w:rsid w:val="007406AD"/>
    <w:rsid w:val="00750B2D"/>
    <w:rsid w:val="007C0661"/>
    <w:rsid w:val="007E0C35"/>
    <w:rsid w:val="007E0CDF"/>
    <w:rsid w:val="007F14AB"/>
    <w:rsid w:val="00806A1A"/>
    <w:rsid w:val="00822113"/>
    <w:rsid w:val="00823793"/>
    <w:rsid w:val="00843D3A"/>
    <w:rsid w:val="0086144E"/>
    <w:rsid w:val="00862A6C"/>
    <w:rsid w:val="008A1F76"/>
    <w:rsid w:val="008D5F4C"/>
    <w:rsid w:val="008E03B5"/>
    <w:rsid w:val="008E7341"/>
    <w:rsid w:val="00910DE4"/>
    <w:rsid w:val="00922882"/>
    <w:rsid w:val="0092520E"/>
    <w:rsid w:val="00926BD5"/>
    <w:rsid w:val="00926C71"/>
    <w:rsid w:val="009561FA"/>
    <w:rsid w:val="00965A11"/>
    <w:rsid w:val="0098270E"/>
    <w:rsid w:val="009B0086"/>
    <w:rsid w:val="009B463E"/>
    <w:rsid w:val="009B5EB7"/>
    <w:rsid w:val="009E4402"/>
    <w:rsid w:val="00A2007D"/>
    <w:rsid w:val="00A24B6F"/>
    <w:rsid w:val="00A616F1"/>
    <w:rsid w:val="00A9391D"/>
    <w:rsid w:val="00AD53ED"/>
    <w:rsid w:val="00AD7B96"/>
    <w:rsid w:val="00AF3258"/>
    <w:rsid w:val="00B3395F"/>
    <w:rsid w:val="00B364AE"/>
    <w:rsid w:val="00B44103"/>
    <w:rsid w:val="00B938AA"/>
    <w:rsid w:val="00BB74B0"/>
    <w:rsid w:val="00BC5055"/>
    <w:rsid w:val="00BC6883"/>
    <w:rsid w:val="00BC6FE9"/>
    <w:rsid w:val="00BD25EB"/>
    <w:rsid w:val="00C0085C"/>
    <w:rsid w:val="00C56FFA"/>
    <w:rsid w:val="00C742D8"/>
    <w:rsid w:val="00C8059E"/>
    <w:rsid w:val="00C8774A"/>
    <w:rsid w:val="00C87946"/>
    <w:rsid w:val="00CA44F6"/>
    <w:rsid w:val="00CF6A56"/>
    <w:rsid w:val="00D023A7"/>
    <w:rsid w:val="00D23A31"/>
    <w:rsid w:val="00D25477"/>
    <w:rsid w:val="00D50DB5"/>
    <w:rsid w:val="00D74584"/>
    <w:rsid w:val="00D7467E"/>
    <w:rsid w:val="00DA2CA7"/>
    <w:rsid w:val="00DB64A6"/>
    <w:rsid w:val="00DD4153"/>
    <w:rsid w:val="00DE1E69"/>
    <w:rsid w:val="00E371C5"/>
    <w:rsid w:val="00E509CD"/>
    <w:rsid w:val="00E60FBD"/>
    <w:rsid w:val="00E71777"/>
    <w:rsid w:val="00EA026E"/>
    <w:rsid w:val="00EA46F0"/>
    <w:rsid w:val="00EE2FEF"/>
    <w:rsid w:val="00F0427E"/>
    <w:rsid w:val="00F14E74"/>
    <w:rsid w:val="00F27444"/>
    <w:rsid w:val="00F340CB"/>
    <w:rsid w:val="00F546EA"/>
    <w:rsid w:val="00F66C4D"/>
    <w:rsid w:val="00F73918"/>
    <w:rsid w:val="00F90FF1"/>
    <w:rsid w:val="00F95347"/>
    <w:rsid w:val="00F969AF"/>
    <w:rsid w:val="00FC2C51"/>
    <w:rsid w:val="00FE50AB"/>
    <w:rsid w:val="0172A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AA7B"/>
  <w15:chartTrackingRefBased/>
  <w15:docId w15:val="{7EBF94F9-A2ED-4EE6-96E8-B7E41DFD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9B46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463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B4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B46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64A6"/>
    <w:pPr>
      <w:ind w:left="720"/>
      <w:contextualSpacing/>
    </w:pPr>
  </w:style>
  <w:style w:type="paragraph" w:styleId="Revision">
    <w:name w:val="Revision"/>
    <w:hidden/>
    <w:uiPriority w:val="99"/>
    <w:semiHidden/>
    <w:rsid w:val="00402FC7"/>
    <w:pPr>
      <w:spacing w:after="0" w:line="240" w:lineRule="auto"/>
    </w:pPr>
  </w:style>
  <w:style w:type="paragraph" w:styleId="FootnoteText">
    <w:name w:val="footnote text"/>
    <w:basedOn w:val="Normal"/>
    <w:link w:val="FootnoteTextChar"/>
    <w:uiPriority w:val="99"/>
    <w:semiHidden/>
    <w:unhideWhenUsed/>
    <w:rsid w:val="002D21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1AD"/>
    <w:rPr>
      <w:sz w:val="20"/>
      <w:szCs w:val="20"/>
    </w:rPr>
  </w:style>
  <w:style w:type="character" w:styleId="FootnoteReference">
    <w:name w:val="footnote reference"/>
    <w:basedOn w:val="DefaultParagraphFont"/>
    <w:uiPriority w:val="99"/>
    <w:semiHidden/>
    <w:unhideWhenUsed/>
    <w:rsid w:val="002D21AD"/>
    <w:rPr>
      <w:vertAlign w:val="superscript"/>
    </w:rPr>
  </w:style>
  <w:style w:type="character" w:styleId="Hyperlink">
    <w:name w:val="Hyperlink"/>
    <w:basedOn w:val="DefaultParagraphFont"/>
    <w:uiPriority w:val="99"/>
    <w:unhideWhenUsed/>
    <w:rsid w:val="00843D3A"/>
    <w:rPr>
      <w:color w:val="0563C1" w:themeColor="hyperlink"/>
      <w:u w:val="single"/>
    </w:rPr>
  </w:style>
  <w:style w:type="character" w:styleId="UnresolvedMention">
    <w:name w:val="Unresolved Mention"/>
    <w:basedOn w:val="DefaultParagraphFont"/>
    <w:uiPriority w:val="99"/>
    <w:semiHidden/>
    <w:unhideWhenUsed/>
    <w:rsid w:val="00843D3A"/>
    <w:rPr>
      <w:color w:val="605E5C"/>
      <w:shd w:val="clear" w:color="auto" w:fill="E1DFDD"/>
    </w:rPr>
  </w:style>
  <w:style w:type="character" w:styleId="CommentReference">
    <w:name w:val="annotation reference"/>
    <w:basedOn w:val="DefaultParagraphFont"/>
    <w:uiPriority w:val="99"/>
    <w:semiHidden/>
    <w:unhideWhenUsed/>
    <w:rsid w:val="00B44103"/>
    <w:rPr>
      <w:sz w:val="16"/>
      <w:szCs w:val="16"/>
    </w:rPr>
  </w:style>
  <w:style w:type="paragraph" w:styleId="CommentText">
    <w:name w:val="annotation text"/>
    <w:basedOn w:val="Normal"/>
    <w:link w:val="CommentTextChar"/>
    <w:uiPriority w:val="99"/>
    <w:unhideWhenUsed/>
    <w:rsid w:val="00B44103"/>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44103"/>
    <w:rPr>
      <w:kern w:val="2"/>
      <w:sz w:val="20"/>
      <w:szCs w:val="20"/>
      <w14:ligatures w14:val="standardContextual"/>
    </w:rPr>
  </w:style>
  <w:style w:type="paragraph" w:customStyle="1" w:styleId="Norma">
    <w:name w:val="Norma"/>
    <w:qFormat/>
    <w:rsid w:val="00AD53ED"/>
    <w:pPr>
      <w:spacing w:after="0" w:line="240" w:lineRule="auto"/>
      <w:ind w:left="720"/>
    </w:pPr>
    <w:rPr>
      <w:rFonts w:eastAsia="Times New Roman" w:cs="Times New Roman"/>
      <w:bCs/>
      <w:sz w:val="20"/>
      <w:szCs w:val="20"/>
    </w:rPr>
  </w:style>
  <w:style w:type="paragraph" w:styleId="Header">
    <w:name w:val="header"/>
    <w:basedOn w:val="Normal"/>
    <w:link w:val="HeaderChar"/>
    <w:uiPriority w:val="99"/>
    <w:semiHidden/>
    <w:unhideWhenUsed/>
    <w:rsid w:val="00CF6A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6A56"/>
  </w:style>
  <w:style w:type="paragraph" w:styleId="Footer">
    <w:name w:val="footer"/>
    <w:basedOn w:val="Normal"/>
    <w:link w:val="FooterChar"/>
    <w:uiPriority w:val="99"/>
    <w:semiHidden/>
    <w:unhideWhenUsed/>
    <w:rsid w:val="00CF6A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6A56"/>
  </w:style>
  <w:style w:type="paragraph" w:styleId="CommentSubject">
    <w:name w:val="annotation subject"/>
    <w:basedOn w:val="CommentText"/>
    <w:next w:val="CommentText"/>
    <w:link w:val="CommentSubjectChar"/>
    <w:uiPriority w:val="99"/>
    <w:semiHidden/>
    <w:unhideWhenUsed/>
    <w:rsid w:val="00CF6A56"/>
    <w:pPr>
      <w:spacing w:after="160"/>
    </w:pPr>
    <w:rPr>
      <w:b/>
      <w:bCs/>
      <w:kern w:val="0"/>
      <w14:ligatures w14:val="none"/>
    </w:rPr>
  </w:style>
  <w:style w:type="character" w:customStyle="1" w:styleId="CommentSubjectChar">
    <w:name w:val="Comment Subject Char"/>
    <w:basedOn w:val="CommentTextChar"/>
    <w:link w:val="CommentSubject"/>
    <w:uiPriority w:val="99"/>
    <w:semiHidden/>
    <w:rsid w:val="00CF6A56"/>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6062">
      <w:bodyDiv w:val="1"/>
      <w:marLeft w:val="0"/>
      <w:marRight w:val="0"/>
      <w:marTop w:val="0"/>
      <w:marBottom w:val="0"/>
      <w:divBdr>
        <w:top w:val="none" w:sz="0" w:space="0" w:color="auto"/>
        <w:left w:val="none" w:sz="0" w:space="0" w:color="auto"/>
        <w:bottom w:val="none" w:sz="0" w:space="0" w:color="auto"/>
        <w:right w:val="none" w:sz="0" w:space="0" w:color="auto"/>
      </w:divBdr>
    </w:div>
    <w:div w:id="1094670624">
      <w:bodyDiv w:val="1"/>
      <w:marLeft w:val="0"/>
      <w:marRight w:val="0"/>
      <w:marTop w:val="0"/>
      <w:marBottom w:val="0"/>
      <w:divBdr>
        <w:top w:val="none" w:sz="0" w:space="0" w:color="auto"/>
        <w:left w:val="none" w:sz="0" w:space="0" w:color="auto"/>
        <w:bottom w:val="none" w:sz="0" w:space="0" w:color="auto"/>
        <w:right w:val="none" w:sz="0" w:space="0" w:color="auto"/>
      </w:divBdr>
    </w:div>
    <w:div w:id="17224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oin.devane@theccc.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anca.letti@thec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7a4ed3e5-8539-4056-add8-8824f7d44d37">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1FC363E-9787-47EE-B13E-81615733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7C425-6542-4708-9A9E-35914845FE0E}">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3.xml><?xml version="1.0" encoding="utf-8"?>
<ds:datastoreItem xmlns:ds="http://schemas.openxmlformats.org/officeDocument/2006/customXml" ds:itemID="{1F848613-CC0A-477E-BC55-CE6444E303E7}">
  <ds:schemaRefs>
    <ds:schemaRef ds:uri="http://schemas.openxmlformats.org/officeDocument/2006/bibliography"/>
  </ds:schemaRefs>
</ds:datastoreItem>
</file>

<file path=customXml/itemProps4.xml><?xml version="1.0" encoding="utf-8"?>
<ds:datastoreItem xmlns:ds="http://schemas.openxmlformats.org/officeDocument/2006/customXml" ds:itemID="{70F944C3-363D-427A-BED2-00CF94E953A0}">
  <ds:schemaRefs>
    <ds:schemaRef ds:uri="http://schemas.microsoft.com/sharepoint/v3/contenttype/forms"/>
  </ds:schemaRefs>
</ds:datastoreItem>
</file>

<file path=customXml/itemProps5.xml><?xml version="1.0" encoding="utf-8"?>
<ds:datastoreItem xmlns:ds="http://schemas.openxmlformats.org/officeDocument/2006/customXml" ds:itemID="{9DBEAA5B-2909-4130-B4EF-FB14C39F9C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Links>
    <vt:vector size="12" baseType="variant">
      <vt:variant>
        <vt:i4>4849762</vt:i4>
      </vt:variant>
      <vt:variant>
        <vt:i4>3</vt:i4>
      </vt:variant>
      <vt:variant>
        <vt:i4>0</vt:i4>
      </vt:variant>
      <vt:variant>
        <vt:i4>5</vt:i4>
      </vt:variant>
      <vt:variant>
        <vt:lpwstr>mailto:eoin.devane@theccc.org.uk</vt:lpwstr>
      </vt:variant>
      <vt:variant>
        <vt:lpwstr/>
      </vt:variant>
      <vt:variant>
        <vt:i4>6815837</vt:i4>
      </vt:variant>
      <vt:variant>
        <vt:i4>0</vt:i4>
      </vt:variant>
      <vt:variant>
        <vt:i4>0</vt:i4>
      </vt:variant>
      <vt:variant>
        <vt:i4>5</vt:i4>
      </vt:variant>
      <vt:variant>
        <vt:lpwstr>mailto:bianca.letti@theccc.org.uk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Michael</dc:creator>
  <cp:keywords/>
  <dc:description/>
  <cp:lastModifiedBy>Taylor, Sean</cp:lastModifiedBy>
  <cp:revision>2</cp:revision>
  <dcterms:created xsi:type="dcterms:W3CDTF">2023-08-11T11:03:00Z</dcterms:created>
  <dcterms:modified xsi:type="dcterms:W3CDTF">2023-08-11T11:03:00Z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8;#CCC|56fb4ae0-68c5-4508-b0e5-c5babc6316fa</vt:lpwstr>
  </property>
</Properties>
</file>