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C5" w:rsidRPr="00E50152" w:rsidRDefault="00556BC5" w:rsidP="00670028">
      <w:pPr>
        <w:keepNext/>
        <w:spacing w:after="0" w:line="360" w:lineRule="auto"/>
        <w:rPr>
          <w:rFonts w:ascii="Arial" w:hAnsi="Arial" w:cs="Arial"/>
        </w:rPr>
      </w:pPr>
    </w:p>
    <w:p w:rsidR="00556BC5" w:rsidRPr="00E50152" w:rsidRDefault="00556BC5" w:rsidP="00556BC5">
      <w:pPr>
        <w:pStyle w:val="ONEH1"/>
        <w:keepNext/>
        <w:numPr>
          <w:ilvl w:val="0"/>
          <w:numId w:val="0"/>
        </w:numPr>
        <w:tabs>
          <w:tab w:val="clear" w:pos="851"/>
        </w:tabs>
        <w:spacing w:before="0" w:after="0" w:line="360" w:lineRule="auto"/>
        <w:ind w:left="360"/>
        <w:rPr>
          <w:rFonts w:ascii="Arial" w:hAnsi="Arial"/>
          <w:sz w:val="22"/>
          <w:szCs w:val="22"/>
        </w:rPr>
      </w:pPr>
    </w:p>
    <w:p w:rsidR="00556BC5" w:rsidRPr="00E50152" w:rsidRDefault="00556BC5" w:rsidP="00556BC5">
      <w:pPr>
        <w:pStyle w:val="ONEH1"/>
        <w:keepNext/>
        <w:numPr>
          <w:ilvl w:val="0"/>
          <w:numId w:val="0"/>
        </w:numPr>
        <w:tabs>
          <w:tab w:val="clear" w:pos="851"/>
        </w:tabs>
        <w:spacing w:before="0" w:after="0" w:line="360" w:lineRule="auto"/>
        <w:ind w:left="360"/>
        <w:rPr>
          <w:rFonts w:ascii="Arial" w:hAnsi="Arial"/>
          <w:sz w:val="22"/>
          <w:szCs w:val="22"/>
        </w:rPr>
      </w:pPr>
    </w:p>
    <w:p w:rsidR="00556BC5" w:rsidRPr="00E50152" w:rsidRDefault="00556BC5" w:rsidP="00556BC5">
      <w:pPr>
        <w:pStyle w:val="ONEH1"/>
        <w:keepNext/>
        <w:numPr>
          <w:ilvl w:val="0"/>
          <w:numId w:val="0"/>
        </w:numPr>
        <w:tabs>
          <w:tab w:val="clear" w:pos="851"/>
        </w:tabs>
        <w:spacing w:before="0" w:after="0" w:line="360" w:lineRule="auto"/>
        <w:ind w:left="1073" w:hanging="363"/>
        <w:rPr>
          <w:rFonts w:ascii="Arial" w:hAnsi="Arial"/>
          <w:sz w:val="22"/>
          <w:szCs w:val="22"/>
        </w:rPr>
      </w:pPr>
    </w:p>
    <w:p w:rsidR="00556BC5" w:rsidRPr="00E50152" w:rsidRDefault="00556BC5" w:rsidP="00556BC5">
      <w:pPr>
        <w:rPr>
          <w:rFonts w:ascii="Arial" w:hAnsi="Arial" w:cs="Arial"/>
        </w:rPr>
      </w:pPr>
    </w:p>
    <w:p w:rsidR="00EF361B" w:rsidRPr="00B60C22" w:rsidRDefault="00556BC5" w:rsidP="00EF361B">
      <w:pPr>
        <w:pStyle w:val="DHTitle"/>
        <w:rPr>
          <w:rFonts w:cs="Arial"/>
          <w:sz w:val="32"/>
          <w:szCs w:val="32"/>
        </w:rPr>
      </w:pPr>
      <w:r w:rsidRPr="00E50152">
        <w:rPr>
          <w:rFonts w:cs="Arial"/>
          <w:sz w:val="32"/>
          <w:szCs w:val="32"/>
        </w:rPr>
        <w:t xml:space="preserve"> </w:t>
      </w:r>
    </w:p>
    <w:p w:rsidR="00EF361B" w:rsidRPr="00B60C22" w:rsidRDefault="00EF361B" w:rsidP="00EF361B">
      <w:pPr>
        <w:pStyle w:val="DHTitle"/>
        <w:rPr>
          <w:rFonts w:cs="Arial"/>
          <w:sz w:val="32"/>
          <w:szCs w:val="32"/>
        </w:rPr>
      </w:pPr>
      <w:r w:rsidRPr="00B60C22">
        <w:rPr>
          <w:rFonts w:cs="Arial"/>
          <w:sz w:val="32"/>
          <w:szCs w:val="32"/>
        </w:rPr>
        <w:t>DRAFT OUTLINE SPECIFICATION</w:t>
      </w:r>
    </w:p>
    <w:p w:rsidR="00EF361B" w:rsidRPr="00B60C22" w:rsidRDefault="00EF361B" w:rsidP="00EF361B">
      <w:pPr>
        <w:pStyle w:val="DHTitle"/>
        <w:rPr>
          <w:rFonts w:cs="Arial"/>
          <w:sz w:val="32"/>
          <w:szCs w:val="32"/>
        </w:rPr>
      </w:pPr>
    </w:p>
    <w:p w:rsidR="00EF361B" w:rsidRPr="00B60C22" w:rsidRDefault="00EF361B" w:rsidP="00EF361B">
      <w:pPr>
        <w:pStyle w:val="DHTitle"/>
        <w:rPr>
          <w:rFonts w:cs="Arial"/>
          <w:sz w:val="32"/>
          <w:szCs w:val="32"/>
        </w:rPr>
      </w:pPr>
      <w:r w:rsidRPr="00B60C22">
        <w:rPr>
          <w:rFonts w:cs="Arial"/>
          <w:sz w:val="32"/>
          <w:szCs w:val="32"/>
        </w:rPr>
        <w:t>Civil Litigation and Arbitration in Medicines and Pharmaceutics</w:t>
      </w:r>
    </w:p>
    <w:p w:rsidR="00EF361B" w:rsidRPr="00B60C22" w:rsidRDefault="00EF361B" w:rsidP="00EF361B">
      <w:pPr>
        <w:pStyle w:val="DHTitle"/>
        <w:rPr>
          <w:rFonts w:cs="Arial"/>
          <w:sz w:val="32"/>
          <w:szCs w:val="32"/>
        </w:rPr>
      </w:pPr>
    </w:p>
    <w:p w:rsidR="00EF361B" w:rsidRPr="00B60C22" w:rsidRDefault="00B60C22" w:rsidP="00EF361B">
      <w:pPr>
        <w:pStyle w:val="DHTitle"/>
        <w:rPr>
          <w:rFonts w:cs="Arial"/>
          <w:sz w:val="22"/>
          <w:szCs w:val="22"/>
        </w:rPr>
      </w:pPr>
      <w:r>
        <w:rPr>
          <w:rFonts w:cs="Arial"/>
          <w:sz w:val="32"/>
          <w:szCs w:val="32"/>
        </w:rPr>
        <w:t>22</w:t>
      </w:r>
      <w:r w:rsidR="00EF361B" w:rsidRPr="00B60C22">
        <w:rPr>
          <w:rFonts w:cs="Arial"/>
          <w:sz w:val="32"/>
          <w:szCs w:val="32"/>
        </w:rPr>
        <w:t xml:space="preserve"> December 2016</w:t>
      </w:r>
    </w:p>
    <w:p w:rsidR="00556BC5" w:rsidRPr="00B60C22" w:rsidRDefault="00556BC5" w:rsidP="00556BC5">
      <w:pPr>
        <w:pStyle w:val="ONEH1"/>
        <w:keepNext/>
        <w:numPr>
          <w:ilvl w:val="0"/>
          <w:numId w:val="0"/>
        </w:numPr>
        <w:tabs>
          <w:tab w:val="clear" w:pos="851"/>
        </w:tabs>
        <w:spacing w:before="0" w:after="0" w:line="360" w:lineRule="auto"/>
        <w:ind w:left="360"/>
        <w:rPr>
          <w:rFonts w:ascii="Arial" w:hAnsi="Arial"/>
          <w:sz w:val="22"/>
          <w:szCs w:val="22"/>
        </w:rPr>
      </w:pPr>
    </w:p>
    <w:p w:rsidR="00556BC5" w:rsidRPr="00B60C22" w:rsidRDefault="00556BC5" w:rsidP="00556BC5">
      <w:pPr>
        <w:pStyle w:val="ONEH1"/>
        <w:keepNext/>
        <w:numPr>
          <w:ilvl w:val="0"/>
          <w:numId w:val="0"/>
        </w:numPr>
        <w:tabs>
          <w:tab w:val="clear" w:pos="851"/>
        </w:tabs>
        <w:spacing w:before="0" w:after="0" w:line="360" w:lineRule="auto"/>
        <w:ind w:left="360"/>
        <w:rPr>
          <w:rFonts w:ascii="Arial" w:hAnsi="Arial"/>
          <w:sz w:val="22"/>
          <w:szCs w:val="22"/>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556BC5" w:rsidRPr="00B60C22" w:rsidRDefault="00556BC5" w:rsidP="00556BC5">
      <w:pPr>
        <w:rPr>
          <w:rFonts w:ascii="Arial" w:hAnsi="Arial" w:cs="Arial"/>
        </w:rPr>
      </w:pPr>
    </w:p>
    <w:p w:rsidR="004939ED" w:rsidRPr="00B60C22" w:rsidRDefault="004939ED" w:rsidP="00E654E9">
      <w:pPr>
        <w:pStyle w:val="ONEH1"/>
        <w:keepNext/>
        <w:numPr>
          <w:ilvl w:val="0"/>
          <w:numId w:val="2"/>
        </w:numPr>
        <w:tabs>
          <w:tab w:val="clear" w:pos="360"/>
          <w:tab w:val="clear" w:pos="851"/>
        </w:tabs>
        <w:spacing w:before="0" w:after="0"/>
        <w:ind w:left="426" w:hanging="426"/>
        <w:jc w:val="both"/>
        <w:rPr>
          <w:rFonts w:ascii="Arial" w:hAnsi="Arial"/>
          <w:sz w:val="22"/>
          <w:szCs w:val="22"/>
        </w:rPr>
      </w:pPr>
      <w:r w:rsidRPr="00B60C22">
        <w:rPr>
          <w:rFonts w:ascii="Arial" w:hAnsi="Arial"/>
          <w:sz w:val="22"/>
          <w:szCs w:val="22"/>
        </w:rPr>
        <w:lastRenderedPageBreak/>
        <w:t>E</w:t>
      </w:r>
      <w:r w:rsidR="00954C90" w:rsidRPr="00B60C22">
        <w:rPr>
          <w:rFonts w:ascii="Arial" w:hAnsi="Arial"/>
          <w:sz w:val="22"/>
          <w:szCs w:val="22"/>
        </w:rPr>
        <w:t xml:space="preserve">XECUTIVE SUMMARY </w:t>
      </w:r>
    </w:p>
    <w:p w:rsidR="00E654E9" w:rsidRPr="00B60C22" w:rsidRDefault="00E654E9" w:rsidP="00E654E9">
      <w:pPr>
        <w:spacing w:after="0" w:line="240" w:lineRule="auto"/>
        <w:rPr>
          <w:rFonts w:ascii="Arial" w:hAnsi="Arial" w:cs="Arial"/>
        </w:rPr>
      </w:pPr>
    </w:p>
    <w:p w:rsidR="00316003" w:rsidRPr="00B60C22" w:rsidRDefault="00316003" w:rsidP="00AB2877">
      <w:pPr>
        <w:pStyle w:val="ONEH2"/>
      </w:pPr>
      <w:r w:rsidRPr="00B60C22">
        <w:t xml:space="preserve">Background </w:t>
      </w:r>
    </w:p>
    <w:p w:rsidR="004939ED" w:rsidRPr="00B60C22" w:rsidRDefault="004939ED" w:rsidP="00E654E9">
      <w:pPr>
        <w:pStyle w:val="BoldTextindent"/>
        <w:spacing w:before="0" w:after="0"/>
        <w:ind w:left="993" w:hanging="993"/>
      </w:pPr>
      <w:r w:rsidRPr="00B60C22">
        <w:t>The Department of Health</w:t>
      </w:r>
      <w:r w:rsidR="00BF7FBE" w:rsidRPr="00B60C22">
        <w:t xml:space="preserve"> </w:t>
      </w:r>
      <w:r w:rsidR="00DA1343" w:rsidRPr="00B60C22">
        <w:t xml:space="preserve">wishes </w:t>
      </w:r>
      <w:r w:rsidRPr="00B60C22">
        <w:t xml:space="preserve">to establish a </w:t>
      </w:r>
      <w:r w:rsidR="00DA1343" w:rsidRPr="00B60C22">
        <w:t xml:space="preserve">panel of law firms – pursuant to a </w:t>
      </w:r>
      <w:r w:rsidRPr="00B60C22">
        <w:t>multi-supplier</w:t>
      </w:r>
      <w:r w:rsidR="00670028" w:rsidRPr="00B60C22">
        <w:t xml:space="preserve"> pseudo </w:t>
      </w:r>
      <w:r w:rsidRPr="00B60C22">
        <w:t>framework agreement</w:t>
      </w:r>
      <w:r w:rsidR="00DA1343" w:rsidRPr="00B60C22">
        <w:t xml:space="preserve"> – to </w:t>
      </w:r>
      <w:r w:rsidRPr="00B60C22">
        <w:t>act for, and provide advice to</w:t>
      </w:r>
      <w:r w:rsidR="00630246" w:rsidRPr="00B60C22">
        <w:t>,</w:t>
      </w:r>
      <w:r w:rsidRPr="00B60C22">
        <w:t xml:space="preserve"> the Department of Health</w:t>
      </w:r>
      <w:r w:rsidR="00BF7FBE" w:rsidRPr="00B60C22">
        <w:t xml:space="preserve"> </w:t>
      </w:r>
      <w:r w:rsidRPr="00B60C22">
        <w:t>in connection with its civil litigation cases against companies in the pharmaceutical industry. The ongoing requirement is for exploratory legal and professional advice and representation within civil proceedings.</w:t>
      </w:r>
    </w:p>
    <w:p w:rsidR="004939ED" w:rsidRPr="00B60C22" w:rsidRDefault="004939ED" w:rsidP="00AB2877">
      <w:pPr>
        <w:pStyle w:val="ONEH2"/>
        <w:numPr>
          <w:ilvl w:val="0"/>
          <w:numId w:val="0"/>
        </w:numPr>
        <w:ind w:left="612"/>
      </w:pPr>
    </w:p>
    <w:p w:rsidR="004939ED" w:rsidRPr="00B60C22" w:rsidRDefault="004939ED" w:rsidP="00E654E9">
      <w:pPr>
        <w:pStyle w:val="BoldTextindent"/>
        <w:spacing w:before="0" w:after="0"/>
        <w:ind w:left="993" w:hanging="993"/>
      </w:pPr>
      <w:r w:rsidRPr="00B60C22">
        <w:t xml:space="preserve">The objective of </w:t>
      </w:r>
      <w:r w:rsidR="00670028" w:rsidRPr="00B60C22">
        <w:t xml:space="preserve">this </w:t>
      </w:r>
      <w:r w:rsidRPr="00B60C22">
        <w:t xml:space="preserve">procurement exercise is </w:t>
      </w:r>
      <w:r w:rsidR="008A792E" w:rsidRPr="00B60C22">
        <w:t xml:space="preserve">to appoint expert external legal advisers </w:t>
      </w:r>
      <w:r w:rsidRPr="00B60C22">
        <w:t xml:space="preserve">to provide legal support to the Department of Health to recover </w:t>
      </w:r>
      <w:r w:rsidR="00BF7FBE" w:rsidRPr="00B60C22">
        <w:t xml:space="preserve">(on behalf of the NHS) </w:t>
      </w:r>
      <w:r w:rsidRPr="00B60C22">
        <w:t>overpayments made to pharmaceutical firms by pursuing arbitration or civil litigation</w:t>
      </w:r>
      <w:r w:rsidR="00670028" w:rsidRPr="00B60C22">
        <w:t xml:space="preserve"> if appropriate and viable</w:t>
      </w:r>
      <w:r w:rsidRPr="00B60C22">
        <w:t xml:space="preserve">. </w:t>
      </w:r>
    </w:p>
    <w:p w:rsidR="004939ED" w:rsidRPr="00B60C22" w:rsidRDefault="004939ED" w:rsidP="00E654E9">
      <w:pPr>
        <w:pStyle w:val="BoldTextindent"/>
        <w:numPr>
          <w:ilvl w:val="0"/>
          <w:numId w:val="0"/>
        </w:numPr>
        <w:spacing w:before="0" w:after="0"/>
      </w:pPr>
    </w:p>
    <w:p w:rsidR="004939ED" w:rsidRPr="00B60C22" w:rsidRDefault="004939ED" w:rsidP="00E654E9">
      <w:pPr>
        <w:pStyle w:val="BoldTextindent"/>
        <w:spacing w:before="0" w:after="0"/>
        <w:ind w:left="993" w:hanging="993"/>
      </w:pPr>
      <w:r w:rsidRPr="00B60C22">
        <w:t xml:space="preserve">The scope of legal proceedings </w:t>
      </w:r>
      <w:r w:rsidR="00084BAD" w:rsidRPr="00B60C22">
        <w:t xml:space="preserve">may </w:t>
      </w:r>
      <w:r w:rsidRPr="00B60C22">
        <w:t xml:space="preserve">involve investigation into deceit, anti-competitive agreements and the abuse of a dominant position by a company. </w:t>
      </w:r>
    </w:p>
    <w:p w:rsidR="004939ED" w:rsidRPr="00B60C22" w:rsidRDefault="004939ED" w:rsidP="00E654E9">
      <w:pPr>
        <w:pStyle w:val="BoldTextindent"/>
        <w:numPr>
          <w:ilvl w:val="0"/>
          <w:numId w:val="0"/>
        </w:numPr>
        <w:spacing w:before="0" w:after="0"/>
        <w:ind w:left="1134"/>
      </w:pPr>
    </w:p>
    <w:p w:rsidR="004939ED" w:rsidRPr="00B60C22" w:rsidRDefault="004939ED" w:rsidP="00E654E9">
      <w:pPr>
        <w:pStyle w:val="BoldTextindent"/>
        <w:spacing w:before="0" w:after="0"/>
        <w:ind w:left="993" w:hanging="993"/>
      </w:pPr>
      <w:r w:rsidRPr="00B60C22">
        <w:t xml:space="preserve">The lead time for individual pieces of work may take several years from inception to resolution in the form of financial recompense to the Department of Health or applicable NHS body. </w:t>
      </w:r>
    </w:p>
    <w:p w:rsidR="00BB7D86" w:rsidRPr="00B60C22" w:rsidRDefault="00BB7D86" w:rsidP="00E654E9">
      <w:pPr>
        <w:pStyle w:val="BoldTextindent"/>
        <w:numPr>
          <w:ilvl w:val="0"/>
          <w:numId w:val="0"/>
        </w:numPr>
        <w:spacing w:before="0" w:after="0"/>
        <w:ind w:left="1134"/>
      </w:pPr>
    </w:p>
    <w:p w:rsidR="00BB7D86" w:rsidRPr="00B60C22" w:rsidRDefault="00BB7D86" w:rsidP="00E654E9">
      <w:pPr>
        <w:pStyle w:val="BoldTextindent"/>
        <w:spacing w:before="0" w:after="0"/>
        <w:ind w:left="993" w:hanging="993"/>
      </w:pPr>
      <w:r w:rsidRPr="00B60C22">
        <w:t>The Department of Health</w:t>
      </w:r>
      <w:r w:rsidR="00EA08D6" w:rsidRPr="00B60C22">
        <w:t xml:space="preserve"> currently uses the</w:t>
      </w:r>
      <w:r w:rsidRPr="00B60C22">
        <w:t xml:space="preserve"> Government Legal Department</w:t>
      </w:r>
      <w:r w:rsidR="00EA08D6" w:rsidRPr="00B60C22">
        <w:t xml:space="preserve"> as part of its in-house legal resource. T</w:t>
      </w:r>
      <w:r w:rsidRPr="00B60C22">
        <w:t xml:space="preserve">he Department of Health </w:t>
      </w:r>
      <w:r w:rsidR="00EA08D6" w:rsidRPr="00B60C22">
        <w:t xml:space="preserve">or NHS body shall continue to retain the option to </w:t>
      </w:r>
      <w:r w:rsidR="00670028" w:rsidRPr="00B60C22">
        <w:t xml:space="preserve">instruct </w:t>
      </w:r>
      <w:r w:rsidR="00EA08D6" w:rsidRPr="00B60C22">
        <w:t>the</w:t>
      </w:r>
      <w:r w:rsidRPr="00B60C22">
        <w:t xml:space="preserve"> Government Legal Department</w:t>
      </w:r>
      <w:r w:rsidR="00670028" w:rsidRPr="00B60C22">
        <w:t xml:space="preserve"> in respect of certain cases</w:t>
      </w:r>
      <w:r w:rsidR="00EA08D6" w:rsidRPr="00B60C22">
        <w:t>.</w:t>
      </w:r>
    </w:p>
    <w:p w:rsidR="00BF7FBE" w:rsidRPr="00B60C22" w:rsidRDefault="00BF7FBE" w:rsidP="00E654E9">
      <w:pPr>
        <w:pStyle w:val="ListParagraph"/>
        <w:spacing w:after="0" w:line="240" w:lineRule="auto"/>
        <w:jc w:val="both"/>
        <w:rPr>
          <w:rFonts w:ascii="Arial" w:hAnsi="Arial" w:cs="Arial"/>
        </w:rPr>
      </w:pPr>
    </w:p>
    <w:p w:rsidR="00BF7FBE" w:rsidRPr="00B60C22" w:rsidRDefault="00BF7FBE" w:rsidP="00E654E9">
      <w:pPr>
        <w:pStyle w:val="BoldTextindent"/>
        <w:spacing w:before="0" w:after="0"/>
        <w:ind w:left="993" w:hanging="993"/>
      </w:pPr>
      <w:r w:rsidRPr="00B60C22">
        <w:t xml:space="preserve">This procurement relates to </w:t>
      </w:r>
      <w:r w:rsidRPr="00B60C22">
        <w:rPr>
          <w:shd w:val="clear" w:color="auto" w:fill="FFFFFF" w:themeFill="background1"/>
        </w:rPr>
        <w:t xml:space="preserve">legal services </w:t>
      </w:r>
      <w:r w:rsidR="00D8001D" w:rsidRPr="00B60C22">
        <w:rPr>
          <w:shd w:val="clear" w:color="auto" w:fill="FFFFFF" w:themeFill="background1"/>
        </w:rPr>
        <w:t>within the meaning of Sched</w:t>
      </w:r>
      <w:r w:rsidRPr="00B60C22">
        <w:t>ule 3 of the Public Contracts Regulations 2015</w:t>
      </w:r>
      <w:r w:rsidR="00D8001D" w:rsidRPr="00B60C22">
        <w:t xml:space="preserve">. Given that this procurement process </w:t>
      </w:r>
      <w:r w:rsidR="008D7763" w:rsidRPr="00B60C22">
        <w:t xml:space="preserve">relates to ‘social and other specific services’ only, it is subject to </w:t>
      </w:r>
      <w:r w:rsidRPr="00B60C22">
        <w:t xml:space="preserve">limited regulation and </w:t>
      </w:r>
      <w:r w:rsidR="008D7763" w:rsidRPr="00B60C22">
        <w:t xml:space="preserve">accordingly </w:t>
      </w:r>
      <w:r w:rsidRPr="00B60C22">
        <w:t xml:space="preserve">will be conducted in accordance with Regulations 74 to 76 of the Public Contracts Regulations 2015. </w:t>
      </w:r>
      <w:r w:rsidR="008D7763" w:rsidRPr="00B60C22">
        <w:t>Any references to fully regulated processes or requirements are for ease of reference only and should not be taken as recognition or acceptance that the same apply to this procurement.</w:t>
      </w:r>
    </w:p>
    <w:p w:rsidR="00F10F64" w:rsidRDefault="00F10F64" w:rsidP="00E654E9">
      <w:pPr>
        <w:pStyle w:val="InA"/>
        <w:spacing w:before="0" w:after="0"/>
        <w:ind w:left="0"/>
        <w:rPr>
          <w:i w:val="0"/>
          <w:szCs w:val="22"/>
          <w:highlight w:val="yellow"/>
        </w:rPr>
      </w:pPr>
    </w:p>
    <w:p w:rsidR="00AB2877" w:rsidRPr="00B60C22" w:rsidRDefault="00AB2877" w:rsidP="00E654E9">
      <w:pPr>
        <w:pStyle w:val="InA"/>
        <w:spacing w:before="0" w:after="0"/>
        <w:ind w:left="0"/>
        <w:rPr>
          <w:i w:val="0"/>
          <w:szCs w:val="22"/>
          <w:highlight w:val="yellow"/>
        </w:rPr>
      </w:pPr>
    </w:p>
    <w:p w:rsidR="00950ECC" w:rsidRPr="00B60C22" w:rsidRDefault="00D508C0" w:rsidP="00E654E9">
      <w:pPr>
        <w:pStyle w:val="ONEH1"/>
        <w:keepNext/>
        <w:numPr>
          <w:ilvl w:val="0"/>
          <w:numId w:val="2"/>
        </w:numPr>
        <w:tabs>
          <w:tab w:val="clear" w:pos="360"/>
          <w:tab w:val="clear" w:pos="851"/>
        </w:tabs>
        <w:spacing w:before="0" w:after="0"/>
        <w:ind w:left="426" w:hanging="426"/>
        <w:jc w:val="both"/>
        <w:rPr>
          <w:rFonts w:ascii="Arial" w:hAnsi="Arial"/>
          <w:sz w:val="22"/>
          <w:szCs w:val="22"/>
        </w:rPr>
      </w:pPr>
      <w:r w:rsidRPr="00B60C22">
        <w:rPr>
          <w:rFonts w:ascii="Arial" w:hAnsi="Arial"/>
          <w:sz w:val="22"/>
          <w:szCs w:val="22"/>
        </w:rPr>
        <w:t>K</w:t>
      </w:r>
      <w:r w:rsidR="00954C90" w:rsidRPr="00B60C22">
        <w:rPr>
          <w:rFonts w:ascii="Arial" w:hAnsi="Arial"/>
          <w:sz w:val="22"/>
          <w:szCs w:val="22"/>
        </w:rPr>
        <w:t>EY POINTS OF THE SPECIFICATION</w:t>
      </w:r>
    </w:p>
    <w:p w:rsidR="00E654E9" w:rsidRPr="00B60C22" w:rsidRDefault="00E654E9" w:rsidP="00E654E9">
      <w:pPr>
        <w:spacing w:after="0" w:line="240" w:lineRule="auto"/>
        <w:rPr>
          <w:rFonts w:ascii="Arial" w:hAnsi="Arial" w:cs="Arial"/>
        </w:rPr>
      </w:pPr>
    </w:p>
    <w:p w:rsidR="00FF12AE" w:rsidRPr="00B60C22" w:rsidRDefault="00950ECC" w:rsidP="00AB2877">
      <w:pPr>
        <w:pStyle w:val="ONEH2"/>
      </w:pPr>
      <w:r w:rsidRPr="00B60C22">
        <w:t xml:space="preserve">Contract Type </w:t>
      </w:r>
    </w:p>
    <w:p w:rsidR="00950ECC" w:rsidRPr="00B60C22" w:rsidRDefault="00630246" w:rsidP="00136242">
      <w:pPr>
        <w:pStyle w:val="BoldTextindent"/>
        <w:spacing w:before="0" w:after="0"/>
        <w:ind w:left="993" w:hanging="993"/>
      </w:pPr>
      <w:r w:rsidRPr="00B60C22">
        <w:t xml:space="preserve">Pseudo </w:t>
      </w:r>
      <w:r w:rsidR="00950ECC" w:rsidRPr="00B60C22">
        <w:t>Multi</w:t>
      </w:r>
      <w:r w:rsidR="00730B76" w:rsidRPr="00B60C22">
        <w:t>-</w:t>
      </w:r>
      <w:r w:rsidR="00950ECC" w:rsidRPr="00B60C22">
        <w:t xml:space="preserve">Supplier Framework </w:t>
      </w:r>
      <w:r w:rsidR="00BF7FBE" w:rsidRPr="00B60C22">
        <w:t>Agreement</w:t>
      </w:r>
      <w:r w:rsidR="00EF361B" w:rsidRPr="00B60C22">
        <w:t>.</w:t>
      </w:r>
    </w:p>
    <w:p w:rsidR="00950ECC" w:rsidRPr="00B60C22" w:rsidRDefault="00950ECC" w:rsidP="00AB2877">
      <w:pPr>
        <w:pStyle w:val="ONEH2"/>
        <w:numPr>
          <w:ilvl w:val="0"/>
          <w:numId w:val="0"/>
        </w:numPr>
        <w:ind w:left="612"/>
      </w:pPr>
    </w:p>
    <w:p w:rsidR="00FF12AE" w:rsidRPr="00B60C22" w:rsidRDefault="00950ECC" w:rsidP="00AB2877">
      <w:pPr>
        <w:pStyle w:val="ONEH2"/>
      </w:pPr>
      <w:r w:rsidRPr="00B60C22">
        <w:t xml:space="preserve">Number of Suppliers to be appointed to the Framework </w:t>
      </w:r>
    </w:p>
    <w:p w:rsidR="00950ECC" w:rsidRPr="00B60C22" w:rsidRDefault="003239DB" w:rsidP="00136242">
      <w:pPr>
        <w:pStyle w:val="BoldTextindent"/>
        <w:spacing w:before="0" w:after="0"/>
        <w:ind w:left="993" w:hanging="993"/>
      </w:pPr>
      <w:r w:rsidRPr="00B60C22">
        <w:t xml:space="preserve">Not more than </w:t>
      </w:r>
      <w:r w:rsidR="00950ECC" w:rsidRPr="00B60C22">
        <w:t xml:space="preserve">3 </w:t>
      </w:r>
      <w:r w:rsidR="00730B76" w:rsidRPr="00B60C22">
        <w:t xml:space="preserve">suppliers </w:t>
      </w:r>
      <w:r w:rsidR="00950ECC" w:rsidRPr="00B60C22">
        <w:t>(where sufficient bids which meet the contract requirements are received)</w:t>
      </w:r>
      <w:r w:rsidR="00F10F64" w:rsidRPr="00B60C22">
        <w:t>.</w:t>
      </w:r>
      <w:r w:rsidR="00950ECC" w:rsidRPr="00B60C22">
        <w:t xml:space="preserve"> </w:t>
      </w:r>
    </w:p>
    <w:p w:rsidR="00950ECC" w:rsidRPr="00B60C22" w:rsidRDefault="00950ECC" w:rsidP="00AB2877">
      <w:pPr>
        <w:pStyle w:val="ONEH2"/>
        <w:numPr>
          <w:ilvl w:val="0"/>
          <w:numId w:val="0"/>
        </w:numPr>
        <w:ind w:left="612"/>
      </w:pPr>
    </w:p>
    <w:p w:rsidR="00AA48B4" w:rsidRPr="00B60C22" w:rsidRDefault="00950ECC" w:rsidP="00AB2877">
      <w:pPr>
        <w:pStyle w:val="ONEH2"/>
      </w:pPr>
      <w:r w:rsidRPr="00B60C22">
        <w:t xml:space="preserve">Method of </w:t>
      </w:r>
      <w:r w:rsidR="00630246" w:rsidRPr="00B60C22">
        <w:t xml:space="preserve">Call-off </w:t>
      </w:r>
      <w:r w:rsidRPr="00B60C22">
        <w:t xml:space="preserve">Contract </w:t>
      </w:r>
      <w:r w:rsidR="005A4F1F" w:rsidRPr="00B60C22">
        <w:t>A</w:t>
      </w:r>
      <w:r w:rsidRPr="00B60C22">
        <w:t xml:space="preserve">ward </w:t>
      </w:r>
    </w:p>
    <w:p w:rsidR="00AA48B4" w:rsidRPr="00EA22BB" w:rsidRDefault="00950ECC" w:rsidP="007C7872">
      <w:pPr>
        <w:pStyle w:val="ListParagraph"/>
        <w:numPr>
          <w:ilvl w:val="0"/>
          <w:numId w:val="11"/>
        </w:numPr>
        <w:spacing w:after="0" w:line="240" w:lineRule="auto"/>
        <w:ind w:left="1418" w:hanging="425"/>
        <w:jc w:val="both"/>
        <w:rPr>
          <w:rFonts w:ascii="Arial" w:eastAsia="Times New Roman" w:hAnsi="Arial" w:cs="Arial"/>
          <w:iCs/>
        </w:rPr>
      </w:pPr>
      <w:r w:rsidRPr="00EA22BB">
        <w:rPr>
          <w:rFonts w:ascii="Arial" w:eastAsia="Times New Roman" w:hAnsi="Arial" w:cs="Arial"/>
          <w:iCs/>
        </w:rPr>
        <w:t xml:space="preserve">Direct award from </w:t>
      </w:r>
      <w:r w:rsidR="004A2B47" w:rsidRPr="00EA22BB">
        <w:rPr>
          <w:rFonts w:ascii="Arial" w:eastAsia="Times New Roman" w:hAnsi="Arial" w:cs="Arial"/>
          <w:iCs/>
        </w:rPr>
        <w:t>a</w:t>
      </w:r>
      <w:r w:rsidRPr="00EA22BB">
        <w:rPr>
          <w:rFonts w:ascii="Arial" w:eastAsia="Times New Roman" w:hAnsi="Arial" w:cs="Arial"/>
          <w:iCs/>
        </w:rPr>
        <w:t xml:space="preserve"> Framework </w:t>
      </w:r>
      <w:proofErr w:type="spellStart"/>
      <w:r w:rsidRPr="00EA22BB">
        <w:rPr>
          <w:rFonts w:ascii="Arial" w:eastAsia="Times New Roman" w:hAnsi="Arial" w:cs="Arial"/>
          <w:iCs/>
        </w:rPr>
        <w:t>Ratecard</w:t>
      </w:r>
      <w:proofErr w:type="spellEnd"/>
      <w:r w:rsidR="00723505" w:rsidRPr="00EA22BB">
        <w:rPr>
          <w:rFonts w:ascii="Arial" w:eastAsia="Times New Roman" w:hAnsi="Arial" w:cs="Arial"/>
          <w:iCs/>
        </w:rPr>
        <w:t xml:space="preserve"> (where suitably precise)</w:t>
      </w:r>
      <w:r w:rsidR="00730B76" w:rsidRPr="00EA22BB">
        <w:rPr>
          <w:rFonts w:ascii="Arial" w:eastAsia="Times New Roman" w:hAnsi="Arial" w:cs="Arial"/>
          <w:iCs/>
        </w:rPr>
        <w:t>;</w:t>
      </w:r>
    </w:p>
    <w:p w:rsidR="00AA48B4" w:rsidRPr="00EA22BB" w:rsidRDefault="00723505" w:rsidP="007C7872">
      <w:pPr>
        <w:pStyle w:val="ListParagraph"/>
        <w:numPr>
          <w:ilvl w:val="0"/>
          <w:numId w:val="11"/>
        </w:numPr>
        <w:spacing w:after="0" w:line="240" w:lineRule="auto"/>
        <w:ind w:left="1418" w:hanging="425"/>
        <w:jc w:val="both"/>
        <w:rPr>
          <w:rFonts w:ascii="Arial" w:eastAsia="Times New Roman" w:hAnsi="Arial" w:cs="Arial"/>
          <w:iCs/>
        </w:rPr>
      </w:pPr>
      <w:r w:rsidRPr="00EA22BB">
        <w:rPr>
          <w:rFonts w:ascii="Arial" w:eastAsia="Times New Roman" w:hAnsi="Arial" w:cs="Arial"/>
          <w:iCs/>
        </w:rPr>
        <w:t xml:space="preserve">Direct award from </w:t>
      </w:r>
      <w:r w:rsidR="004A2B47" w:rsidRPr="00EA22BB">
        <w:rPr>
          <w:rFonts w:ascii="Arial" w:eastAsia="Times New Roman" w:hAnsi="Arial" w:cs="Arial"/>
          <w:iCs/>
        </w:rPr>
        <w:t>a</w:t>
      </w:r>
      <w:r w:rsidRPr="00EA22BB">
        <w:rPr>
          <w:rFonts w:ascii="Arial" w:eastAsia="Times New Roman" w:hAnsi="Arial" w:cs="Arial"/>
          <w:iCs/>
        </w:rPr>
        <w:t xml:space="preserve"> Price List for Standard Chargeable Items (where best Value for Money is demonstrable)</w:t>
      </w:r>
      <w:r w:rsidR="00730B76" w:rsidRPr="00EA22BB">
        <w:rPr>
          <w:rFonts w:ascii="Arial" w:eastAsia="Times New Roman" w:hAnsi="Arial" w:cs="Arial"/>
          <w:iCs/>
        </w:rPr>
        <w:t>; or</w:t>
      </w:r>
    </w:p>
    <w:p w:rsidR="00950ECC" w:rsidRPr="00EA22BB" w:rsidRDefault="00950ECC" w:rsidP="007C7872">
      <w:pPr>
        <w:pStyle w:val="ListParagraph"/>
        <w:numPr>
          <w:ilvl w:val="0"/>
          <w:numId w:val="11"/>
        </w:numPr>
        <w:spacing w:after="0" w:line="240" w:lineRule="auto"/>
        <w:ind w:left="1418" w:hanging="425"/>
        <w:jc w:val="both"/>
        <w:rPr>
          <w:rFonts w:ascii="Arial" w:eastAsia="Times New Roman" w:hAnsi="Arial" w:cs="Arial"/>
          <w:iCs/>
        </w:rPr>
      </w:pPr>
      <w:r w:rsidRPr="00EA22BB">
        <w:rPr>
          <w:rFonts w:ascii="Arial" w:eastAsia="Times New Roman" w:hAnsi="Arial" w:cs="Arial"/>
          <w:iCs/>
        </w:rPr>
        <w:t xml:space="preserve">Capability Assessment followed by </w:t>
      </w:r>
      <w:r w:rsidR="00D508C0" w:rsidRPr="00EA22BB">
        <w:rPr>
          <w:rFonts w:ascii="Arial" w:eastAsia="Times New Roman" w:hAnsi="Arial" w:cs="Arial"/>
          <w:iCs/>
        </w:rPr>
        <w:t>Further</w:t>
      </w:r>
      <w:r w:rsidRPr="00EA22BB">
        <w:rPr>
          <w:rFonts w:ascii="Arial" w:eastAsia="Times New Roman" w:hAnsi="Arial" w:cs="Arial"/>
          <w:iCs/>
        </w:rPr>
        <w:t>-</w:t>
      </w:r>
      <w:r w:rsidR="00D508C0" w:rsidRPr="00EA22BB">
        <w:rPr>
          <w:rFonts w:ascii="Arial" w:eastAsia="Times New Roman" w:hAnsi="Arial" w:cs="Arial"/>
          <w:iCs/>
        </w:rPr>
        <w:t>C</w:t>
      </w:r>
      <w:r w:rsidRPr="00EA22BB">
        <w:rPr>
          <w:rFonts w:ascii="Arial" w:eastAsia="Times New Roman" w:hAnsi="Arial" w:cs="Arial"/>
          <w:iCs/>
        </w:rPr>
        <w:t xml:space="preserve">ompetition. </w:t>
      </w:r>
    </w:p>
    <w:p w:rsidR="00950ECC" w:rsidRPr="00B60C22" w:rsidRDefault="00950ECC" w:rsidP="00AB2877">
      <w:pPr>
        <w:pStyle w:val="ONEH2"/>
        <w:numPr>
          <w:ilvl w:val="0"/>
          <w:numId w:val="0"/>
        </w:numPr>
        <w:ind w:left="612"/>
      </w:pPr>
    </w:p>
    <w:p w:rsidR="00C931DA" w:rsidRPr="00B60C22" w:rsidRDefault="00C931DA" w:rsidP="00AB2877">
      <w:pPr>
        <w:pStyle w:val="ONEH2"/>
        <w:numPr>
          <w:ilvl w:val="0"/>
          <w:numId w:val="0"/>
        </w:numPr>
        <w:ind w:left="612"/>
      </w:pPr>
    </w:p>
    <w:p w:rsidR="00FF12AE" w:rsidRPr="00B60C22" w:rsidRDefault="00D508C0" w:rsidP="00AB2877">
      <w:pPr>
        <w:pStyle w:val="ONEH2"/>
      </w:pPr>
      <w:r w:rsidRPr="00B60C22">
        <w:t xml:space="preserve">Framework </w:t>
      </w:r>
      <w:r w:rsidR="00950ECC" w:rsidRPr="00B60C22">
        <w:t xml:space="preserve">Value </w:t>
      </w:r>
    </w:p>
    <w:p w:rsidR="00950ECC" w:rsidRPr="00B60C22" w:rsidRDefault="00FF12AE" w:rsidP="00136242">
      <w:pPr>
        <w:pStyle w:val="BoldTextindent"/>
        <w:spacing w:before="0" w:after="0"/>
        <w:ind w:left="993" w:hanging="993"/>
      </w:pPr>
      <w:r w:rsidRPr="00B60C22">
        <w:t>U</w:t>
      </w:r>
      <w:r w:rsidR="00950ECC" w:rsidRPr="00B60C22">
        <w:t xml:space="preserve">p to £2,000,000 </w:t>
      </w:r>
      <w:r w:rsidR="00730B76" w:rsidRPr="00B60C22">
        <w:t>per annum</w:t>
      </w:r>
      <w:r w:rsidR="00950ECC" w:rsidRPr="00B60C22">
        <w:t>. The Department of Health does not guarantee</w:t>
      </w:r>
      <w:r w:rsidR="00D508C0" w:rsidRPr="00B60C22">
        <w:t xml:space="preserve"> a</w:t>
      </w:r>
      <w:r w:rsidR="00950ECC" w:rsidRPr="00B60C22">
        <w:t xml:space="preserve"> </w:t>
      </w:r>
      <w:r w:rsidR="00D508C0" w:rsidRPr="00B60C22">
        <w:t>minimum spend or exclusivity with any supplier appoint</w:t>
      </w:r>
      <w:r w:rsidR="00914A77" w:rsidRPr="00B60C22">
        <w:t xml:space="preserve">ed </w:t>
      </w:r>
      <w:r w:rsidR="00D508C0" w:rsidRPr="00B60C22">
        <w:t xml:space="preserve">to provide goods and/or services under this </w:t>
      </w:r>
      <w:r w:rsidR="00914A77" w:rsidRPr="00B60C22">
        <w:t>Framework</w:t>
      </w:r>
      <w:r w:rsidR="00D508C0" w:rsidRPr="00B60C22">
        <w:t xml:space="preserve">. The figure provided is the upper limit for this </w:t>
      </w:r>
      <w:r w:rsidR="00914A77" w:rsidRPr="00B60C22">
        <w:t>F</w:t>
      </w:r>
      <w:r w:rsidR="00D508C0" w:rsidRPr="00B60C22">
        <w:t>ramework.</w:t>
      </w:r>
    </w:p>
    <w:p w:rsidR="00950ECC" w:rsidRPr="00B60C22" w:rsidRDefault="00950ECC" w:rsidP="00AB2877">
      <w:pPr>
        <w:pStyle w:val="ONEH2"/>
        <w:numPr>
          <w:ilvl w:val="0"/>
          <w:numId w:val="0"/>
        </w:numPr>
        <w:ind w:left="612"/>
      </w:pPr>
    </w:p>
    <w:p w:rsidR="00FF12AE" w:rsidRPr="00B60C22" w:rsidRDefault="00D508C0" w:rsidP="00AB2877">
      <w:pPr>
        <w:pStyle w:val="ONEH2"/>
      </w:pPr>
      <w:r w:rsidRPr="00B60C22">
        <w:t xml:space="preserve">Framework </w:t>
      </w:r>
      <w:r w:rsidR="00950ECC" w:rsidRPr="00B60C22">
        <w:t xml:space="preserve">Duration </w:t>
      </w:r>
    </w:p>
    <w:p w:rsidR="00D508C0" w:rsidRPr="00B60C22" w:rsidRDefault="00630246" w:rsidP="00136242">
      <w:pPr>
        <w:pStyle w:val="BoldTextindent"/>
        <w:spacing w:before="0" w:after="0"/>
        <w:ind w:left="993" w:hanging="993"/>
      </w:pPr>
      <w:r w:rsidRPr="00B60C22">
        <w:t xml:space="preserve">Maximum of </w:t>
      </w:r>
      <w:r w:rsidR="00876153" w:rsidRPr="00B60C22">
        <w:t>f</w:t>
      </w:r>
      <w:r w:rsidR="00950ECC" w:rsidRPr="00B60C22">
        <w:t xml:space="preserve">our (4) </w:t>
      </w:r>
      <w:r w:rsidR="00AA48B4" w:rsidRPr="00B60C22">
        <w:t>y</w:t>
      </w:r>
      <w:r w:rsidR="00950ECC" w:rsidRPr="00B60C22">
        <w:t>ears</w:t>
      </w:r>
      <w:r w:rsidR="00AA48B4" w:rsidRPr="00B60C22">
        <w:t xml:space="preserve">; 2 years plus </w:t>
      </w:r>
      <w:r w:rsidR="00DC0A2A" w:rsidRPr="00B60C22">
        <w:t xml:space="preserve">an </w:t>
      </w:r>
      <w:r w:rsidR="00F10F64" w:rsidRPr="00B60C22">
        <w:t xml:space="preserve">option to extend </w:t>
      </w:r>
      <w:r w:rsidR="00DC0A2A" w:rsidRPr="00B60C22">
        <w:t xml:space="preserve">(exercisable at the Department of Health’s sole discretion) </w:t>
      </w:r>
      <w:r w:rsidRPr="00B60C22">
        <w:t xml:space="preserve">for a further </w:t>
      </w:r>
      <w:r w:rsidR="00F10F64" w:rsidRPr="00B60C22">
        <w:t>period of</w:t>
      </w:r>
      <w:r w:rsidRPr="00B60C22">
        <w:t xml:space="preserve"> </w:t>
      </w:r>
      <w:r w:rsidR="00AA48B4" w:rsidRPr="00B60C22">
        <w:t>2 years</w:t>
      </w:r>
      <w:r w:rsidR="00D508C0" w:rsidRPr="00B60C22">
        <w:t>.</w:t>
      </w:r>
      <w:r w:rsidR="00AA48B4" w:rsidRPr="00B60C22">
        <w:t xml:space="preserve"> </w:t>
      </w:r>
    </w:p>
    <w:p w:rsidR="00CD4196" w:rsidRPr="00B60C22" w:rsidRDefault="00CD4196" w:rsidP="00E654E9">
      <w:pPr>
        <w:pStyle w:val="BoldTextindent"/>
        <w:numPr>
          <w:ilvl w:val="0"/>
          <w:numId w:val="0"/>
        </w:numPr>
        <w:spacing w:before="0" w:after="0"/>
        <w:ind w:left="1134"/>
      </w:pPr>
    </w:p>
    <w:p w:rsidR="00950ECC" w:rsidRPr="00B60C22" w:rsidRDefault="00B02341" w:rsidP="00136242">
      <w:pPr>
        <w:pStyle w:val="BoldTextindent"/>
        <w:spacing w:before="0" w:after="0"/>
        <w:ind w:left="993" w:hanging="993"/>
      </w:pPr>
      <w:r w:rsidRPr="00B60C22">
        <w:t xml:space="preserve">Call-off </w:t>
      </w:r>
      <w:r w:rsidR="00D508C0" w:rsidRPr="00B60C22">
        <w:t xml:space="preserve">Contract Duration: </w:t>
      </w:r>
      <w:r w:rsidR="00630246" w:rsidRPr="00B60C22">
        <w:t xml:space="preserve">Call-off </w:t>
      </w:r>
      <w:r w:rsidR="00D508C0" w:rsidRPr="00B60C22">
        <w:t xml:space="preserve">Contracts awarded under </w:t>
      </w:r>
      <w:r w:rsidR="00630246" w:rsidRPr="00B60C22">
        <w:t>the F</w:t>
      </w:r>
      <w:r w:rsidR="00D508C0" w:rsidRPr="00B60C22">
        <w:t>ramework may exceed the Framework Duration.</w:t>
      </w:r>
    </w:p>
    <w:p w:rsidR="006636AA" w:rsidRPr="00B60C22" w:rsidRDefault="006636AA" w:rsidP="00AB2877">
      <w:pPr>
        <w:pStyle w:val="ONEH2"/>
        <w:numPr>
          <w:ilvl w:val="0"/>
          <w:numId w:val="0"/>
        </w:numPr>
        <w:ind w:left="612"/>
      </w:pPr>
    </w:p>
    <w:p w:rsidR="00162824" w:rsidRPr="00B60C22" w:rsidRDefault="00162824" w:rsidP="00AB2877">
      <w:pPr>
        <w:pStyle w:val="ONEH2"/>
      </w:pPr>
      <w:r w:rsidRPr="00B60C22">
        <w:t>General</w:t>
      </w:r>
      <w:r w:rsidR="00D508C0" w:rsidRPr="00B60C22">
        <w:t xml:space="preserve"> Scope</w:t>
      </w:r>
      <w:r w:rsidRPr="00B60C22">
        <w:t xml:space="preserve"> </w:t>
      </w:r>
    </w:p>
    <w:p w:rsidR="00162824" w:rsidRPr="00EA22BB" w:rsidRDefault="00162824"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Financial Analysis relating to the pricing of Pharmaceutical Medicines</w:t>
      </w:r>
      <w:r w:rsidR="00670028" w:rsidRPr="00EA22BB">
        <w:rPr>
          <w:rFonts w:ascii="Arial" w:eastAsia="Times New Roman" w:hAnsi="Arial" w:cs="Arial"/>
          <w:iCs/>
        </w:rPr>
        <w:t>;</w:t>
      </w:r>
      <w:r w:rsidRPr="00EA22BB">
        <w:rPr>
          <w:rFonts w:ascii="Arial" w:eastAsia="Times New Roman" w:hAnsi="Arial" w:cs="Arial"/>
          <w:iCs/>
        </w:rPr>
        <w:t xml:space="preserve"> </w:t>
      </w:r>
    </w:p>
    <w:p w:rsidR="00162824" w:rsidRPr="00EA22BB" w:rsidRDefault="00162824"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Investigation into deceit, anti-competitive agreements and the abuse of a dominant position by a company</w:t>
      </w:r>
      <w:r w:rsidR="00670028" w:rsidRPr="00EA22BB">
        <w:rPr>
          <w:rFonts w:ascii="Arial" w:eastAsia="Times New Roman" w:hAnsi="Arial" w:cs="Arial"/>
          <w:iCs/>
        </w:rPr>
        <w:t>;</w:t>
      </w:r>
    </w:p>
    <w:p w:rsidR="00162824" w:rsidRPr="00EA22BB" w:rsidRDefault="00162824"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Arbitration and Mediation</w:t>
      </w:r>
      <w:r w:rsidR="00670028" w:rsidRPr="00EA22BB">
        <w:rPr>
          <w:rFonts w:ascii="Arial" w:eastAsia="Times New Roman" w:hAnsi="Arial" w:cs="Arial"/>
          <w:iCs/>
        </w:rPr>
        <w:t>;</w:t>
      </w:r>
      <w:r w:rsidRPr="00EA22BB">
        <w:rPr>
          <w:rFonts w:ascii="Arial" w:eastAsia="Times New Roman" w:hAnsi="Arial" w:cs="Arial"/>
          <w:iCs/>
        </w:rPr>
        <w:t xml:space="preserve">  </w:t>
      </w:r>
    </w:p>
    <w:p w:rsidR="00162824" w:rsidRPr="00EA22BB" w:rsidRDefault="00162824"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Civil Litigation</w:t>
      </w:r>
      <w:r w:rsidR="00670028" w:rsidRPr="00EA22BB">
        <w:rPr>
          <w:rFonts w:ascii="Arial" w:eastAsia="Times New Roman" w:hAnsi="Arial" w:cs="Arial"/>
          <w:iCs/>
        </w:rPr>
        <w:t>;</w:t>
      </w:r>
    </w:p>
    <w:p w:rsidR="003D782D" w:rsidRPr="00EA22BB" w:rsidRDefault="00AA48B4"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Financial Recovery</w:t>
      </w:r>
      <w:r w:rsidR="00670028" w:rsidRPr="00EA22BB">
        <w:rPr>
          <w:rFonts w:ascii="Arial" w:eastAsia="Times New Roman" w:hAnsi="Arial" w:cs="Arial"/>
          <w:iCs/>
        </w:rPr>
        <w:t>;</w:t>
      </w:r>
      <w:r w:rsidRPr="00EA22BB">
        <w:rPr>
          <w:rFonts w:ascii="Arial" w:eastAsia="Times New Roman" w:hAnsi="Arial" w:cs="Arial"/>
          <w:iCs/>
        </w:rPr>
        <w:t xml:space="preserve"> </w:t>
      </w:r>
    </w:p>
    <w:p w:rsidR="003C566E" w:rsidRPr="00EA22BB" w:rsidRDefault="003D782D"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Supply Chain</w:t>
      </w:r>
      <w:r w:rsidR="00FD1095" w:rsidRPr="00EA22BB">
        <w:rPr>
          <w:rFonts w:ascii="Arial" w:eastAsia="Times New Roman" w:hAnsi="Arial" w:cs="Arial"/>
          <w:iCs/>
        </w:rPr>
        <w:t xml:space="preserve"> and Subcontract</w:t>
      </w:r>
      <w:r w:rsidRPr="00EA22BB">
        <w:rPr>
          <w:rFonts w:ascii="Arial" w:eastAsia="Times New Roman" w:hAnsi="Arial" w:cs="Arial"/>
          <w:iCs/>
        </w:rPr>
        <w:t>:</w:t>
      </w:r>
      <w:r w:rsidR="00AA48B4" w:rsidRPr="00EA22BB">
        <w:rPr>
          <w:rFonts w:ascii="Arial" w:eastAsia="Times New Roman" w:hAnsi="Arial" w:cs="Arial"/>
          <w:iCs/>
        </w:rPr>
        <w:t xml:space="preserve"> </w:t>
      </w:r>
      <w:r w:rsidR="003C566E" w:rsidRPr="00EA22BB">
        <w:rPr>
          <w:rFonts w:ascii="Arial" w:eastAsia="Times New Roman" w:hAnsi="Arial" w:cs="Arial"/>
          <w:iCs/>
        </w:rPr>
        <w:t>Economic Analysis</w:t>
      </w:r>
      <w:r w:rsidR="00670028" w:rsidRPr="00EA22BB">
        <w:rPr>
          <w:rFonts w:ascii="Arial" w:eastAsia="Times New Roman" w:hAnsi="Arial" w:cs="Arial"/>
          <w:iCs/>
        </w:rPr>
        <w:t>;</w:t>
      </w:r>
    </w:p>
    <w:p w:rsidR="003D782D" w:rsidRPr="00EA22BB" w:rsidRDefault="00ED66B9"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 xml:space="preserve">Framework suppliers </w:t>
      </w:r>
      <w:r w:rsidR="007D1B14" w:rsidRPr="00EA22BB">
        <w:rPr>
          <w:rFonts w:ascii="Arial" w:eastAsia="Times New Roman" w:hAnsi="Arial" w:cs="Arial"/>
          <w:iCs/>
        </w:rPr>
        <w:t>shall have</w:t>
      </w:r>
      <w:r w:rsidR="003D782D" w:rsidRPr="00EA22BB">
        <w:rPr>
          <w:rFonts w:ascii="Arial" w:eastAsia="Times New Roman" w:hAnsi="Arial" w:cs="Arial"/>
          <w:iCs/>
        </w:rPr>
        <w:t xml:space="preserve"> </w:t>
      </w:r>
      <w:r w:rsidRPr="00EA22BB">
        <w:rPr>
          <w:rFonts w:ascii="Arial" w:eastAsia="Times New Roman" w:hAnsi="Arial" w:cs="Arial"/>
          <w:iCs/>
        </w:rPr>
        <w:t>either</w:t>
      </w:r>
      <w:r w:rsidR="007D1B14" w:rsidRPr="00EA22BB">
        <w:rPr>
          <w:rFonts w:ascii="Arial" w:eastAsia="Times New Roman" w:hAnsi="Arial" w:cs="Arial"/>
          <w:iCs/>
        </w:rPr>
        <w:t xml:space="preserve"> an</w:t>
      </w:r>
      <w:r w:rsidRPr="00EA22BB">
        <w:rPr>
          <w:rFonts w:ascii="Arial" w:eastAsia="Times New Roman" w:hAnsi="Arial" w:cs="Arial"/>
          <w:iCs/>
        </w:rPr>
        <w:t xml:space="preserve"> </w:t>
      </w:r>
      <w:r w:rsidR="003D782D" w:rsidRPr="00EA22BB">
        <w:rPr>
          <w:rFonts w:ascii="Arial" w:eastAsia="Times New Roman" w:hAnsi="Arial" w:cs="Arial"/>
          <w:iCs/>
        </w:rPr>
        <w:t xml:space="preserve">existing in-house capability and/or </w:t>
      </w:r>
      <w:r w:rsidR="007D1B14" w:rsidRPr="00EA22BB">
        <w:rPr>
          <w:rFonts w:ascii="Arial" w:eastAsia="Times New Roman" w:hAnsi="Arial" w:cs="Arial"/>
          <w:iCs/>
        </w:rPr>
        <w:t xml:space="preserve">a nominated </w:t>
      </w:r>
      <w:r w:rsidR="00FD1095" w:rsidRPr="00EA22BB">
        <w:rPr>
          <w:rFonts w:ascii="Arial" w:eastAsia="Times New Roman" w:hAnsi="Arial" w:cs="Arial"/>
          <w:iCs/>
        </w:rPr>
        <w:t>organisation to conduct</w:t>
      </w:r>
      <w:r w:rsidR="003D782D" w:rsidRPr="00EA22BB">
        <w:rPr>
          <w:rFonts w:ascii="Arial" w:eastAsia="Times New Roman" w:hAnsi="Arial" w:cs="Arial"/>
          <w:iCs/>
        </w:rPr>
        <w:t xml:space="preserve"> </w:t>
      </w:r>
      <w:r w:rsidR="00FD1095" w:rsidRPr="00EA22BB">
        <w:rPr>
          <w:rFonts w:ascii="Arial" w:eastAsia="Times New Roman" w:hAnsi="Arial" w:cs="Arial"/>
          <w:iCs/>
        </w:rPr>
        <w:t>F</w:t>
      </w:r>
      <w:r w:rsidR="003D782D" w:rsidRPr="00EA22BB">
        <w:rPr>
          <w:rFonts w:ascii="Arial" w:eastAsia="Times New Roman" w:hAnsi="Arial" w:cs="Arial"/>
          <w:iCs/>
        </w:rPr>
        <w:t xml:space="preserve">inancial </w:t>
      </w:r>
      <w:r w:rsidR="007D1B14" w:rsidRPr="00EA22BB">
        <w:rPr>
          <w:rFonts w:ascii="Arial" w:eastAsia="Times New Roman" w:hAnsi="Arial" w:cs="Arial"/>
          <w:iCs/>
        </w:rPr>
        <w:t>and</w:t>
      </w:r>
      <w:r w:rsidR="00FD1095" w:rsidRPr="00EA22BB">
        <w:rPr>
          <w:rFonts w:ascii="Arial" w:eastAsia="Times New Roman" w:hAnsi="Arial" w:cs="Arial"/>
          <w:iCs/>
        </w:rPr>
        <w:t xml:space="preserve"> Economic </w:t>
      </w:r>
      <w:r w:rsidR="003D782D" w:rsidRPr="00EA22BB">
        <w:rPr>
          <w:rFonts w:ascii="Arial" w:eastAsia="Times New Roman" w:hAnsi="Arial" w:cs="Arial"/>
          <w:iCs/>
        </w:rPr>
        <w:t>Analysis</w:t>
      </w:r>
      <w:r w:rsidR="00670028" w:rsidRPr="00EA22BB">
        <w:rPr>
          <w:rFonts w:ascii="Arial" w:eastAsia="Times New Roman" w:hAnsi="Arial" w:cs="Arial"/>
          <w:iCs/>
        </w:rPr>
        <w:t>; and</w:t>
      </w:r>
    </w:p>
    <w:p w:rsidR="00A4104F" w:rsidRPr="00EA22BB" w:rsidRDefault="00A4104F" w:rsidP="007C7872">
      <w:pPr>
        <w:pStyle w:val="ListParagraph"/>
        <w:numPr>
          <w:ilvl w:val="0"/>
          <w:numId w:val="12"/>
        </w:numPr>
        <w:spacing w:after="0" w:line="240" w:lineRule="auto"/>
        <w:ind w:left="1418" w:hanging="425"/>
        <w:jc w:val="both"/>
        <w:rPr>
          <w:rFonts w:ascii="Arial" w:eastAsia="Times New Roman" w:hAnsi="Arial" w:cs="Arial"/>
          <w:iCs/>
        </w:rPr>
      </w:pPr>
      <w:r w:rsidRPr="00EA22BB">
        <w:rPr>
          <w:rFonts w:ascii="Arial" w:eastAsia="Times New Roman" w:hAnsi="Arial" w:cs="Arial"/>
          <w:iCs/>
        </w:rPr>
        <w:t>All framework suppliers are required to be able to work with the Department of Health’s existing supply chain to include but not limited to the Government Legal Department, Financial and Economic Analysts, and other external Legal Advice.</w:t>
      </w:r>
    </w:p>
    <w:p w:rsidR="001667A2" w:rsidRPr="00B60C22" w:rsidRDefault="001667A2" w:rsidP="00AB2877">
      <w:pPr>
        <w:pStyle w:val="ONEH2"/>
        <w:numPr>
          <w:ilvl w:val="0"/>
          <w:numId w:val="0"/>
        </w:numPr>
      </w:pPr>
    </w:p>
    <w:p w:rsidR="003C566E" w:rsidRPr="00B60C22" w:rsidRDefault="00DE797B" w:rsidP="00AB2877">
      <w:pPr>
        <w:pStyle w:val="ONEH2"/>
      </w:pPr>
      <w:r w:rsidRPr="00B60C22">
        <w:t xml:space="preserve">Special </w:t>
      </w:r>
      <w:r w:rsidR="003C566E" w:rsidRPr="00B60C22">
        <w:t>Legal Counsel</w:t>
      </w:r>
    </w:p>
    <w:p w:rsidR="003C566E" w:rsidRPr="00B60C22" w:rsidRDefault="003C566E" w:rsidP="00E654E9">
      <w:pPr>
        <w:pStyle w:val="BoldTextindent"/>
        <w:spacing w:before="0" w:after="0"/>
        <w:ind w:left="993" w:hanging="993"/>
      </w:pPr>
      <w:r w:rsidRPr="00B60C22">
        <w:t xml:space="preserve">Framework suppliers </w:t>
      </w:r>
      <w:r w:rsidR="00DE797B" w:rsidRPr="00B60C22">
        <w:t>may be</w:t>
      </w:r>
      <w:r w:rsidRPr="00B60C22">
        <w:t xml:space="preserve"> required to appoint specialist Legal Counsel</w:t>
      </w:r>
      <w:r w:rsidR="00F144C7" w:rsidRPr="00B60C22">
        <w:t xml:space="preserve"> with Pharmaceutical knowledge</w:t>
      </w:r>
      <w:r w:rsidRPr="00B60C22">
        <w:t xml:space="preserve"> in support of the </w:t>
      </w:r>
      <w:r w:rsidR="00670028" w:rsidRPr="00B60C22">
        <w:t>Framework</w:t>
      </w:r>
      <w:r w:rsidRPr="00B60C22">
        <w:t>.</w:t>
      </w:r>
      <w:r w:rsidR="00761466" w:rsidRPr="00B60C22">
        <w:t xml:space="preserve"> </w:t>
      </w:r>
      <w:r w:rsidR="00F144C7" w:rsidRPr="00B60C22">
        <w:t xml:space="preserve"> </w:t>
      </w:r>
    </w:p>
    <w:p w:rsidR="00730B76" w:rsidRPr="00B60C22" w:rsidRDefault="00730B76" w:rsidP="00E654E9">
      <w:pPr>
        <w:pStyle w:val="BoldTextindent"/>
        <w:numPr>
          <w:ilvl w:val="0"/>
          <w:numId w:val="0"/>
        </w:numPr>
        <w:spacing w:before="0" w:after="0"/>
        <w:ind w:left="993"/>
      </w:pPr>
    </w:p>
    <w:p w:rsidR="00BB101B" w:rsidRPr="00B60C22" w:rsidRDefault="00BB101B" w:rsidP="00E654E9">
      <w:pPr>
        <w:pStyle w:val="BoldTextindent"/>
        <w:spacing w:before="0" w:after="0"/>
        <w:ind w:left="993" w:hanging="993"/>
      </w:pPr>
      <w:r w:rsidRPr="00B60C22">
        <w:t>All Counsel will be appointed at Attorney General (AG) rates unless an extraordinary exception is agreed.</w:t>
      </w:r>
    </w:p>
    <w:p w:rsidR="0085566D" w:rsidRPr="00B60C22" w:rsidRDefault="0085566D" w:rsidP="00AB2877">
      <w:pPr>
        <w:pStyle w:val="ONEH2"/>
        <w:numPr>
          <w:ilvl w:val="0"/>
          <w:numId w:val="0"/>
        </w:numPr>
        <w:ind w:left="612"/>
      </w:pPr>
    </w:p>
    <w:p w:rsidR="0085566D" w:rsidRPr="00B60C22" w:rsidRDefault="006E754B" w:rsidP="00AB2877">
      <w:pPr>
        <w:pStyle w:val="ONEH2"/>
      </w:pPr>
      <w:r w:rsidRPr="00B60C22">
        <w:t>Conflicts of Interest</w:t>
      </w:r>
    </w:p>
    <w:p w:rsidR="004A309C" w:rsidRPr="00B60C22" w:rsidRDefault="004A309C" w:rsidP="00E654E9">
      <w:pPr>
        <w:pStyle w:val="BoldTextindent"/>
        <w:spacing w:before="0" w:after="0"/>
        <w:ind w:left="993" w:hanging="993"/>
        <w:rPr>
          <w:bCs/>
        </w:rPr>
      </w:pPr>
      <w:r w:rsidRPr="00B60C22">
        <w:rPr>
          <w:bCs/>
        </w:rPr>
        <w:t xml:space="preserve">It is considered that the two main potential conflicts of interest that may occur in the performance of </w:t>
      </w:r>
      <w:r w:rsidR="00630246" w:rsidRPr="00B60C22">
        <w:rPr>
          <w:bCs/>
        </w:rPr>
        <w:t>Call-off C</w:t>
      </w:r>
      <w:r w:rsidRPr="00B60C22">
        <w:rPr>
          <w:bCs/>
        </w:rPr>
        <w:t>ontracts are</w:t>
      </w:r>
      <w:r w:rsidR="00630246" w:rsidRPr="00B60C22">
        <w:rPr>
          <w:bCs/>
        </w:rPr>
        <w:t>:</w:t>
      </w:r>
      <w:r w:rsidRPr="00B60C22">
        <w:rPr>
          <w:bCs/>
        </w:rPr>
        <w:t xml:space="preserve"> </w:t>
      </w:r>
    </w:p>
    <w:p w:rsidR="00CD4196" w:rsidRPr="00B60C22" w:rsidRDefault="00CD4196" w:rsidP="00E654E9">
      <w:pPr>
        <w:pStyle w:val="BoldTextindent"/>
        <w:numPr>
          <w:ilvl w:val="0"/>
          <w:numId w:val="0"/>
        </w:numPr>
        <w:spacing w:before="0" w:after="0"/>
        <w:ind w:left="993"/>
        <w:rPr>
          <w:bCs/>
        </w:rPr>
      </w:pPr>
    </w:p>
    <w:p w:rsidR="004A309C" w:rsidRPr="00EA22BB" w:rsidRDefault="00D40EA6" w:rsidP="007C7872">
      <w:pPr>
        <w:pStyle w:val="ListParagraph"/>
        <w:numPr>
          <w:ilvl w:val="0"/>
          <w:numId w:val="13"/>
        </w:numPr>
        <w:spacing w:after="0" w:line="240" w:lineRule="auto"/>
        <w:ind w:left="1418" w:hanging="425"/>
        <w:jc w:val="both"/>
        <w:rPr>
          <w:rFonts w:ascii="Arial" w:eastAsia="Times New Roman" w:hAnsi="Arial" w:cs="Arial"/>
          <w:iCs/>
        </w:rPr>
      </w:pPr>
      <w:r w:rsidRPr="00EA22BB">
        <w:rPr>
          <w:rFonts w:ascii="Arial" w:eastAsia="Times New Roman" w:hAnsi="Arial" w:cs="Arial"/>
          <w:iCs/>
        </w:rPr>
        <w:t>Where</w:t>
      </w:r>
      <w:r w:rsidR="004A309C" w:rsidRPr="00EA22BB">
        <w:rPr>
          <w:rFonts w:ascii="Arial" w:eastAsia="Times New Roman" w:hAnsi="Arial" w:cs="Arial"/>
          <w:iCs/>
        </w:rPr>
        <w:t xml:space="preserve"> a legal firm represent</w:t>
      </w:r>
      <w:r w:rsidR="00914A77" w:rsidRPr="00EA22BB">
        <w:rPr>
          <w:rFonts w:ascii="Arial" w:eastAsia="Times New Roman" w:hAnsi="Arial" w:cs="Arial"/>
          <w:iCs/>
        </w:rPr>
        <w:t>s</w:t>
      </w:r>
      <w:r w:rsidR="004A309C" w:rsidRPr="00EA22BB">
        <w:rPr>
          <w:rFonts w:ascii="Arial" w:eastAsia="Times New Roman" w:hAnsi="Arial" w:cs="Arial"/>
          <w:iCs/>
        </w:rPr>
        <w:t xml:space="preserve"> a defendant whilst also representing the Department of Health, and</w:t>
      </w:r>
      <w:r w:rsidR="00E654E9" w:rsidRPr="00EA22BB">
        <w:rPr>
          <w:rFonts w:ascii="Arial" w:eastAsia="Times New Roman" w:hAnsi="Arial" w:cs="Arial"/>
          <w:iCs/>
        </w:rPr>
        <w:t>/</w:t>
      </w:r>
      <w:r w:rsidR="00457854" w:rsidRPr="00EA22BB">
        <w:rPr>
          <w:rFonts w:ascii="Arial" w:eastAsia="Times New Roman" w:hAnsi="Arial" w:cs="Arial"/>
          <w:iCs/>
        </w:rPr>
        <w:t>or;</w:t>
      </w:r>
      <w:r w:rsidR="004A309C" w:rsidRPr="00EA22BB">
        <w:rPr>
          <w:rFonts w:ascii="Arial" w:eastAsia="Times New Roman" w:hAnsi="Arial" w:cs="Arial"/>
          <w:iCs/>
        </w:rPr>
        <w:t xml:space="preserve"> </w:t>
      </w:r>
    </w:p>
    <w:p w:rsidR="004A309C" w:rsidRPr="00EA22BB" w:rsidRDefault="00D40EA6" w:rsidP="007C7872">
      <w:pPr>
        <w:pStyle w:val="ListParagraph"/>
        <w:numPr>
          <w:ilvl w:val="0"/>
          <w:numId w:val="13"/>
        </w:numPr>
        <w:spacing w:after="0" w:line="240" w:lineRule="auto"/>
        <w:ind w:left="1418" w:hanging="425"/>
        <w:jc w:val="both"/>
        <w:rPr>
          <w:rFonts w:ascii="Arial" w:eastAsia="Times New Roman" w:hAnsi="Arial" w:cs="Arial"/>
          <w:iCs/>
        </w:rPr>
      </w:pPr>
      <w:r w:rsidRPr="00EA22BB">
        <w:rPr>
          <w:rFonts w:ascii="Arial" w:eastAsia="Times New Roman" w:hAnsi="Arial" w:cs="Arial"/>
          <w:iCs/>
        </w:rPr>
        <w:t>Where</w:t>
      </w:r>
      <w:r w:rsidR="004A309C" w:rsidRPr="00EA22BB">
        <w:rPr>
          <w:rFonts w:ascii="Arial" w:eastAsia="Times New Roman" w:hAnsi="Arial" w:cs="Arial"/>
          <w:iCs/>
        </w:rPr>
        <w:t xml:space="preserve"> an individual employee moves to a new employer. </w:t>
      </w:r>
      <w:proofErr w:type="gramStart"/>
      <w:r w:rsidR="00813351" w:rsidRPr="00EA22BB">
        <w:rPr>
          <w:rFonts w:ascii="Arial" w:eastAsia="Times New Roman" w:hAnsi="Arial" w:cs="Arial"/>
          <w:iCs/>
        </w:rPr>
        <w:t>An e</w:t>
      </w:r>
      <w:r w:rsidR="004A309C" w:rsidRPr="00EA22BB">
        <w:rPr>
          <w:rFonts w:ascii="Arial" w:eastAsia="Times New Roman" w:hAnsi="Arial" w:cs="Arial"/>
          <w:iCs/>
        </w:rPr>
        <w:t>xamples</w:t>
      </w:r>
      <w:proofErr w:type="gramEnd"/>
      <w:r w:rsidR="004A309C" w:rsidRPr="00EA22BB">
        <w:rPr>
          <w:rFonts w:ascii="Arial" w:eastAsia="Times New Roman" w:hAnsi="Arial" w:cs="Arial"/>
          <w:iCs/>
        </w:rPr>
        <w:t xml:space="preserve"> may include; a solicitor that moves from a prosecuting law firm to defendant law </w:t>
      </w:r>
      <w:r w:rsidR="001D4966" w:rsidRPr="00EA22BB">
        <w:rPr>
          <w:rFonts w:ascii="Arial" w:eastAsia="Times New Roman" w:hAnsi="Arial" w:cs="Arial"/>
          <w:iCs/>
        </w:rPr>
        <w:t xml:space="preserve">firm. </w:t>
      </w:r>
      <w:r w:rsidR="004A309C" w:rsidRPr="00EA22BB">
        <w:rPr>
          <w:rFonts w:ascii="Arial" w:eastAsia="Times New Roman" w:hAnsi="Arial" w:cs="Arial"/>
          <w:iCs/>
        </w:rPr>
        <w:t xml:space="preserve"> </w:t>
      </w:r>
    </w:p>
    <w:p w:rsidR="00CD4196" w:rsidRPr="00B60C22" w:rsidRDefault="00CD4196" w:rsidP="00E654E9">
      <w:pPr>
        <w:pStyle w:val="BoldTextindent"/>
        <w:numPr>
          <w:ilvl w:val="0"/>
          <w:numId w:val="0"/>
        </w:numPr>
        <w:spacing w:before="0" w:after="0"/>
        <w:rPr>
          <w:bCs/>
        </w:rPr>
      </w:pPr>
    </w:p>
    <w:p w:rsidR="00D40EA6" w:rsidRPr="00B60C22" w:rsidRDefault="001D4966" w:rsidP="00E654E9">
      <w:pPr>
        <w:pStyle w:val="BoldTextindent"/>
        <w:spacing w:before="0" w:after="0"/>
        <w:ind w:left="993" w:hanging="851"/>
        <w:rPr>
          <w:bCs/>
        </w:rPr>
      </w:pPr>
      <w:r w:rsidRPr="00B60C22">
        <w:rPr>
          <w:bCs/>
        </w:rPr>
        <w:t>It is a</w:t>
      </w:r>
      <w:r w:rsidR="004A2B47" w:rsidRPr="00B60C22">
        <w:rPr>
          <w:bCs/>
        </w:rPr>
        <w:t>n</w:t>
      </w:r>
      <w:r w:rsidRPr="00B60C22">
        <w:rPr>
          <w:bCs/>
        </w:rPr>
        <w:t xml:space="preserve"> </w:t>
      </w:r>
      <w:r w:rsidR="003D7355" w:rsidRPr="00B60C22">
        <w:rPr>
          <w:bCs/>
        </w:rPr>
        <w:t>important</w:t>
      </w:r>
      <w:r w:rsidR="00D40EA6" w:rsidRPr="00B60C22">
        <w:rPr>
          <w:bCs/>
        </w:rPr>
        <w:t xml:space="preserve"> </w:t>
      </w:r>
      <w:r w:rsidRPr="00B60C22">
        <w:rPr>
          <w:bCs/>
        </w:rPr>
        <w:t xml:space="preserve">requirement of the </w:t>
      </w:r>
      <w:r w:rsidR="00670028" w:rsidRPr="00B60C22">
        <w:rPr>
          <w:bCs/>
        </w:rPr>
        <w:t>Framework</w:t>
      </w:r>
      <w:r w:rsidRPr="00B60C22">
        <w:rPr>
          <w:bCs/>
        </w:rPr>
        <w:t xml:space="preserve"> that conflicts o</w:t>
      </w:r>
      <w:r w:rsidR="00CA65D7" w:rsidRPr="00B60C22">
        <w:rPr>
          <w:bCs/>
        </w:rPr>
        <w:t>f interest are actively managed</w:t>
      </w:r>
      <w:r w:rsidRPr="00B60C22">
        <w:rPr>
          <w:bCs/>
        </w:rPr>
        <w:t>.</w:t>
      </w:r>
      <w:r w:rsidR="00D40EA6" w:rsidRPr="00B60C22">
        <w:rPr>
          <w:bCs/>
        </w:rPr>
        <w:t xml:space="preserve"> Framework suppliers are required to demonstrate the effective management of conflicts of interest </w:t>
      </w:r>
      <w:r w:rsidR="00457854" w:rsidRPr="00B60C22">
        <w:rPr>
          <w:bCs/>
        </w:rPr>
        <w:t xml:space="preserve">where there is a potential for a conflict of interest with a </w:t>
      </w:r>
      <w:r w:rsidR="00F64A2E" w:rsidRPr="00B60C22">
        <w:rPr>
          <w:bCs/>
        </w:rPr>
        <w:t xml:space="preserve">framework supplier’s </w:t>
      </w:r>
      <w:r w:rsidR="00D40EA6" w:rsidRPr="00B60C22">
        <w:rPr>
          <w:bCs/>
        </w:rPr>
        <w:t>prospective, current and</w:t>
      </w:r>
      <w:r w:rsidR="00F64A2E" w:rsidRPr="00B60C22">
        <w:rPr>
          <w:bCs/>
        </w:rPr>
        <w:t>/or</w:t>
      </w:r>
      <w:r w:rsidR="00D40EA6" w:rsidRPr="00B60C22">
        <w:rPr>
          <w:bCs/>
        </w:rPr>
        <w:t xml:space="preserve"> anticipated future clients.</w:t>
      </w:r>
      <w:r w:rsidR="00457854" w:rsidRPr="00B60C22">
        <w:rPr>
          <w:bCs/>
        </w:rPr>
        <w:t xml:space="preserve"> </w:t>
      </w:r>
    </w:p>
    <w:p w:rsidR="003F0E66" w:rsidRPr="00B60C22" w:rsidRDefault="003F0E66" w:rsidP="00E654E9">
      <w:pPr>
        <w:pStyle w:val="BoldTextindent"/>
        <w:numPr>
          <w:ilvl w:val="0"/>
          <w:numId w:val="0"/>
        </w:numPr>
        <w:spacing w:before="0" w:after="0"/>
        <w:ind w:left="1044"/>
      </w:pPr>
    </w:p>
    <w:p w:rsidR="003F0E66" w:rsidRPr="00B60C22" w:rsidRDefault="003F0E66" w:rsidP="00AB2877">
      <w:pPr>
        <w:pStyle w:val="ONEH2"/>
      </w:pPr>
      <w:r w:rsidRPr="00B60C22">
        <w:t xml:space="preserve">Customer </w:t>
      </w:r>
      <w:r w:rsidR="007F2327" w:rsidRPr="00B60C22">
        <w:t>Relationship</w:t>
      </w:r>
      <w:r w:rsidRPr="00B60C22">
        <w:t xml:space="preserve"> - The Department of Health as a Prime Client</w:t>
      </w:r>
    </w:p>
    <w:p w:rsidR="003F0E66" w:rsidRPr="00B60C22" w:rsidRDefault="000F19B9" w:rsidP="00E654E9">
      <w:pPr>
        <w:pStyle w:val="BoldTextindent"/>
        <w:spacing w:before="0" w:after="0"/>
        <w:ind w:left="993" w:hanging="993"/>
        <w:rPr>
          <w:bCs/>
        </w:rPr>
      </w:pPr>
      <w:r w:rsidRPr="00B60C22">
        <w:rPr>
          <w:bCs/>
        </w:rPr>
        <w:t xml:space="preserve">It is a fundamental requirement of the Framework that </w:t>
      </w:r>
      <w:r w:rsidR="00876153" w:rsidRPr="00B60C22">
        <w:rPr>
          <w:bCs/>
        </w:rPr>
        <w:t xml:space="preserve">framework </w:t>
      </w:r>
      <w:r w:rsidRPr="00B60C22">
        <w:rPr>
          <w:bCs/>
        </w:rPr>
        <w:t xml:space="preserve">suppliers manage </w:t>
      </w:r>
      <w:r w:rsidR="00876153" w:rsidRPr="00B60C22">
        <w:rPr>
          <w:bCs/>
        </w:rPr>
        <w:t>t</w:t>
      </w:r>
      <w:r w:rsidRPr="00B60C22">
        <w:rPr>
          <w:bCs/>
        </w:rPr>
        <w:t>he Department of Health</w:t>
      </w:r>
      <w:r w:rsidR="00876153" w:rsidRPr="00B60C22">
        <w:rPr>
          <w:bCs/>
        </w:rPr>
        <w:t>’s</w:t>
      </w:r>
      <w:r w:rsidRPr="00B60C22">
        <w:rPr>
          <w:bCs/>
        </w:rPr>
        <w:t xml:space="preserve"> contract portfolio. The Department of Health should be considered as a Prime Client whereby the Department of Health</w:t>
      </w:r>
      <w:r w:rsidR="00F64A2E" w:rsidRPr="00B60C22">
        <w:rPr>
          <w:bCs/>
        </w:rPr>
        <w:t>’s</w:t>
      </w:r>
      <w:r w:rsidRPr="00B60C22">
        <w:rPr>
          <w:bCs/>
        </w:rPr>
        <w:t xml:space="preserve"> interests are served in preference of </w:t>
      </w:r>
      <w:r w:rsidR="00876153" w:rsidRPr="00B60C22">
        <w:rPr>
          <w:bCs/>
        </w:rPr>
        <w:t xml:space="preserve">all </w:t>
      </w:r>
      <w:r w:rsidR="004B2FD1" w:rsidRPr="00B60C22">
        <w:rPr>
          <w:bCs/>
        </w:rPr>
        <w:t>other C</w:t>
      </w:r>
      <w:r w:rsidRPr="00B60C22">
        <w:rPr>
          <w:bCs/>
        </w:rPr>
        <w:t xml:space="preserve">lients especially where </w:t>
      </w:r>
      <w:r w:rsidR="004B2FD1" w:rsidRPr="00B60C22">
        <w:rPr>
          <w:bCs/>
        </w:rPr>
        <w:t>C</w:t>
      </w:r>
      <w:r w:rsidRPr="00B60C22">
        <w:rPr>
          <w:bCs/>
        </w:rPr>
        <w:t xml:space="preserve">onflicts of Interest apply. </w:t>
      </w:r>
    </w:p>
    <w:p w:rsidR="003F0E66" w:rsidRPr="00B60C22" w:rsidRDefault="003F0E66" w:rsidP="00AB2877">
      <w:pPr>
        <w:pStyle w:val="ONEH2"/>
        <w:numPr>
          <w:ilvl w:val="0"/>
          <w:numId w:val="0"/>
        </w:numPr>
        <w:ind w:left="1141"/>
      </w:pPr>
    </w:p>
    <w:p w:rsidR="00067DE1" w:rsidRPr="00B60C22" w:rsidRDefault="00067DE1" w:rsidP="00AB2877">
      <w:pPr>
        <w:pStyle w:val="ONEH2"/>
      </w:pPr>
      <w:r w:rsidRPr="00B60C22">
        <w:t>Contract Management</w:t>
      </w:r>
    </w:p>
    <w:p w:rsidR="00067DE1" w:rsidRPr="00B60C22" w:rsidRDefault="00067DE1" w:rsidP="00E654E9">
      <w:pPr>
        <w:pStyle w:val="BoldTextindent"/>
        <w:spacing w:before="0" w:after="0"/>
        <w:ind w:left="993" w:hanging="993"/>
        <w:rPr>
          <w:bCs/>
        </w:rPr>
      </w:pPr>
      <w:r w:rsidRPr="00B60C22">
        <w:rPr>
          <w:bCs/>
        </w:rPr>
        <w:t xml:space="preserve">The </w:t>
      </w:r>
      <w:r w:rsidR="00670028" w:rsidRPr="00B60C22">
        <w:rPr>
          <w:bCs/>
        </w:rPr>
        <w:t>Framework</w:t>
      </w:r>
      <w:r w:rsidRPr="00B60C22">
        <w:rPr>
          <w:bCs/>
        </w:rPr>
        <w:t xml:space="preserve">, framework suppliers and </w:t>
      </w:r>
      <w:r w:rsidR="00670028" w:rsidRPr="00B60C22">
        <w:rPr>
          <w:bCs/>
        </w:rPr>
        <w:t>Call-off Contracts</w:t>
      </w:r>
      <w:r w:rsidRPr="00B60C22">
        <w:rPr>
          <w:bCs/>
        </w:rPr>
        <w:t xml:space="preserve"> will be managed by</w:t>
      </w:r>
      <w:r w:rsidR="003F0E66" w:rsidRPr="00B60C22">
        <w:rPr>
          <w:bCs/>
        </w:rPr>
        <w:t xml:space="preserve"> a designated Contract Manager</w:t>
      </w:r>
      <w:r w:rsidRPr="00B60C22">
        <w:rPr>
          <w:bCs/>
        </w:rPr>
        <w:t xml:space="preserve"> </w:t>
      </w:r>
      <w:r w:rsidR="003F0E66" w:rsidRPr="00B60C22">
        <w:rPr>
          <w:bCs/>
        </w:rPr>
        <w:t xml:space="preserve">within </w:t>
      </w:r>
      <w:r w:rsidRPr="00B60C22">
        <w:rPr>
          <w:bCs/>
        </w:rPr>
        <w:t>the Department of Health as a Strategic</w:t>
      </w:r>
      <w:r w:rsidR="004B2FD1" w:rsidRPr="00B60C22">
        <w:rPr>
          <w:bCs/>
        </w:rPr>
        <w:t>ally</w:t>
      </w:r>
      <w:r w:rsidRPr="00B60C22">
        <w:rPr>
          <w:bCs/>
        </w:rPr>
        <w:t xml:space="preserve"> </w:t>
      </w:r>
      <w:r w:rsidR="003F0E66" w:rsidRPr="00B60C22">
        <w:rPr>
          <w:bCs/>
        </w:rPr>
        <w:t>Importan</w:t>
      </w:r>
      <w:r w:rsidR="004B2FD1" w:rsidRPr="00B60C22">
        <w:rPr>
          <w:bCs/>
        </w:rPr>
        <w:t>t contract</w:t>
      </w:r>
      <w:r w:rsidR="003F0E66" w:rsidRPr="00B60C22">
        <w:rPr>
          <w:bCs/>
        </w:rPr>
        <w:t>.</w:t>
      </w:r>
      <w:r w:rsidRPr="00B60C22">
        <w:rPr>
          <w:bCs/>
        </w:rPr>
        <w:t xml:space="preserve">  </w:t>
      </w:r>
    </w:p>
    <w:p w:rsidR="00371039" w:rsidRDefault="00371039" w:rsidP="00E654E9">
      <w:pPr>
        <w:pStyle w:val="ListBullet"/>
        <w:numPr>
          <w:ilvl w:val="0"/>
          <w:numId w:val="0"/>
        </w:numPr>
        <w:jc w:val="both"/>
        <w:rPr>
          <w:rFonts w:cs="Arial"/>
          <w:sz w:val="22"/>
        </w:rPr>
      </w:pPr>
    </w:p>
    <w:p w:rsidR="00AB2877" w:rsidRPr="00136242" w:rsidRDefault="00AB2877" w:rsidP="00E654E9">
      <w:pPr>
        <w:pStyle w:val="ListBullet"/>
        <w:numPr>
          <w:ilvl w:val="0"/>
          <w:numId w:val="0"/>
        </w:numPr>
        <w:jc w:val="both"/>
        <w:rPr>
          <w:rFonts w:cs="Arial"/>
          <w:sz w:val="22"/>
        </w:rPr>
      </w:pPr>
    </w:p>
    <w:p w:rsidR="00652FDD" w:rsidRPr="00B60C22" w:rsidRDefault="00652FDD" w:rsidP="00E654E9">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C</w:t>
      </w:r>
      <w:r w:rsidR="00954C90" w:rsidRPr="00B60C22">
        <w:rPr>
          <w:rFonts w:ascii="Arial" w:hAnsi="Arial"/>
          <w:sz w:val="22"/>
          <w:szCs w:val="22"/>
        </w:rPr>
        <w:t>URRENT LEGAL PROVISION FOR CIVIL LITIGATION</w:t>
      </w:r>
    </w:p>
    <w:p w:rsidR="00E654E9" w:rsidRPr="00B60C22" w:rsidRDefault="00E654E9" w:rsidP="00E654E9">
      <w:pPr>
        <w:spacing w:after="0" w:line="240" w:lineRule="auto"/>
        <w:rPr>
          <w:rFonts w:ascii="Arial" w:hAnsi="Arial" w:cs="Arial"/>
        </w:rPr>
      </w:pPr>
    </w:p>
    <w:p w:rsidR="00A4104F" w:rsidRPr="00B60C22" w:rsidRDefault="00652FDD" w:rsidP="00AB2877">
      <w:pPr>
        <w:pStyle w:val="ONEH2"/>
      </w:pPr>
      <w:r w:rsidRPr="00B60C22">
        <w:t>Government  Legal Department</w:t>
      </w:r>
      <w:r w:rsidR="00327B1F" w:rsidRPr="00B60C22">
        <w:t xml:space="preserve"> (GLD)</w:t>
      </w:r>
    </w:p>
    <w:p w:rsidR="00F40CCB" w:rsidRPr="00B60C22" w:rsidRDefault="00F40CCB" w:rsidP="00E654E9">
      <w:pPr>
        <w:pStyle w:val="BoldTextindent"/>
        <w:spacing w:before="0" w:after="0"/>
        <w:ind w:left="993" w:hanging="993"/>
        <w:rPr>
          <w:bCs/>
        </w:rPr>
      </w:pPr>
      <w:r w:rsidRPr="00B60C22">
        <w:rPr>
          <w:bCs/>
        </w:rPr>
        <w:t>GLD are the government’s principal legal advisers whose core purpose is to help the government to govern well, within the rule of law. GLD do this by providing legal advice on the development, design and implementation of government policies and decisions, drafting secondary legislation and working with Parliamentary Counsel on primary legislation, and representing the government in court.</w:t>
      </w:r>
    </w:p>
    <w:p w:rsidR="00327B1F" w:rsidRPr="00B60C22" w:rsidRDefault="00327B1F" w:rsidP="00E654E9">
      <w:pPr>
        <w:spacing w:after="0" w:line="240" w:lineRule="auto"/>
        <w:jc w:val="both"/>
        <w:rPr>
          <w:rFonts w:ascii="Arial" w:hAnsi="Arial" w:cs="Arial"/>
        </w:rPr>
      </w:pPr>
    </w:p>
    <w:p w:rsidR="00652FDD" w:rsidRPr="00B60C22" w:rsidRDefault="001C7273" w:rsidP="00AB2877">
      <w:pPr>
        <w:pStyle w:val="ONEH2"/>
      </w:pPr>
      <w:r w:rsidRPr="00B60C22">
        <w:t xml:space="preserve">Current </w:t>
      </w:r>
      <w:r w:rsidR="00652FDD" w:rsidRPr="00B60C22">
        <w:t>External Legal Provision</w:t>
      </w:r>
    </w:p>
    <w:p w:rsidR="007550C8" w:rsidRPr="00B60C22" w:rsidRDefault="001C7273" w:rsidP="00E654E9">
      <w:pPr>
        <w:pStyle w:val="BoldTextindent"/>
        <w:spacing w:before="0" w:after="0"/>
        <w:ind w:left="993" w:hanging="993"/>
        <w:rPr>
          <w:bCs/>
        </w:rPr>
      </w:pPr>
      <w:r w:rsidRPr="00B60C22">
        <w:rPr>
          <w:bCs/>
        </w:rPr>
        <w:t xml:space="preserve">The Department of </w:t>
      </w:r>
      <w:r w:rsidR="007A14A8" w:rsidRPr="00B60C22">
        <w:rPr>
          <w:bCs/>
        </w:rPr>
        <w:t>Health currently has several ongoing cases whose activity would fall within the scope of th</w:t>
      </w:r>
      <w:r w:rsidR="00670028" w:rsidRPr="00B60C22">
        <w:rPr>
          <w:bCs/>
        </w:rPr>
        <w:t xml:space="preserve">is </w:t>
      </w:r>
      <w:r w:rsidR="007A14A8" w:rsidRPr="00B60C22">
        <w:rPr>
          <w:bCs/>
        </w:rPr>
        <w:t xml:space="preserve">prospective </w:t>
      </w:r>
      <w:r w:rsidR="00670028" w:rsidRPr="00B60C22">
        <w:rPr>
          <w:bCs/>
        </w:rPr>
        <w:t>F</w:t>
      </w:r>
      <w:r w:rsidR="007A14A8" w:rsidRPr="00B60C22">
        <w:rPr>
          <w:bCs/>
        </w:rPr>
        <w:t xml:space="preserve">ramework. It is anticipated that the current structure of external </w:t>
      </w:r>
      <w:r w:rsidR="00701C21" w:rsidRPr="00B60C22">
        <w:rPr>
          <w:bCs/>
        </w:rPr>
        <w:t xml:space="preserve">legal </w:t>
      </w:r>
      <w:r w:rsidR="007A14A8" w:rsidRPr="00B60C22">
        <w:rPr>
          <w:bCs/>
        </w:rPr>
        <w:t xml:space="preserve">provision </w:t>
      </w:r>
      <w:r w:rsidR="00701C21" w:rsidRPr="00B60C22">
        <w:rPr>
          <w:bCs/>
        </w:rPr>
        <w:t xml:space="preserve">may be retained for these cases, to ensure continuity the external legal provision for these cases may not be procured via this </w:t>
      </w:r>
      <w:r w:rsidR="00670028" w:rsidRPr="00B60C22">
        <w:rPr>
          <w:bCs/>
        </w:rPr>
        <w:t>Framework</w:t>
      </w:r>
      <w:r w:rsidR="00701C21" w:rsidRPr="00B60C22">
        <w:rPr>
          <w:bCs/>
        </w:rPr>
        <w:t>.</w:t>
      </w:r>
    </w:p>
    <w:p w:rsidR="00C63E30" w:rsidRPr="00B60C22" w:rsidRDefault="00C63E30" w:rsidP="00C63E30">
      <w:pPr>
        <w:pStyle w:val="BoldTextindent"/>
        <w:numPr>
          <w:ilvl w:val="0"/>
          <w:numId w:val="0"/>
        </w:numPr>
        <w:spacing w:before="0" w:after="0"/>
        <w:ind w:left="993"/>
        <w:rPr>
          <w:bCs/>
        </w:rPr>
      </w:pPr>
    </w:p>
    <w:p w:rsidR="00FF12AE" w:rsidRPr="00B60C22" w:rsidRDefault="00701C21" w:rsidP="00C63E30">
      <w:pPr>
        <w:pStyle w:val="BoldTextindent"/>
        <w:spacing w:before="0" w:after="0"/>
        <w:ind w:left="993" w:hanging="993"/>
        <w:rPr>
          <w:bCs/>
        </w:rPr>
      </w:pPr>
      <w:r w:rsidRPr="00B60C22">
        <w:rPr>
          <w:bCs/>
        </w:rPr>
        <w:t xml:space="preserve">Ongoing cases </w:t>
      </w:r>
      <w:r w:rsidR="00FF12AE" w:rsidRPr="00B60C22">
        <w:rPr>
          <w:bCs/>
        </w:rPr>
        <w:t>include but are not limited to;</w:t>
      </w:r>
    </w:p>
    <w:p w:rsidR="00FF12AE" w:rsidRPr="00EA22BB" w:rsidRDefault="00E10F01" w:rsidP="007C7872">
      <w:pPr>
        <w:pStyle w:val="ListParagraph"/>
        <w:numPr>
          <w:ilvl w:val="0"/>
          <w:numId w:val="14"/>
        </w:numPr>
        <w:spacing w:after="0" w:line="240" w:lineRule="auto"/>
        <w:ind w:left="1418" w:hanging="425"/>
        <w:jc w:val="both"/>
        <w:rPr>
          <w:rFonts w:ascii="Arial" w:eastAsia="Times New Roman" w:hAnsi="Arial" w:cs="Arial"/>
          <w:iCs/>
        </w:rPr>
      </w:pPr>
      <w:r w:rsidRPr="00EA22BB">
        <w:rPr>
          <w:rFonts w:ascii="Arial" w:eastAsia="Times New Roman" w:hAnsi="Arial" w:cs="Arial"/>
          <w:iCs/>
        </w:rPr>
        <w:t>Economic analysis of pharmaceutical pricing.</w:t>
      </w:r>
    </w:p>
    <w:p w:rsidR="00FF12AE" w:rsidRPr="00EA22BB" w:rsidRDefault="00701C21" w:rsidP="007C7872">
      <w:pPr>
        <w:pStyle w:val="ListParagraph"/>
        <w:numPr>
          <w:ilvl w:val="0"/>
          <w:numId w:val="14"/>
        </w:numPr>
        <w:spacing w:after="0" w:line="240" w:lineRule="auto"/>
        <w:ind w:left="1418" w:hanging="425"/>
        <w:jc w:val="both"/>
        <w:rPr>
          <w:rFonts w:ascii="Arial" w:eastAsia="Times New Roman" w:hAnsi="Arial" w:cs="Arial"/>
          <w:iCs/>
        </w:rPr>
      </w:pPr>
      <w:r w:rsidRPr="00EA22BB">
        <w:rPr>
          <w:rFonts w:ascii="Arial" w:eastAsia="Times New Roman" w:hAnsi="Arial" w:cs="Arial"/>
          <w:iCs/>
        </w:rPr>
        <w:t>Exploratory legal and professional representation within potential civil proceedings</w:t>
      </w:r>
      <w:r w:rsidR="00E10F01" w:rsidRPr="00EA22BB">
        <w:rPr>
          <w:rFonts w:ascii="Arial" w:eastAsia="Times New Roman" w:hAnsi="Arial" w:cs="Arial"/>
          <w:iCs/>
        </w:rPr>
        <w:t>.</w:t>
      </w:r>
    </w:p>
    <w:p w:rsidR="0040456B" w:rsidRPr="00EA22BB" w:rsidRDefault="00E10F01" w:rsidP="007C7872">
      <w:pPr>
        <w:pStyle w:val="ListParagraph"/>
        <w:numPr>
          <w:ilvl w:val="0"/>
          <w:numId w:val="14"/>
        </w:numPr>
        <w:spacing w:after="0" w:line="240" w:lineRule="auto"/>
        <w:ind w:left="1418" w:hanging="425"/>
        <w:jc w:val="both"/>
        <w:rPr>
          <w:rFonts w:ascii="Arial" w:eastAsia="Times New Roman" w:hAnsi="Arial" w:cs="Arial"/>
          <w:iCs/>
        </w:rPr>
      </w:pPr>
      <w:r w:rsidRPr="00EA22BB">
        <w:rPr>
          <w:rFonts w:ascii="Arial" w:eastAsia="Times New Roman" w:hAnsi="Arial" w:cs="Arial"/>
          <w:iCs/>
        </w:rPr>
        <w:t>Investigation into deceit, anti-competitive agreements and abuse of dominant position.</w:t>
      </w:r>
      <w:r w:rsidR="00E60A67" w:rsidRPr="00EA22BB">
        <w:rPr>
          <w:rFonts w:ascii="Arial" w:eastAsia="Times New Roman" w:hAnsi="Arial" w:cs="Arial"/>
          <w:iCs/>
        </w:rPr>
        <w:t xml:space="preserve"> </w:t>
      </w:r>
    </w:p>
    <w:p w:rsidR="00371039" w:rsidRDefault="00371039" w:rsidP="00E654E9">
      <w:pPr>
        <w:pStyle w:val="Default"/>
        <w:jc w:val="both"/>
        <w:rPr>
          <w:sz w:val="22"/>
          <w:szCs w:val="22"/>
        </w:rPr>
      </w:pPr>
    </w:p>
    <w:p w:rsidR="00AB2877" w:rsidRPr="00B60C22" w:rsidRDefault="00AB2877" w:rsidP="00E654E9">
      <w:pPr>
        <w:pStyle w:val="Default"/>
        <w:jc w:val="both"/>
        <w:rPr>
          <w:sz w:val="22"/>
          <w:szCs w:val="22"/>
        </w:rPr>
      </w:pPr>
    </w:p>
    <w:p w:rsidR="008F59D0" w:rsidRPr="00B60C22" w:rsidRDefault="00DE797B" w:rsidP="00E654E9">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S</w:t>
      </w:r>
      <w:r w:rsidR="00954C90" w:rsidRPr="00B60C22">
        <w:rPr>
          <w:rFonts w:ascii="Arial" w:hAnsi="Arial"/>
          <w:sz w:val="22"/>
          <w:szCs w:val="22"/>
        </w:rPr>
        <w:t>PECIAL LEGAL COUNSEL</w:t>
      </w:r>
    </w:p>
    <w:p w:rsidR="00E654E9" w:rsidRPr="00B60C22" w:rsidRDefault="00E654E9" w:rsidP="00E654E9">
      <w:pPr>
        <w:spacing w:after="0" w:line="240" w:lineRule="auto"/>
        <w:rPr>
          <w:rFonts w:ascii="Arial" w:hAnsi="Arial" w:cs="Arial"/>
        </w:rPr>
      </w:pPr>
    </w:p>
    <w:p w:rsidR="00FF12AE" w:rsidRPr="00B60C22" w:rsidRDefault="00FF12AE" w:rsidP="00AB2877">
      <w:pPr>
        <w:pStyle w:val="ONEH2"/>
      </w:pPr>
      <w:r w:rsidRPr="00B60C22">
        <w:t>Legal Advisors</w:t>
      </w:r>
    </w:p>
    <w:p w:rsidR="00677F1A" w:rsidRPr="00B60C22" w:rsidRDefault="00A04562" w:rsidP="00E654E9">
      <w:pPr>
        <w:pStyle w:val="BoldTextindent"/>
        <w:spacing w:before="0" w:after="0"/>
        <w:ind w:left="993" w:hanging="993"/>
        <w:rPr>
          <w:bCs/>
        </w:rPr>
      </w:pPr>
      <w:r w:rsidRPr="00B60C22">
        <w:rPr>
          <w:bCs/>
        </w:rPr>
        <w:t xml:space="preserve">In some instances the </w:t>
      </w:r>
      <w:r w:rsidR="008A792E" w:rsidRPr="00B60C22">
        <w:rPr>
          <w:bCs/>
        </w:rPr>
        <w:t xml:space="preserve">framework suppliers </w:t>
      </w:r>
      <w:r w:rsidRPr="00B60C22">
        <w:rPr>
          <w:bCs/>
        </w:rPr>
        <w:t>will require further Counsel from</w:t>
      </w:r>
      <w:r w:rsidR="00706399" w:rsidRPr="00B60C22">
        <w:rPr>
          <w:bCs/>
        </w:rPr>
        <w:t xml:space="preserve"> a</w:t>
      </w:r>
      <w:r w:rsidRPr="00B60C22">
        <w:rPr>
          <w:bCs/>
        </w:rPr>
        <w:t xml:space="preserve"> Queen</w:t>
      </w:r>
      <w:r w:rsidR="00670028" w:rsidRPr="00B60C22">
        <w:rPr>
          <w:bCs/>
        </w:rPr>
        <w:t>’</w:t>
      </w:r>
      <w:r w:rsidRPr="00B60C22">
        <w:rPr>
          <w:bCs/>
        </w:rPr>
        <w:t>s Counsel</w:t>
      </w:r>
      <w:r w:rsidR="00706399" w:rsidRPr="00B60C22">
        <w:rPr>
          <w:bCs/>
        </w:rPr>
        <w:t xml:space="preserve"> Barrister</w:t>
      </w:r>
      <w:r w:rsidRPr="00B60C22">
        <w:rPr>
          <w:bCs/>
        </w:rPr>
        <w:t xml:space="preserve"> or </w:t>
      </w:r>
      <w:r w:rsidR="00706399" w:rsidRPr="00B60C22">
        <w:rPr>
          <w:bCs/>
        </w:rPr>
        <w:t xml:space="preserve">an equivalent level of professional expertise.   </w:t>
      </w:r>
    </w:p>
    <w:p w:rsidR="00FF12AE" w:rsidRDefault="00FF12AE" w:rsidP="00E654E9">
      <w:pPr>
        <w:pStyle w:val="BoldTextindent"/>
        <w:numPr>
          <w:ilvl w:val="0"/>
          <w:numId w:val="0"/>
        </w:numPr>
        <w:spacing w:before="0" w:after="0"/>
        <w:ind w:left="1134"/>
      </w:pPr>
    </w:p>
    <w:p w:rsidR="00AB2877" w:rsidRPr="00B60C22" w:rsidRDefault="00AB2877" w:rsidP="00E654E9">
      <w:pPr>
        <w:pStyle w:val="BoldTextindent"/>
        <w:numPr>
          <w:ilvl w:val="0"/>
          <w:numId w:val="0"/>
        </w:numPr>
        <w:spacing w:before="0" w:after="0"/>
        <w:ind w:left="1134"/>
      </w:pPr>
    </w:p>
    <w:p w:rsidR="00E654E9" w:rsidRPr="00B60C22" w:rsidRDefault="008F59D0" w:rsidP="00E654E9">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S</w:t>
      </w:r>
      <w:r w:rsidR="00954C90" w:rsidRPr="00B60C22">
        <w:rPr>
          <w:rFonts w:ascii="Arial" w:hAnsi="Arial"/>
          <w:sz w:val="22"/>
          <w:szCs w:val="22"/>
        </w:rPr>
        <w:t>COPE AND SPECIFICATION</w:t>
      </w:r>
    </w:p>
    <w:p w:rsidR="00E654E9" w:rsidRPr="00B60C22" w:rsidRDefault="00E654E9" w:rsidP="00E654E9">
      <w:pPr>
        <w:spacing w:after="0" w:line="240" w:lineRule="auto"/>
        <w:rPr>
          <w:rFonts w:ascii="Arial" w:hAnsi="Arial" w:cs="Arial"/>
        </w:rPr>
      </w:pPr>
    </w:p>
    <w:p w:rsidR="00D87621" w:rsidRPr="00B60C22" w:rsidRDefault="00D87621" w:rsidP="00AB2877">
      <w:pPr>
        <w:pStyle w:val="ONEH2"/>
      </w:pPr>
      <w:r w:rsidRPr="00B60C22">
        <w:t>Exploratory Financial and Economic Analysis</w:t>
      </w:r>
    </w:p>
    <w:p w:rsidR="00ED5280" w:rsidRPr="00B60C22" w:rsidRDefault="006952DA" w:rsidP="00E654E9">
      <w:pPr>
        <w:pStyle w:val="BoldTextindent"/>
        <w:spacing w:before="0" w:after="0"/>
        <w:ind w:left="993" w:hanging="993"/>
        <w:rPr>
          <w:bCs/>
        </w:rPr>
      </w:pPr>
      <w:r w:rsidRPr="00B60C22">
        <w:rPr>
          <w:bCs/>
        </w:rPr>
        <w:t xml:space="preserve">The </w:t>
      </w:r>
      <w:r w:rsidR="00DC460F" w:rsidRPr="00B60C22">
        <w:rPr>
          <w:bCs/>
        </w:rPr>
        <w:t xml:space="preserve">appointed </w:t>
      </w:r>
      <w:r w:rsidR="0010020F" w:rsidRPr="00B60C22">
        <w:rPr>
          <w:bCs/>
        </w:rPr>
        <w:t>framework supplier</w:t>
      </w:r>
      <w:r w:rsidR="00B02341" w:rsidRPr="00B60C22">
        <w:rPr>
          <w:bCs/>
        </w:rPr>
        <w:t>(s)</w:t>
      </w:r>
      <w:r w:rsidRPr="00B60C22">
        <w:rPr>
          <w:bCs/>
        </w:rPr>
        <w:t xml:space="preserve"> will be required to provide the economic analysis of the pricing of pharmaceutical</w:t>
      </w:r>
      <w:r w:rsidR="00EE1A54" w:rsidRPr="00B60C22">
        <w:rPr>
          <w:bCs/>
        </w:rPr>
        <w:t>s and</w:t>
      </w:r>
      <w:r w:rsidRPr="00B60C22">
        <w:rPr>
          <w:bCs/>
        </w:rPr>
        <w:t xml:space="preserve"> </w:t>
      </w:r>
      <w:r w:rsidR="00EE1A54" w:rsidRPr="00B60C22">
        <w:rPr>
          <w:bCs/>
        </w:rPr>
        <w:t>medicines;</w:t>
      </w:r>
      <w:r w:rsidR="006C3FC0" w:rsidRPr="00B60C22">
        <w:rPr>
          <w:bCs/>
        </w:rPr>
        <w:t xml:space="preserve"> this may be provided </w:t>
      </w:r>
      <w:r w:rsidR="006C3FC0" w:rsidRPr="00B60C22">
        <w:rPr>
          <w:bCs/>
        </w:rPr>
        <w:lastRenderedPageBreak/>
        <w:t xml:space="preserve">from either in-house </w:t>
      </w:r>
      <w:r w:rsidR="00B02341" w:rsidRPr="00B60C22">
        <w:rPr>
          <w:bCs/>
        </w:rPr>
        <w:t xml:space="preserve">by the </w:t>
      </w:r>
      <w:r w:rsidR="00F64A2E" w:rsidRPr="00B60C22">
        <w:rPr>
          <w:bCs/>
        </w:rPr>
        <w:t>framework supplier</w:t>
      </w:r>
      <w:r w:rsidR="00B02341" w:rsidRPr="00B60C22">
        <w:rPr>
          <w:bCs/>
        </w:rPr>
        <w:t xml:space="preserve"> </w:t>
      </w:r>
      <w:r w:rsidR="006C3FC0" w:rsidRPr="00B60C22">
        <w:rPr>
          <w:bCs/>
        </w:rPr>
        <w:t>or by appointment of an external organisation</w:t>
      </w:r>
      <w:r w:rsidRPr="00B60C22">
        <w:rPr>
          <w:bCs/>
        </w:rPr>
        <w:t xml:space="preserve">. </w:t>
      </w:r>
    </w:p>
    <w:p w:rsidR="00C0535B" w:rsidRPr="00B60C22" w:rsidRDefault="00C0535B" w:rsidP="00C0535B">
      <w:pPr>
        <w:pStyle w:val="BoldTextindent"/>
        <w:numPr>
          <w:ilvl w:val="0"/>
          <w:numId w:val="0"/>
        </w:numPr>
        <w:spacing w:before="0" w:after="0"/>
        <w:ind w:left="993"/>
        <w:rPr>
          <w:bCs/>
        </w:rPr>
      </w:pPr>
    </w:p>
    <w:p w:rsidR="00ED5280" w:rsidRPr="00B60C22" w:rsidRDefault="00ED5280" w:rsidP="00E654E9">
      <w:pPr>
        <w:pStyle w:val="BoldTextindent"/>
        <w:spacing w:before="0" w:after="0"/>
        <w:ind w:left="993" w:hanging="993"/>
        <w:rPr>
          <w:bCs/>
        </w:rPr>
      </w:pPr>
      <w:r w:rsidRPr="00B60C22">
        <w:rPr>
          <w:bCs/>
        </w:rPr>
        <w:t>The</w:t>
      </w:r>
      <w:r w:rsidR="0019116C" w:rsidRPr="00B60C22">
        <w:rPr>
          <w:bCs/>
        </w:rPr>
        <w:t xml:space="preserve"> appointed </w:t>
      </w:r>
      <w:r w:rsidR="0010020F" w:rsidRPr="00B60C22">
        <w:rPr>
          <w:bCs/>
        </w:rPr>
        <w:t>framework supplier(s)</w:t>
      </w:r>
      <w:r w:rsidR="0019116C" w:rsidRPr="00B60C22">
        <w:rPr>
          <w:bCs/>
        </w:rPr>
        <w:t xml:space="preserve"> will be required to cooperate and work with incumbent or new economic analysts that have been independently appointed by the</w:t>
      </w:r>
      <w:r w:rsidRPr="00B60C22">
        <w:rPr>
          <w:bCs/>
        </w:rPr>
        <w:t xml:space="preserve"> Department of Health</w:t>
      </w:r>
      <w:r w:rsidR="0019116C" w:rsidRPr="00B60C22">
        <w:rPr>
          <w:bCs/>
        </w:rPr>
        <w:t xml:space="preserve">. </w:t>
      </w:r>
    </w:p>
    <w:p w:rsidR="00C63E30" w:rsidRPr="00B60C22" w:rsidRDefault="00C63E30" w:rsidP="00C63E30">
      <w:pPr>
        <w:pStyle w:val="BoldTextindent"/>
        <w:numPr>
          <w:ilvl w:val="0"/>
          <w:numId w:val="0"/>
        </w:numPr>
        <w:spacing w:before="0" w:after="0"/>
        <w:ind w:left="993"/>
        <w:rPr>
          <w:bCs/>
        </w:rPr>
      </w:pPr>
    </w:p>
    <w:p w:rsidR="00EE1A54" w:rsidRPr="00B60C22" w:rsidRDefault="00EE1A54" w:rsidP="00E654E9">
      <w:pPr>
        <w:pStyle w:val="BoldTextindent"/>
        <w:spacing w:before="0" w:after="0"/>
        <w:ind w:left="993" w:hanging="993"/>
        <w:rPr>
          <w:bCs/>
        </w:rPr>
      </w:pPr>
      <w:r w:rsidRPr="00B60C22">
        <w:rPr>
          <w:bCs/>
        </w:rPr>
        <w:t xml:space="preserve">Financial analysts may be supplied in-house by the </w:t>
      </w:r>
      <w:r w:rsidR="0010020F" w:rsidRPr="00B60C22">
        <w:rPr>
          <w:bCs/>
        </w:rPr>
        <w:t>framework supplier</w:t>
      </w:r>
      <w:r w:rsidRPr="00B60C22">
        <w:rPr>
          <w:bCs/>
        </w:rPr>
        <w:t xml:space="preserve"> or may be subcontracted to an external organisation. Where subcontracted, it is imperative that the relationship between the </w:t>
      </w:r>
      <w:r w:rsidR="0010020F" w:rsidRPr="00B60C22">
        <w:rPr>
          <w:bCs/>
        </w:rPr>
        <w:t>framework supplier</w:t>
      </w:r>
      <w:r w:rsidRPr="00B60C22">
        <w:rPr>
          <w:bCs/>
        </w:rPr>
        <w:t xml:space="preserve"> and financial analyst is seamless and is not a source of delay, loss of data or poor communication.   </w:t>
      </w:r>
    </w:p>
    <w:p w:rsidR="00ED5280" w:rsidRPr="00B60C22" w:rsidRDefault="00ED5280" w:rsidP="00C63E30">
      <w:pPr>
        <w:pStyle w:val="Default"/>
        <w:jc w:val="both"/>
        <w:rPr>
          <w:b/>
          <w:bCs/>
          <w:sz w:val="22"/>
          <w:szCs w:val="22"/>
        </w:rPr>
      </w:pPr>
    </w:p>
    <w:p w:rsidR="001F4116" w:rsidRPr="00EA22BB" w:rsidRDefault="006952DA" w:rsidP="00AB2877">
      <w:pPr>
        <w:pStyle w:val="BoldTextindent"/>
        <w:spacing w:before="0" w:after="0"/>
        <w:ind w:left="993" w:hanging="993"/>
      </w:pPr>
      <w:r w:rsidRPr="00EA22BB">
        <w:t>The analysis encompasses the following aspects;</w:t>
      </w:r>
    </w:p>
    <w:p w:rsidR="006952DA" w:rsidRPr="00EA22BB" w:rsidRDefault="006952DA" w:rsidP="007C7872">
      <w:pPr>
        <w:pStyle w:val="ListParagraph"/>
        <w:numPr>
          <w:ilvl w:val="0"/>
          <w:numId w:val="16"/>
        </w:numPr>
        <w:spacing w:after="0" w:line="240" w:lineRule="auto"/>
        <w:ind w:left="1418" w:hanging="425"/>
        <w:jc w:val="both"/>
        <w:rPr>
          <w:rFonts w:ascii="Arial" w:eastAsia="Times New Roman" w:hAnsi="Arial" w:cs="Arial"/>
          <w:iCs/>
        </w:rPr>
      </w:pPr>
      <w:r w:rsidRPr="00EA22BB">
        <w:rPr>
          <w:rFonts w:ascii="Arial" w:hAnsi="Arial" w:cs="Arial"/>
        </w:rPr>
        <w:t>P</w:t>
      </w:r>
      <w:r w:rsidRPr="00EA22BB">
        <w:rPr>
          <w:rFonts w:ascii="Arial" w:eastAsia="Times New Roman" w:hAnsi="Arial" w:cs="Arial"/>
          <w:iCs/>
        </w:rPr>
        <w:t xml:space="preserve">ricing of pharmaceutics within the UK </w:t>
      </w:r>
    </w:p>
    <w:p w:rsidR="006952DA" w:rsidRPr="00EA22BB" w:rsidRDefault="006952DA" w:rsidP="007C7872">
      <w:pPr>
        <w:pStyle w:val="ListParagraph"/>
        <w:numPr>
          <w:ilvl w:val="0"/>
          <w:numId w:val="16"/>
        </w:numPr>
        <w:spacing w:after="0" w:line="240" w:lineRule="auto"/>
        <w:ind w:left="1418" w:hanging="425"/>
        <w:jc w:val="both"/>
        <w:rPr>
          <w:rFonts w:ascii="Arial" w:eastAsia="Times New Roman" w:hAnsi="Arial" w:cs="Arial"/>
          <w:iCs/>
        </w:rPr>
      </w:pPr>
      <w:r w:rsidRPr="00EA22BB">
        <w:rPr>
          <w:rFonts w:ascii="Arial" w:eastAsia="Times New Roman" w:hAnsi="Arial" w:cs="Arial"/>
          <w:iCs/>
        </w:rPr>
        <w:t>Distortions to the UK Market for Pharmaceutics</w:t>
      </w:r>
    </w:p>
    <w:p w:rsidR="006952DA" w:rsidRPr="00EA22BB" w:rsidRDefault="006952DA" w:rsidP="007C7872">
      <w:pPr>
        <w:pStyle w:val="ListParagraph"/>
        <w:numPr>
          <w:ilvl w:val="0"/>
          <w:numId w:val="16"/>
        </w:numPr>
        <w:spacing w:after="0" w:line="240" w:lineRule="auto"/>
        <w:ind w:left="1418" w:hanging="425"/>
        <w:jc w:val="both"/>
        <w:rPr>
          <w:rFonts w:ascii="Arial" w:eastAsia="Times New Roman" w:hAnsi="Arial" w:cs="Arial"/>
          <w:iCs/>
        </w:rPr>
      </w:pPr>
      <w:r w:rsidRPr="00EA22BB">
        <w:rPr>
          <w:rFonts w:ascii="Arial" w:eastAsia="Times New Roman" w:hAnsi="Arial" w:cs="Arial"/>
          <w:iCs/>
        </w:rPr>
        <w:t>Exploratory analysis of Price Fixing within the UK</w:t>
      </w:r>
    </w:p>
    <w:p w:rsidR="006952DA" w:rsidRPr="00EA22BB" w:rsidRDefault="006952DA" w:rsidP="007C7872">
      <w:pPr>
        <w:pStyle w:val="ListParagraph"/>
        <w:numPr>
          <w:ilvl w:val="0"/>
          <w:numId w:val="16"/>
        </w:numPr>
        <w:spacing w:after="0" w:line="240" w:lineRule="auto"/>
        <w:ind w:left="1418" w:hanging="425"/>
        <w:jc w:val="both"/>
        <w:rPr>
          <w:rFonts w:ascii="Arial" w:eastAsia="Times New Roman" w:hAnsi="Arial" w:cs="Arial"/>
          <w:iCs/>
        </w:rPr>
      </w:pPr>
      <w:r w:rsidRPr="00EA22BB">
        <w:rPr>
          <w:rFonts w:ascii="Arial" w:eastAsia="Times New Roman" w:hAnsi="Arial" w:cs="Arial"/>
          <w:iCs/>
        </w:rPr>
        <w:t>Exploratory analysis of</w:t>
      </w:r>
      <w:r w:rsidR="00DC460F" w:rsidRPr="00EA22BB">
        <w:rPr>
          <w:rFonts w:ascii="Arial" w:eastAsia="Times New Roman" w:hAnsi="Arial" w:cs="Arial"/>
          <w:iCs/>
        </w:rPr>
        <w:t xml:space="preserve"> Market Structures to identify</w:t>
      </w:r>
      <w:r w:rsidRPr="00EA22BB">
        <w:rPr>
          <w:rFonts w:ascii="Arial" w:eastAsia="Times New Roman" w:hAnsi="Arial" w:cs="Arial"/>
          <w:iCs/>
        </w:rPr>
        <w:t xml:space="preserve"> </w:t>
      </w:r>
      <w:r w:rsidR="00DC460F" w:rsidRPr="00EA22BB">
        <w:rPr>
          <w:rFonts w:ascii="Arial" w:eastAsia="Times New Roman" w:hAnsi="Arial" w:cs="Arial"/>
          <w:iCs/>
        </w:rPr>
        <w:t xml:space="preserve">organisational collusion within the Pharmaceutical Industry. </w:t>
      </w:r>
    </w:p>
    <w:p w:rsidR="00AD2726" w:rsidRPr="00B60C22" w:rsidRDefault="00AD2726" w:rsidP="00C63E30">
      <w:pPr>
        <w:pStyle w:val="BoldTextindent"/>
        <w:numPr>
          <w:ilvl w:val="0"/>
          <w:numId w:val="0"/>
        </w:numPr>
        <w:spacing w:before="0" w:after="0"/>
        <w:ind w:left="1134"/>
        <w:rPr>
          <w:bCs/>
        </w:rPr>
      </w:pPr>
    </w:p>
    <w:p w:rsidR="00DC460F" w:rsidRPr="00B60C22" w:rsidRDefault="00DC460F" w:rsidP="00C63E30">
      <w:pPr>
        <w:pStyle w:val="BoldTextindent"/>
        <w:spacing w:before="0" w:after="0"/>
        <w:ind w:left="993" w:hanging="993"/>
        <w:rPr>
          <w:bCs/>
        </w:rPr>
      </w:pPr>
      <w:r w:rsidRPr="00B60C22">
        <w:rPr>
          <w:bCs/>
        </w:rPr>
        <w:t xml:space="preserve">The data analysis may require the application of micro-economics to decipher </w:t>
      </w:r>
      <w:r w:rsidR="00ED5280" w:rsidRPr="00B60C22">
        <w:rPr>
          <w:bCs/>
        </w:rPr>
        <w:t xml:space="preserve">the </w:t>
      </w:r>
      <w:r w:rsidRPr="00B60C22">
        <w:rPr>
          <w:bCs/>
        </w:rPr>
        <w:t>competition, pricing and cost of pharmaceutics</w:t>
      </w:r>
      <w:r w:rsidR="00ED5280" w:rsidRPr="00B60C22">
        <w:rPr>
          <w:bCs/>
        </w:rPr>
        <w:t xml:space="preserve"> within the UK</w:t>
      </w:r>
      <w:r w:rsidRPr="00B60C22">
        <w:rPr>
          <w:bCs/>
        </w:rPr>
        <w:t>.</w:t>
      </w:r>
    </w:p>
    <w:p w:rsidR="00C63E30" w:rsidRPr="00B60C22" w:rsidRDefault="00C63E30" w:rsidP="00C63E30">
      <w:pPr>
        <w:pStyle w:val="BoldTextindent"/>
        <w:numPr>
          <w:ilvl w:val="0"/>
          <w:numId w:val="0"/>
        </w:numPr>
        <w:spacing w:before="0" w:after="0"/>
        <w:ind w:left="993"/>
        <w:rPr>
          <w:bCs/>
        </w:rPr>
      </w:pPr>
    </w:p>
    <w:p w:rsidR="00DC460F" w:rsidRPr="00B60C22" w:rsidRDefault="005B01B7" w:rsidP="00C63E30">
      <w:pPr>
        <w:pStyle w:val="BoldTextindent"/>
        <w:spacing w:before="0" w:after="0"/>
        <w:ind w:left="993" w:hanging="993"/>
        <w:rPr>
          <w:bCs/>
        </w:rPr>
      </w:pPr>
      <w:r w:rsidRPr="00B60C22">
        <w:rPr>
          <w:bCs/>
        </w:rPr>
        <w:t>Types of a</w:t>
      </w:r>
      <w:r w:rsidR="00DC460F" w:rsidRPr="00B60C22">
        <w:rPr>
          <w:bCs/>
        </w:rPr>
        <w:t>nalysis</w:t>
      </w:r>
      <w:r w:rsidRPr="00B60C22">
        <w:rPr>
          <w:bCs/>
        </w:rPr>
        <w:t xml:space="preserve"> required</w:t>
      </w:r>
      <w:r w:rsidR="00DC460F" w:rsidRPr="00B60C22">
        <w:rPr>
          <w:bCs/>
        </w:rPr>
        <w:t xml:space="preserve"> will include but not be limited to financial analysis, statistical modelling and game theory. </w:t>
      </w:r>
    </w:p>
    <w:p w:rsidR="00C63E30" w:rsidRPr="00B60C22" w:rsidRDefault="00C63E30" w:rsidP="00C63E30">
      <w:pPr>
        <w:pStyle w:val="BoldTextindent"/>
        <w:numPr>
          <w:ilvl w:val="0"/>
          <w:numId w:val="0"/>
        </w:numPr>
        <w:spacing w:before="0" w:after="0"/>
        <w:ind w:left="993"/>
        <w:rPr>
          <w:bCs/>
        </w:rPr>
      </w:pPr>
    </w:p>
    <w:p w:rsidR="00AF34FF" w:rsidRPr="00B60C22" w:rsidRDefault="00ED5280" w:rsidP="00C63E30">
      <w:pPr>
        <w:pStyle w:val="BoldTextindent"/>
        <w:spacing w:before="0" w:after="0"/>
        <w:ind w:left="993" w:hanging="993"/>
        <w:rPr>
          <w:bCs/>
        </w:rPr>
      </w:pPr>
      <w:r w:rsidRPr="00B60C22">
        <w:rPr>
          <w:bCs/>
        </w:rPr>
        <w:t>The Department of Health requires that the complex analysis</w:t>
      </w:r>
      <w:r w:rsidR="00AF34FF" w:rsidRPr="00B60C22">
        <w:rPr>
          <w:bCs/>
        </w:rPr>
        <w:t xml:space="preserve"> is presented in an independent and clear format with strong credible evidence. The presented information may subsequently be used by the external legal advice to support the Department of Health arbitration, investigation into deceit, anti-competitive agreements and the abuse of a dominant position by organisations.</w:t>
      </w:r>
    </w:p>
    <w:p w:rsidR="00371039" w:rsidRDefault="00371039" w:rsidP="00C63E30">
      <w:pPr>
        <w:pStyle w:val="Default"/>
        <w:jc w:val="both"/>
        <w:rPr>
          <w:bCs/>
          <w:sz w:val="22"/>
          <w:szCs w:val="22"/>
        </w:rPr>
      </w:pPr>
    </w:p>
    <w:p w:rsidR="00AB2877" w:rsidRPr="00B60C22" w:rsidRDefault="00AB2877" w:rsidP="00C63E30">
      <w:pPr>
        <w:pStyle w:val="Default"/>
        <w:jc w:val="both"/>
        <w:rPr>
          <w:bCs/>
          <w:sz w:val="22"/>
          <w:szCs w:val="22"/>
        </w:rPr>
      </w:pPr>
    </w:p>
    <w:p w:rsidR="00C63E30" w:rsidRPr="00B60C22" w:rsidRDefault="00D87621"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P</w:t>
      </w:r>
      <w:r w:rsidR="00954C90" w:rsidRPr="00B60C22">
        <w:rPr>
          <w:rFonts w:ascii="Arial" w:hAnsi="Arial"/>
          <w:sz w:val="22"/>
          <w:szCs w:val="22"/>
        </w:rPr>
        <w:t>ROFESSIONAL ADVICE</w:t>
      </w:r>
    </w:p>
    <w:p w:rsidR="00C63E30" w:rsidRPr="00B60C22" w:rsidRDefault="00C63E30" w:rsidP="00C63E30">
      <w:pPr>
        <w:spacing w:after="0" w:line="240" w:lineRule="auto"/>
        <w:rPr>
          <w:rFonts w:ascii="Arial" w:hAnsi="Arial" w:cs="Arial"/>
        </w:rPr>
      </w:pPr>
    </w:p>
    <w:p w:rsidR="00C55584" w:rsidRPr="00B60C22" w:rsidRDefault="00C55584" w:rsidP="00AB2877">
      <w:pPr>
        <w:pStyle w:val="ONEH2"/>
      </w:pPr>
      <w:r w:rsidRPr="00B60C22">
        <w:t>Exploratory Legal Advice</w:t>
      </w:r>
    </w:p>
    <w:p w:rsidR="005B01B7" w:rsidRPr="00B60C22" w:rsidRDefault="005B01B7" w:rsidP="00C63E30">
      <w:pPr>
        <w:pStyle w:val="BoldTextindent"/>
        <w:spacing w:before="0" w:after="0"/>
        <w:ind w:left="993" w:hanging="993"/>
        <w:rPr>
          <w:bCs/>
        </w:rPr>
      </w:pPr>
      <w:r w:rsidRPr="00B60C22">
        <w:rPr>
          <w:bCs/>
        </w:rPr>
        <w:t xml:space="preserve">The appointed </w:t>
      </w:r>
      <w:r w:rsidR="0010020F" w:rsidRPr="00B60C22">
        <w:rPr>
          <w:bCs/>
        </w:rPr>
        <w:t>framework supplier</w:t>
      </w:r>
      <w:r w:rsidR="00876153" w:rsidRPr="00B60C22">
        <w:rPr>
          <w:bCs/>
        </w:rPr>
        <w:t>(s)</w:t>
      </w:r>
      <w:r w:rsidRPr="00B60C22">
        <w:rPr>
          <w:bCs/>
        </w:rPr>
        <w:t xml:space="preserve"> will be required to provide </w:t>
      </w:r>
      <w:r w:rsidR="00EF1E33" w:rsidRPr="00B60C22">
        <w:rPr>
          <w:bCs/>
        </w:rPr>
        <w:t xml:space="preserve">the Department of Health with </w:t>
      </w:r>
      <w:r w:rsidRPr="00B60C22">
        <w:rPr>
          <w:bCs/>
        </w:rPr>
        <w:t>professional advice that interprets the output of the Exploratory Financial and Economic Analysis.</w:t>
      </w:r>
      <w:r w:rsidR="00EF1E33" w:rsidRPr="00B60C22">
        <w:rPr>
          <w:bCs/>
        </w:rPr>
        <w:t xml:space="preserve"> </w:t>
      </w:r>
    </w:p>
    <w:p w:rsidR="00C63E30" w:rsidRPr="00B60C22" w:rsidRDefault="00C63E30" w:rsidP="00C63E30">
      <w:pPr>
        <w:pStyle w:val="BoldTextindent"/>
        <w:numPr>
          <w:ilvl w:val="0"/>
          <w:numId w:val="0"/>
        </w:numPr>
        <w:spacing w:before="0" w:after="0"/>
        <w:ind w:left="993"/>
        <w:rPr>
          <w:bCs/>
        </w:rPr>
      </w:pPr>
    </w:p>
    <w:p w:rsidR="00EF1E33" w:rsidRPr="00B60C22" w:rsidRDefault="005B01B7" w:rsidP="00C63E30">
      <w:pPr>
        <w:pStyle w:val="BoldTextindent"/>
        <w:spacing w:before="0" w:after="0"/>
        <w:ind w:left="993" w:hanging="993"/>
        <w:rPr>
          <w:bCs/>
        </w:rPr>
      </w:pPr>
      <w:r w:rsidRPr="00B60C22">
        <w:rPr>
          <w:bCs/>
        </w:rPr>
        <w:t xml:space="preserve">The </w:t>
      </w:r>
      <w:r w:rsidR="00EF1E33" w:rsidRPr="00B60C22">
        <w:rPr>
          <w:bCs/>
        </w:rPr>
        <w:t xml:space="preserve">appointed </w:t>
      </w:r>
      <w:r w:rsidR="0010020F" w:rsidRPr="00B60C22">
        <w:rPr>
          <w:bCs/>
        </w:rPr>
        <w:t>framework supplier</w:t>
      </w:r>
      <w:r w:rsidR="00B02341" w:rsidRPr="00B60C22">
        <w:rPr>
          <w:bCs/>
        </w:rPr>
        <w:t xml:space="preserve">(s) </w:t>
      </w:r>
      <w:r w:rsidR="00EF1E33" w:rsidRPr="00B60C22">
        <w:rPr>
          <w:bCs/>
        </w:rPr>
        <w:t xml:space="preserve">will work with the Department of Health and any associated stakeholders to support the development and appraisal of future commercial strategy. </w:t>
      </w:r>
      <w:r w:rsidR="00293714" w:rsidRPr="00B60C22">
        <w:rPr>
          <w:bCs/>
        </w:rPr>
        <w:t>The commercial strategies</w:t>
      </w:r>
      <w:r w:rsidR="00EF1E33" w:rsidRPr="00B60C22">
        <w:rPr>
          <w:bCs/>
        </w:rPr>
        <w:t xml:space="preserve"> may involve the; settlement of disput</w:t>
      </w:r>
      <w:r w:rsidR="00293714" w:rsidRPr="00B60C22">
        <w:rPr>
          <w:bCs/>
        </w:rPr>
        <w:t xml:space="preserve">ed sums, mediation, arbitration, civil litigation, or other proposed forms of resolution. </w:t>
      </w:r>
    </w:p>
    <w:p w:rsidR="00C63E30" w:rsidRPr="00B60C22" w:rsidRDefault="00C63E30" w:rsidP="00C63E30">
      <w:pPr>
        <w:pStyle w:val="BoldTextindent"/>
        <w:numPr>
          <w:ilvl w:val="0"/>
          <w:numId w:val="0"/>
        </w:numPr>
        <w:spacing w:before="0" w:after="0"/>
        <w:ind w:left="993"/>
        <w:rPr>
          <w:bCs/>
        </w:rPr>
      </w:pPr>
    </w:p>
    <w:p w:rsidR="00706399" w:rsidRPr="00B60C22" w:rsidRDefault="00B21F80" w:rsidP="00C63E30">
      <w:pPr>
        <w:pStyle w:val="BoldTextindent"/>
        <w:spacing w:before="0" w:after="0"/>
        <w:ind w:left="993" w:hanging="993"/>
        <w:rPr>
          <w:bCs/>
        </w:rPr>
      </w:pPr>
      <w:r w:rsidRPr="00B60C22">
        <w:rPr>
          <w:bCs/>
        </w:rPr>
        <w:t>Where professional advice is provided it shall be categorised as Professional Services in all billing as such.</w:t>
      </w:r>
    </w:p>
    <w:p w:rsidR="00C63E30" w:rsidRPr="00B60C22" w:rsidRDefault="00C63E30" w:rsidP="00C63E30">
      <w:pPr>
        <w:pStyle w:val="BoldTextindent"/>
        <w:numPr>
          <w:ilvl w:val="0"/>
          <w:numId w:val="0"/>
        </w:numPr>
        <w:spacing w:before="0" w:after="0"/>
        <w:ind w:left="993"/>
        <w:rPr>
          <w:bCs/>
        </w:rPr>
      </w:pPr>
    </w:p>
    <w:p w:rsidR="00677F1A" w:rsidRPr="00B60C22" w:rsidRDefault="00B21F80" w:rsidP="00E654E9">
      <w:pPr>
        <w:pStyle w:val="BoldTextindent"/>
        <w:spacing w:before="0" w:after="0"/>
        <w:ind w:left="993" w:hanging="993"/>
        <w:rPr>
          <w:bCs/>
        </w:rPr>
      </w:pPr>
      <w:r w:rsidRPr="00B60C22">
        <w:rPr>
          <w:bCs/>
        </w:rPr>
        <w:t>The extent of the professional advice will be in the main focused on the legal aspects of commercial strategy.</w:t>
      </w:r>
      <w:r w:rsidR="00677F1A" w:rsidRPr="00B60C22">
        <w:rPr>
          <w:bCs/>
        </w:rPr>
        <w:t xml:space="preserve"> It is anticipated that the delivery of professional </w:t>
      </w:r>
      <w:r w:rsidR="00677F1A" w:rsidRPr="00B60C22">
        <w:rPr>
          <w:bCs/>
        </w:rPr>
        <w:lastRenderedPageBreak/>
        <w:t>advice may be communicated using multiple modes from verbal advice to formal report</w:t>
      </w:r>
      <w:r w:rsidR="009D6454" w:rsidRPr="00B60C22">
        <w:rPr>
          <w:bCs/>
        </w:rPr>
        <w:t xml:space="preserve"> and options appraisal</w:t>
      </w:r>
      <w:r w:rsidR="00677F1A" w:rsidRPr="00B60C22">
        <w:rPr>
          <w:bCs/>
        </w:rPr>
        <w:t>.</w:t>
      </w:r>
    </w:p>
    <w:p w:rsidR="00371039" w:rsidRDefault="00371039" w:rsidP="00E654E9">
      <w:pPr>
        <w:pStyle w:val="Default"/>
        <w:jc w:val="both"/>
        <w:rPr>
          <w:sz w:val="22"/>
          <w:szCs w:val="22"/>
        </w:rPr>
      </w:pPr>
    </w:p>
    <w:p w:rsidR="00EA22BB" w:rsidRPr="00B60C22" w:rsidRDefault="00EA22BB" w:rsidP="00E654E9">
      <w:pPr>
        <w:pStyle w:val="Default"/>
        <w:jc w:val="both"/>
        <w:rPr>
          <w:sz w:val="22"/>
          <w:szCs w:val="22"/>
        </w:rPr>
      </w:pPr>
    </w:p>
    <w:p w:rsidR="00D87621" w:rsidRPr="00B60C22" w:rsidRDefault="00D87621" w:rsidP="00E654E9">
      <w:pPr>
        <w:pStyle w:val="ONEH1"/>
        <w:keepNext/>
        <w:numPr>
          <w:ilvl w:val="0"/>
          <w:numId w:val="2"/>
        </w:numPr>
        <w:tabs>
          <w:tab w:val="clear" w:pos="360"/>
          <w:tab w:val="clear" w:pos="851"/>
        </w:tabs>
        <w:spacing w:before="0" w:after="0"/>
        <w:ind w:left="426" w:hanging="426"/>
        <w:jc w:val="both"/>
        <w:rPr>
          <w:rFonts w:ascii="Arial" w:hAnsi="Arial"/>
          <w:sz w:val="22"/>
          <w:szCs w:val="22"/>
        </w:rPr>
      </w:pPr>
      <w:r w:rsidRPr="00B60C22">
        <w:rPr>
          <w:rFonts w:ascii="Arial" w:hAnsi="Arial"/>
          <w:sz w:val="22"/>
          <w:szCs w:val="22"/>
        </w:rPr>
        <w:t>A</w:t>
      </w:r>
      <w:r w:rsidR="00954C90" w:rsidRPr="00B60C22">
        <w:rPr>
          <w:rFonts w:ascii="Arial" w:hAnsi="Arial"/>
          <w:sz w:val="22"/>
          <w:szCs w:val="22"/>
        </w:rPr>
        <w:t xml:space="preserve">RBITRATION / MEDIATION </w:t>
      </w:r>
      <w:r w:rsidR="00F14CA8" w:rsidRPr="00B60C22">
        <w:rPr>
          <w:rFonts w:ascii="Arial" w:hAnsi="Arial"/>
          <w:sz w:val="22"/>
          <w:szCs w:val="22"/>
        </w:rPr>
        <w:t>/ N</w:t>
      </w:r>
      <w:r w:rsidR="00954C90" w:rsidRPr="00B60C22">
        <w:rPr>
          <w:rFonts w:ascii="Arial" w:hAnsi="Arial"/>
          <w:sz w:val="22"/>
          <w:szCs w:val="22"/>
        </w:rPr>
        <w:t xml:space="preserve">EUTRAL EVALUATION </w:t>
      </w:r>
      <w:r w:rsidR="00F14CA8" w:rsidRPr="00B60C22">
        <w:rPr>
          <w:rFonts w:ascii="Arial" w:hAnsi="Arial"/>
          <w:sz w:val="22"/>
          <w:szCs w:val="22"/>
        </w:rPr>
        <w:t xml:space="preserve"> </w:t>
      </w:r>
    </w:p>
    <w:p w:rsidR="00C63E30" w:rsidRPr="00B60C22" w:rsidRDefault="00C63E30" w:rsidP="00C63E30">
      <w:pPr>
        <w:rPr>
          <w:rFonts w:ascii="Arial" w:hAnsi="Arial" w:cs="Arial"/>
        </w:rPr>
      </w:pPr>
    </w:p>
    <w:p w:rsidR="00C55584" w:rsidRPr="00B60C22" w:rsidRDefault="00C55584" w:rsidP="00AB2877">
      <w:pPr>
        <w:pStyle w:val="ONEH2"/>
      </w:pPr>
      <w:r w:rsidRPr="00B60C22">
        <w:t>Resolution</w:t>
      </w:r>
    </w:p>
    <w:p w:rsidR="00C63E30" w:rsidRPr="00B60C22" w:rsidRDefault="00C63E30" w:rsidP="00AB2877">
      <w:pPr>
        <w:pStyle w:val="ONEH2"/>
        <w:numPr>
          <w:ilvl w:val="0"/>
          <w:numId w:val="0"/>
        </w:numPr>
        <w:ind w:left="993"/>
      </w:pPr>
    </w:p>
    <w:p w:rsidR="00706399" w:rsidRPr="00EA22BB" w:rsidRDefault="008E28D4" w:rsidP="00E654E9">
      <w:pPr>
        <w:pStyle w:val="BoldTextindent"/>
        <w:spacing w:before="0" w:after="0"/>
        <w:ind w:left="993" w:hanging="993"/>
        <w:rPr>
          <w:bCs/>
        </w:rPr>
      </w:pPr>
      <w:r w:rsidRPr="00EA22BB">
        <w:rPr>
          <w:bCs/>
        </w:rPr>
        <w:t xml:space="preserve">The appointed </w:t>
      </w:r>
      <w:r w:rsidR="0010020F" w:rsidRPr="00EA22BB">
        <w:rPr>
          <w:bCs/>
        </w:rPr>
        <w:t>framework supplier</w:t>
      </w:r>
      <w:r w:rsidR="00876153" w:rsidRPr="00EA22BB">
        <w:rPr>
          <w:bCs/>
        </w:rPr>
        <w:t>(s)</w:t>
      </w:r>
      <w:r w:rsidRPr="00EA22BB">
        <w:rPr>
          <w:bCs/>
        </w:rPr>
        <w:t xml:space="preserve"> </w:t>
      </w:r>
      <w:r w:rsidR="00C55584" w:rsidRPr="00EA22BB">
        <w:rPr>
          <w:bCs/>
        </w:rPr>
        <w:t>will</w:t>
      </w:r>
      <w:r w:rsidRPr="00EA22BB">
        <w:rPr>
          <w:bCs/>
        </w:rPr>
        <w:t xml:space="preserve"> be required to support </w:t>
      </w:r>
      <w:r w:rsidR="004F47E6" w:rsidRPr="00EA22BB">
        <w:rPr>
          <w:bCs/>
        </w:rPr>
        <w:t xml:space="preserve">binding and non-binding </w:t>
      </w:r>
      <w:hyperlink r:id="rId9" w:tooltip="Alternative dispute resolution" w:history="1">
        <w:r w:rsidR="00D12D0F" w:rsidRPr="00EA22BB">
          <w:rPr>
            <w:bCs/>
          </w:rPr>
          <w:t>Arbitration</w:t>
        </w:r>
      </w:hyperlink>
      <w:r w:rsidR="00934A01" w:rsidRPr="00EA22BB">
        <w:rPr>
          <w:bCs/>
        </w:rPr>
        <w:t xml:space="preserve">, </w:t>
      </w:r>
      <w:r w:rsidR="00D12D0F" w:rsidRPr="00EA22BB">
        <w:rPr>
          <w:bCs/>
        </w:rPr>
        <w:t>Mediation</w:t>
      </w:r>
      <w:r w:rsidR="00934A01" w:rsidRPr="00EA22BB">
        <w:rPr>
          <w:bCs/>
        </w:rPr>
        <w:t>, Neutral Evaluation or the appointment of Ombudsman</w:t>
      </w:r>
      <w:r w:rsidR="00D12D0F" w:rsidRPr="00EA22BB">
        <w:rPr>
          <w:bCs/>
        </w:rPr>
        <w:t xml:space="preserve"> </w:t>
      </w:r>
      <w:r w:rsidRPr="00EA22BB">
        <w:rPr>
          <w:bCs/>
        </w:rPr>
        <w:t xml:space="preserve">where resolution of disputes </w:t>
      </w:r>
      <w:r w:rsidR="00934A01" w:rsidRPr="00EA22BB">
        <w:rPr>
          <w:bCs/>
        </w:rPr>
        <w:t>is possible</w:t>
      </w:r>
      <w:r w:rsidRPr="00EA22BB">
        <w:rPr>
          <w:bCs/>
        </w:rPr>
        <w:t xml:space="preserve"> outside of the </w:t>
      </w:r>
      <w:hyperlink r:id="rId10" w:tooltip="Court" w:history="1">
        <w:r w:rsidRPr="00EA22BB">
          <w:rPr>
            <w:bCs/>
          </w:rPr>
          <w:t>courts</w:t>
        </w:r>
      </w:hyperlink>
      <w:r w:rsidR="00D12D0F" w:rsidRPr="00EA22BB">
        <w:rPr>
          <w:bCs/>
        </w:rPr>
        <w:t xml:space="preserve">. </w:t>
      </w:r>
    </w:p>
    <w:p w:rsidR="0010020F" w:rsidRPr="00EA22BB" w:rsidRDefault="0010020F" w:rsidP="00E654E9">
      <w:pPr>
        <w:pStyle w:val="BoldTextindent"/>
        <w:numPr>
          <w:ilvl w:val="0"/>
          <w:numId w:val="0"/>
        </w:numPr>
        <w:spacing w:before="0" w:after="0"/>
        <w:ind w:left="993"/>
        <w:rPr>
          <w:bCs/>
        </w:rPr>
      </w:pPr>
    </w:p>
    <w:p w:rsidR="004B16CF" w:rsidRPr="00EA22BB" w:rsidRDefault="004B16CF" w:rsidP="00C63E30">
      <w:pPr>
        <w:pStyle w:val="BoldTextindent"/>
        <w:spacing w:before="0" w:after="0"/>
        <w:ind w:left="993" w:hanging="993"/>
        <w:rPr>
          <w:bCs/>
        </w:rPr>
      </w:pPr>
      <w:r w:rsidRPr="00EA22BB">
        <w:rPr>
          <w:bCs/>
        </w:rPr>
        <w:t xml:space="preserve">It is anticipated that the scope of the Arbitration and Mediation will be broadly confined to;  </w:t>
      </w:r>
    </w:p>
    <w:p w:rsidR="004B16CF" w:rsidRPr="00EA22BB" w:rsidRDefault="004B16CF" w:rsidP="007C7872">
      <w:pPr>
        <w:pStyle w:val="ListParagraph"/>
        <w:numPr>
          <w:ilvl w:val="0"/>
          <w:numId w:val="17"/>
        </w:numPr>
        <w:spacing w:after="0" w:line="240" w:lineRule="auto"/>
        <w:ind w:left="1418" w:hanging="425"/>
        <w:jc w:val="both"/>
        <w:rPr>
          <w:rFonts w:ascii="Arial" w:hAnsi="Arial" w:cs="Arial"/>
        </w:rPr>
      </w:pPr>
      <w:r w:rsidRPr="00EA22BB">
        <w:rPr>
          <w:rFonts w:ascii="Arial" w:hAnsi="Arial" w:cs="Arial"/>
        </w:rPr>
        <w:t xml:space="preserve">Pricing of pharmaceutics within the UK </w:t>
      </w:r>
    </w:p>
    <w:p w:rsidR="004B16CF" w:rsidRPr="00EA22BB" w:rsidRDefault="004B16CF" w:rsidP="007C7872">
      <w:pPr>
        <w:pStyle w:val="ListParagraph"/>
        <w:numPr>
          <w:ilvl w:val="0"/>
          <w:numId w:val="17"/>
        </w:numPr>
        <w:spacing w:after="0" w:line="240" w:lineRule="auto"/>
        <w:ind w:left="1418" w:hanging="425"/>
        <w:jc w:val="both"/>
        <w:rPr>
          <w:rFonts w:ascii="Arial" w:hAnsi="Arial" w:cs="Arial"/>
        </w:rPr>
      </w:pPr>
      <w:r w:rsidRPr="00EA22BB">
        <w:rPr>
          <w:rFonts w:ascii="Arial" w:hAnsi="Arial" w:cs="Arial"/>
        </w:rPr>
        <w:t>Distortions to the UK Market for Pharmaceutics</w:t>
      </w:r>
    </w:p>
    <w:p w:rsidR="004B16CF" w:rsidRPr="00EA22BB" w:rsidRDefault="004B16CF" w:rsidP="007C7872">
      <w:pPr>
        <w:pStyle w:val="ListParagraph"/>
        <w:numPr>
          <w:ilvl w:val="0"/>
          <w:numId w:val="17"/>
        </w:numPr>
        <w:spacing w:after="0" w:line="240" w:lineRule="auto"/>
        <w:ind w:left="1418" w:hanging="425"/>
        <w:jc w:val="both"/>
        <w:rPr>
          <w:rFonts w:ascii="Arial" w:hAnsi="Arial" w:cs="Arial"/>
        </w:rPr>
      </w:pPr>
      <w:r w:rsidRPr="00EA22BB">
        <w:rPr>
          <w:rFonts w:ascii="Arial" w:hAnsi="Arial" w:cs="Arial"/>
        </w:rPr>
        <w:t>Exploratory analysis of Price Fixing within the UK</w:t>
      </w:r>
    </w:p>
    <w:p w:rsidR="00F14CA8" w:rsidRPr="00EA22BB" w:rsidRDefault="004B16CF" w:rsidP="007C7872">
      <w:pPr>
        <w:pStyle w:val="ListParagraph"/>
        <w:numPr>
          <w:ilvl w:val="0"/>
          <w:numId w:val="17"/>
        </w:numPr>
        <w:spacing w:after="0" w:line="240" w:lineRule="auto"/>
        <w:ind w:left="1418" w:hanging="425"/>
        <w:jc w:val="both"/>
        <w:rPr>
          <w:rFonts w:ascii="Arial" w:hAnsi="Arial" w:cs="Arial"/>
        </w:rPr>
      </w:pPr>
      <w:r w:rsidRPr="00EA22BB">
        <w:rPr>
          <w:rFonts w:ascii="Arial" w:hAnsi="Arial" w:cs="Arial"/>
        </w:rPr>
        <w:t xml:space="preserve">Exploratory analysis of Market Structures to identify organisational collusion within the Pharmaceutical Industry. </w:t>
      </w:r>
    </w:p>
    <w:p w:rsidR="00934A01" w:rsidRPr="00EA22BB" w:rsidRDefault="00934A01" w:rsidP="007C7872">
      <w:pPr>
        <w:pStyle w:val="ListParagraph"/>
        <w:numPr>
          <w:ilvl w:val="0"/>
          <w:numId w:val="17"/>
        </w:numPr>
        <w:spacing w:after="0" w:line="240" w:lineRule="auto"/>
        <w:ind w:left="1418" w:hanging="425"/>
        <w:jc w:val="both"/>
        <w:rPr>
          <w:rFonts w:ascii="Arial" w:hAnsi="Arial" w:cs="Arial"/>
        </w:rPr>
      </w:pPr>
      <w:r w:rsidRPr="00EA22BB">
        <w:rPr>
          <w:rFonts w:ascii="Arial" w:hAnsi="Arial" w:cs="Arial"/>
        </w:rPr>
        <w:t xml:space="preserve">Suitable recording and reporting of the pre-litigation stage to demonstrate </w:t>
      </w:r>
      <w:r w:rsidR="00034111" w:rsidRPr="00EA22BB">
        <w:rPr>
          <w:rFonts w:ascii="Arial" w:hAnsi="Arial" w:cs="Arial"/>
        </w:rPr>
        <w:t>consideration of ADR.</w:t>
      </w:r>
    </w:p>
    <w:p w:rsidR="00C55584" w:rsidRPr="00EA22BB" w:rsidRDefault="00C55584" w:rsidP="007C7872">
      <w:pPr>
        <w:pStyle w:val="ListParagraph"/>
        <w:numPr>
          <w:ilvl w:val="0"/>
          <w:numId w:val="17"/>
        </w:numPr>
        <w:spacing w:after="0" w:line="240" w:lineRule="auto"/>
        <w:ind w:left="1418" w:hanging="425"/>
        <w:jc w:val="both"/>
        <w:rPr>
          <w:rFonts w:ascii="Arial" w:hAnsi="Arial" w:cs="Arial"/>
        </w:rPr>
      </w:pPr>
      <w:r w:rsidRPr="00EA22BB">
        <w:rPr>
          <w:rFonts w:ascii="Arial" w:hAnsi="Arial" w:cs="Arial"/>
        </w:rPr>
        <w:t xml:space="preserve">Review of the respective positions of parties. Consideration of papers and the evidence to evaluate if proceedings are required. </w:t>
      </w:r>
    </w:p>
    <w:p w:rsidR="006C3FC0" w:rsidRPr="00EA22BB" w:rsidRDefault="00C55584" w:rsidP="007C7872">
      <w:pPr>
        <w:pStyle w:val="ListParagraph"/>
        <w:numPr>
          <w:ilvl w:val="0"/>
          <w:numId w:val="17"/>
        </w:numPr>
        <w:spacing w:after="0" w:line="240" w:lineRule="auto"/>
        <w:ind w:left="1418" w:hanging="425"/>
        <w:jc w:val="both"/>
        <w:rPr>
          <w:rFonts w:ascii="Arial" w:hAnsi="Arial" w:cs="Arial"/>
        </w:rPr>
      </w:pPr>
      <w:r w:rsidRPr="00EA22BB">
        <w:rPr>
          <w:rFonts w:ascii="Arial" w:hAnsi="Arial" w:cs="Arial"/>
        </w:rPr>
        <w:t>Consideration of the possibility to narrow any outstanding issues in dispute before the claimant issues proceedings.</w:t>
      </w:r>
    </w:p>
    <w:p w:rsidR="00371039" w:rsidRDefault="00371039" w:rsidP="00C63E30">
      <w:pPr>
        <w:pStyle w:val="BoldTextindent"/>
        <w:numPr>
          <w:ilvl w:val="0"/>
          <w:numId w:val="0"/>
        </w:numPr>
        <w:spacing w:before="0" w:after="0"/>
        <w:rPr>
          <w:bCs/>
        </w:rPr>
      </w:pPr>
    </w:p>
    <w:p w:rsidR="00AB2877" w:rsidRPr="00B60C22" w:rsidRDefault="00AB2877" w:rsidP="00C63E30">
      <w:pPr>
        <w:pStyle w:val="BoldTextindent"/>
        <w:numPr>
          <w:ilvl w:val="0"/>
          <w:numId w:val="0"/>
        </w:numPr>
        <w:spacing w:before="0" w:after="0"/>
        <w:rPr>
          <w:bCs/>
        </w:rPr>
      </w:pPr>
    </w:p>
    <w:p w:rsidR="00C63E30" w:rsidRPr="00B60C22" w:rsidRDefault="00706399"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P</w:t>
      </w:r>
      <w:r w:rsidR="00954C90" w:rsidRPr="00B60C22">
        <w:rPr>
          <w:rFonts w:ascii="Arial" w:hAnsi="Arial"/>
          <w:sz w:val="22"/>
          <w:szCs w:val="22"/>
        </w:rPr>
        <w:t>RE LITIGATION</w:t>
      </w:r>
    </w:p>
    <w:p w:rsidR="00C63E30" w:rsidRPr="00B60C22" w:rsidRDefault="00C63E30" w:rsidP="00C63E30">
      <w:pPr>
        <w:spacing w:after="0" w:line="240" w:lineRule="auto"/>
        <w:rPr>
          <w:rFonts w:ascii="Arial" w:hAnsi="Arial" w:cs="Arial"/>
        </w:rPr>
      </w:pPr>
    </w:p>
    <w:p w:rsidR="00316003" w:rsidRPr="00B60C22" w:rsidRDefault="00316003" w:rsidP="00AB2877">
      <w:pPr>
        <w:pStyle w:val="ONEH2"/>
      </w:pPr>
      <w:r w:rsidRPr="00B60C22">
        <w:t>Support</w:t>
      </w:r>
    </w:p>
    <w:p w:rsidR="00F14CA8" w:rsidRPr="00B60C22" w:rsidRDefault="000D3AF9" w:rsidP="00C63E30">
      <w:pPr>
        <w:pStyle w:val="BoldTextindent"/>
        <w:spacing w:before="0" w:after="0"/>
        <w:ind w:left="993" w:hanging="993"/>
        <w:rPr>
          <w:bCs/>
        </w:rPr>
      </w:pPr>
      <w:r w:rsidRPr="00B60C22">
        <w:rPr>
          <w:bCs/>
        </w:rPr>
        <w:t xml:space="preserve">The appointed </w:t>
      </w:r>
      <w:r w:rsidR="0010020F" w:rsidRPr="00B60C22">
        <w:rPr>
          <w:bCs/>
        </w:rPr>
        <w:t>framework supplier(s)</w:t>
      </w:r>
      <w:r w:rsidR="002D0CD6" w:rsidRPr="00B60C22">
        <w:rPr>
          <w:bCs/>
        </w:rPr>
        <w:t xml:space="preserve"> will be required to support the Department of Health in </w:t>
      </w:r>
      <w:r w:rsidR="00AE3EAD" w:rsidRPr="00B60C22">
        <w:rPr>
          <w:bCs/>
        </w:rPr>
        <w:t xml:space="preserve">all aspects </w:t>
      </w:r>
      <w:r w:rsidR="002D0CD6" w:rsidRPr="00B60C22">
        <w:rPr>
          <w:bCs/>
        </w:rPr>
        <w:t>pre</w:t>
      </w:r>
      <w:r w:rsidR="00B02341" w:rsidRPr="00B60C22">
        <w:rPr>
          <w:bCs/>
        </w:rPr>
        <w:t>-</w:t>
      </w:r>
      <w:r w:rsidR="002D0CD6" w:rsidRPr="00B60C22">
        <w:rPr>
          <w:bCs/>
        </w:rPr>
        <w:t xml:space="preserve">litigation. </w:t>
      </w:r>
    </w:p>
    <w:p w:rsidR="00C63E30" w:rsidRPr="00B60C22" w:rsidRDefault="00C63E30" w:rsidP="00C63E30">
      <w:pPr>
        <w:pStyle w:val="BoldTextindent"/>
        <w:numPr>
          <w:ilvl w:val="0"/>
          <w:numId w:val="0"/>
        </w:numPr>
        <w:spacing w:before="0" w:after="0"/>
        <w:ind w:left="993"/>
        <w:rPr>
          <w:bCs/>
        </w:rPr>
      </w:pPr>
    </w:p>
    <w:p w:rsidR="002D0CD6" w:rsidRPr="00B60C22" w:rsidRDefault="00F14CA8" w:rsidP="00C63E30">
      <w:pPr>
        <w:pStyle w:val="BoldTextindent"/>
        <w:spacing w:before="0" w:after="0"/>
        <w:ind w:left="993" w:hanging="993"/>
        <w:rPr>
          <w:bCs/>
        </w:rPr>
      </w:pPr>
      <w:r w:rsidRPr="00B60C22">
        <w:rPr>
          <w:bCs/>
        </w:rPr>
        <w:t>Robust c</w:t>
      </w:r>
      <w:r w:rsidR="00C0483F" w:rsidRPr="00B60C22">
        <w:rPr>
          <w:bCs/>
        </w:rPr>
        <w:t>ase management at the pre-litigation stage is fundament</w:t>
      </w:r>
      <w:r w:rsidRPr="00B60C22">
        <w:rPr>
          <w:bCs/>
        </w:rPr>
        <w:t>al;</w:t>
      </w:r>
      <w:r w:rsidR="00C0483F" w:rsidRPr="00B60C22">
        <w:rPr>
          <w:bCs/>
        </w:rPr>
        <w:t xml:space="preserve"> it is a requirement that the appointed </w:t>
      </w:r>
      <w:r w:rsidR="0010020F" w:rsidRPr="00B60C22">
        <w:rPr>
          <w:bCs/>
        </w:rPr>
        <w:t>framework supplier(s)</w:t>
      </w:r>
      <w:r w:rsidR="00C0483F" w:rsidRPr="00B60C22">
        <w:rPr>
          <w:bCs/>
        </w:rPr>
        <w:t xml:space="preserve"> is able to manage the following key factors;</w:t>
      </w:r>
    </w:p>
    <w:p w:rsidR="00C0483F" w:rsidRPr="00AB2877" w:rsidRDefault="00C0483F"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Analysis of risk and probability of successful claims</w:t>
      </w:r>
      <w:r w:rsidR="00AB4330" w:rsidRPr="00AB2877">
        <w:rPr>
          <w:rFonts w:ascii="Arial" w:hAnsi="Arial" w:cs="Arial"/>
        </w:rPr>
        <w:t xml:space="preserve"> either via litigation or out of court settlement.</w:t>
      </w:r>
    </w:p>
    <w:p w:rsidR="00AB4330" w:rsidRPr="00AB2877" w:rsidRDefault="00B85430"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Conduct r</w:t>
      </w:r>
      <w:r w:rsidR="00AB4330" w:rsidRPr="00AB2877">
        <w:rPr>
          <w:rFonts w:ascii="Arial" w:hAnsi="Arial" w:cs="Arial"/>
        </w:rPr>
        <w:t xml:space="preserve">easonable and proportionate steps to </w:t>
      </w:r>
      <w:r w:rsidR="00C0559E" w:rsidRPr="00AB2877">
        <w:rPr>
          <w:rFonts w:ascii="Arial" w:hAnsi="Arial" w:cs="Arial"/>
        </w:rPr>
        <w:t>identify</w:t>
      </w:r>
      <w:r w:rsidR="00AB4330" w:rsidRPr="00AB2877">
        <w:rPr>
          <w:rFonts w:ascii="Arial" w:hAnsi="Arial" w:cs="Arial"/>
        </w:rPr>
        <w:t xml:space="preserve"> narrow and resolve the legal, factual or expert issues.</w:t>
      </w:r>
    </w:p>
    <w:p w:rsidR="00F14CA8" w:rsidRPr="00AB2877" w:rsidRDefault="00B85430"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Compliance</w:t>
      </w:r>
      <w:r w:rsidR="00F14CA8" w:rsidRPr="00AB2877">
        <w:rPr>
          <w:rFonts w:ascii="Arial" w:hAnsi="Arial" w:cs="Arial"/>
        </w:rPr>
        <w:t xml:space="preserve"> with </w:t>
      </w:r>
      <w:r w:rsidRPr="00AB2877">
        <w:rPr>
          <w:rFonts w:ascii="Arial" w:hAnsi="Arial" w:cs="Arial"/>
        </w:rPr>
        <w:t xml:space="preserve">the </w:t>
      </w:r>
      <w:r w:rsidR="00F14CA8" w:rsidRPr="00AB2877">
        <w:rPr>
          <w:rFonts w:ascii="Arial" w:hAnsi="Arial" w:cs="Arial"/>
        </w:rPr>
        <w:t>relevant legal protocol</w:t>
      </w:r>
      <w:r w:rsidRPr="00AB2877">
        <w:rPr>
          <w:rFonts w:ascii="Arial" w:hAnsi="Arial" w:cs="Arial"/>
        </w:rPr>
        <w:t xml:space="preserve"> for pre-litigation</w:t>
      </w:r>
      <w:r w:rsidR="00F14CA8" w:rsidRPr="00AB2877">
        <w:rPr>
          <w:rFonts w:ascii="Arial" w:hAnsi="Arial" w:cs="Arial"/>
        </w:rPr>
        <w:t>.</w:t>
      </w:r>
    </w:p>
    <w:p w:rsidR="00F14CA8" w:rsidRPr="00AB2877" w:rsidRDefault="00F14CA8"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 xml:space="preserve">Appointment of relevant experts to support building the case </w:t>
      </w:r>
      <w:r w:rsidR="00601792" w:rsidRPr="00AB2877">
        <w:rPr>
          <w:rFonts w:ascii="Arial" w:hAnsi="Arial" w:cs="Arial"/>
        </w:rPr>
        <w:t xml:space="preserve">to ultimately </w:t>
      </w:r>
      <w:r w:rsidRPr="00AB2877">
        <w:rPr>
          <w:rFonts w:ascii="Arial" w:hAnsi="Arial" w:cs="Arial"/>
        </w:rPr>
        <w:t>lead to resolution.</w:t>
      </w:r>
    </w:p>
    <w:p w:rsidR="005B4DC3" w:rsidRPr="00AB2877" w:rsidRDefault="005B4DC3"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Correspondence with the supplier market to establish whether an inquiry into their losses has been conducted.</w:t>
      </w:r>
    </w:p>
    <w:p w:rsidR="00F14CA8" w:rsidRPr="00AB2877" w:rsidRDefault="00F14CA8"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Consideration of whether negotiation or similar form of ADR might enable settlement without commencing proceedings.</w:t>
      </w:r>
    </w:p>
    <w:p w:rsidR="00677F1A" w:rsidRPr="00AB2877" w:rsidRDefault="00601792"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 xml:space="preserve">Managing communications with </w:t>
      </w:r>
      <w:r w:rsidR="00C0559E" w:rsidRPr="00AB2877">
        <w:rPr>
          <w:rFonts w:ascii="Arial" w:hAnsi="Arial" w:cs="Arial"/>
        </w:rPr>
        <w:t xml:space="preserve">the </w:t>
      </w:r>
      <w:r w:rsidRPr="00AB2877">
        <w:rPr>
          <w:rFonts w:ascii="Arial" w:hAnsi="Arial" w:cs="Arial"/>
        </w:rPr>
        <w:t>opposing organisation where applicable.</w:t>
      </w:r>
    </w:p>
    <w:p w:rsidR="00601792" w:rsidRPr="00AB2877" w:rsidRDefault="00601792"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t xml:space="preserve">Regular reporting to </w:t>
      </w:r>
      <w:r w:rsidR="00D97686" w:rsidRPr="00AB2877">
        <w:rPr>
          <w:rFonts w:ascii="Arial" w:hAnsi="Arial" w:cs="Arial"/>
        </w:rPr>
        <w:t xml:space="preserve">the Department of Health </w:t>
      </w:r>
      <w:r w:rsidR="00B85430" w:rsidRPr="00AB2877">
        <w:rPr>
          <w:rFonts w:ascii="Arial" w:hAnsi="Arial" w:cs="Arial"/>
        </w:rPr>
        <w:t xml:space="preserve">to communicate </w:t>
      </w:r>
      <w:r w:rsidR="00C0559E" w:rsidRPr="00AB2877">
        <w:rPr>
          <w:rFonts w:ascii="Arial" w:hAnsi="Arial" w:cs="Arial"/>
        </w:rPr>
        <w:t>development</w:t>
      </w:r>
      <w:r w:rsidR="00B85430" w:rsidRPr="00AB2877">
        <w:rPr>
          <w:rFonts w:ascii="Arial" w:hAnsi="Arial" w:cs="Arial"/>
        </w:rPr>
        <w:t>s of the case</w:t>
      </w:r>
      <w:r w:rsidR="00C0559E" w:rsidRPr="00AB2877">
        <w:rPr>
          <w:rFonts w:ascii="Arial" w:hAnsi="Arial" w:cs="Arial"/>
        </w:rPr>
        <w:t>.</w:t>
      </w:r>
    </w:p>
    <w:p w:rsidR="00601792" w:rsidRPr="00AB2877" w:rsidRDefault="0010020F" w:rsidP="007C7872">
      <w:pPr>
        <w:pStyle w:val="ListParagraph"/>
        <w:numPr>
          <w:ilvl w:val="0"/>
          <w:numId w:val="18"/>
        </w:numPr>
        <w:spacing w:after="0" w:line="240" w:lineRule="auto"/>
        <w:ind w:left="1418" w:hanging="425"/>
        <w:jc w:val="both"/>
        <w:rPr>
          <w:rFonts w:ascii="Arial" w:hAnsi="Arial" w:cs="Arial"/>
        </w:rPr>
      </w:pPr>
      <w:r w:rsidRPr="00AB2877">
        <w:rPr>
          <w:rFonts w:ascii="Arial" w:hAnsi="Arial" w:cs="Arial"/>
        </w:rPr>
        <w:lastRenderedPageBreak/>
        <w:t>Mana</w:t>
      </w:r>
      <w:r w:rsidR="00601792" w:rsidRPr="00AB2877">
        <w:rPr>
          <w:rFonts w:ascii="Arial" w:hAnsi="Arial" w:cs="Arial"/>
        </w:rPr>
        <w:t>gement of legal costs relative to the probability of outcome and financial value of return to</w:t>
      </w:r>
      <w:r w:rsidR="00D97686" w:rsidRPr="00AB2877">
        <w:rPr>
          <w:rFonts w:ascii="Arial" w:hAnsi="Arial" w:cs="Arial"/>
        </w:rPr>
        <w:t xml:space="preserve"> the Department of Health</w:t>
      </w:r>
      <w:r w:rsidR="00601792" w:rsidRPr="00AB2877">
        <w:rPr>
          <w:rFonts w:ascii="Arial" w:hAnsi="Arial" w:cs="Arial"/>
        </w:rPr>
        <w:t>.</w:t>
      </w:r>
    </w:p>
    <w:p w:rsidR="00C63E30" w:rsidRPr="00B60C22" w:rsidRDefault="00C63E30" w:rsidP="00C63E30">
      <w:pPr>
        <w:pStyle w:val="BoldTextindent"/>
        <w:numPr>
          <w:ilvl w:val="0"/>
          <w:numId w:val="0"/>
        </w:numPr>
        <w:spacing w:before="0" w:after="0"/>
        <w:ind w:left="1560"/>
        <w:rPr>
          <w:bCs/>
        </w:rPr>
      </w:pPr>
    </w:p>
    <w:p w:rsidR="00601792" w:rsidRPr="00B60C22" w:rsidRDefault="0051420C" w:rsidP="00E654E9">
      <w:pPr>
        <w:pStyle w:val="BoldTextindent"/>
        <w:spacing w:before="0" w:after="0"/>
        <w:ind w:left="993" w:hanging="993"/>
        <w:rPr>
          <w:bCs/>
        </w:rPr>
      </w:pPr>
      <w:r w:rsidRPr="00B60C22">
        <w:rPr>
          <w:bCs/>
        </w:rPr>
        <w:t xml:space="preserve">The pre-litigation stage </w:t>
      </w:r>
      <w:r w:rsidR="00CD2AB3" w:rsidRPr="00B60C22">
        <w:rPr>
          <w:bCs/>
        </w:rPr>
        <w:t>shall</w:t>
      </w:r>
      <w:r w:rsidRPr="00B60C22">
        <w:rPr>
          <w:bCs/>
        </w:rPr>
        <w:t xml:space="preserve"> be documented to ensure that suitable evidence can be presented to demonstrate </w:t>
      </w:r>
      <w:r w:rsidR="0050284D" w:rsidRPr="00B60C22">
        <w:rPr>
          <w:bCs/>
        </w:rPr>
        <w:t xml:space="preserve">to the court that suitable and proportionate steps have been taken at the pre-litigation stage. </w:t>
      </w:r>
    </w:p>
    <w:p w:rsidR="00371039" w:rsidRDefault="00371039" w:rsidP="00E654E9">
      <w:pPr>
        <w:pStyle w:val="Default"/>
        <w:jc w:val="both"/>
        <w:rPr>
          <w:bCs/>
          <w:sz w:val="22"/>
          <w:szCs w:val="22"/>
        </w:rPr>
      </w:pPr>
    </w:p>
    <w:p w:rsidR="00AB2877" w:rsidRPr="00B60C22" w:rsidRDefault="00AB2877" w:rsidP="00E654E9">
      <w:pPr>
        <w:pStyle w:val="Default"/>
        <w:jc w:val="both"/>
        <w:rPr>
          <w:bCs/>
          <w:sz w:val="22"/>
          <w:szCs w:val="22"/>
        </w:rPr>
      </w:pPr>
    </w:p>
    <w:p w:rsidR="00D87621" w:rsidRPr="00B60C22" w:rsidRDefault="00D87621"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C</w:t>
      </w:r>
      <w:r w:rsidR="00954C90" w:rsidRPr="00B60C22">
        <w:rPr>
          <w:rFonts w:ascii="Arial" w:hAnsi="Arial"/>
          <w:sz w:val="22"/>
          <w:szCs w:val="22"/>
        </w:rPr>
        <w:t>IVIL LITIGATION</w:t>
      </w:r>
    </w:p>
    <w:p w:rsidR="00C63E30" w:rsidRPr="00B60C22" w:rsidRDefault="00C63E30" w:rsidP="00C63E30">
      <w:pPr>
        <w:spacing w:after="0" w:line="240" w:lineRule="auto"/>
        <w:rPr>
          <w:rFonts w:ascii="Arial" w:hAnsi="Arial" w:cs="Arial"/>
        </w:rPr>
      </w:pPr>
    </w:p>
    <w:p w:rsidR="00316003" w:rsidRPr="00B60C22" w:rsidRDefault="00316003" w:rsidP="00AB2877">
      <w:pPr>
        <w:pStyle w:val="ONEH2"/>
      </w:pPr>
      <w:r w:rsidRPr="00B60C22">
        <w:t>Support</w:t>
      </w:r>
    </w:p>
    <w:p w:rsidR="009B0EDE" w:rsidRPr="00B60C22" w:rsidRDefault="0050284D" w:rsidP="00C63E30">
      <w:pPr>
        <w:pStyle w:val="BoldTextindent"/>
        <w:spacing w:before="0" w:after="0"/>
        <w:ind w:left="993" w:hanging="993"/>
        <w:rPr>
          <w:bCs/>
        </w:rPr>
      </w:pPr>
      <w:r w:rsidRPr="00B60C22">
        <w:rPr>
          <w:bCs/>
        </w:rPr>
        <w:t xml:space="preserve">The appointed </w:t>
      </w:r>
      <w:r w:rsidR="00F64A2E" w:rsidRPr="00B60C22">
        <w:rPr>
          <w:bCs/>
        </w:rPr>
        <w:t>framework supplier</w:t>
      </w:r>
      <w:r w:rsidR="00B02341" w:rsidRPr="00B60C22">
        <w:rPr>
          <w:bCs/>
        </w:rPr>
        <w:t>(s)</w:t>
      </w:r>
      <w:r w:rsidRPr="00B60C22">
        <w:rPr>
          <w:bCs/>
        </w:rPr>
        <w:t xml:space="preserve"> will be required to support the Department of Health in all aspects </w:t>
      </w:r>
      <w:r w:rsidR="007C5BBD" w:rsidRPr="00B60C22">
        <w:rPr>
          <w:bCs/>
        </w:rPr>
        <w:t xml:space="preserve">of </w:t>
      </w:r>
      <w:r w:rsidR="009B0EDE" w:rsidRPr="00B60C22">
        <w:rPr>
          <w:bCs/>
        </w:rPr>
        <w:t>civil</w:t>
      </w:r>
      <w:r w:rsidRPr="00B60C22">
        <w:rPr>
          <w:bCs/>
        </w:rPr>
        <w:t xml:space="preserve"> litigation</w:t>
      </w:r>
      <w:r w:rsidR="007C5BBD" w:rsidRPr="00B60C22">
        <w:rPr>
          <w:bCs/>
        </w:rPr>
        <w:t>, where applicable across UK, EU and International Courts</w:t>
      </w:r>
      <w:r w:rsidR="009B0EDE" w:rsidRPr="00B60C22">
        <w:rPr>
          <w:bCs/>
        </w:rPr>
        <w:t>.</w:t>
      </w:r>
    </w:p>
    <w:p w:rsidR="00C63E30" w:rsidRPr="00B60C22" w:rsidRDefault="00C63E30" w:rsidP="00C63E30">
      <w:pPr>
        <w:pStyle w:val="BoldTextindent"/>
        <w:numPr>
          <w:ilvl w:val="0"/>
          <w:numId w:val="0"/>
        </w:numPr>
        <w:spacing w:before="0" w:after="0"/>
        <w:ind w:left="993"/>
        <w:rPr>
          <w:bCs/>
        </w:rPr>
      </w:pPr>
    </w:p>
    <w:p w:rsidR="00844302" w:rsidRPr="00B60C22" w:rsidRDefault="009B0EDE" w:rsidP="00E654E9">
      <w:pPr>
        <w:pStyle w:val="BoldTextindent"/>
        <w:spacing w:before="0" w:after="0"/>
        <w:ind w:left="993" w:hanging="993"/>
        <w:rPr>
          <w:bCs/>
        </w:rPr>
      </w:pPr>
      <w:r w:rsidRPr="00B60C22">
        <w:rPr>
          <w:bCs/>
        </w:rPr>
        <w:t>It is anticipated that action will primarily be conducted</w:t>
      </w:r>
      <w:r w:rsidR="0050284D" w:rsidRPr="00B60C22">
        <w:rPr>
          <w:bCs/>
        </w:rPr>
        <w:t xml:space="preserve"> within the</w:t>
      </w:r>
      <w:r w:rsidRPr="00B60C22">
        <w:rPr>
          <w:bCs/>
        </w:rPr>
        <w:t xml:space="preserve"> Commercial Court of the Queen’s Bench Division of the </w:t>
      </w:r>
      <w:r w:rsidR="0050284D" w:rsidRPr="00B60C22">
        <w:rPr>
          <w:bCs/>
        </w:rPr>
        <w:t>High Court</w:t>
      </w:r>
      <w:r w:rsidR="007C5BBD" w:rsidRPr="00B60C22">
        <w:rPr>
          <w:bCs/>
        </w:rPr>
        <w:t>, and if applicable the Court of Appeal and UK Supreme Court.</w:t>
      </w:r>
    </w:p>
    <w:p w:rsidR="00C63E30" w:rsidRPr="00B60C22" w:rsidRDefault="00C63E30" w:rsidP="00C63E30">
      <w:pPr>
        <w:pStyle w:val="BoldTextindent"/>
        <w:numPr>
          <w:ilvl w:val="0"/>
          <w:numId w:val="0"/>
        </w:numPr>
        <w:spacing w:before="0" w:after="0"/>
        <w:ind w:left="993"/>
        <w:rPr>
          <w:bCs/>
        </w:rPr>
      </w:pPr>
    </w:p>
    <w:p w:rsidR="009B0EDE" w:rsidRPr="00B60C22" w:rsidRDefault="00844302" w:rsidP="00E654E9">
      <w:pPr>
        <w:pStyle w:val="BoldTextindent"/>
        <w:spacing w:before="0" w:after="0"/>
        <w:ind w:left="993" w:hanging="993"/>
        <w:rPr>
          <w:bCs/>
        </w:rPr>
      </w:pPr>
      <w:r w:rsidRPr="00B60C22">
        <w:rPr>
          <w:bCs/>
        </w:rPr>
        <w:t>Key aspects</w:t>
      </w:r>
      <w:r w:rsidR="008A0F2D" w:rsidRPr="00B60C22">
        <w:rPr>
          <w:bCs/>
        </w:rPr>
        <w:t xml:space="preserve"> of the requirement that are in addition to a ‘normal’ protocol for Civil Litigation are;</w:t>
      </w:r>
      <w:r w:rsidRPr="00B60C22">
        <w:rPr>
          <w:bCs/>
        </w:rPr>
        <w:t xml:space="preserve"> </w:t>
      </w:r>
      <w:r w:rsidR="007C5BBD" w:rsidRPr="00B60C22">
        <w:rPr>
          <w:bCs/>
        </w:rPr>
        <w:t xml:space="preserve"> </w:t>
      </w:r>
    </w:p>
    <w:p w:rsidR="005B4DC3" w:rsidRPr="00AB2877" w:rsidRDefault="00FA189C" w:rsidP="007C7872">
      <w:pPr>
        <w:pStyle w:val="ListParagraph"/>
        <w:numPr>
          <w:ilvl w:val="0"/>
          <w:numId w:val="19"/>
        </w:numPr>
        <w:spacing w:after="0" w:line="240" w:lineRule="auto"/>
        <w:ind w:left="1418"/>
        <w:jc w:val="both"/>
        <w:rPr>
          <w:rFonts w:ascii="Arial" w:hAnsi="Arial" w:cs="Arial"/>
        </w:rPr>
      </w:pPr>
      <w:r w:rsidRPr="00AB2877">
        <w:rPr>
          <w:rFonts w:ascii="Arial" w:hAnsi="Arial" w:cs="Arial"/>
        </w:rPr>
        <w:t xml:space="preserve">Preliminary analysis, review and appraisal </w:t>
      </w:r>
      <w:r w:rsidR="005B4DC3" w:rsidRPr="00AB2877">
        <w:rPr>
          <w:rFonts w:ascii="Arial" w:hAnsi="Arial" w:cs="Arial"/>
        </w:rPr>
        <w:t>of pre litigation data.</w:t>
      </w:r>
    </w:p>
    <w:p w:rsidR="00FA189C" w:rsidRPr="00AB2877" w:rsidRDefault="00FA189C" w:rsidP="007C7872">
      <w:pPr>
        <w:pStyle w:val="ListParagraph"/>
        <w:numPr>
          <w:ilvl w:val="0"/>
          <w:numId w:val="19"/>
        </w:numPr>
        <w:spacing w:after="0" w:line="240" w:lineRule="auto"/>
        <w:ind w:left="1418" w:hanging="425"/>
        <w:jc w:val="both"/>
        <w:rPr>
          <w:rFonts w:ascii="Arial" w:hAnsi="Arial" w:cs="Arial"/>
        </w:rPr>
      </w:pPr>
      <w:r w:rsidRPr="00AB2877">
        <w:rPr>
          <w:rFonts w:ascii="Arial" w:hAnsi="Arial" w:cs="Arial"/>
        </w:rPr>
        <w:t xml:space="preserve">Building the internal Department of Health case to pursue litigation. </w:t>
      </w:r>
    </w:p>
    <w:p w:rsidR="000D3AF9" w:rsidRPr="00AB2877" w:rsidRDefault="005B4DC3" w:rsidP="007C7872">
      <w:pPr>
        <w:pStyle w:val="ListParagraph"/>
        <w:numPr>
          <w:ilvl w:val="0"/>
          <w:numId w:val="19"/>
        </w:numPr>
        <w:spacing w:after="0" w:line="240" w:lineRule="auto"/>
        <w:ind w:left="1418" w:hanging="425"/>
        <w:jc w:val="both"/>
        <w:rPr>
          <w:rFonts w:ascii="Arial" w:hAnsi="Arial" w:cs="Arial"/>
        </w:rPr>
      </w:pPr>
      <w:r w:rsidRPr="00AB2877">
        <w:rPr>
          <w:rFonts w:ascii="Arial" w:hAnsi="Arial" w:cs="Arial"/>
        </w:rPr>
        <w:t xml:space="preserve">Engaging with Senior Civil Servants within the </w:t>
      </w:r>
      <w:r w:rsidR="008A0F2D" w:rsidRPr="00AB2877">
        <w:rPr>
          <w:rFonts w:ascii="Arial" w:hAnsi="Arial" w:cs="Arial"/>
        </w:rPr>
        <w:t xml:space="preserve">Department </w:t>
      </w:r>
      <w:r w:rsidRPr="00AB2877">
        <w:rPr>
          <w:rFonts w:ascii="Arial" w:hAnsi="Arial" w:cs="Arial"/>
        </w:rPr>
        <w:t xml:space="preserve">of Health </w:t>
      </w:r>
      <w:r w:rsidR="008A0F2D" w:rsidRPr="00AB2877">
        <w:rPr>
          <w:rFonts w:ascii="Arial" w:hAnsi="Arial" w:cs="Arial"/>
        </w:rPr>
        <w:t>to i</w:t>
      </w:r>
      <w:r w:rsidR="000D3AF9" w:rsidRPr="00AB2877">
        <w:rPr>
          <w:rFonts w:ascii="Arial" w:hAnsi="Arial" w:cs="Arial"/>
        </w:rPr>
        <w:t>dentify whether the claim can be</w:t>
      </w:r>
      <w:r w:rsidR="00FA189C" w:rsidRPr="00AB2877">
        <w:rPr>
          <w:rFonts w:ascii="Arial" w:hAnsi="Arial" w:cs="Arial"/>
        </w:rPr>
        <w:t xml:space="preserve"> supported and</w:t>
      </w:r>
      <w:r w:rsidR="000D3AF9" w:rsidRPr="00AB2877">
        <w:rPr>
          <w:rFonts w:ascii="Arial" w:hAnsi="Arial" w:cs="Arial"/>
        </w:rPr>
        <w:t xml:space="preserve"> pursued by the Secretary of State</w:t>
      </w:r>
      <w:r w:rsidR="00252690" w:rsidRPr="00AB2877">
        <w:rPr>
          <w:rFonts w:ascii="Arial" w:hAnsi="Arial" w:cs="Arial"/>
        </w:rPr>
        <w:t>,</w:t>
      </w:r>
      <w:r w:rsidRPr="00AB2877">
        <w:rPr>
          <w:rFonts w:ascii="Arial" w:hAnsi="Arial" w:cs="Arial"/>
        </w:rPr>
        <w:t xml:space="preserve"> </w:t>
      </w:r>
      <w:r w:rsidR="00252690" w:rsidRPr="00AB2877">
        <w:rPr>
          <w:rFonts w:ascii="Arial" w:hAnsi="Arial" w:cs="Arial"/>
        </w:rPr>
        <w:t xml:space="preserve">supporting the Department with the </w:t>
      </w:r>
      <w:r w:rsidRPr="00AB2877">
        <w:rPr>
          <w:rFonts w:ascii="Arial" w:hAnsi="Arial" w:cs="Arial"/>
        </w:rPr>
        <w:t>subsequent</w:t>
      </w:r>
      <w:r w:rsidR="00252690" w:rsidRPr="00AB2877">
        <w:rPr>
          <w:rFonts w:ascii="Arial" w:hAnsi="Arial" w:cs="Arial"/>
        </w:rPr>
        <w:t xml:space="preserve"> presentation via business case </w:t>
      </w:r>
      <w:r w:rsidRPr="00AB2877">
        <w:rPr>
          <w:rFonts w:ascii="Arial" w:hAnsi="Arial" w:cs="Arial"/>
        </w:rPr>
        <w:t xml:space="preserve">to the </w:t>
      </w:r>
      <w:r w:rsidR="00252690" w:rsidRPr="00AB2877">
        <w:rPr>
          <w:rFonts w:ascii="Arial" w:hAnsi="Arial" w:cs="Arial"/>
        </w:rPr>
        <w:t>S</w:t>
      </w:r>
      <w:r w:rsidRPr="00AB2877">
        <w:rPr>
          <w:rFonts w:ascii="Arial" w:hAnsi="Arial" w:cs="Arial"/>
        </w:rPr>
        <w:t xml:space="preserve">ecretary of </w:t>
      </w:r>
      <w:r w:rsidR="00252690" w:rsidRPr="00AB2877">
        <w:rPr>
          <w:rFonts w:ascii="Arial" w:hAnsi="Arial" w:cs="Arial"/>
        </w:rPr>
        <w:t>S</w:t>
      </w:r>
      <w:r w:rsidRPr="00AB2877">
        <w:rPr>
          <w:rFonts w:ascii="Arial" w:hAnsi="Arial" w:cs="Arial"/>
        </w:rPr>
        <w:t>tate.</w:t>
      </w:r>
      <w:r w:rsidR="000D3AF9" w:rsidRPr="00AB2877">
        <w:rPr>
          <w:rFonts w:ascii="Arial" w:hAnsi="Arial" w:cs="Arial"/>
        </w:rPr>
        <w:t xml:space="preserve"> </w:t>
      </w:r>
    </w:p>
    <w:p w:rsidR="000D3AF9" w:rsidRPr="00AB2877" w:rsidRDefault="000D3AF9" w:rsidP="007C7872">
      <w:pPr>
        <w:pStyle w:val="ListParagraph"/>
        <w:numPr>
          <w:ilvl w:val="0"/>
          <w:numId w:val="19"/>
        </w:numPr>
        <w:spacing w:after="0" w:line="240" w:lineRule="auto"/>
        <w:ind w:left="1418" w:hanging="425"/>
        <w:jc w:val="both"/>
        <w:rPr>
          <w:rFonts w:ascii="Arial" w:hAnsi="Arial" w:cs="Arial"/>
        </w:rPr>
      </w:pPr>
      <w:r w:rsidRPr="00AB2877">
        <w:rPr>
          <w:rFonts w:ascii="Arial" w:hAnsi="Arial" w:cs="Arial"/>
        </w:rPr>
        <w:t>Prepa</w:t>
      </w:r>
      <w:r w:rsidR="00FA189C" w:rsidRPr="00AB2877">
        <w:rPr>
          <w:rFonts w:ascii="Arial" w:hAnsi="Arial" w:cs="Arial"/>
        </w:rPr>
        <w:t>ration of the</w:t>
      </w:r>
      <w:r w:rsidRPr="00AB2877">
        <w:rPr>
          <w:rFonts w:ascii="Arial" w:hAnsi="Arial" w:cs="Arial"/>
        </w:rPr>
        <w:t xml:space="preserve"> letter of claim to </w:t>
      </w:r>
      <w:r w:rsidR="00D6642C" w:rsidRPr="00AB2877">
        <w:rPr>
          <w:rFonts w:ascii="Arial" w:hAnsi="Arial" w:cs="Arial"/>
        </w:rPr>
        <w:t>defendant</w:t>
      </w:r>
      <w:r w:rsidRPr="00AB2877">
        <w:rPr>
          <w:rFonts w:ascii="Arial" w:hAnsi="Arial" w:cs="Arial"/>
        </w:rPr>
        <w:t>, seeking damages on behalf of the Secretary of State</w:t>
      </w:r>
      <w:r w:rsidR="00FA189C" w:rsidRPr="00AB2877">
        <w:rPr>
          <w:rFonts w:ascii="Arial" w:hAnsi="Arial" w:cs="Arial"/>
        </w:rPr>
        <w:t>.</w:t>
      </w:r>
    </w:p>
    <w:p w:rsidR="00C63E30" w:rsidRPr="00B60C22" w:rsidRDefault="00C63E30" w:rsidP="00C63E30">
      <w:pPr>
        <w:pStyle w:val="BoldTextindent"/>
        <w:numPr>
          <w:ilvl w:val="0"/>
          <w:numId w:val="0"/>
        </w:numPr>
        <w:spacing w:before="0" w:after="0"/>
        <w:ind w:left="1713"/>
        <w:rPr>
          <w:bCs/>
        </w:rPr>
      </w:pPr>
    </w:p>
    <w:p w:rsidR="00CD4196" w:rsidRPr="00B60C22" w:rsidRDefault="00A66FB1" w:rsidP="00E654E9">
      <w:pPr>
        <w:pStyle w:val="BoldTextindent"/>
        <w:spacing w:before="0" w:after="0"/>
        <w:ind w:left="993" w:hanging="993"/>
        <w:rPr>
          <w:bCs/>
        </w:rPr>
      </w:pPr>
      <w:r w:rsidRPr="00B60C22">
        <w:rPr>
          <w:bCs/>
        </w:rPr>
        <w:t>Conducting without</w:t>
      </w:r>
      <w:r w:rsidR="000D3AF9" w:rsidRPr="00B60C22">
        <w:rPr>
          <w:bCs/>
        </w:rPr>
        <w:t xml:space="preserve"> prejudice meeting</w:t>
      </w:r>
      <w:r w:rsidRPr="00B60C22">
        <w:rPr>
          <w:bCs/>
        </w:rPr>
        <w:t>s</w:t>
      </w:r>
      <w:r w:rsidR="000D3AF9" w:rsidRPr="00B60C22">
        <w:rPr>
          <w:bCs/>
        </w:rPr>
        <w:t xml:space="preserve"> with </w:t>
      </w:r>
      <w:r w:rsidRPr="00B60C22">
        <w:rPr>
          <w:bCs/>
        </w:rPr>
        <w:t>the defendant or the defendants</w:t>
      </w:r>
      <w:r w:rsidR="004175A0" w:rsidRPr="00B60C22">
        <w:rPr>
          <w:bCs/>
        </w:rPr>
        <w:t xml:space="preserve"> solicitors</w:t>
      </w:r>
      <w:r w:rsidRPr="00B60C22">
        <w:rPr>
          <w:bCs/>
        </w:rPr>
        <w:t>.</w:t>
      </w:r>
      <w:r w:rsidR="00844302" w:rsidRPr="00B60C22">
        <w:rPr>
          <w:bCs/>
        </w:rPr>
        <w:t xml:space="preserve"> </w:t>
      </w:r>
    </w:p>
    <w:p w:rsidR="00C63E30" w:rsidRPr="00B60C22" w:rsidRDefault="00C63E30" w:rsidP="00C63E30">
      <w:pPr>
        <w:pStyle w:val="BoldTextindent"/>
        <w:numPr>
          <w:ilvl w:val="0"/>
          <w:numId w:val="0"/>
        </w:numPr>
        <w:spacing w:before="0" w:after="0"/>
        <w:ind w:left="993"/>
        <w:rPr>
          <w:bCs/>
        </w:rPr>
      </w:pPr>
    </w:p>
    <w:p w:rsidR="00A66FB1" w:rsidRPr="00B60C22" w:rsidRDefault="00A66FB1" w:rsidP="00E654E9">
      <w:pPr>
        <w:pStyle w:val="BoldTextindent"/>
        <w:spacing w:before="0" w:after="0"/>
        <w:ind w:left="993" w:hanging="993"/>
        <w:rPr>
          <w:bCs/>
        </w:rPr>
      </w:pPr>
      <w:r w:rsidRPr="00B60C22">
        <w:rPr>
          <w:bCs/>
        </w:rPr>
        <w:t>Claim and counterclaim; r</w:t>
      </w:r>
      <w:r w:rsidR="000D3AF9" w:rsidRPr="00B60C22">
        <w:rPr>
          <w:bCs/>
        </w:rPr>
        <w:t xml:space="preserve">eviewing and advising in relation to any substantive arguments put forward by </w:t>
      </w:r>
      <w:r w:rsidRPr="00B60C22">
        <w:rPr>
          <w:bCs/>
        </w:rPr>
        <w:t>the defendant</w:t>
      </w:r>
      <w:r w:rsidR="000D3AF9" w:rsidRPr="00B60C22">
        <w:rPr>
          <w:bCs/>
        </w:rPr>
        <w:t xml:space="preserve"> in advance of any without prejudice meeting</w:t>
      </w:r>
      <w:r w:rsidRPr="00B60C22">
        <w:rPr>
          <w:bCs/>
        </w:rPr>
        <w:t>s.</w:t>
      </w:r>
    </w:p>
    <w:p w:rsidR="00C63E30" w:rsidRPr="00B60C22" w:rsidRDefault="00C63E30" w:rsidP="00C63E30">
      <w:pPr>
        <w:pStyle w:val="BoldTextindent"/>
        <w:numPr>
          <w:ilvl w:val="0"/>
          <w:numId w:val="0"/>
        </w:numPr>
        <w:spacing w:before="0" w:after="0"/>
        <w:ind w:left="993"/>
        <w:rPr>
          <w:bCs/>
        </w:rPr>
      </w:pPr>
    </w:p>
    <w:p w:rsidR="000D3AF9" w:rsidRPr="00B60C22" w:rsidRDefault="00A66FB1" w:rsidP="00E654E9">
      <w:pPr>
        <w:pStyle w:val="BoldTextindent"/>
        <w:spacing w:before="0" w:after="0"/>
        <w:ind w:left="993" w:hanging="993"/>
        <w:rPr>
          <w:bCs/>
        </w:rPr>
      </w:pPr>
      <w:r w:rsidRPr="00B60C22">
        <w:rPr>
          <w:bCs/>
        </w:rPr>
        <w:t>Management of claim timescales to ensure</w:t>
      </w:r>
      <w:r w:rsidR="000D3AF9" w:rsidRPr="00B60C22">
        <w:rPr>
          <w:bCs/>
        </w:rPr>
        <w:t xml:space="preserve"> </w:t>
      </w:r>
      <w:r w:rsidRPr="00B60C22">
        <w:rPr>
          <w:bCs/>
        </w:rPr>
        <w:t>that any claim is not prejudiced by delay.</w:t>
      </w:r>
    </w:p>
    <w:p w:rsidR="00C63E30" w:rsidRPr="00B60C22" w:rsidRDefault="00C63E30" w:rsidP="00C63E30">
      <w:pPr>
        <w:pStyle w:val="BoldTextindent"/>
        <w:numPr>
          <w:ilvl w:val="0"/>
          <w:numId w:val="0"/>
        </w:numPr>
        <w:spacing w:before="0" w:after="0"/>
        <w:ind w:left="993"/>
        <w:rPr>
          <w:bCs/>
        </w:rPr>
      </w:pPr>
    </w:p>
    <w:p w:rsidR="000D3AF9" w:rsidRPr="00B60C22" w:rsidRDefault="002A69D3" w:rsidP="00E654E9">
      <w:pPr>
        <w:pStyle w:val="BoldTextindent"/>
        <w:spacing w:before="0" w:after="0"/>
        <w:ind w:left="993" w:hanging="993"/>
        <w:rPr>
          <w:bCs/>
        </w:rPr>
      </w:pPr>
      <w:r w:rsidRPr="00B60C22">
        <w:rPr>
          <w:bCs/>
        </w:rPr>
        <w:t xml:space="preserve">Review of all </w:t>
      </w:r>
      <w:r w:rsidR="000D3AF9" w:rsidRPr="00B60C22">
        <w:rPr>
          <w:bCs/>
        </w:rPr>
        <w:t xml:space="preserve">without prejudice offers made by </w:t>
      </w:r>
      <w:r w:rsidRPr="00B60C22">
        <w:rPr>
          <w:bCs/>
        </w:rPr>
        <w:t xml:space="preserve">the Defendant </w:t>
      </w:r>
      <w:r w:rsidR="000D3AF9" w:rsidRPr="00B60C22">
        <w:rPr>
          <w:bCs/>
        </w:rPr>
        <w:t>and any offers to be made by the Secretary of State.</w:t>
      </w:r>
    </w:p>
    <w:p w:rsidR="00C63E30" w:rsidRPr="00B60C22" w:rsidRDefault="00C63E30" w:rsidP="00C63E30">
      <w:pPr>
        <w:pStyle w:val="BoldTextindent"/>
        <w:numPr>
          <w:ilvl w:val="0"/>
          <w:numId w:val="0"/>
        </w:numPr>
        <w:spacing w:before="0" w:after="0"/>
        <w:ind w:left="993"/>
        <w:rPr>
          <w:bCs/>
        </w:rPr>
      </w:pPr>
    </w:p>
    <w:p w:rsidR="002A69D3" w:rsidRPr="00B60C22" w:rsidRDefault="002A69D3" w:rsidP="00E654E9">
      <w:pPr>
        <w:pStyle w:val="BoldTextindent"/>
        <w:spacing w:before="0" w:after="0"/>
        <w:ind w:left="993" w:hanging="993"/>
        <w:rPr>
          <w:bCs/>
        </w:rPr>
      </w:pPr>
      <w:r w:rsidRPr="00B60C22">
        <w:rPr>
          <w:bCs/>
        </w:rPr>
        <w:t>Provision of advice relating to the adequacy of any without prejudice offer.</w:t>
      </w:r>
    </w:p>
    <w:p w:rsidR="00C63E30" w:rsidRPr="00B60C22" w:rsidRDefault="00C63E30" w:rsidP="00C63E30">
      <w:pPr>
        <w:pStyle w:val="BoldTextindent"/>
        <w:numPr>
          <w:ilvl w:val="0"/>
          <w:numId w:val="0"/>
        </w:numPr>
        <w:spacing w:before="0" w:after="0"/>
        <w:ind w:left="993"/>
        <w:rPr>
          <w:bCs/>
        </w:rPr>
      </w:pPr>
    </w:p>
    <w:p w:rsidR="000D3AF9" w:rsidRPr="00B60C22" w:rsidRDefault="002A69D3" w:rsidP="004749D0">
      <w:pPr>
        <w:pStyle w:val="BoldTextindent"/>
        <w:spacing w:before="0" w:after="0"/>
        <w:ind w:left="993" w:hanging="993"/>
        <w:rPr>
          <w:bCs/>
        </w:rPr>
      </w:pPr>
      <w:r w:rsidRPr="00B60C22">
        <w:rPr>
          <w:bCs/>
        </w:rPr>
        <w:t>Where applicable the d</w:t>
      </w:r>
      <w:r w:rsidR="000D3AF9" w:rsidRPr="00B60C22">
        <w:rPr>
          <w:bCs/>
        </w:rPr>
        <w:t xml:space="preserve">rafting </w:t>
      </w:r>
      <w:r w:rsidRPr="00B60C22">
        <w:rPr>
          <w:bCs/>
        </w:rPr>
        <w:t>of S</w:t>
      </w:r>
      <w:r w:rsidR="000D3AF9" w:rsidRPr="00B60C22">
        <w:rPr>
          <w:bCs/>
        </w:rPr>
        <w:t xml:space="preserve">ettlement </w:t>
      </w:r>
      <w:r w:rsidRPr="00B60C22">
        <w:rPr>
          <w:bCs/>
        </w:rPr>
        <w:t>A</w:t>
      </w:r>
      <w:r w:rsidR="000D3AF9" w:rsidRPr="00B60C22">
        <w:rPr>
          <w:bCs/>
        </w:rPr>
        <w:t>greement</w:t>
      </w:r>
      <w:r w:rsidRPr="00B60C22">
        <w:rPr>
          <w:bCs/>
        </w:rPr>
        <w:t>s or Issuing proceedings and court documents.</w:t>
      </w:r>
    </w:p>
    <w:p w:rsidR="00C63E30" w:rsidRPr="00B60C22" w:rsidRDefault="00C63E30" w:rsidP="004749D0">
      <w:pPr>
        <w:pStyle w:val="BoldTextindent"/>
        <w:numPr>
          <w:ilvl w:val="0"/>
          <w:numId w:val="0"/>
        </w:numPr>
        <w:spacing w:before="0" w:after="0"/>
        <w:ind w:left="993"/>
        <w:rPr>
          <w:bCs/>
        </w:rPr>
      </w:pPr>
    </w:p>
    <w:p w:rsidR="00E27D70" w:rsidRPr="00B60C22" w:rsidRDefault="00E27D70" w:rsidP="004749D0">
      <w:pPr>
        <w:pStyle w:val="BoldTextindent"/>
        <w:spacing w:before="0" w:after="0"/>
        <w:ind w:left="993" w:hanging="993"/>
        <w:rPr>
          <w:bCs/>
        </w:rPr>
      </w:pPr>
      <w:r w:rsidRPr="00B60C22">
        <w:rPr>
          <w:bCs/>
        </w:rPr>
        <w:t>Preparation of</w:t>
      </w:r>
      <w:r w:rsidR="000D3AF9" w:rsidRPr="00B60C22">
        <w:rPr>
          <w:bCs/>
        </w:rPr>
        <w:t xml:space="preserve"> </w:t>
      </w:r>
      <w:r w:rsidRPr="00B60C22">
        <w:rPr>
          <w:bCs/>
        </w:rPr>
        <w:t>a</w:t>
      </w:r>
      <w:r w:rsidR="000D3AF9" w:rsidRPr="00B60C22">
        <w:rPr>
          <w:bCs/>
        </w:rPr>
        <w:t>pplication</w:t>
      </w:r>
      <w:r w:rsidRPr="00B60C22">
        <w:rPr>
          <w:bCs/>
        </w:rPr>
        <w:t>s</w:t>
      </w:r>
      <w:r w:rsidR="000D3AF9" w:rsidRPr="00B60C22">
        <w:rPr>
          <w:bCs/>
        </w:rPr>
        <w:t xml:space="preserve"> for </w:t>
      </w:r>
      <w:r w:rsidRPr="00B60C22">
        <w:rPr>
          <w:bCs/>
        </w:rPr>
        <w:t>the Department of Health’s</w:t>
      </w:r>
      <w:r w:rsidR="000D3AF9" w:rsidRPr="00B60C22">
        <w:rPr>
          <w:bCs/>
        </w:rPr>
        <w:t xml:space="preserve"> losses to be assessed by the Court, to be used as part of the without prejudice negotiations</w:t>
      </w:r>
      <w:r w:rsidRPr="00B60C22">
        <w:rPr>
          <w:bCs/>
        </w:rPr>
        <w:t xml:space="preserve">. </w:t>
      </w:r>
    </w:p>
    <w:p w:rsidR="00F21BB7" w:rsidRPr="00B60C22" w:rsidRDefault="00F21BB7" w:rsidP="00AB2877">
      <w:pPr>
        <w:pStyle w:val="Default"/>
        <w:jc w:val="both"/>
        <w:rPr>
          <w:bCs/>
          <w:sz w:val="22"/>
          <w:szCs w:val="22"/>
        </w:rPr>
      </w:pPr>
    </w:p>
    <w:p w:rsidR="00D87621" w:rsidRPr="00B60C22" w:rsidRDefault="00E27D70" w:rsidP="004749D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lastRenderedPageBreak/>
        <w:t>J</w:t>
      </w:r>
      <w:r w:rsidR="00954C90" w:rsidRPr="00B60C22">
        <w:rPr>
          <w:rFonts w:ascii="Arial" w:hAnsi="Arial"/>
          <w:sz w:val="22"/>
          <w:szCs w:val="22"/>
        </w:rPr>
        <w:t>UDGMENT AND RESOLUTION</w:t>
      </w:r>
    </w:p>
    <w:p w:rsidR="004749D0" w:rsidRPr="00B60C22" w:rsidRDefault="004749D0" w:rsidP="00813351">
      <w:pPr>
        <w:spacing w:after="0" w:line="240" w:lineRule="auto"/>
        <w:rPr>
          <w:rFonts w:ascii="Arial" w:hAnsi="Arial" w:cs="Arial"/>
        </w:rPr>
      </w:pPr>
    </w:p>
    <w:p w:rsidR="00677F1A" w:rsidRPr="00B60C22" w:rsidRDefault="00E27D70" w:rsidP="004749D0">
      <w:pPr>
        <w:pStyle w:val="BoldTextindent"/>
        <w:spacing w:before="0" w:after="0"/>
        <w:ind w:left="993" w:hanging="993"/>
      </w:pPr>
      <w:r w:rsidRPr="00B60C22">
        <w:t xml:space="preserve">Once a Judgement is obtained or a Resolution is arrived at, the appointed </w:t>
      </w:r>
      <w:r w:rsidR="00F64A2E" w:rsidRPr="00B60C22">
        <w:t>framework supplier</w:t>
      </w:r>
      <w:r w:rsidR="00B02341" w:rsidRPr="00B60C22">
        <w:t xml:space="preserve">(s) </w:t>
      </w:r>
      <w:r w:rsidR="00E559A2" w:rsidRPr="00B60C22">
        <w:t>may</w:t>
      </w:r>
      <w:r w:rsidRPr="00B60C22">
        <w:t xml:space="preserve"> be required to support the Department of Health to ensure that </w:t>
      </w:r>
      <w:r w:rsidR="00E559A2" w:rsidRPr="00B60C22">
        <w:t>the Judgement or Resolution is finalised and subsequently enforced.</w:t>
      </w:r>
    </w:p>
    <w:p w:rsidR="00C63E30" w:rsidRPr="00B60C22" w:rsidRDefault="00C63E30" w:rsidP="00C63E30">
      <w:pPr>
        <w:pStyle w:val="BoldTextindent"/>
        <w:numPr>
          <w:ilvl w:val="0"/>
          <w:numId w:val="0"/>
        </w:numPr>
        <w:spacing w:before="0" w:after="0"/>
        <w:ind w:left="993"/>
      </w:pPr>
    </w:p>
    <w:p w:rsidR="004E0096" w:rsidRPr="00B60C22" w:rsidRDefault="00B35441" w:rsidP="00E654E9">
      <w:pPr>
        <w:pStyle w:val="BoldTextindent"/>
        <w:spacing w:before="0" w:after="0"/>
        <w:ind w:left="993" w:hanging="993"/>
      </w:pPr>
      <w:r w:rsidRPr="00B60C22">
        <w:t>Key aspects of the requirement that require management;</w:t>
      </w:r>
    </w:p>
    <w:p w:rsidR="00B35441" w:rsidRPr="00AB2877" w:rsidRDefault="00B35441" w:rsidP="007C7872">
      <w:pPr>
        <w:pStyle w:val="ListParagraph"/>
        <w:numPr>
          <w:ilvl w:val="0"/>
          <w:numId w:val="20"/>
        </w:numPr>
        <w:spacing w:after="0" w:line="240" w:lineRule="auto"/>
        <w:ind w:left="1418"/>
        <w:jc w:val="both"/>
        <w:rPr>
          <w:rFonts w:ascii="Arial" w:hAnsi="Arial" w:cs="Arial"/>
        </w:rPr>
      </w:pPr>
      <w:r w:rsidRPr="00AB2877">
        <w:rPr>
          <w:rFonts w:ascii="Arial" w:hAnsi="Arial" w:cs="Arial"/>
        </w:rPr>
        <w:t>Offers to settle.</w:t>
      </w:r>
    </w:p>
    <w:p w:rsidR="00B35441" w:rsidRPr="00AB2877" w:rsidRDefault="00B35441" w:rsidP="007C7872">
      <w:pPr>
        <w:pStyle w:val="ListParagraph"/>
        <w:numPr>
          <w:ilvl w:val="0"/>
          <w:numId w:val="20"/>
        </w:numPr>
        <w:spacing w:after="0" w:line="240" w:lineRule="auto"/>
        <w:ind w:left="1418"/>
        <w:jc w:val="both"/>
        <w:rPr>
          <w:rFonts w:ascii="Arial" w:hAnsi="Arial" w:cs="Arial"/>
        </w:rPr>
      </w:pPr>
      <w:r w:rsidRPr="00AB2877">
        <w:rPr>
          <w:rFonts w:ascii="Arial" w:hAnsi="Arial" w:cs="Arial"/>
        </w:rPr>
        <w:t>Offer to settle a dispute using ADR - a party who unreasonably refuses an offer to settle a case in this way may incur cost penalties.</w:t>
      </w:r>
    </w:p>
    <w:p w:rsidR="00B35441" w:rsidRPr="00AB2877" w:rsidRDefault="00B35441" w:rsidP="007C7872">
      <w:pPr>
        <w:pStyle w:val="ListParagraph"/>
        <w:numPr>
          <w:ilvl w:val="0"/>
          <w:numId w:val="20"/>
        </w:numPr>
        <w:spacing w:after="0" w:line="240" w:lineRule="auto"/>
        <w:ind w:left="1418"/>
        <w:jc w:val="both"/>
        <w:rPr>
          <w:rFonts w:ascii="Arial" w:hAnsi="Arial" w:cs="Arial"/>
        </w:rPr>
      </w:pPr>
      <w:r w:rsidRPr="00AB2877">
        <w:rPr>
          <w:rFonts w:ascii="Arial" w:hAnsi="Arial" w:cs="Arial"/>
        </w:rPr>
        <w:t>Injunctions – in some cases it may be necessary to stop a party from doing something immediately or to preserve assets until after the trial.</w:t>
      </w:r>
    </w:p>
    <w:p w:rsidR="00B35441" w:rsidRPr="00AB2877" w:rsidRDefault="00B35441" w:rsidP="007C7872">
      <w:pPr>
        <w:pStyle w:val="ListParagraph"/>
        <w:numPr>
          <w:ilvl w:val="0"/>
          <w:numId w:val="20"/>
        </w:numPr>
        <w:spacing w:after="0" w:line="240" w:lineRule="auto"/>
        <w:ind w:left="1418"/>
        <w:jc w:val="both"/>
        <w:rPr>
          <w:rFonts w:ascii="Arial" w:hAnsi="Arial" w:cs="Arial"/>
        </w:rPr>
      </w:pPr>
      <w:r w:rsidRPr="00AB2877">
        <w:rPr>
          <w:rFonts w:ascii="Arial" w:hAnsi="Arial" w:cs="Arial"/>
        </w:rPr>
        <w:t>Security for costs – the usual costs rule is that the losing party will pay a substantial proportion of the winning party's legal costs.</w:t>
      </w:r>
    </w:p>
    <w:p w:rsidR="00371039" w:rsidRDefault="00371039" w:rsidP="00E654E9">
      <w:pPr>
        <w:pStyle w:val="Default"/>
        <w:jc w:val="both"/>
        <w:rPr>
          <w:sz w:val="22"/>
          <w:szCs w:val="22"/>
        </w:rPr>
      </w:pPr>
    </w:p>
    <w:p w:rsidR="00AB2877" w:rsidRPr="00B60C22" w:rsidRDefault="00AB2877" w:rsidP="00E654E9">
      <w:pPr>
        <w:pStyle w:val="Default"/>
        <w:jc w:val="both"/>
        <w:rPr>
          <w:sz w:val="22"/>
          <w:szCs w:val="22"/>
        </w:rPr>
      </w:pPr>
    </w:p>
    <w:p w:rsidR="00C63E30" w:rsidRPr="00B60C22" w:rsidRDefault="00677F1A"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C</w:t>
      </w:r>
      <w:r w:rsidR="00954C90" w:rsidRPr="00B60C22">
        <w:rPr>
          <w:rFonts w:ascii="Arial" w:hAnsi="Arial"/>
          <w:sz w:val="22"/>
          <w:szCs w:val="22"/>
        </w:rPr>
        <w:t>OMMUNICATIONS</w:t>
      </w:r>
    </w:p>
    <w:p w:rsidR="00C63E30" w:rsidRPr="00B60C22" w:rsidRDefault="00C63E30" w:rsidP="00C63E30">
      <w:pPr>
        <w:spacing w:after="0" w:line="240" w:lineRule="auto"/>
        <w:rPr>
          <w:rFonts w:ascii="Arial" w:hAnsi="Arial" w:cs="Arial"/>
        </w:rPr>
      </w:pPr>
    </w:p>
    <w:p w:rsidR="004E0096" w:rsidRPr="00B60C22" w:rsidRDefault="00B35441" w:rsidP="00C63E30">
      <w:pPr>
        <w:pStyle w:val="BoldTextindent"/>
        <w:spacing w:before="0" w:after="0"/>
        <w:ind w:left="993" w:hanging="993"/>
      </w:pPr>
      <w:r w:rsidRPr="00B60C22">
        <w:t xml:space="preserve">It is a requirement that the </w:t>
      </w:r>
      <w:r w:rsidR="008A4852" w:rsidRPr="00B60C22">
        <w:t xml:space="preserve">appointed </w:t>
      </w:r>
      <w:r w:rsidR="00F64A2E" w:rsidRPr="00B60C22">
        <w:t>framework supplier</w:t>
      </w:r>
      <w:r w:rsidR="00B02341" w:rsidRPr="00B60C22">
        <w:t>(s)</w:t>
      </w:r>
      <w:r w:rsidRPr="00B60C22">
        <w:t xml:space="preserve"> is able to take advantage of multiple modes of communication with the Department of Health. It is considered that the correct use of multiple modes of communication should be applied to ensure efficient use of time and resource. </w:t>
      </w:r>
    </w:p>
    <w:p w:rsidR="00C63E30" w:rsidRPr="00B60C22" w:rsidRDefault="00C63E30" w:rsidP="00C63E30">
      <w:pPr>
        <w:pStyle w:val="BoldTextindent"/>
        <w:numPr>
          <w:ilvl w:val="0"/>
          <w:numId w:val="0"/>
        </w:numPr>
        <w:spacing w:before="0" w:after="0"/>
        <w:ind w:left="993"/>
      </w:pPr>
    </w:p>
    <w:p w:rsidR="00B35441" w:rsidRPr="00B60C22" w:rsidRDefault="00516595" w:rsidP="00E654E9">
      <w:pPr>
        <w:pStyle w:val="BoldTextindent"/>
        <w:spacing w:before="0" w:after="0"/>
        <w:ind w:left="993" w:hanging="993"/>
      </w:pPr>
      <w:r w:rsidRPr="00B60C22">
        <w:t>Suitable modes of communication should be used relative to the importance, cost and privacy requirements of the subject matter</w:t>
      </w:r>
      <w:r w:rsidR="008A4852" w:rsidRPr="00B60C22">
        <w:t>;</w:t>
      </w:r>
    </w:p>
    <w:p w:rsidR="00516595" w:rsidRPr="00AB2877" w:rsidRDefault="00516595" w:rsidP="007C7872">
      <w:pPr>
        <w:pStyle w:val="ListParagraph"/>
        <w:numPr>
          <w:ilvl w:val="0"/>
          <w:numId w:val="21"/>
        </w:numPr>
        <w:spacing w:after="0" w:line="240" w:lineRule="auto"/>
        <w:ind w:left="1418"/>
        <w:jc w:val="both"/>
        <w:rPr>
          <w:rFonts w:ascii="Arial" w:hAnsi="Arial" w:cs="Arial"/>
        </w:rPr>
      </w:pPr>
      <w:r w:rsidRPr="00AB2877">
        <w:rPr>
          <w:rFonts w:ascii="Arial" w:hAnsi="Arial" w:cs="Arial"/>
        </w:rPr>
        <w:t>Email.</w:t>
      </w:r>
    </w:p>
    <w:p w:rsidR="00516595" w:rsidRPr="00AB2877" w:rsidRDefault="00516595" w:rsidP="007C7872">
      <w:pPr>
        <w:pStyle w:val="ListParagraph"/>
        <w:numPr>
          <w:ilvl w:val="0"/>
          <w:numId w:val="21"/>
        </w:numPr>
        <w:spacing w:after="0" w:line="240" w:lineRule="auto"/>
        <w:ind w:left="1418"/>
        <w:jc w:val="both"/>
        <w:rPr>
          <w:rFonts w:ascii="Arial" w:hAnsi="Arial" w:cs="Arial"/>
        </w:rPr>
      </w:pPr>
      <w:r w:rsidRPr="00AB2877">
        <w:rPr>
          <w:rFonts w:ascii="Arial" w:hAnsi="Arial" w:cs="Arial"/>
        </w:rPr>
        <w:t>Telephone / Teleconference / Video Conference.</w:t>
      </w:r>
    </w:p>
    <w:p w:rsidR="00516595" w:rsidRPr="00AB2877" w:rsidRDefault="00516595" w:rsidP="007C7872">
      <w:pPr>
        <w:pStyle w:val="ListParagraph"/>
        <w:numPr>
          <w:ilvl w:val="0"/>
          <w:numId w:val="21"/>
        </w:numPr>
        <w:spacing w:after="0" w:line="240" w:lineRule="auto"/>
        <w:ind w:left="1418"/>
        <w:jc w:val="both"/>
        <w:rPr>
          <w:rFonts w:ascii="Arial" w:hAnsi="Arial" w:cs="Arial"/>
        </w:rPr>
      </w:pPr>
      <w:r w:rsidRPr="00AB2877">
        <w:rPr>
          <w:rFonts w:ascii="Arial" w:hAnsi="Arial" w:cs="Arial"/>
        </w:rPr>
        <w:t>Video-conference / Skype.</w:t>
      </w:r>
    </w:p>
    <w:p w:rsidR="008A4852" w:rsidRPr="00AB2877" w:rsidRDefault="008A4852" w:rsidP="007C7872">
      <w:pPr>
        <w:pStyle w:val="ListParagraph"/>
        <w:numPr>
          <w:ilvl w:val="0"/>
          <w:numId w:val="21"/>
        </w:numPr>
        <w:spacing w:after="0" w:line="240" w:lineRule="auto"/>
        <w:ind w:left="1418"/>
        <w:jc w:val="both"/>
        <w:rPr>
          <w:rFonts w:ascii="Arial" w:hAnsi="Arial" w:cs="Arial"/>
        </w:rPr>
      </w:pPr>
      <w:r w:rsidRPr="00AB2877">
        <w:rPr>
          <w:rFonts w:ascii="Arial" w:hAnsi="Arial" w:cs="Arial"/>
        </w:rPr>
        <w:t xml:space="preserve">Face to face </w:t>
      </w:r>
      <w:r w:rsidR="00516595" w:rsidRPr="00AB2877">
        <w:rPr>
          <w:rFonts w:ascii="Arial" w:hAnsi="Arial" w:cs="Arial"/>
        </w:rPr>
        <w:t>m</w:t>
      </w:r>
      <w:r w:rsidRPr="00AB2877">
        <w:rPr>
          <w:rFonts w:ascii="Arial" w:hAnsi="Arial" w:cs="Arial"/>
        </w:rPr>
        <w:t xml:space="preserve">eeting; primarily within the Department of Health Premises or the Appointed Legal advisors </w:t>
      </w:r>
      <w:r w:rsidR="00516595" w:rsidRPr="00AB2877">
        <w:rPr>
          <w:rFonts w:ascii="Arial" w:hAnsi="Arial" w:cs="Arial"/>
        </w:rPr>
        <w:t xml:space="preserve">premises. </w:t>
      </w:r>
    </w:p>
    <w:p w:rsidR="00516595" w:rsidRPr="00AB2877" w:rsidRDefault="00516595" w:rsidP="007C7872">
      <w:pPr>
        <w:pStyle w:val="ListParagraph"/>
        <w:numPr>
          <w:ilvl w:val="0"/>
          <w:numId w:val="21"/>
        </w:numPr>
        <w:spacing w:after="0" w:line="240" w:lineRule="auto"/>
        <w:ind w:left="1418"/>
        <w:jc w:val="both"/>
        <w:rPr>
          <w:rFonts w:ascii="Arial" w:hAnsi="Arial" w:cs="Arial"/>
        </w:rPr>
      </w:pPr>
      <w:r w:rsidRPr="00AB2877">
        <w:rPr>
          <w:rFonts w:ascii="Arial" w:hAnsi="Arial" w:cs="Arial"/>
        </w:rPr>
        <w:t>Briefing paper.</w:t>
      </w:r>
    </w:p>
    <w:p w:rsidR="00516595" w:rsidRPr="00AB2877" w:rsidRDefault="00516595" w:rsidP="007C7872">
      <w:pPr>
        <w:pStyle w:val="ListParagraph"/>
        <w:numPr>
          <w:ilvl w:val="0"/>
          <w:numId w:val="21"/>
        </w:numPr>
        <w:spacing w:after="0" w:line="240" w:lineRule="auto"/>
        <w:ind w:left="1418"/>
        <w:jc w:val="both"/>
        <w:rPr>
          <w:rFonts w:ascii="Arial" w:hAnsi="Arial" w:cs="Arial"/>
        </w:rPr>
      </w:pPr>
      <w:r w:rsidRPr="00AB2877">
        <w:rPr>
          <w:rFonts w:ascii="Arial" w:hAnsi="Arial" w:cs="Arial"/>
        </w:rPr>
        <w:t>Formal Letter.</w:t>
      </w:r>
    </w:p>
    <w:p w:rsidR="00516595" w:rsidRPr="00AB2877" w:rsidRDefault="00516595" w:rsidP="007C7872">
      <w:pPr>
        <w:pStyle w:val="ListParagraph"/>
        <w:numPr>
          <w:ilvl w:val="0"/>
          <w:numId w:val="21"/>
        </w:numPr>
        <w:spacing w:after="0" w:line="240" w:lineRule="auto"/>
        <w:ind w:left="1418"/>
        <w:jc w:val="both"/>
        <w:rPr>
          <w:rFonts w:ascii="Arial" w:hAnsi="Arial" w:cs="Arial"/>
        </w:rPr>
      </w:pPr>
      <w:r w:rsidRPr="00AB2877">
        <w:rPr>
          <w:rFonts w:ascii="Arial" w:hAnsi="Arial" w:cs="Arial"/>
        </w:rPr>
        <w:t>Formal report.</w:t>
      </w:r>
    </w:p>
    <w:p w:rsidR="00C63E30" w:rsidRDefault="00C63E30" w:rsidP="00C63E30">
      <w:pPr>
        <w:pStyle w:val="Default"/>
        <w:ind w:left="1800"/>
        <w:jc w:val="both"/>
        <w:rPr>
          <w:sz w:val="22"/>
          <w:szCs w:val="22"/>
          <w:lang w:val="en"/>
        </w:rPr>
      </w:pPr>
    </w:p>
    <w:p w:rsidR="00AB2877" w:rsidRPr="00B60C22" w:rsidRDefault="00AB2877" w:rsidP="00C63E30">
      <w:pPr>
        <w:pStyle w:val="Default"/>
        <w:ind w:left="1800"/>
        <w:jc w:val="both"/>
        <w:rPr>
          <w:sz w:val="22"/>
          <w:szCs w:val="22"/>
          <w:lang w:val="en"/>
        </w:rPr>
      </w:pPr>
    </w:p>
    <w:p w:rsidR="00C63E30" w:rsidRPr="00B60C22" w:rsidRDefault="00516595"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C</w:t>
      </w:r>
      <w:r w:rsidR="00954C90" w:rsidRPr="00B60C22">
        <w:rPr>
          <w:rFonts w:ascii="Arial" w:hAnsi="Arial"/>
          <w:sz w:val="22"/>
          <w:szCs w:val="22"/>
        </w:rPr>
        <w:t xml:space="preserve">ONFIDENTIALITY </w:t>
      </w:r>
    </w:p>
    <w:p w:rsidR="00C63E30" w:rsidRPr="00B60C22" w:rsidRDefault="00C63E30" w:rsidP="00C63E30">
      <w:pPr>
        <w:spacing w:after="0" w:line="240" w:lineRule="auto"/>
        <w:rPr>
          <w:rFonts w:ascii="Arial" w:hAnsi="Arial" w:cs="Arial"/>
        </w:rPr>
      </w:pPr>
    </w:p>
    <w:p w:rsidR="00516595" w:rsidRPr="00B60C22" w:rsidRDefault="00516595" w:rsidP="00C63E30">
      <w:pPr>
        <w:pStyle w:val="BoldTextindent"/>
        <w:spacing w:before="0" w:after="0"/>
        <w:ind w:left="993" w:hanging="993"/>
      </w:pPr>
      <w:r w:rsidRPr="00B60C22">
        <w:t xml:space="preserve">In accordance with the Framework Terms and Conditions confidentiality is a pre-requisite for the delivery of </w:t>
      </w:r>
      <w:r w:rsidR="00AD204A" w:rsidRPr="00B60C22">
        <w:t>Call-off C</w:t>
      </w:r>
      <w:r w:rsidRPr="00B60C22">
        <w:t xml:space="preserve">ontracts from the </w:t>
      </w:r>
      <w:r w:rsidR="00022D7B" w:rsidRPr="00B60C22">
        <w:t>F</w:t>
      </w:r>
      <w:r w:rsidRPr="00B60C22">
        <w:t xml:space="preserve">ramework. </w:t>
      </w:r>
    </w:p>
    <w:p w:rsidR="006C7B33" w:rsidRDefault="006C7B33" w:rsidP="00C63E30">
      <w:pPr>
        <w:pStyle w:val="Default"/>
        <w:jc w:val="both"/>
        <w:rPr>
          <w:bCs/>
          <w:sz w:val="22"/>
          <w:szCs w:val="22"/>
        </w:rPr>
      </w:pPr>
    </w:p>
    <w:p w:rsidR="00AB2877" w:rsidRPr="00B60C22" w:rsidRDefault="00AB2877" w:rsidP="00C63E30">
      <w:pPr>
        <w:pStyle w:val="Default"/>
        <w:jc w:val="both"/>
        <w:rPr>
          <w:bCs/>
          <w:sz w:val="22"/>
          <w:szCs w:val="22"/>
        </w:rPr>
      </w:pPr>
    </w:p>
    <w:p w:rsidR="00516595" w:rsidRPr="00B60C22" w:rsidRDefault="00516595"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C</w:t>
      </w:r>
      <w:r w:rsidR="00954C90" w:rsidRPr="00B60C22">
        <w:rPr>
          <w:rFonts w:ascii="Arial" w:hAnsi="Arial"/>
          <w:sz w:val="22"/>
          <w:szCs w:val="22"/>
        </w:rPr>
        <w:t>USTOMER RELATIONSHIP</w:t>
      </w:r>
    </w:p>
    <w:p w:rsidR="00C63E30" w:rsidRPr="00B60C22" w:rsidRDefault="00C63E30" w:rsidP="00C63E30">
      <w:pPr>
        <w:spacing w:after="0" w:line="240" w:lineRule="auto"/>
        <w:rPr>
          <w:rFonts w:ascii="Arial" w:hAnsi="Arial" w:cs="Arial"/>
        </w:rPr>
      </w:pPr>
    </w:p>
    <w:p w:rsidR="00223B58" w:rsidRPr="00B60C22" w:rsidRDefault="006C7B33" w:rsidP="00C63E30">
      <w:pPr>
        <w:pStyle w:val="BoldTextindent"/>
        <w:spacing w:before="0" w:after="0"/>
        <w:ind w:left="993" w:hanging="993"/>
      </w:pPr>
      <w:r w:rsidRPr="00B60C22">
        <w:t xml:space="preserve">Framework suppliers shall be required </w:t>
      </w:r>
      <w:r w:rsidR="00B66710" w:rsidRPr="00B60C22">
        <w:t xml:space="preserve">to maintain the Department of Health as a Prime Client throughout the duration of the Framework. </w:t>
      </w:r>
      <w:r w:rsidR="002709FF" w:rsidRPr="00B60C22">
        <w:t xml:space="preserve">This aspect shall be </w:t>
      </w:r>
      <w:r w:rsidR="003802C2" w:rsidRPr="00B60C22">
        <w:t>monitored and managed as</w:t>
      </w:r>
      <w:r w:rsidR="002709FF" w:rsidRPr="00B60C22">
        <w:t xml:space="preserve"> a constituent of</w:t>
      </w:r>
      <w:r w:rsidR="003802C2" w:rsidRPr="00B60C22">
        <w:t xml:space="preserve"> the</w:t>
      </w:r>
      <w:r w:rsidR="002709FF" w:rsidRPr="00B60C22">
        <w:t xml:space="preserve"> Contract Management</w:t>
      </w:r>
      <w:r w:rsidR="003802C2" w:rsidRPr="00B60C22">
        <w:t xml:space="preserve"> of the </w:t>
      </w:r>
      <w:r w:rsidR="00630246" w:rsidRPr="00B60C22">
        <w:t>F</w:t>
      </w:r>
      <w:r w:rsidR="003802C2" w:rsidRPr="00B60C22">
        <w:t>ramework</w:t>
      </w:r>
      <w:r w:rsidR="002709FF" w:rsidRPr="00B60C22">
        <w:t>.</w:t>
      </w:r>
      <w:r w:rsidR="004409FF" w:rsidRPr="00B60C22">
        <w:t xml:space="preserve"> </w:t>
      </w:r>
    </w:p>
    <w:p w:rsidR="004409FF" w:rsidRPr="00B60C22" w:rsidRDefault="004409FF" w:rsidP="00C63E30">
      <w:pPr>
        <w:pStyle w:val="BoldTextindent"/>
        <w:numPr>
          <w:ilvl w:val="0"/>
          <w:numId w:val="0"/>
        </w:numPr>
        <w:spacing w:before="0" w:after="0"/>
        <w:ind w:left="993"/>
      </w:pPr>
    </w:p>
    <w:p w:rsidR="004409FF" w:rsidRPr="00B60C22" w:rsidRDefault="004409FF" w:rsidP="00E654E9">
      <w:pPr>
        <w:pStyle w:val="BoldTextindent"/>
        <w:spacing w:before="0" w:after="0"/>
        <w:ind w:left="993" w:hanging="993"/>
      </w:pPr>
      <w:r w:rsidRPr="00B60C22">
        <w:t>Where conflicts of interest arise between the Department of Health’s interest</w:t>
      </w:r>
      <w:r w:rsidR="00B02341" w:rsidRPr="00B60C22">
        <w:t>s</w:t>
      </w:r>
      <w:r w:rsidRPr="00B60C22">
        <w:t xml:space="preserve"> and that of a framework supplier’s client, the Department of Health will require that its interest is served as a priority. </w:t>
      </w:r>
      <w:r w:rsidR="004817F3" w:rsidRPr="00B60C22">
        <w:t xml:space="preserve">Framework suppliers will be required to </w:t>
      </w:r>
      <w:r w:rsidR="004817F3" w:rsidRPr="00B60C22">
        <w:lastRenderedPageBreak/>
        <w:t xml:space="preserve">demonstrate that suitable control policies and procedures have been implemented to ensure the effective management of conflicts and confidentiality.  </w:t>
      </w:r>
      <w:r w:rsidRPr="00B60C22">
        <w:t>This may include but is not limited to;</w:t>
      </w:r>
    </w:p>
    <w:p w:rsidR="004409FF" w:rsidRPr="00EA22BB" w:rsidRDefault="004409FF" w:rsidP="007C7872">
      <w:pPr>
        <w:pStyle w:val="ListParagraph"/>
        <w:numPr>
          <w:ilvl w:val="0"/>
          <w:numId w:val="15"/>
        </w:numPr>
        <w:spacing w:after="0" w:line="240" w:lineRule="auto"/>
        <w:ind w:left="1418" w:hanging="425"/>
        <w:jc w:val="both"/>
        <w:rPr>
          <w:rFonts w:ascii="Arial" w:eastAsia="Times New Roman" w:hAnsi="Arial" w:cs="Arial"/>
          <w:iCs/>
        </w:rPr>
      </w:pPr>
      <w:r w:rsidRPr="00EA22BB">
        <w:rPr>
          <w:rFonts w:ascii="Arial" w:eastAsia="Times New Roman" w:hAnsi="Arial" w:cs="Arial"/>
          <w:iCs/>
        </w:rPr>
        <w:t>Existing clients</w:t>
      </w:r>
    </w:p>
    <w:p w:rsidR="004409FF" w:rsidRPr="00EA22BB" w:rsidRDefault="004409FF" w:rsidP="007C7872">
      <w:pPr>
        <w:pStyle w:val="ListParagraph"/>
        <w:numPr>
          <w:ilvl w:val="0"/>
          <w:numId w:val="15"/>
        </w:numPr>
        <w:spacing w:after="0" w:line="240" w:lineRule="auto"/>
        <w:ind w:left="1418" w:hanging="425"/>
        <w:jc w:val="both"/>
        <w:rPr>
          <w:rFonts w:ascii="Arial" w:eastAsia="Times New Roman" w:hAnsi="Arial" w:cs="Arial"/>
          <w:iCs/>
        </w:rPr>
      </w:pPr>
      <w:r w:rsidRPr="00EA22BB">
        <w:rPr>
          <w:rFonts w:ascii="Arial" w:eastAsia="Times New Roman" w:hAnsi="Arial" w:cs="Arial"/>
          <w:iCs/>
        </w:rPr>
        <w:t>Prospective clients</w:t>
      </w:r>
    </w:p>
    <w:p w:rsidR="004409FF" w:rsidRPr="00EA22BB" w:rsidRDefault="004409FF" w:rsidP="007C7872">
      <w:pPr>
        <w:pStyle w:val="ListParagraph"/>
        <w:numPr>
          <w:ilvl w:val="0"/>
          <w:numId w:val="15"/>
        </w:numPr>
        <w:spacing w:after="0" w:line="240" w:lineRule="auto"/>
        <w:ind w:left="1418" w:hanging="425"/>
        <w:jc w:val="both"/>
        <w:rPr>
          <w:rFonts w:ascii="Arial" w:eastAsia="Times New Roman" w:hAnsi="Arial" w:cs="Arial"/>
          <w:iCs/>
        </w:rPr>
      </w:pPr>
      <w:r w:rsidRPr="00EA22BB">
        <w:rPr>
          <w:rFonts w:ascii="Arial" w:eastAsia="Times New Roman" w:hAnsi="Arial" w:cs="Arial"/>
          <w:iCs/>
        </w:rPr>
        <w:t>Current Employees</w:t>
      </w:r>
    </w:p>
    <w:p w:rsidR="004409FF" w:rsidRPr="00EA22BB" w:rsidRDefault="004409FF" w:rsidP="007C7872">
      <w:pPr>
        <w:pStyle w:val="ListParagraph"/>
        <w:numPr>
          <w:ilvl w:val="0"/>
          <w:numId w:val="15"/>
        </w:numPr>
        <w:spacing w:after="0" w:line="240" w:lineRule="auto"/>
        <w:ind w:left="1418" w:hanging="425"/>
        <w:jc w:val="both"/>
        <w:rPr>
          <w:rFonts w:ascii="Arial" w:eastAsia="Times New Roman" w:hAnsi="Arial" w:cs="Arial"/>
          <w:iCs/>
        </w:rPr>
      </w:pPr>
      <w:r w:rsidRPr="00EA22BB">
        <w:rPr>
          <w:rFonts w:ascii="Arial" w:eastAsia="Times New Roman" w:hAnsi="Arial" w:cs="Arial"/>
          <w:iCs/>
        </w:rPr>
        <w:t xml:space="preserve">Ex-employees that have worked on behalf of the Department of Health and have subsequently left to work for an organisation that represents a conflict of interest with the Department of Health.  </w:t>
      </w:r>
    </w:p>
    <w:p w:rsidR="004409FF" w:rsidRPr="00EA22BB" w:rsidRDefault="004409FF" w:rsidP="007C7872">
      <w:pPr>
        <w:pStyle w:val="ListParagraph"/>
        <w:numPr>
          <w:ilvl w:val="0"/>
          <w:numId w:val="15"/>
        </w:numPr>
        <w:spacing w:after="0" w:line="240" w:lineRule="auto"/>
        <w:ind w:left="1418" w:hanging="425"/>
        <w:jc w:val="both"/>
        <w:rPr>
          <w:rFonts w:ascii="Arial" w:eastAsia="Times New Roman" w:hAnsi="Arial" w:cs="Arial"/>
          <w:iCs/>
        </w:rPr>
      </w:pPr>
      <w:r w:rsidRPr="00EA22BB">
        <w:rPr>
          <w:rFonts w:ascii="Arial" w:eastAsia="Times New Roman" w:hAnsi="Arial" w:cs="Arial"/>
          <w:iCs/>
        </w:rPr>
        <w:t>Formal and informal commun</w:t>
      </w:r>
      <w:r w:rsidR="004817F3" w:rsidRPr="00EA22BB">
        <w:rPr>
          <w:rFonts w:ascii="Arial" w:eastAsia="Times New Roman" w:hAnsi="Arial" w:cs="Arial"/>
          <w:iCs/>
        </w:rPr>
        <w:t>ications between employees and external parties.</w:t>
      </w:r>
    </w:p>
    <w:p w:rsidR="00B66710" w:rsidRPr="00B60C22" w:rsidRDefault="00B66710" w:rsidP="00E654E9">
      <w:pPr>
        <w:pStyle w:val="Default"/>
        <w:jc w:val="both"/>
        <w:rPr>
          <w:bCs/>
          <w:sz w:val="22"/>
          <w:szCs w:val="22"/>
        </w:rPr>
      </w:pPr>
    </w:p>
    <w:p w:rsidR="00B66710" w:rsidRPr="00B60C22" w:rsidRDefault="00B66710" w:rsidP="00E654E9">
      <w:pPr>
        <w:pStyle w:val="BoldTextindent"/>
        <w:spacing w:before="0" w:after="0"/>
        <w:ind w:left="993" w:hanging="993"/>
        <w:rPr>
          <w:bCs/>
        </w:rPr>
      </w:pPr>
      <w:r w:rsidRPr="00B60C22">
        <w:rPr>
          <w:bCs/>
        </w:rPr>
        <w:t>The key facets of the Department of Health’s Prime Client status are;</w:t>
      </w:r>
    </w:p>
    <w:p w:rsidR="009F3279" w:rsidRPr="00136242" w:rsidRDefault="00C869F6" w:rsidP="007C7872">
      <w:pPr>
        <w:pStyle w:val="ListParagraph"/>
        <w:numPr>
          <w:ilvl w:val="0"/>
          <w:numId w:val="10"/>
        </w:numPr>
        <w:spacing w:after="0" w:line="240" w:lineRule="auto"/>
        <w:ind w:left="1418" w:hanging="425"/>
        <w:jc w:val="both"/>
        <w:rPr>
          <w:rFonts w:ascii="Arial" w:eastAsia="Times New Roman" w:hAnsi="Arial" w:cs="Arial"/>
          <w:iCs/>
        </w:rPr>
      </w:pPr>
      <w:r w:rsidRPr="00136242">
        <w:rPr>
          <w:rFonts w:ascii="Arial" w:eastAsia="Times New Roman" w:hAnsi="Arial" w:cs="Arial"/>
          <w:iCs/>
        </w:rPr>
        <w:t xml:space="preserve">Management of </w:t>
      </w:r>
      <w:r w:rsidR="009F3279" w:rsidRPr="00136242">
        <w:rPr>
          <w:rFonts w:ascii="Arial" w:eastAsia="Times New Roman" w:hAnsi="Arial" w:cs="Arial"/>
          <w:iCs/>
        </w:rPr>
        <w:t xml:space="preserve">Conflicts of Interest. </w:t>
      </w:r>
    </w:p>
    <w:p w:rsidR="009F3279" w:rsidRPr="00136242" w:rsidRDefault="009F3279" w:rsidP="007C7872">
      <w:pPr>
        <w:pStyle w:val="ListParagraph"/>
        <w:numPr>
          <w:ilvl w:val="0"/>
          <w:numId w:val="10"/>
        </w:numPr>
        <w:spacing w:after="0" w:line="240" w:lineRule="auto"/>
        <w:ind w:left="1418" w:hanging="425"/>
        <w:jc w:val="both"/>
        <w:rPr>
          <w:rFonts w:ascii="Arial" w:eastAsia="Times New Roman" w:hAnsi="Arial" w:cs="Arial"/>
          <w:iCs/>
        </w:rPr>
      </w:pPr>
      <w:r w:rsidRPr="00136242">
        <w:rPr>
          <w:rFonts w:ascii="Arial" w:eastAsia="Times New Roman" w:hAnsi="Arial" w:cs="Arial"/>
          <w:iCs/>
        </w:rPr>
        <w:t>Partnership.</w:t>
      </w:r>
      <w:r w:rsidR="00541967" w:rsidRPr="00136242">
        <w:rPr>
          <w:rFonts w:ascii="Arial" w:eastAsia="Times New Roman" w:hAnsi="Arial" w:cs="Arial"/>
          <w:iCs/>
        </w:rPr>
        <w:t xml:space="preserve"> </w:t>
      </w:r>
      <w:r w:rsidR="00327252" w:rsidRPr="00136242">
        <w:rPr>
          <w:rFonts w:ascii="Arial" w:eastAsia="Times New Roman" w:hAnsi="Arial" w:cs="Arial"/>
          <w:iCs/>
        </w:rPr>
        <w:t>The period of call-offs for significant pieces of work may be in excess of several years, consequently; it is a requirement that an approach to client management is implemented that seeks to secure the Department of Health as a Prime Client. The Department of Health will reciprocate the Partnership by ensuring that the Framework is used for all work that is reasonably within scope whilst fostering a close professional relationship.</w:t>
      </w:r>
    </w:p>
    <w:p w:rsidR="006C7B33" w:rsidRPr="00136242" w:rsidRDefault="00DC03D9" w:rsidP="007C7872">
      <w:pPr>
        <w:pStyle w:val="ListParagraph"/>
        <w:numPr>
          <w:ilvl w:val="0"/>
          <w:numId w:val="10"/>
        </w:numPr>
        <w:spacing w:after="0" w:line="240" w:lineRule="auto"/>
        <w:ind w:left="1418" w:hanging="425"/>
        <w:jc w:val="both"/>
        <w:rPr>
          <w:rFonts w:ascii="Arial" w:eastAsia="Times New Roman" w:hAnsi="Arial" w:cs="Arial"/>
          <w:iCs/>
        </w:rPr>
      </w:pPr>
      <w:r w:rsidRPr="00136242">
        <w:rPr>
          <w:rFonts w:ascii="Arial" w:eastAsia="Times New Roman" w:hAnsi="Arial" w:cs="Arial"/>
          <w:iCs/>
        </w:rPr>
        <w:t>Transparent</w:t>
      </w:r>
      <w:r w:rsidR="000477C1" w:rsidRPr="00136242">
        <w:rPr>
          <w:rFonts w:ascii="Arial" w:eastAsia="Times New Roman" w:hAnsi="Arial" w:cs="Arial"/>
          <w:iCs/>
        </w:rPr>
        <w:t xml:space="preserve"> Pricing.</w:t>
      </w:r>
      <w:r w:rsidRPr="00136242">
        <w:rPr>
          <w:rFonts w:ascii="Arial" w:eastAsia="Times New Roman" w:hAnsi="Arial" w:cs="Arial"/>
          <w:iCs/>
        </w:rPr>
        <w:t xml:space="preserve"> </w:t>
      </w:r>
    </w:p>
    <w:p w:rsidR="000477C1" w:rsidRPr="00B60C22" w:rsidRDefault="000477C1" w:rsidP="00E654E9">
      <w:pPr>
        <w:pStyle w:val="Default"/>
        <w:ind w:left="1800"/>
        <w:jc w:val="both"/>
        <w:rPr>
          <w:bCs/>
          <w:sz w:val="22"/>
          <w:szCs w:val="22"/>
        </w:rPr>
      </w:pPr>
    </w:p>
    <w:p w:rsidR="004409FF" w:rsidRPr="00B60C22" w:rsidRDefault="007118C5" w:rsidP="007118C5">
      <w:pPr>
        <w:pStyle w:val="BoldTextindent"/>
        <w:numPr>
          <w:ilvl w:val="0"/>
          <w:numId w:val="0"/>
        </w:numPr>
        <w:spacing w:before="0" w:after="0"/>
        <w:ind w:left="993" w:hanging="993"/>
        <w:rPr>
          <w:bCs/>
        </w:rPr>
      </w:pPr>
      <w:r w:rsidRPr="00B60C22">
        <w:rPr>
          <w:bCs/>
        </w:rPr>
        <w:t>13.1.4</w:t>
      </w:r>
      <w:r w:rsidRPr="00B60C22">
        <w:rPr>
          <w:bCs/>
        </w:rPr>
        <w:tab/>
      </w:r>
      <w:r w:rsidR="004409FF" w:rsidRPr="00B60C22">
        <w:rPr>
          <w:bCs/>
        </w:rPr>
        <w:t>Such provisions should be at both an organisational and employee level.</w:t>
      </w:r>
    </w:p>
    <w:p w:rsidR="0073247A" w:rsidRDefault="0073247A" w:rsidP="00C63E30">
      <w:pPr>
        <w:pStyle w:val="BoldTextindent"/>
        <w:numPr>
          <w:ilvl w:val="0"/>
          <w:numId w:val="0"/>
        </w:numPr>
        <w:spacing w:before="0" w:after="0"/>
        <w:ind w:left="993"/>
        <w:rPr>
          <w:bCs/>
        </w:rPr>
      </w:pPr>
    </w:p>
    <w:p w:rsidR="00AB2877" w:rsidRPr="00B60C22" w:rsidRDefault="00AB2877" w:rsidP="00C63E30">
      <w:pPr>
        <w:pStyle w:val="BoldTextindent"/>
        <w:numPr>
          <w:ilvl w:val="0"/>
          <w:numId w:val="0"/>
        </w:numPr>
        <w:spacing w:before="0" w:after="0"/>
        <w:ind w:left="993"/>
        <w:rPr>
          <w:bCs/>
        </w:rPr>
      </w:pPr>
    </w:p>
    <w:p w:rsidR="000768D5" w:rsidRPr="00B60C22" w:rsidRDefault="00DD191F" w:rsidP="00C63E30">
      <w:pPr>
        <w:pStyle w:val="ONEH1"/>
        <w:keepNext/>
        <w:numPr>
          <w:ilvl w:val="0"/>
          <w:numId w:val="2"/>
        </w:numPr>
        <w:tabs>
          <w:tab w:val="clear" w:pos="360"/>
          <w:tab w:val="clear" w:pos="851"/>
          <w:tab w:val="num" w:pos="0"/>
        </w:tabs>
        <w:spacing w:before="0" w:after="0"/>
        <w:jc w:val="both"/>
        <w:rPr>
          <w:rFonts w:ascii="Arial" w:hAnsi="Arial"/>
          <w:sz w:val="22"/>
          <w:szCs w:val="22"/>
        </w:rPr>
      </w:pPr>
      <w:r w:rsidRPr="00B60C22">
        <w:rPr>
          <w:rFonts w:ascii="Arial" w:hAnsi="Arial"/>
          <w:sz w:val="22"/>
          <w:szCs w:val="22"/>
        </w:rPr>
        <w:t>F</w:t>
      </w:r>
      <w:r w:rsidR="00954C90" w:rsidRPr="00B60C22">
        <w:rPr>
          <w:rFonts w:ascii="Arial" w:hAnsi="Arial"/>
          <w:sz w:val="22"/>
          <w:szCs w:val="22"/>
        </w:rPr>
        <w:t>EES / BILLING / PRICING</w:t>
      </w:r>
    </w:p>
    <w:p w:rsidR="00C63E30" w:rsidRPr="00B60C22" w:rsidRDefault="00C63E30" w:rsidP="00C63E30">
      <w:pPr>
        <w:spacing w:after="0" w:line="240" w:lineRule="auto"/>
        <w:rPr>
          <w:rFonts w:ascii="Arial" w:hAnsi="Arial" w:cs="Arial"/>
        </w:rPr>
      </w:pPr>
    </w:p>
    <w:p w:rsidR="000477C1" w:rsidRPr="00B60C22" w:rsidRDefault="001872EE" w:rsidP="00C63E30">
      <w:pPr>
        <w:pStyle w:val="BoldTextindent"/>
        <w:spacing w:before="0" w:after="0"/>
        <w:ind w:left="993" w:hanging="993"/>
        <w:rPr>
          <w:bCs/>
        </w:rPr>
      </w:pPr>
      <w:r w:rsidRPr="00B60C22">
        <w:rPr>
          <w:bCs/>
        </w:rPr>
        <w:t>A b</w:t>
      </w:r>
      <w:r w:rsidR="000477C1" w:rsidRPr="00B60C22">
        <w:rPr>
          <w:bCs/>
        </w:rPr>
        <w:t>illing</w:t>
      </w:r>
      <w:r w:rsidRPr="00B60C22">
        <w:rPr>
          <w:bCs/>
        </w:rPr>
        <w:t xml:space="preserve"> system</w:t>
      </w:r>
      <w:r w:rsidR="000477C1" w:rsidRPr="00B60C22">
        <w:rPr>
          <w:bCs/>
        </w:rPr>
        <w:t xml:space="preserve"> shall be required that provides;</w:t>
      </w:r>
    </w:p>
    <w:p w:rsidR="000477C1" w:rsidRPr="00136242" w:rsidRDefault="000477C1" w:rsidP="007C7872">
      <w:pPr>
        <w:pStyle w:val="ListParagraph"/>
        <w:numPr>
          <w:ilvl w:val="0"/>
          <w:numId w:val="22"/>
        </w:numPr>
        <w:spacing w:after="0" w:line="240" w:lineRule="auto"/>
        <w:ind w:left="1418" w:hanging="425"/>
        <w:jc w:val="both"/>
        <w:rPr>
          <w:rFonts w:ascii="Arial" w:eastAsia="Times New Roman" w:hAnsi="Arial" w:cs="Arial"/>
          <w:iCs/>
        </w:rPr>
      </w:pPr>
      <w:r w:rsidRPr="00136242">
        <w:rPr>
          <w:rFonts w:ascii="Arial" w:eastAsia="Times New Roman" w:hAnsi="Arial" w:cs="Arial"/>
          <w:iCs/>
        </w:rPr>
        <w:t>Clear information to show all costs incurred.</w:t>
      </w:r>
    </w:p>
    <w:p w:rsidR="000477C1" w:rsidRPr="00136242" w:rsidRDefault="000477C1" w:rsidP="007C7872">
      <w:pPr>
        <w:pStyle w:val="ListParagraph"/>
        <w:numPr>
          <w:ilvl w:val="0"/>
          <w:numId w:val="22"/>
        </w:numPr>
        <w:spacing w:after="0" w:line="240" w:lineRule="auto"/>
        <w:ind w:left="1418" w:hanging="425"/>
        <w:jc w:val="both"/>
        <w:rPr>
          <w:rFonts w:ascii="Arial" w:eastAsia="Times New Roman" w:hAnsi="Arial" w:cs="Arial"/>
          <w:iCs/>
        </w:rPr>
      </w:pPr>
      <w:r w:rsidRPr="00136242">
        <w:rPr>
          <w:rFonts w:ascii="Arial" w:eastAsia="Times New Roman" w:hAnsi="Arial" w:cs="Arial"/>
          <w:iCs/>
        </w:rPr>
        <w:t>Clear information about time spent on documents and any underlying work.</w:t>
      </w:r>
    </w:p>
    <w:p w:rsidR="000477C1" w:rsidRPr="00136242" w:rsidRDefault="000477C1" w:rsidP="007C7872">
      <w:pPr>
        <w:pStyle w:val="ListParagraph"/>
        <w:numPr>
          <w:ilvl w:val="0"/>
          <w:numId w:val="22"/>
        </w:numPr>
        <w:spacing w:after="0" w:line="240" w:lineRule="auto"/>
        <w:ind w:left="1418" w:hanging="425"/>
        <w:jc w:val="both"/>
        <w:rPr>
          <w:rFonts w:ascii="Arial" w:eastAsia="Times New Roman" w:hAnsi="Arial" w:cs="Arial"/>
          <w:iCs/>
        </w:rPr>
      </w:pPr>
      <w:r w:rsidRPr="00136242">
        <w:rPr>
          <w:rFonts w:ascii="Arial" w:eastAsia="Times New Roman" w:hAnsi="Arial" w:cs="Arial"/>
          <w:iCs/>
        </w:rPr>
        <w:t>Suitable use of time-recording software.</w:t>
      </w:r>
    </w:p>
    <w:p w:rsidR="000477C1" w:rsidRPr="00136242" w:rsidRDefault="000477C1" w:rsidP="007C7872">
      <w:pPr>
        <w:pStyle w:val="ListParagraph"/>
        <w:numPr>
          <w:ilvl w:val="0"/>
          <w:numId w:val="22"/>
        </w:numPr>
        <w:spacing w:after="0" w:line="240" w:lineRule="auto"/>
        <w:ind w:left="1418" w:hanging="425"/>
        <w:jc w:val="both"/>
        <w:rPr>
          <w:rFonts w:ascii="Arial" w:eastAsia="Times New Roman" w:hAnsi="Arial" w:cs="Arial"/>
          <w:iCs/>
        </w:rPr>
      </w:pPr>
      <w:r w:rsidRPr="00136242">
        <w:rPr>
          <w:rFonts w:ascii="Arial" w:eastAsia="Times New Roman" w:hAnsi="Arial" w:cs="Arial"/>
          <w:iCs/>
        </w:rPr>
        <w:t xml:space="preserve">A format of bills of costs should be provided that is informative and capable of yielding information at different levels of generality (Phase, Task, </w:t>
      </w:r>
      <w:proofErr w:type="gramStart"/>
      <w:r w:rsidRPr="00136242">
        <w:rPr>
          <w:rFonts w:ascii="Arial" w:eastAsia="Times New Roman" w:hAnsi="Arial" w:cs="Arial"/>
          <w:iCs/>
        </w:rPr>
        <w:t>Activity</w:t>
      </w:r>
      <w:proofErr w:type="gramEnd"/>
      <w:r w:rsidRPr="00136242">
        <w:rPr>
          <w:rFonts w:ascii="Arial" w:eastAsia="Times New Roman" w:hAnsi="Arial" w:cs="Arial"/>
          <w:iCs/>
        </w:rPr>
        <w:t>).</w:t>
      </w:r>
    </w:p>
    <w:p w:rsidR="000477C1" w:rsidRPr="00136242" w:rsidRDefault="000477C1" w:rsidP="007C7872">
      <w:pPr>
        <w:pStyle w:val="ListParagraph"/>
        <w:numPr>
          <w:ilvl w:val="0"/>
          <w:numId w:val="22"/>
        </w:numPr>
        <w:spacing w:after="0" w:line="240" w:lineRule="auto"/>
        <w:ind w:left="1418" w:hanging="425"/>
        <w:jc w:val="both"/>
        <w:rPr>
          <w:rFonts w:ascii="Arial" w:eastAsia="Times New Roman" w:hAnsi="Arial" w:cs="Arial"/>
          <w:iCs/>
        </w:rPr>
      </w:pPr>
      <w:r w:rsidRPr="00136242">
        <w:rPr>
          <w:rFonts w:ascii="Arial" w:eastAsia="Times New Roman" w:hAnsi="Arial" w:cs="Arial"/>
          <w:iCs/>
        </w:rPr>
        <w:t xml:space="preserve">Software should be applied which will (a) be used for time recording and capturing relevant information and (b) automatically generate schedules for summary assessment or bills for detailed assessment as and when required. </w:t>
      </w:r>
    </w:p>
    <w:p w:rsidR="000477C1" w:rsidRPr="00136242" w:rsidRDefault="000477C1" w:rsidP="007C7872">
      <w:pPr>
        <w:pStyle w:val="ListParagraph"/>
        <w:numPr>
          <w:ilvl w:val="0"/>
          <w:numId w:val="22"/>
        </w:numPr>
        <w:spacing w:after="0" w:line="240" w:lineRule="auto"/>
        <w:ind w:left="1418" w:hanging="425"/>
        <w:jc w:val="both"/>
        <w:rPr>
          <w:rFonts w:ascii="Arial" w:eastAsia="Times New Roman" w:hAnsi="Arial" w:cs="Arial"/>
          <w:iCs/>
        </w:rPr>
      </w:pPr>
      <w:r w:rsidRPr="00136242">
        <w:rPr>
          <w:rFonts w:ascii="Arial" w:eastAsia="Times New Roman" w:hAnsi="Arial" w:cs="Arial"/>
          <w:iCs/>
        </w:rPr>
        <w:t>The information from the output of the billing system may be used by the Department of Health for costs budgeting, costs management, summary assessment and detailed assessment.</w:t>
      </w:r>
    </w:p>
    <w:p w:rsidR="000477C1" w:rsidRPr="00136242" w:rsidRDefault="000477C1" w:rsidP="007C7872">
      <w:pPr>
        <w:pStyle w:val="ListParagraph"/>
        <w:numPr>
          <w:ilvl w:val="0"/>
          <w:numId w:val="22"/>
        </w:numPr>
        <w:spacing w:after="0" w:line="240" w:lineRule="auto"/>
        <w:ind w:left="1418" w:hanging="425"/>
        <w:jc w:val="both"/>
        <w:rPr>
          <w:rFonts w:ascii="Arial" w:eastAsia="Times New Roman" w:hAnsi="Arial" w:cs="Arial"/>
          <w:iCs/>
        </w:rPr>
      </w:pPr>
      <w:r w:rsidRPr="00136242">
        <w:rPr>
          <w:rFonts w:ascii="Arial" w:eastAsia="Times New Roman" w:hAnsi="Arial" w:cs="Arial"/>
          <w:iCs/>
        </w:rPr>
        <w:t>A standardised way of capturing time-recorded information.</w:t>
      </w:r>
    </w:p>
    <w:p w:rsidR="0004061D" w:rsidRPr="00B60C22" w:rsidRDefault="000477C1" w:rsidP="007C7872">
      <w:pPr>
        <w:pStyle w:val="ListParagraph"/>
        <w:numPr>
          <w:ilvl w:val="0"/>
          <w:numId w:val="22"/>
        </w:numPr>
        <w:spacing w:after="0" w:line="240" w:lineRule="auto"/>
        <w:ind w:left="1418" w:hanging="425"/>
        <w:jc w:val="both"/>
        <w:rPr>
          <w:bCs/>
        </w:rPr>
      </w:pPr>
      <w:r w:rsidRPr="00136242">
        <w:rPr>
          <w:rFonts w:ascii="Arial" w:eastAsia="Times New Roman" w:hAnsi="Arial" w:cs="Arial"/>
          <w:iCs/>
        </w:rPr>
        <w:t>A standardised method to categorise work</w:t>
      </w:r>
      <w:r w:rsidRPr="00B60C22">
        <w:rPr>
          <w:bCs/>
        </w:rPr>
        <w:t>.</w:t>
      </w:r>
    </w:p>
    <w:p w:rsidR="00C63E30" w:rsidRPr="00B60C22" w:rsidRDefault="00C63E30" w:rsidP="00C63E30">
      <w:pPr>
        <w:pStyle w:val="Default"/>
        <w:ind w:left="1800"/>
        <w:jc w:val="both"/>
        <w:rPr>
          <w:bCs/>
          <w:sz w:val="22"/>
          <w:szCs w:val="22"/>
        </w:rPr>
      </w:pPr>
    </w:p>
    <w:p w:rsidR="00F21BB7" w:rsidRPr="00B60C22" w:rsidRDefault="00F21BB7" w:rsidP="00C63E30">
      <w:pPr>
        <w:pStyle w:val="Default"/>
        <w:ind w:left="1800"/>
        <w:jc w:val="both"/>
        <w:rPr>
          <w:bCs/>
          <w:sz w:val="22"/>
          <w:szCs w:val="22"/>
        </w:rPr>
      </w:pPr>
    </w:p>
    <w:p w:rsidR="00C63E30" w:rsidRPr="00B60C22" w:rsidRDefault="00D97686"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C</w:t>
      </w:r>
      <w:r w:rsidR="00954C90" w:rsidRPr="00B60C22">
        <w:rPr>
          <w:rFonts w:ascii="Arial" w:hAnsi="Arial"/>
          <w:sz w:val="22"/>
          <w:szCs w:val="22"/>
        </w:rPr>
        <w:t>ALL-OFF CONTRACT PERIOD/DURATION</w:t>
      </w:r>
    </w:p>
    <w:p w:rsidR="00C63E30" w:rsidRPr="00B60C22" w:rsidRDefault="00C63E30" w:rsidP="00C63E30">
      <w:pPr>
        <w:spacing w:after="0" w:line="240" w:lineRule="auto"/>
        <w:rPr>
          <w:rFonts w:ascii="Arial" w:hAnsi="Arial" w:cs="Arial"/>
        </w:rPr>
      </w:pPr>
    </w:p>
    <w:p w:rsidR="0004061D" w:rsidRPr="00B60C22" w:rsidRDefault="00C6019F" w:rsidP="00AB2877">
      <w:pPr>
        <w:pStyle w:val="ONEH2"/>
      </w:pPr>
      <w:r w:rsidRPr="00B60C22">
        <w:t>Framework Duration</w:t>
      </w:r>
    </w:p>
    <w:p w:rsidR="00EB4558" w:rsidRPr="00B60C22" w:rsidRDefault="00954C90" w:rsidP="007118C5">
      <w:pPr>
        <w:pStyle w:val="BoldTextindent"/>
        <w:numPr>
          <w:ilvl w:val="0"/>
          <w:numId w:val="0"/>
        </w:numPr>
        <w:spacing w:before="0" w:after="0"/>
        <w:ind w:left="993" w:hanging="993"/>
        <w:rPr>
          <w:bCs/>
        </w:rPr>
      </w:pPr>
      <w:r w:rsidRPr="00B60C22">
        <w:rPr>
          <w:bCs/>
        </w:rPr>
        <w:t>15.1.1</w:t>
      </w:r>
      <w:r w:rsidRPr="00B60C22">
        <w:rPr>
          <w:bCs/>
        </w:rPr>
        <w:tab/>
      </w:r>
      <w:r w:rsidR="004218E9" w:rsidRPr="00B60C22">
        <w:rPr>
          <w:bCs/>
        </w:rPr>
        <w:t>T</w:t>
      </w:r>
      <w:r w:rsidR="0004061D" w:rsidRPr="00B60C22">
        <w:rPr>
          <w:bCs/>
        </w:rPr>
        <w:t xml:space="preserve">he duration of the </w:t>
      </w:r>
      <w:r w:rsidRPr="00B60C22">
        <w:rPr>
          <w:bCs/>
        </w:rPr>
        <w:t>F</w:t>
      </w:r>
      <w:r w:rsidR="0004061D" w:rsidRPr="00B60C22">
        <w:rPr>
          <w:bCs/>
        </w:rPr>
        <w:t xml:space="preserve">ramework </w:t>
      </w:r>
      <w:r w:rsidRPr="00B60C22">
        <w:rPr>
          <w:bCs/>
        </w:rPr>
        <w:t>A</w:t>
      </w:r>
      <w:r w:rsidR="0004061D" w:rsidRPr="00B60C22">
        <w:rPr>
          <w:bCs/>
        </w:rPr>
        <w:t>greement will be a maximum of 4 years</w:t>
      </w:r>
      <w:r w:rsidRPr="00B60C22">
        <w:rPr>
          <w:bCs/>
        </w:rPr>
        <w:t xml:space="preserve">; </w:t>
      </w:r>
      <w:r w:rsidRPr="00B60C22">
        <w:t xml:space="preserve">2 years plus </w:t>
      </w:r>
      <w:r w:rsidR="00DC0A2A" w:rsidRPr="00B60C22">
        <w:t xml:space="preserve">an </w:t>
      </w:r>
      <w:r w:rsidRPr="00B60C22">
        <w:t xml:space="preserve">option to extend for a further period of 2 years. </w:t>
      </w:r>
      <w:r w:rsidR="004218E9" w:rsidRPr="00B60C22">
        <w:rPr>
          <w:bCs/>
        </w:rPr>
        <w:t>The Department of Health has the sole discretion to exercise the option</w:t>
      </w:r>
      <w:r w:rsidRPr="00B60C22">
        <w:rPr>
          <w:bCs/>
        </w:rPr>
        <w:t xml:space="preserve"> to extend</w:t>
      </w:r>
      <w:r w:rsidR="0004061D" w:rsidRPr="00B60C22">
        <w:rPr>
          <w:bCs/>
        </w:rPr>
        <w:t xml:space="preserve">. </w:t>
      </w:r>
    </w:p>
    <w:p w:rsidR="00D97686" w:rsidRPr="00B60C22" w:rsidRDefault="00D97686" w:rsidP="00E654E9">
      <w:pPr>
        <w:pStyle w:val="BoldTextindent"/>
        <w:numPr>
          <w:ilvl w:val="0"/>
          <w:numId w:val="0"/>
        </w:numPr>
        <w:spacing w:before="0" w:after="0"/>
        <w:ind w:left="993"/>
        <w:rPr>
          <w:bCs/>
        </w:rPr>
      </w:pPr>
    </w:p>
    <w:p w:rsidR="00C6019F" w:rsidRPr="00B60C22" w:rsidRDefault="00D97686" w:rsidP="00AB2877">
      <w:pPr>
        <w:pStyle w:val="ONEH2"/>
      </w:pPr>
      <w:r w:rsidRPr="00B60C22">
        <w:t xml:space="preserve">Call-off </w:t>
      </w:r>
      <w:r w:rsidR="00C6019F" w:rsidRPr="00B60C22">
        <w:t>Contract Duration</w:t>
      </w:r>
    </w:p>
    <w:p w:rsidR="0004061D" w:rsidRPr="00B60C22" w:rsidRDefault="00D97686" w:rsidP="00C63E30">
      <w:pPr>
        <w:pStyle w:val="BoldTextindent"/>
        <w:spacing w:before="0" w:after="0"/>
        <w:ind w:left="993" w:hanging="993"/>
        <w:rPr>
          <w:bCs/>
        </w:rPr>
      </w:pPr>
      <w:r w:rsidRPr="00B60C22">
        <w:rPr>
          <w:bCs/>
        </w:rPr>
        <w:lastRenderedPageBreak/>
        <w:t xml:space="preserve">The duration of Call-off Contracts awarded under the Framework will vary, depending on the project in question. For example, a Call-off Contract </w:t>
      </w:r>
      <w:r w:rsidR="0004061D" w:rsidRPr="00B60C22">
        <w:rPr>
          <w:bCs/>
        </w:rPr>
        <w:t>may be</w:t>
      </w:r>
      <w:r w:rsidR="00EB4558" w:rsidRPr="00B60C22">
        <w:rPr>
          <w:bCs/>
        </w:rPr>
        <w:t xml:space="preserve"> for a</w:t>
      </w:r>
      <w:r w:rsidR="0004061D" w:rsidRPr="00B60C22">
        <w:rPr>
          <w:bCs/>
        </w:rPr>
        <w:t xml:space="preserve"> </w:t>
      </w:r>
      <w:r w:rsidR="00EB4558" w:rsidRPr="00B60C22">
        <w:rPr>
          <w:bCs/>
        </w:rPr>
        <w:t xml:space="preserve">very short period </w:t>
      </w:r>
      <w:r w:rsidR="0004061D" w:rsidRPr="00B60C22">
        <w:rPr>
          <w:bCs/>
        </w:rPr>
        <w:t xml:space="preserve">of time </w:t>
      </w:r>
      <w:r w:rsidRPr="00B60C22">
        <w:rPr>
          <w:bCs/>
        </w:rPr>
        <w:t xml:space="preserve">or may be </w:t>
      </w:r>
      <w:r w:rsidR="0004061D" w:rsidRPr="00B60C22">
        <w:rPr>
          <w:bCs/>
        </w:rPr>
        <w:t xml:space="preserve">in excess of 4 years until resolution of the case in question or in any event not more than 10 years. Where </w:t>
      </w:r>
      <w:r w:rsidRPr="00B60C22">
        <w:rPr>
          <w:bCs/>
        </w:rPr>
        <w:t xml:space="preserve">longer term </w:t>
      </w:r>
      <w:r w:rsidR="0004061D" w:rsidRPr="00B60C22">
        <w:rPr>
          <w:bCs/>
        </w:rPr>
        <w:t>contracts are</w:t>
      </w:r>
      <w:r w:rsidRPr="00B60C22">
        <w:rPr>
          <w:bCs/>
        </w:rPr>
        <w:t xml:space="preserve"> </w:t>
      </w:r>
      <w:r w:rsidR="0004061D" w:rsidRPr="00B60C22">
        <w:rPr>
          <w:bCs/>
        </w:rPr>
        <w:t>awarded these shall be managed by performance against clear contractual and financial milestones.</w:t>
      </w:r>
    </w:p>
    <w:p w:rsidR="00EB4558" w:rsidRDefault="00EB4558" w:rsidP="00AB2877">
      <w:pPr>
        <w:pStyle w:val="ONEH2"/>
        <w:numPr>
          <w:ilvl w:val="0"/>
          <w:numId w:val="0"/>
        </w:numPr>
        <w:ind w:left="612"/>
      </w:pPr>
    </w:p>
    <w:p w:rsidR="00AB2877" w:rsidRPr="00B60C22" w:rsidRDefault="00AB2877" w:rsidP="00AB2877">
      <w:pPr>
        <w:pStyle w:val="ONEH2"/>
        <w:numPr>
          <w:ilvl w:val="0"/>
          <w:numId w:val="0"/>
        </w:numPr>
        <w:ind w:left="612"/>
      </w:pPr>
    </w:p>
    <w:p w:rsidR="00EB4558" w:rsidRPr="00B60C22" w:rsidRDefault="001D1AB9" w:rsidP="00C63E30">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P</w:t>
      </w:r>
      <w:r w:rsidR="00E654E9" w:rsidRPr="00B60C22">
        <w:rPr>
          <w:rFonts w:ascii="Arial" w:hAnsi="Arial"/>
          <w:sz w:val="22"/>
          <w:szCs w:val="22"/>
        </w:rPr>
        <w:t>RICING STRUCTURE</w:t>
      </w:r>
    </w:p>
    <w:p w:rsidR="00C63E30" w:rsidRPr="00B60C22" w:rsidRDefault="00C63E30" w:rsidP="00C63E30">
      <w:pPr>
        <w:spacing w:after="0" w:line="240" w:lineRule="auto"/>
        <w:rPr>
          <w:rFonts w:ascii="Arial" w:hAnsi="Arial" w:cs="Arial"/>
        </w:rPr>
      </w:pPr>
    </w:p>
    <w:p w:rsidR="004218E9" w:rsidRPr="00B60C22" w:rsidRDefault="004218E9" w:rsidP="00AB2877">
      <w:pPr>
        <w:pStyle w:val="ONEH2"/>
      </w:pPr>
      <w:r w:rsidRPr="00B60C22">
        <w:t xml:space="preserve">Award of </w:t>
      </w:r>
      <w:r w:rsidR="00914A77" w:rsidRPr="00B60C22">
        <w:t>Call-off C</w:t>
      </w:r>
      <w:r w:rsidRPr="00B60C22">
        <w:t xml:space="preserve">ontracts from the </w:t>
      </w:r>
      <w:r w:rsidR="00914A77" w:rsidRPr="00B60C22">
        <w:t>F</w:t>
      </w:r>
      <w:r w:rsidRPr="00B60C22">
        <w:t>ramework will be via;</w:t>
      </w:r>
    </w:p>
    <w:p w:rsidR="002164CE" w:rsidRPr="00136242" w:rsidRDefault="004218E9" w:rsidP="007C7872">
      <w:pPr>
        <w:pStyle w:val="ListParagraph"/>
        <w:numPr>
          <w:ilvl w:val="0"/>
          <w:numId w:val="4"/>
        </w:numPr>
        <w:tabs>
          <w:tab w:val="num" w:pos="2340"/>
        </w:tabs>
        <w:spacing w:after="0" w:line="240" w:lineRule="auto"/>
        <w:ind w:left="1418" w:hanging="425"/>
        <w:jc w:val="both"/>
        <w:rPr>
          <w:rFonts w:ascii="Arial" w:eastAsia="Times New Roman" w:hAnsi="Arial" w:cs="Arial"/>
          <w:iCs/>
        </w:rPr>
      </w:pPr>
      <w:r w:rsidRPr="00136242">
        <w:rPr>
          <w:rFonts w:ascii="Arial" w:eastAsia="Times New Roman" w:hAnsi="Arial" w:cs="Arial"/>
          <w:iCs/>
        </w:rPr>
        <w:t>Rate card pricing for simple requirements where the rate or combination of rates are suitably precise to demonstrate value for money in accordance with the award criteria.</w:t>
      </w:r>
    </w:p>
    <w:p w:rsidR="004218E9" w:rsidRPr="00136242" w:rsidRDefault="002164CE" w:rsidP="007C7872">
      <w:pPr>
        <w:pStyle w:val="ListParagraph"/>
        <w:numPr>
          <w:ilvl w:val="0"/>
          <w:numId w:val="4"/>
        </w:numPr>
        <w:tabs>
          <w:tab w:val="num" w:pos="2340"/>
        </w:tabs>
        <w:spacing w:after="0" w:line="240" w:lineRule="auto"/>
        <w:ind w:left="1418" w:hanging="425"/>
        <w:jc w:val="both"/>
        <w:rPr>
          <w:rFonts w:ascii="Arial" w:eastAsia="Times New Roman" w:hAnsi="Arial" w:cs="Arial"/>
          <w:iCs/>
        </w:rPr>
      </w:pPr>
      <w:r w:rsidRPr="00136242">
        <w:rPr>
          <w:rFonts w:ascii="Arial" w:eastAsia="Times New Roman" w:hAnsi="Arial" w:cs="Arial"/>
          <w:iCs/>
        </w:rPr>
        <w:t>Price List for Standard Chargeable Items. For standard requirements where the chargeable items are suitably precise to demonstrate value for money in accordance with the award criteria.</w:t>
      </w:r>
    </w:p>
    <w:p w:rsidR="004218E9" w:rsidRPr="00136242" w:rsidRDefault="004218E9" w:rsidP="007C7872">
      <w:pPr>
        <w:pStyle w:val="ListParagraph"/>
        <w:numPr>
          <w:ilvl w:val="0"/>
          <w:numId w:val="4"/>
        </w:numPr>
        <w:tabs>
          <w:tab w:val="num" w:pos="2340"/>
        </w:tabs>
        <w:spacing w:after="0" w:line="240" w:lineRule="auto"/>
        <w:ind w:left="1418" w:hanging="425"/>
        <w:jc w:val="both"/>
        <w:rPr>
          <w:rFonts w:ascii="Arial" w:eastAsia="Times New Roman" w:hAnsi="Arial" w:cs="Arial"/>
          <w:iCs/>
        </w:rPr>
      </w:pPr>
      <w:r w:rsidRPr="00136242">
        <w:rPr>
          <w:rFonts w:ascii="Arial" w:eastAsia="Times New Roman" w:hAnsi="Arial" w:cs="Arial"/>
          <w:iCs/>
        </w:rPr>
        <w:t>Further competition for litigation / technical packages of work</w:t>
      </w:r>
      <w:r w:rsidR="004A6E62" w:rsidRPr="00136242">
        <w:rPr>
          <w:rFonts w:ascii="Arial" w:eastAsia="Times New Roman" w:hAnsi="Arial" w:cs="Arial"/>
          <w:iCs/>
        </w:rPr>
        <w:t>. T</w:t>
      </w:r>
      <w:r w:rsidRPr="00136242">
        <w:rPr>
          <w:rFonts w:ascii="Arial" w:eastAsia="Times New Roman" w:hAnsi="Arial" w:cs="Arial"/>
          <w:iCs/>
        </w:rPr>
        <w:t xml:space="preserve">he competition will be awarded in accordance with the original award criteria although </w:t>
      </w:r>
      <w:r w:rsidR="00D97686" w:rsidRPr="00136242">
        <w:rPr>
          <w:rFonts w:ascii="Arial" w:eastAsia="Times New Roman" w:hAnsi="Arial" w:cs="Arial"/>
          <w:iCs/>
        </w:rPr>
        <w:t xml:space="preserve">the Department of Health </w:t>
      </w:r>
      <w:r w:rsidRPr="00136242">
        <w:rPr>
          <w:rFonts w:ascii="Arial" w:eastAsia="Times New Roman" w:hAnsi="Arial" w:cs="Arial"/>
          <w:iCs/>
        </w:rPr>
        <w:t xml:space="preserve">reserves the right to </w:t>
      </w:r>
      <w:r w:rsidR="00D97686" w:rsidRPr="00136242">
        <w:rPr>
          <w:rFonts w:ascii="Arial" w:eastAsia="Times New Roman" w:hAnsi="Arial" w:cs="Arial"/>
          <w:iCs/>
        </w:rPr>
        <w:t xml:space="preserve">revise </w:t>
      </w:r>
      <w:r w:rsidRPr="00136242">
        <w:rPr>
          <w:rFonts w:ascii="Arial" w:eastAsia="Times New Roman" w:hAnsi="Arial" w:cs="Arial"/>
          <w:iCs/>
        </w:rPr>
        <w:t xml:space="preserve">the </w:t>
      </w:r>
      <w:r w:rsidR="00D97686" w:rsidRPr="00136242">
        <w:rPr>
          <w:rFonts w:ascii="Arial" w:eastAsia="Times New Roman" w:hAnsi="Arial" w:cs="Arial"/>
          <w:iCs/>
        </w:rPr>
        <w:t xml:space="preserve">original award </w:t>
      </w:r>
      <w:r w:rsidRPr="00136242">
        <w:rPr>
          <w:rFonts w:ascii="Arial" w:eastAsia="Times New Roman" w:hAnsi="Arial" w:cs="Arial"/>
          <w:iCs/>
        </w:rPr>
        <w:t>criteria to support the requirement.</w:t>
      </w:r>
    </w:p>
    <w:p w:rsidR="004218E9" w:rsidRPr="00B60C22" w:rsidRDefault="004218E9" w:rsidP="00E654E9">
      <w:pPr>
        <w:pStyle w:val="BoldTextindent"/>
        <w:numPr>
          <w:ilvl w:val="0"/>
          <w:numId w:val="0"/>
        </w:numPr>
        <w:spacing w:before="0" w:after="0"/>
        <w:ind w:left="993"/>
        <w:rPr>
          <w:bCs/>
        </w:rPr>
      </w:pPr>
    </w:p>
    <w:p w:rsidR="00480AED" w:rsidRPr="00B60C22" w:rsidRDefault="00480AED" w:rsidP="00AB2877">
      <w:pPr>
        <w:pStyle w:val="ONEH2"/>
      </w:pPr>
      <w:r w:rsidRPr="00B60C22">
        <w:t>Capability Assessment</w:t>
      </w:r>
    </w:p>
    <w:p w:rsidR="004218E9" w:rsidRPr="00B60C22" w:rsidRDefault="004218E9" w:rsidP="00E654E9">
      <w:pPr>
        <w:pStyle w:val="BoldTextindent"/>
        <w:spacing w:before="0" w:after="0"/>
        <w:ind w:left="993" w:hanging="993"/>
        <w:rPr>
          <w:bCs/>
        </w:rPr>
      </w:pPr>
      <w:r w:rsidRPr="00B60C22">
        <w:rPr>
          <w:bCs/>
        </w:rPr>
        <w:t xml:space="preserve">All further competitions will be firstly communicated by a capability statement via </w:t>
      </w:r>
      <w:r w:rsidR="00EB4558" w:rsidRPr="00B60C22">
        <w:rPr>
          <w:bCs/>
        </w:rPr>
        <w:t xml:space="preserve">the </w:t>
      </w:r>
      <w:r w:rsidRPr="00B60C22">
        <w:rPr>
          <w:bCs/>
        </w:rPr>
        <w:t>standard</w:t>
      </w:r>
      <w:r w:rsidR="00EB4558" w:rsidRPr="00B60C22">
        <w:rPr>
          <w:bCs/>
        </w:rPr>
        <w:t xml:space="preserve"> </w:t>
      </w:r>
      <w:r w:rsidR="00AA48B4" w:rsidRPr="00B60C22">
        <w:rPr>
          <w:bCs/>
        </w:rPr>
        <w:t>o</w:t>
      </w:r>
      <w:r w:rsidR="00EB4558" w:rsidRPr="00B60C22">
        <w:rPr>
          <w:bCs/>
        </w:rPr>
        <w:t xml:space="preserve">rganisation </w:t>
      </w:r>
      <w:r w:rsidR="00AA48B4" w:rsidRPr="00B60C22">
        <w:rPr>
          <w:bCs/>
        </w:rPr>
        <w:t>capability</w:t>
      </w:r>
      <w:r w:rsidRPr="00B60C22">
        <w:rPr>
          <w:bCs/>
        </w:rPr>
        <w:t xml:space="preserve"> template. </w:t>
      </w:r>
      <w:r w:rsidR="004A6E62" w:rsidRPr="00B60C22">
        <w:rPr>
          <w:bCs/>
        </w:rPr>
        <w:t xml:space="preserve">Framework suppliers </w:t>
      </w:r>
      <w:r w:rsidRPr="00B60C22">
        <w:rPr>
          <w:bCs/>
        </w:rPr>
        <w:t xml:space="preserve">will be required to state their interest in competing prior to the documents being issued, if there is only one expression of interest then the work will be awarded directly to this </w:t>
      </w:r>
      <w:r w:rsidR="004A6E62" w:rsidRPr="00B60C22">
        <w:rPr>
          <w:bCs/>
        </w:rPr>
        <w:t>framework supplier</w:t>
      </w:r>
      <w:r w:rsidRPr="00B60C22">
        <w:rPr>
          <w:bCs/>
        </w:rPr>
        <w:t xml:space="preserve">. The capability assessment will categorise the opportunity into one of the </w:t>
      </w:r>
      <w:r w:rsidR="00EB4558" w:rsidRPr="00B60C22">
        <w:rPr>
          <w:bCs/>
        </w:rPr>
        <w:t xml:space="preserve">four </w:t>
      </w:r>
      <w:r w:rsidRPr="00B60C22">
        <w:rPr>
          <w:bCs/>
        </w:rPr>
        <w:t>categories stated below</w:t>
      </w:r>
      <w:r w:rsidR="00914A77" w:rsidRPr="00B60C22">
        <w:rPr>
          <w:bCs/>
        </w:rPr>
        <w:t>:</w:t>
      </w:r>
      <w:r w:rsidRPr="00B60C22">
        <w:rPr>
          <w:bCs/>
        </w:rPr>
        <w:t xml:space="preserve"> </w:t>
      </w:r>
    </w:p>
    <w:p w:rsidR="00AA48B4" w:rsidRPr="00B60C22" w:rsidRDefault="00AA48B4" w:rsidP="00E654E9">
      <w:pPr>
        <w:spacing w:after="0" w:line="240" w:lineRule="auto"/>
        <w:jc w:val="both"/>
        <w:rPr>
          <w:rFonts w:ascii="Arial" w:eastAsia="Times New Roman" w:hAnsi="Arial" w:cs="Arial"/>
          <w:iCs/>
        </w:rPr>
      </w:pPr>
    </w:p>
    <w:p w:rsidR="004218E9" w:rsidRPr="00136242" w:rsidRDefault="004218E9" w:rsidP="007C7872">
      <w:pPr>
        <w:pStyle w:val="ListParagraph"/>
        <w:numPr>
          <w:ilvl w:val="0"/>
          <w:numId w:val="23"/>
        </w:numPr>
        <w:spacing w:after="0" w:line="240" w:lineRule="auto"/>
        <w:ind w:left="1418" w:hanging="425"/>
        <w:jc w:val="both"/>
        <w:rPr>
          <w:rFonts w:ascii="Arial" w:eastAsia="Times New Roman" w:hAnsi="Arial" w:cs="Arial"/>
          <w:iCs/>
        </w:rPr>
      </w:pPr>
      <w:r w:rsidRPr="00136242">
        <w:rPr>
          <w:rFonts w:ascii="Arial" w:eastAsia="Times New Roman" w:hAnsi="Arial" w:cs="Arial"/>
          <w:iCs/>
        </w:rPr>
        <w:t>Entirely New Work not related to any existing case or advice.</w:t>
      </w:r>
    </w:p>
    <w:p w:rsidR="004218E9" w:rsidRPr="00136242" w:rsidRDefault="004218E9" w:rsidP="007C7872">
      <w:pPr>
        <w:pStyle w:val="ListParagraph"/>
        <w:numPr>
          <w:ilvl w:val="0"/>
          <w:numId w:val="23"/>
        </w:numPr>
        <w:tabs>
          <w:tab w:val="num" w:pos="2340"/>
        </w:tabs>
        <w:spacing w:after="0" w:line="240" w:lineRule="auto"/>
        <w:ind w:left="1418" w:hanging="425"/>
        <w:jc w:val="both"/>
        <w:rPr>
          <w:rFonts w:ascii="Arial" w:eastAsia="Times New Roman" w:hAnsi="Arial" w:cs="Arial"/>
          <w:iCs/>
        </w:rPr>
      </w:pPr>
      <w:r w:rsidRPr="00136242">
        <w:rPr>
          <w:rFonts w:ascii="Arial" w:eastAsia="Times New Roman" w:hAnsi="Arial" w:cs="Arial"/>
          <w:iCs/>
        </w:rPr>
        <w:t>A progression of an existing case from which an incumbent legal provider is already advising.</w:t>
      </w:r>
    </w:p>
    <w:p w:rsidR="004218E9" w:rsidRPr="00136242" w:rsidRDefault="004218E9" w:rsidP="007C7872">
      <w:pPr>
        <w:pStyle w:val="ListParagraph"/>
        <w:numPr>
          <w:ilvl w:val="0"/>
          <w:numId w:val="23"/>
        </w:numPr>
        <w:tabs>
          <w:tab w:val="num" w:pos="2340"/>
        </w:tabs>
        <w:spacing w:after="0" w:line="240" w:lineRule="auto"/>
        <w:ind w:left="1418" w:hanging="425"/>
        <w:jc w:val="both"/>
        <w:rPr>
          <w:rFonts w:ascii="Arial" w:eastAsia="Times New Roman" w:hAnsi="Arial" w:cs="Arial"/>
          <w:iCs/>
        </w:rPr>
      </w:pPr>
      <w:r w:rsidRPr="00136242">
        <w:rPr>
          <w:rFonts w:ascii="Arial" w:eastAsia="Times New Roman" w:hAnsi="Arial" w:cs="Arial"/>
          <w:iCs/>
        </w:rPr>
        <w:t>Subsidiary Work. Work that is related to existing case work provided by an existing supplier but may be plausibly delivered by another organisation.</w:t>
      </w:r>
    </w:p>
    <w:p w:rsidR="004218E9" w:rsidRPr="00136242" w:rsidRDefault="004218E9" w:rsidP="007C7872">
      <w:pPr>
        <w:pStyle w:val="ListParagraph"/>
        <w:numPr>
          <w:ilvl w:val="0"/>
          <w:numId w:val="23"/>
        </w:numPr>
        <w:tabs>
          <w:tab w:val="num" w:pos="2340"/>
        </w:tabs>
        <w:spacing w:after="0" w:line="240" w:lineRule="auto"/>
        <w:ind w:left="1418" w:hanging="425"/>
        <w:jc w:val="both"/>
        <w:rPr>
          <w:rFonts w:ascii="Arial" w:eastAsia="Times New Roman" w:hAnsi="Arial" w:cs="Arial"/>
          <w:iCs/>
        </w:rPr>
      </w:pPr>
      <w:r w:rsidRPr="00136242">
        <w:rPr>
          <w:rFonts w:ascii="Arial" w:eastAsia="Times New Roman" w:hAnsi="Arial" w:cs="Arial"/>
          <w:iCs/>
        </w:rPr>
        <w:t xml:space="preserve">Financial Analysis with Legal Opinion. Work that requires financial analysis and legal opinion. </w:t>
      </w:r>
    </w:p>
    <w:p w:rsidR="004218E9" w:rsidRPr="00B60C22" w:rsidRDefault="004218E9" w:rsidP="00E654E9">
      <w:pPr>
        <w:spacing w:after="0" w:line="240" w:lineRule="auto"/>
        <w:ind w:left="612" w:hanging="432"/>
        <w:jc w:val="both"/>
        <w:rPr>
          <w:rFonts w:ascii="Arial" w:eastAsia="Times New Roman" w:hAnsi="Arial" w:cs="Arial"/>
          <w:iCs/>
        </w:rPr>
      </w:pPr>
    </w:p>
    <w:p w:rsidR="004218E9" w:rsidRPr="00B60C22" w:rsidRDefault="004218E9" w:rsidP="004A6E62">
      <w:pPr>
        <w:pStyle w:val="BoldTextindent"/>
        <w:spacing w:before="0" w:after="0"/>
        <w:ind w:left="993" w:hanging="993"/>
        <w:rPr>
          <w:bCs/>
        </w:rPr>
      </w:pPr>
      <w:r w:rsidRPr="00B60C22">
        <w:rPr>
          <w:bCs/>
        </w:rPr>
        <w:t xml:space="preserve">The intention of the above step is to provide enough information around the package of work to allow framework suppliers to make an informed decision about the opportunity and whether they wish to submit a response to a further competition. </w:t>
      </w:r>
      <w:r w:rsidR="00EB4558" w:rsidRPr="00B60C22">
        <w:rPr>
          <w:bCs/>
        </w:rPr>
        <w:t>T</w:t>
      </w:r>
      <w:r w:rsidRPr="00B60C22">
        <w:rPr>
          <w:bCs/>
        </w:rPr>
        <w:t>his is not a taxi-rank system</w:t>
      </w:r>
      <w:r w:rsidR="004A6E62" w:rsidRPr="00B60C22">
        <w:rPr>
          <w:bCs/>
        </w:rPr>
        <w:t xml:space="preserve">; </w:t>
      </w:r>
      <w:r w:rsidR="00EB4558" w:rsidRPr="00B60C22">
        <w:rPr>
          <w:bCs/>
        </w:rPr>
        <w:t>it is anticipated that this</w:t>
      </w:r>
      <w:r w:rsidRPr="00B60C22">
        <w:rPr>
          <w:bCs/>
        </w:rPr>
        <w:t xml:space="preserve"> will facilitate </w:t>
      </w:r>
      <w:r w:rsidR="004A6E62" w:rsidRPr="00B60C22">
        <w:rPr>
          <w:bCs/>
        </w:rPr>
        <w:t xml:space="preserve">informed </w:t>
      </w:r>
      <w:r w:rsidRPr="00B60C22">
        <w:rPr>
          <w:bCs/>
        </w:rPr>
        <w:t xml:space="preserve">responses to opportunities and provide continuity for larger pieces of work whilst also providing an opportunity for </w:t>
      </w:r>
      <w:r w:rsidR="004A6E62" w:rsidRPr="00B60C22">
        <w:rPr>
          <w:bCs/>
        </w:rPr>
        <w:t xml:space="preserve">framework suppliers </w:t>
      </w:r>
      <w:r w:rsidRPr="00B60C22">
        <w:rPr>
          <w:bCs/>
        </w:rPr>
        <w:t>to compete</w:t>
      </w:r>
      <w:r w:rsidR="00EB4558" w:rsidRPr="00B60C22">
        <w:rPr>
          <w:bCs/>
        </w:rPr>
        <w:t xml:space="preserve"> for all work</w:t>
      </w:r>
      <w:r w:rsidRPr="00B60C22">
        <w:rPr>
          <w:bCs/>
        </w:rPr>
        <w:t>.</w:t>
      </w:r>
    </w:p>
    <w:p w:rsidR="004218E9" w:rsidRPr="00B60C22" w:rsidRDefault="004218E9" w:rsidP="004A6E62">
      <w:pPr>
        <w:spacing w:after="0" w:line="240" w:lineRule="auto"/>
        <w:ind w:left="612" w:hanging="432"/>
        <w:jc w:val="both"/>
        <w:rPr>
          <w:rFonts w:ascii="Arial" w:eastAsia="Times New Roman" w:hAnsi="Arial" w:cs="Arial"/>
          <w:iCs/>
        </w:rPr>
      </w:pPr>
    </w:p>
    <w:p w:rsidR="004218E9" w:rsidRPr="00B60C22" w:rsidRDefault="004218E9" w:rsidP="004A6E62">
      <w:pPr>
        <w:pStyle w:val="BoldTextindent"/>
        <w:spacing w:before="0" w:after="0"/>
        <w:ind w:left="993" w:hanging="993"/>
        <w:rPr>
          <w:bCs/>
        </w:rPr>
      </w:pPr>
      <w:r w:rsidRPr="00B60C22">
        <w:rPr>
          <w:bCs/>
        </w:rPr>
        <w:t>For each new further competition a new conflict of interest form will need to be signed and confirmed.</w:t>
      </w:r>
    </w:p>
    <w:p w:rsidR="00954C90" w:rsidRPr="00B60C22" w:rsidRDefault="00954C90" w:rsidP="004A6E62">
      <w:pPr>
        <w:pStyle w:val="BoldTextindent"/>
        <w:numPr>
          <w:ilvl w:val="0"/>
          <w:numId w:val="0"/>
        </w:numPr>
        <w:spacing w:before="0" w:after="0"/>
        <w:ind w:left="993"/>
        <w:rPr>
          <w:bCs/>
        </w:rPr>
      </w:pPr>
    </w:p>
    <w:p w:rsidR="00983294" w:rsidRPr="00B60C22" w:rsidRDefault="00983294" w:rsidP="004A6E62">
      <w:pPr>
        <w:pStyle w:val="BoldTextindent"/>
        <w:spacing w:before="0" w:after="0"/>
        <w:ind w:left="993" w:hanging="993"/>
        <w:rPr>
          <w:bCs/>
        </w:rPr>
      </w:pPr>
      <w:r w:rsidRPr="00B60C22">
        <w:rPr>
          <w:bCs/>
        </w:rPr>
        <w:t xml:space="preserve">See Appendix </w:t>
      </w:r>
      <w:r w:rsidR="0026172D" w:rsidRPr="00B60C22">
        <w:rPr>
          <w:bCs/>
        </w:rPr>
        <w:t>1</w:t>
      </w:r>
      <w:r w:rsidRPr="00B60C22">
        <w:rPr>
          <w:bCs/>
        </w:rPr>
        <w:t xml:space="preserve"> for an example </w:t>
      </w:r>
      <w:r w:rsidR="003239DB" w:rsidRPr="00B60C22">
        <w:rPr>
          <w:bCs/>
        </w:rPr>
        <w:t>template Capability Assessment.</w:t>
      </w:r>
    </w:p>
    <w:p w:rsidR="003239DB" w:rsidRPr="00B60C22" w:rsidRDefault="003239DB" w:rsidP="004A6E62">
      <w:pPr>
        <w:pStyle w:val="BoldTextindent"/>
        <w:numPr>
          <w:ilvl w:val="0"/>
          <w:numId w:val="0"/>
        </w:numPr>
        <w:spacing w:before="0" w:after="0"/>
        <w:rPr>
          <w:bCs/>
        </w:rPr>
      </w:pPr>
    </w:p>
    <w:p w:rsidR="00C63E30" w:rsidRPr="00B60C22" w:rsidRDefault="00983294" w:rsidP="00C63E30">
      <w:pPr>
        <w:pStyle w:val="ONEH1"/>
        <w:keepNext/>
        <w:numPr>
          <w:ilvl w:val="0"/>
          <w:numId w:val="2"/>
        </w:numPr>
        <w:tabs>
          <w:tab w:val="clear" w:pos="851"/>
        </w:tabs>
        <w:spacing w:before="0" w:after="0"/>
        <w:jc w:val="both"/>
        <w:rPr>
          <w:rFonts w:ascii="Arial" w:hAnsi="Arial"/>
          <w:sz w:val="22"/>
          <w:szCs w:val="24"/>
        </w:rPr>
      </w:pPr>
      <w:r w:rsidRPr="00B60C22">
        <w:rPr>
          <w:rFonts w:ascii="Arial" w:hAnsi="Arial"/>
          <w:sz w:val="22"/>
          <w:szCs w:val="24"/>
        </w:rPr>
        <w:lastRenderedPageBreak/>
        <w:t>R</w:t>
      </w:r>
      <w:r w:rsidR="00E654E9" w:rsidRPr="00B60C22">
        <w:rPr>
          <w:rFonts w:ascii="Arial" w:hAnsi="Arial"/>
          <w:sz w:val="22"/>
          <w:szCs w:val="24"/>
        </w:rPr>
        <w:t xml:space="preserve">ISK </w:t>
      </w:r>
    </w:p>
    <w:p w:rsidR="008A4852" w:rsidRPr="00B60C22" w:rsidRDefault="003239DB" w:rsidP="00C63E30">
      <w:pPr>
        <w:pStyle w:val="ONEH1"/>
        <w:keepNext/>
        <w:numPr>
          <w:ilvl w:val="0"/>
          <w:numId w:val="0"/>
        </w:numPr>
        <w:tabs>
          <w:tab w:val="clear" w:pos="851"/>
        </w:tabs>
        <w:spacing w:before="0" w:after="0"/>
        <w:ind w:left="360"/>
        <w:jc w:val="both"/>
        <w:rPr>
          <w:rFonts w:ascii="Arial" w:hAnsi="Arial"/>
          <w:sz w:val="22"/>
          <w:szCs w:val="24"/>
        </w:rPr>
      </w:pPr>
      <w:r w:rsidRPr="00B60C22">
        <w:rPr>
          <w:rFonts w:ascii="Arial" w:hAnsi="Arial"/>
          <w:sz w:val="22"/>
          <w:szCs w:val="24"/>
        </w:rPr>
        <w:t xml:space="preserve"> </w:t>
      </w:r>
    </w:p>
    <w:p w:rsidR="00983294" w:rsidRPr="00B60C22" w:rsidRDefault="00983294" w:rsidP="00C63E30">
      <w:pPr>
        <w:pStyle w:val="BoldTextindent"/>
        <w:tabs>
          <w:tab w:val="clear" w:pos="2084"/>
          <w:tab w:val="num" w:pos="2340"/>
        </w:tabs>
        <w:spacing w:before="0" w:after="0"/>
        <w:ind w:left="993" w:hanging="993"/>
      </w:pPr>
      <w:r w:rsidRPr="00B60C22">
        <w:t xml:space="preserve">The </w:t>
      </w:r>
      <w:r w:rsidR="00930FB7" w:rsidRPr="00B60C22">
        <w:t xml:space="preserve">framework </w:t>
      </w:r>
      <w:r w:rsidRPr="00B60C22">
        <w:t xml:space="preserve">suppliers will be required to work with the Department of Health to </w:t>
      </w:r>
      <w:r w:rsidR="00073F54" w:rsidRPr="00B60C22">
        <w:t xml:space="preserve">ascertain </w:t>
      </w:r>
      <w:r w:rsidR="00930FB7" w:rsidRPr="00B60C22">
        <w:t xml:space="preserve">and understand </w:t>
      </w:r>
      <w:r w:rsidR="00073F54" w:rsidRPr="00B60C22">
        <w:t xml:space="preserve">the Departments </w:t>
      </w:r>
      <w:r w:rsidR="003239DB" w:rsidRPr="00B60C22">
        <w:t>exposure</w:t>
      </w:r>
      <w:r w:rsidR="00073F54" w:rsidRPr="00B60C22">
        <w:t xml:space="preserve"> </w:t>
      </w:r>
      <w:r w:rsidR="003239DB" w:rsidRPr="00B60C22">
        <w:t>to commercial</w:t>
      </w:r>
      <w:r w:rsidR="00073F54" w:rsidRPr="00B60C22">
        <w:t xml:space="preserve"> risk for each specific requirement.</w:t>
      </w:r>
    </w:p>
    <w:p w:rsidR="00C63E30" w:rsidRPr="00B60C22" w:rsidRDefault="00C63E30" w:rsidP="00C63E30">
      <w:pPr>
        <w:pStyle w:val="BoldTextindent"/>
        <w:numPr>
          <w:ilvl w:val="0"/>
          <w:numId w:val="0"/>
        </w:numPr>
        <w:spacing w:before="0" w:after="0"/>
        <w:ind w:left="993"/>
      </w:pPr>
    </w:p>
    <w:p w:rsidR="00930FB7" w:rsidRPr="00B60C22" w:rsidRDefault="00930FB7" w:rsidP="00E654E9">
      <w:pPr>
        <w:pStyle w:val="BoldTextindent"/>
        <w:tabs>
          <w:tab w:val="clear" w:pos="2084"/>
          <w:tab w:val="num" w:pos="2340"/>
        </w:tabs>
        <w:spacing w:before="0" w:after="0"/>
        <w:ind w:left="993" w:hanging="993"/>
      </w:pPr>
      <w:r w:rsidRPr="00B60C22">
        <w:t xml:space="preserve">It is required that the framework suppliers will work with either externally appointed financial analysts or internal expertise to quantify any applicable financial impact of any proposed Civil Litigation, Arbitration and Mediation. </w:t>
      </w:r>
    </w:p>
    <w:p w:rsidR="00C63E30" w:rsidRPr="00B60C22" w:rsidRDefault="00C63E30" w:rsidP="00C63E30">
      <w:pPr>
        <w:pStyle w:val="BoldTextindent"/>
        <w:numPr>
          <w:ilvl w:val="0"/>
          <w:numId w:val="0"/>
        </w:numPr>
        <w:spacing w:before="0" w:after="0"/>
        <w:ind w:left="993"/>
      </w:pPr>
    </w:p>
    <w:p w:rsidR="00930FB7" w:rsidRPr="00B60C22" w:rsidRDefault="00930FB7" w:rsidP="00E654E9">
      <w:pPr>
        <w:pStyle w:val="BoldTextindent"/>
        <w:tabs>
          <w:tab w:val="clear" w:pos="2084"/>
          <w:tab w:val="num" w:pos="2340"/>
        </w:tabs>
        <w:spacing w:before="0" w:after="0"/>
        <w:ind w:left="993" w:hanging="993"/>
      </w:pPr>
      <w:r w:rsidRPr="00B60C22">
        <w:t xml:space="preserve">It is expected that the framework suppliers will be capable of providing the Department of Health with a suitable breakdown of probability of success that is measured against the likely financial risk / benefit. </w:t>
      </w:r>
    </w:p>
    <w:p w:rsidR="00C63E30" w:rsidRPr="00B60C22" w:rsidRDefault="00C63E30" w:rsidP="00C63E30">
      <w:pPr>
        <w:pStyle w:val="BoldTextindent"/>
        <w:numPr>
          <w:ilvl w:val="0"/>
          <w:numId w:val="0"/>
        </w:numPr>
        <w:spacing w:before="0" w:after="0"/>
        <w:ind w:left="993"/>
      </w:pPr>
    </w:p>
    <w:p w:rsidR="00254FDA" w:rsidRPr="00B60C22" w:rsidRDefault="00073F54" w:rsidP="00C63E30">
      <w:pPr>
        <w:pStyle w:val="BoldTextindent"/>
        <w:tabs>
          <w:tab w:val="clear" w:pos="2084"/>
          <w:tab w:val="num" w:pos="2340"/>
        </w:tabs>
        <w:spacing w:before="0" w:after="0"/>
        <w:ind w:left="993" w:hanging="993"/>
      </w:pPr>
      <w:r w:rsidRPr="00B60C22">
        <w:t>The decision to pursue Litigation, Arbitration or other settlement is the product of many individual contributing factors. Where advice is provided</w:t>
      </w:r>
      <w:r w:rsidR="00930FB7" w:rsidRPr="00B60C22">
        <w:t xml:space="preserve"> by a </w:t>
      </w:r>
      <w:r w:rsidR="00954C90" w:rsidRPr="00B60C22">
        <w:t xml:space="preserve">framework </w:t>
      </w:r>
      <w:r w:rsidR="00930FB7" w:rsidRPr="00B60C22">
        <w:t>supplier</w:t>
      </w:r>
      <w:r w:rsidRPr="00B60C22">
        <w:t xml:space="preserve"> to pursue a course of action</w:t>
      </w:r>
      <w:r w:rsidR="00930FB7" w:rsidRPr="00B60C22">
        <w:t>,</w:t>
      </w:r>
      <w:r w:rsidRPr="00B60C22">
        <w:t xml:space="preserve"> it is expected that the </w:t>
      </w:r>
      <w:r w:rsidR="00954C90" w:rsidRPr="00B60C22">
        <w:t xml:space="preserve">framework </w:t>
      </w:r>
      <w:r w:rsidRPr="00B60C22">
        <w:t xml:space="preserve">supplier shall provide a transparent reasoning </w:t>
      </w:r>
      <w:r w:rsidR="00930FB7" w:rsidRPr="00B60C22">
        <w:t>to underline</w:t>
      </w:r>
      <w:r w:rsidRPr="00B60C22">
        <w:t xml:space="preserve"> the </w:t>
      </w:r>
      <w:r w:rsidR="00930FB7" w:rsidRPr="00B60C22">
        <w:t>approach.</w:t>
      </w:r>
      <w:r w:rsidRPr="00B60C22">
        <w:t xml:space="preserve"> </w:t>
      </w:r>
      <w:r w:rsidR="00930FB7" w:rsidRPr="00B60C22">
        <w:t>This may take the form of a standard or repeatable report format that can be applied to several projects.</w:t>
      </w:r>
    </w:p>
    <w:p w:rsidR="00C63E30" w:rsidRPr="00B60C22" w:rsidRDefault="00C63E30" w:rsidP="00C63E30">
      <w:pPr>
        <w:pStyle w:val="BoldTextindent"/>
        <w:numPr>
          <w:ilvl w:val="0"/>
          <w:numId w:val="0"/>
        </w:numPr>
        <w:spacing w:before="0" w:after="0"/>
        <w:ind w:left="993"/>
      </w:pPr>
    </w:p>
    <w:p w:rsidR="00073F54" w:rsidRPr="00B60C22" w:rsidRDefault="00930FB7" w:rsidP="00C63E30">
      <w:pPr>
        <w:pStyle w:val="BoldTextindent"/>
        <w:tabs>
          <w:tab w:val="clear" w:pos="2084"/>
          <w:tab w:val="num" w:pos="2340"/>
        </w:tabs>
        <w:spacing w:before="0" w:after="0"/>
        <w:ind w:left="993" w:hanging="993"/>
      </w:pPr>
      <w:r w:rsidRPr="00B60C22">
        <w:t>Where</w:t>
      </w:r>
      <w:r w:rsidR="00254FDA" w:rsidRPr="00B60C22">
        <w:t xml:space="preserve"> an algorithm or mathematical approach is used to consider chance of success; the methodology should be explained clearly to the Department of Health.</w:t>
      </w:r>
    </w:p>
    <w:p w:rsidR="00983294" w:rsidRDefault="00983294" w:rsidP="00C63E30">
      <w:pPr>
        <w:spacing w:after="0" w:line="240" w:lineRule="auto"/>
        <w:jc w:val="both"/>
        <w:rPr>
          <w:rFonts w:ascii="Arial" w:hAnsi="Arial" w:cs="Arial"/>
        </w:rPr>
      </w:pPr>
    </w:p>
    <w:p w:rsidR="00AB2877" w:rsidRPr="00B60C22" w:rsidRDefault="00AB2877" w:rsidP="00C63E30">
      <w:pPr>
        <w:spacing w:after="0" w:line="240" w:lineRule="auto"/>
        <w:jc w:val="both"/>
        <w:rPr>
          <w:rFonts w:ascii="Arial" w:hAnsi="Arial" w:cs="Arial"/>
        </w:rPr>
      </w:pPr>
    </w:p>
    <w:p w:rsidR="00C63E30" w:rsidRPr="00B60C22" w:rsidRDefault="008A77E9" w:rsidP="00C63E30">
      <w:pPr>
        <w:pStyle w:val="ONEH1"/>
        <w:keepNext/>
        <w:numPr>
          <w:ilvl w:val="0"/>
          <w:numId w:val="2"/>
        </w:numPr>
        <w:tabs>
          <w:tab w:val="clear" w:pos="851"/>
          <w:tab w:val="num" w:pos="1260"/>
        </w:tabs>
        <w:spacing w:before="0" w:after="0"/>
        <w:jc w:val="both"/>
        <w:rPr>
          <w:rFonts w:ascii="Arial" w:hAnsi="Arial"/>
          <w:iCs/>
          <w:sz w:val="22"/>
          <w:szCs w:val="22"/>
        </w:rPr>
      </w:pPr>
      <w:r w:rsidRPr="00B60C22">
        <w:rPr>
          <w:rFonts w:ascii="Arial" w:hAnsi="Arial"/>
          <w:iCs/>
          <w:sz w:val="22"/>
          <w:szCs w:val="22"/>
        </w:rPr>
        <w:t>R</w:t>
      </w:r>
      <w:r w:rsidR="00E654E9" w:rsidRPr="00B60C22">
        <w:rPr>
          <w:rFonts w:ascii="Arial" w:hAnsi="Arial"/>
          <w:iCs/>
          <w:sz w:val="22"/>
          <w:szCs w:val="22"/>
        </w:rPr>
        <w:t>ELEVANT KEY STAKEHOLDERS</w:t>
      </w:r>
    </w:p>
    <w:p w:rsidR="00C63E30" w:rsidRPr="00B60C22" w:rsidRDefault="00C63E30" w:rsidP="00C63E30">
      <w:pPr>
        <w:spacing w:after="0" w:line="240" w:lineRule="auto"/>
        <w:rPr>
          <w:rFonts w:ascii="Arial" w:hAnsi="Arial" w:cs="Arial"/>
        </w:rPr>
      </w:pPr>
    </w:p>
    <w:p w:rsidR="008A77E9" w:rsidRPr="00B60C22" w:rsidRDefault="008A77E9" w:rsidP="00C63E30">
      <w:pPr>
        <w:pStyle w:val="BoldTextindent"/>
        <w:spacing w:before="0" w:after="0"/>
        <w:ind w:left="993" w:hanging="993"/>
        <w:rPr>
          <w:rFonts w:eastAsia="Times New Roman"/>
          <w:iCs/>
        </w:rPr>
      </w:pPr>
      <w:r w:rsidRPr="00B60C22">
        <w:rPr>
          <w:rFonts w:eastAsia="Times New Roman"/>
          <w:iCs/>
        </w:rPr>
        <w:t>There are a broad range of key project stakeholders from across the NHS and Government. These Stakeholders can be viewed at two levels;</w:t>
      </w:r>
    </w:p>
    <w:p w:rsidR="008A77E9" w:rsidRPr="00B60C22" w:rsidRDefault="008A77E9" w:rsidP="007C7872">
      <w:pPr>
        <w:pStyle w:val="ListParagraph"/>
        <w:numPr>
          <w:ilvl w:val="0"/>
          <w:numId w:val="24"/>
        </w:numPr>
        <w:spacing w:after="0" w:line="240" w:lineRule="auto"/>
        <w:ind w:left="1418" w:hanging="425"/>
        <w:jc w:val="both"/>
        <w:rPr>
          <w:rFonts w:ascii="Arial" w:eastAsia="Times New Roman" w:hAnsi="Arial" w:cs="Arial"/>
          <w:iCs/>
        </w:rPr>
      </w:pPr>
      <w:r w:rsidRPr="00B60C22">
        <w:rPr>
          <w:rFonts w:ascii="Arial" w:eastAsia="Times New Roman" w:hAnsi="Arial" w:cs="Arial"/>
          <w:iCs/>
        </w:rPr>
        <w:t>Primary- the people or groups that stand to be directly affected.</w:t>
      </w:r>
    </w:p>
    <w:p w:rsidR="008A77E9" w:rsidRPr="00B60C22" w:rsidRDefault="008A77E9" w:rsidP="007C7872">
      <w:pPr>
        <w:pStyle w:val="ListParagraph"/>
        <w:numPr>
          <w:ilvl w:val="0"/>
          <w:numId w:val="24"/>
        </w:numPr>
        <w:tabs>
          <w:tab w:val="num" w:pos="2340"/>
        </w:tabs>
        <w:spacing w:after="0" w:line="240" w:lineRule="auto"/>
        <w:ind w:left="1418" w:hanging="425"/>
        <w:jc w:val="both"/>
        <w:rPr>
          <w:rFonts w:ascii="Arial" w:eastAsia="Times New Roman" w:hAnsi="Arial" w:cs="Arial"/>
          <w:iCs/>
        </w:rPr>
      </w:pPr>
      <w:r w:rsidRPr="00B60C22">
        <w:rPr>
          <w:rFonts w:ascii="Arial" w:eastAsia="Times New Roman" w:hAnsi="Arial" w:cs="Arial"/>
          <w:iCs/>
        </w:rPr>
        <w:t>Secondary – groups that do not engage in direct economic exchange with the business but are affected by its actions.</w:t>
      </w:r>
    </w:p>
    <w:p w:rsidR="008A77E9" w:rsidRPr="00B60C22" w:rsidRDefault="008A77E9" w:rsidP="00E654E9">
      <w:pPr>
        <w:spacing w:after="0" w:line="240" w:lineRule="auto"/>
        <w:ind w:left="612" w:hanging="432"/>
        <w:jc w:val="both"/>
        <w:rPr>
          <w:rFonts w:ascii="Arial" w:eastAsia="Times New Roman" w:hAnsi="Arial" w:cs="Arial"/>
          <w:iCs/>
        </w:rPr>
      </w:pPr>
    </w:p>
    <w:p w:rsidR="008A77E9" w:rsidRPr="00B60C22" w:rsidRDefault="008A77E9" w:rsidP="00E654E9">
      <w:pPr>
        <w:pStyle w:val="BoldTextindent"/>
        <w:spacing w:before="0" w:after="0"/>
        <w:ind w:left="993" w:hanging="993"/>
        <w:rPr>
          <w:rFonts w:eastAsia="Times New Roman"/>
          <w:iCs/>
        </w:rPr>
      </w:pPr>
      <w:r w:rsidRPr="00B60C22">
        <w:rPr>
          <w:rFonts w:eastAsia="Times New Roman"/>
          <w:iCs/>
        </w:rPr>
        <w:t xml:space="preserve">The primary project stakeholders are listed below. All listed stakeholders </w:t>
      </w:r>
      <w:r w:rsidR="00AB2877">
        <w:rPr>
          <w:rFonts w:eastAsia="Times New Roman"/>
          <w:iCs/>
        </w:rPr>
        <w:t xml:space="preserve">may </w:t>
      </w:r>
      <w:r w:rsidRPr="00B60C22">
        <w:rPr>
          <w:rFonts w:eastAsia="Times New Roman"/>
          <w:iCs/>
        </w:rPr>
        <w:t>have a direct interest in the outcome of the procurement, namely; the accurate pricing of drugs to the NHS and subsequent litigation and remunerati</w:t>
      </w:r>
      <w:r w:rsidR="001872EE" w:rsidRPr="00B60C22">
        <w:rPr>
          <w:rFonts w:eastAsia="Times New Roman"/>
          <w:iCs/>
        </w:rPr>
        <w:t>on where drugs are overcharged.</w:t>
      </w:r>
    </w:p>
    <w:p w:rsidR="008A77E9" w:rsidRPr="00B60C22" w:rsidRDefault="008A77E9" w:rsidP="007C7872">
      <w:pPr>
        <w:pStyle w:val="ListParagraph"/>
        <w:numPr>
          <w:ilvl w:val="0"/>
          <w:numId w:val="8"/>
        </w:numPr>
        <w:spacing w:after="0" w:line="240" w:lineRule="auto"/>
        <w:ind w:left="1418" w:hanging="425"/>
        <w:jc w:val="both"/>
        <w:rPr>
          <w:rFonts w:ascii="Arial" w:eastAsia="Times New Roman" w:hAnsi="Arial" w:cs="Arial"/>
          <w:iCs/>
        </w:rPr>
      </w:pPr>
      <w:r w:rsidRPr="00B60C22">
        <w:rPr>
          <w:rFonts w:ascii="Arial" w:eastAsia="Times New Roman" w:hAnsi="Arial" w:cs="Arial"/>
          <w:iCs/>
        </w:rPr>
        <w:t>Department of</w:t>
      </w:r>
      <w:r w:rsidR="0026172D" w:rsidRPr="00B60C22">
        <w:rPr>
          <w:rFonts w:ascii="Arial" w:eastAsia="Times New Roman" w:hAnsi="Arial" w:cs="Arial"/>
          <w:iCs/>
        </w:rPr>
        <w:t xml:space="preserve"> Health Anti-Fraud Unit (DHAFU)</w:t>
      </w:r>
    </w:p>
    <w:p w:rsidR="0026172D" w:rsidRPr="00B60C22" w:rsidRDefault="0026172D" w:rsidP="007C7872">
      <w:pPr>
        <w:pStyle w:val="ListParagraph"/>
        <w:numPr>
          <w:ilvl w:val="0"/>
          <w:numId w:val="8"/>
        </w:numPr>
        <w:tabs>
          <w:tab w:val="left" w:pos="1418"/>
        </w:tabs>
        <w:spacing w:after="0" w:line="240" w:lineRule="auto"/>
        <w:ind w:hanging="153"/>
        <w:jc w:val="both"/>
        <w:rPr>
          <w:rFonts w:ascii="Arial" w:eastAsia="Times New Roman" w:hAnsi="Arial" w:cs="Arial"/>
          <w:iCs/>
        </w:rPr>
      </w:pPr>
      <w:r w:rsidRPr="00B60C22">
        <w:rPr>
          <w:rFonts w:ascii="Arial" w:eastAsia="Times New Roman" w:hAnsi="Arial" w:cs="Arial"/>
          <w:iCs/>
        </w:rPr>
        <w:t xml:space="preserve">NHS Protect. </w:t>
      </w:r>
      <w:hyperlink r:id="rId11" w:history="1">
        <w:r w:rsidRPr="00B60C22">
          <w:rPr>
            <w:rStyle w:val="Hyperlink"/>
            <w:rFonts w:ascii="Arial" w:eastAsia="Times New Roman" w:hAnsi="Arial" w:cs="Arial"/>
            <w:iCs/>
          </w:rPr>
          <w:t>http://www.nhsbsa.nhs.uk/Protect.aspx</w:t>
        </w:r>
      </w:hyperlink>
    </w:p>
    <w:p w:rsidR="008A77E9" w:rsidRPr="00B60C22" w:rsidRDefault="0026172D" w:rsidP="007C7872">
      <w:pPr>
        <w:pStyle w:val="ListParagraph"/>
        <w:numPr>
          <w:ilvl w:val="0"/>
          <w:numId w:val="8"/>
        </w:numPr>
        <w:tabs>
          <w:tab w:val="left" w:pos="1418"/>
        </w:tabs>
        <w:spacing w:after="0" w:line="240" w:lineRule="auto"/>
        <w:ind w:hanging="153"/>
        <w:jc w:val="both"/>
        <w:rPr>
          <w:rFonts w:ascii="Arial" w:eastAsia="Times New Roman" w:hAnsi="Arial" w:cs="Arial"/>
          <w:iCs/>
        </w:rPr>
      </w:pPr>
      <w:r w:rsidRPr="00B60C22">
        <w:rPr>
          <w:rFonts w:ascii="Arial" w:eastAsia="Times New Roman" w:hAnsi="Arial" w:cs="Arial"/>
          <w:iCs/>
        </w:rPr>
        <w:t>NHS England.</w:t>
      </w:r>
      <w:r w:rsidR="008A77E9" w:rsidRPr="00B60C22">
        <w:rPr>
          <w:rFonts w:ascii="Arial" w:eastAsia="Times New Roman" w:hAnsi="Arial" w:cs="Arial"/>
          <w:iCs/>
        </w:rPr>
        <w:t xml:space="preserve"> </w:t>
      </w:r>
      <w:hyperlink r:id="rId12" w:history="1">
        <w:r w:rsidR="008A77E9" w:rsidRPr="00B60C22">
          <w:rPr>
            <w:rFonts w:ascii="Arial" w:eastAsia="Times New Roman" w:hAnsi="Arial" w:cs="Arial"/>
            <w:iCs/>
            <w:color w:val="0000FF"/>
            <w:u w:val="single"/>
          </w:rPr>
          <w:t>https://www.england.nhs.uk/</w:t>
        </w:r>
      </w:hyperlink>
    </w:p>
    <w:p w:rsidR="0026172D" w:rsidRPr="00B60C22" w:rsidRDefault="0026172D" w:rsidP="007C7872">
      <w:pPr>
        <w:pStyle w:val="ListParagraph"/>
        <w:numPr>
          <w:ilvl w:val="0"/>
          <w:numId w:val="8"/>
        </w:numPr>
        <w:tabs>
          <w:tab w:val="left" w:pos="1418"/>
        </w:tabs>
        <w:spacing w:after="0" w:line="240" w:lineRule="auto"/>
        <w:ind w:hanging="153"/>
        <w:jc w:val="both"/>
        <w:rPr>
          <w:rFonts w:ascii="Arial" w:eastAsia="Times New Roman" w:hAnsi="Arial" w:cs="Arial"/>
          <w:iCs/>
        </w:rPr>
      </w:pPr>
      <w:r w:rsidRPr="00B60C22">
        <w:rPr>
          <w:rFonts w:ascii="Arial" w:eastAsia="Times New Roman" w:hAnsi="Arial" w:cs="Arial"/>
          <w:iCs/>
        </w:rPr>
        <w:t>NHS Patients.</w:t>
      </w:r>
    </w:p>
    <w:p w:rsidR="008A77E9" w:rsidRPr="00B60C22" w:rsidRDefault="008A77E9" w:rsidP="00E654E9">
      <w:pPr>
        <w:spacing w:after="0" w:line="240" w:lineRule="auto"/>
        <w:jc w:val="both"/>
        <w:rPr>
          <w:rFonts w:ascii="Arial" w:eastAsia="Times New Roman" w:hAnsi="Arial" w:cs="Arial"/>
          <w:iCs/>
        </w:rPr>
      </w:pPr>
    </w:p>
    <w:p w:rsidR="008A77E9" w:rsidRPr="00B60C22" w:rsidRDefault="008A77E9" w:rsidP="00E654E9">
      <w:pPr>
        <w:pStyle w:val="BoldTextindent"/>
        <w:spacing w:before="0" w:after="0"/>
        <w:ind w:left="993" w:hanging="851"/>
        <w:rPr>
          <w:rFonts w:eastAsia="Times New Roman"/>
          <w:iCs/>
        </w:rPr>
      </w:pPr>
      <w:r w:rsidRPr="00B60C22">
        <w:rPr>
          <w:rFonts w:eastAsia="Times New Roman"/>
          <w:iCs/>
        </w:rPr>
        <w:t xml:space="preserve">The secondary project stakeholders are listed in </w:t>
      </w:r>
      <w:proofErr w:type="spellStart"/>
      <w:r w:rsidR="0026172D" w:rsidRPr="00B60C22">
        <w:rPr>
          <w:rFonts w:eastAsia="Times New Roman"/>
          <w:iCs/>
        </w:rPr>
        <w:t>i</w:t>
      </w:r>
      <w:proofErr w:type="spellEnd"/>
      <w:r w:rsidR="00914A77" w:rsidRPr="00B60C22">
        <w:rPr>
          <w:rFonts w:eastAsia="Times New Roman"/>
          <w:iCs/>
        </w:rPr>
        <w:t xml:space="preserve"> </w:t>
      </w:r>
      <w:r w:rsidRPr="00B60C22">
        <w:rPr>
          <w:rFonts w:eastAsia="Times New Roman"/>
          <w:iCs/>
        </w:rPr>
        <w:t xml:space="preserve">to </w:t>
      </w:r>
      <w:r w:rsidR="0026172D" w:rsidRPr="00B60C22">
        <w:rPr>
          <w:rFonts w:eastAsia="Times New Roman"/>
          <w:iCs/>
        </w:rPr>
        <w:t>v</w:t>
      </w:r>
      <w:r w:rsidR="00914A77" w:rsidRPr="00B60C22">
        <w:rPr>
          <w:rFonts w:eastAsia="Times New Roman"/>
          <w:iCs/>
        </w:rPr>
        <w:t xml:space="preserve"> </w:t>
      </w:r>
      <w:r w:rsidRPr="00B60C22">
        <w:rPr>
          <w:rFonts w:eastAsia="Times New Roman"/>
          <w:iCs/>
        </w:rPr>
        <w:t xml:space="preserve">below. All listed stakeholders </w:t>
      </w:r>
      <w:r w:rsidR="00AB2877">
        <w:rPr>
          <w:rFonts w:eastAsia="Times New Roman"/>
          <w:iCs/>
        </w:rPr>
        <w:t xml:space="preserve">may </w:t>
      </w:r>
      <w:r w:rsidRPr="00B60C22">
        <w:rPr>
          <w:rFonts w:eastAsia="Times New Roman"/>
          <w:iCs/>
        </w:rPr>
        <w:t xml:space="preserve">have an interest in the scope of the procurement, namely; the accurate pricing of drugs to the NHS and subsequent litigation and remuneration where drugs are overcharged. </w:t>
      </w:r>
    </w:p>
    <w:p w:rsidR="008A77E9" w:rsidRPr="00B60C22" w:rsidRDefault="008A77E9" w:rsidP="00E654E9">
      <w:pPr>
        <w:spacing w:after="0" w:line="240" w:lineRule="auto"/>
        <w:ind w:left="540"/>
        <w:jc w:val="both"/>
        <w:rPr>
          <w:rFonts w:ascii="Arial" w:eastAsia="Times New Roman" w:hAnsi="Arial" w:cs="Arial"/>
          <w:iCs/>
        </w:rPr>
      </w:pPr>
    </w:p>
    <w:p w:rsidR="008A77E9" w:rsidRPr="00B60C22" w:rsidRDefault="008A77E9" w:rsidP="007C7872">
      <w:pPr>
        <w:pStyle w:val="ListParagraph"/>
        <w:numPr>
          <w:ilvl w:val="0"/>
          <w:numId w:val="9"/>
        </w:numPr>
        <w:spacing w:after="0" w:line="240" w:lineRule="auto"/>
        <w:ind w:left="1418" w:hanging="425"/>
        <w:jc w:val="both"/>
        <w:rPr>
          <w:rFonts w:ascii="Arial" w:eastAsia="Times New Roman" w:hAnsi="Arial" w:cs="Arial"/>
          <w:iCs/>
        </w:rPr>
      </w:pPr>
      <w:r w:rsidRPr="00B60C22">
        <w:rPr>
          <w:rFonts w:ascii="Arial" w:eastAsia="Times New Roman" w:hAnsi="Arial" w:cs="Arial"/>
          <w:iCs/>
        </w:rPr>
        <w:t>National Insti</w:t>
      </w:r>
      <w:r w:rsidR="00AB2877">
        <w:rPr>
          <w:rFonts w:ascii="Arial" w:eastAsia="Times New Roman" w:hAnsi="Arial" w:cs="Arial"/>
          <w:iCs/>
        </w:rPr>
        <w:t>tute Clinical Excellence (NICE)</w:t>
      </w:r>
      <w:r w:rsidRPr="00B60C22">
        <w:rPr>
          <w:rFonts w:ascii="Arial" w:eastAsia="Times New Roman" w:hAnsi="Arial" w:cs="Arial"/>
          <w:iCs/>
        </w:rPr>
        <w:t xml:space="preserve"> </w:t>
      </w:r>
      <w:hyperlink r:id="rId13" w:history="1">
        <w:r w:rsidRPr="00B60C22">
          <w:rPr>
            <w:rFonts w:ascii="Arial" w:eastAsia="Times New Roman" w:hAnsi="Arial" w:cs="Arial"/>
            <w:iCs/>
            <w:color w:val="0000FF"/>
            <w:u w:val="single"/>
          </w:rPr>
          <w:t>https://www.nice.org.uk/</w:t>
        </w:r>
      </w:hyperlink>
    </w:p>
    <w:p w:rsidR="008A77E9" w:rsidRPr="00B60C22" w:rsidRDefault="008A77E9" w:rsidP="00E654E9">
      <w:pPr>
        <w:spacing w:after="0" w:line="240" w:lineRule="auto"/>
        <w:jc w:val="both"/>
        <w:rPr>
          <w:rFonts w:ascii="Arial" w:eastAsia="Times New Roman" w:hAnsi="Arial" w:cs="Arial"/>
          <w:i/>
          <w:iCs/>
        </w:rPr>
      </w:pPr>
    </w:p>
    <w:p w:rsidR="008A77E9" w:rsidRPr="00B60C22" w:rsidRDefault="008A77E9" w:rsidP="007C7872">
      <w:pPr>
        <w:pStyle w:val="ListParagraph"/>
        <w:numPr>
          <w:ilvl w:val="0"/>
          <w:numId w:val="9"/>
        </w:numPr>
        <w:spacing w:after="0" w:line="240" w:lineRule="auto"/>
        <w:ind w:left="1418" w:hanging="425"/>
        <w:rPr>
          <w:rFonts w:ascii="Arial" w:eastAsia="Times New Roman" w:hAnsi="Arial" w:cs="Arial"/>
          <w:i/>
          <w:iCs/>
        </w:rPr>
      </w:pPr>
      <w:r w:rsidRPr="00B60C22">
        <w:rPr>
          <w:rFonts w:ascii="Arial" w:eastAsia="Times New Roman" w:hAnsi="Arial" w:cs="Arial"/>
          <w:iCs/>
        </w:rPr>
        <w:lastRenderedPageBreak/>
        <w:t xml:space="preserve">Pharmaceutical Price Regulation Scheme (PPRS) </w:t>
      </w:r>
      <w:hyperlink r:id="rId14" w:history="1">
        <w:r w:rsidRPr="00B60C22">
          <w:rPr>
            <w:rFonts w:ascii="Arial" w:eastAsia="Times New Roman" w:hAnsi="Arial" w:cs="Arial"/>
            <w:iCs/>
            <w:color w:val="0000FF"/>
            <w:u w:val="single"/>
          </w:rPr>
          <w:t>https://www.gov.uk/government/publications/pharmaceutical-price-regulation-scheme-2014</w:t>
        </w:r>
      </w:hyperlink>
    </w:p>
    <w:p w:rsidR="008A77E9" w:rsidRPr="00B60C22" w:rsidRDefault="008A77E9" w:rsidP="00E654E9">
      <w:pPr>
        <w:spacing w:after="0" w:line="240" w:lineRule="auto"/>
        <w:jc w:val="both"/>
        <w:rPr>
          <w:rFonts w:ascii="Arial" w:eastAsia="Times New Roman" w:hAnsi="Arial" w:cs="Arial"/>
          <w:i/>
          <w:iCs/>
        </w:rPr>
      </w:pPr>
    </w:p>
    <w:p w:rsidR="008A77E9" w:rsidRPr="00B60C22" w:rsidRDefault="008A77E9" w:rsidP="007C7872">
      <w:pPr>
        <w:pStyle w:val="ListParagraph"/>
        <w:numPr>
          <w:ilvl w:val="0"/>
          <w:numId w:val="9"/>
        </w:numPr>
        <w:spacing w:after="0" w:line="240" w:lineRule="auto"/>
        <w:ind w:left="1418" w:hanging="425"/>
        <w:jc w:val="both"/>
        <w:rPr>
          <w:rFonts w:ascii="Arial" w:eastAsia="Times New Roman" w:hAnsi="Arial" w:cs="Arial"/>
          <w:iCs/>
        </w:rPr>
      </w:pPr>
      <w:r w:rsidRPr="00B60C22">
        <w:rPr>
          <w:rFonts w:ascii="Arial" w:eastAsia="Times New Roman" w:hAnsi="Arial" w:cs="Arial"/>
          <w:iCs/>
        </w:rPr>
        <w:t>Medicines and Healthcare Regulatory Agency (MHRA)</w:t>
      </w:r>
    </w:p>
    <w:p w:rsidR="008A77E9" w:rsidRPr="00136242" w:rsidRDefault="007C7872" w:rsidP="00136242">
      <w:pPr>
        <w:pStyle w:val="ListParagraph"/>
        <w:spacing w:after="0" w:line="240" w:lineRule="auto"/>
        <w:ind w:left="1418"/>
        <w:jc w:val="both"/>
        <w:rPr>
          <w:rFonts w:ascii="Arial" w:eastAsia="Times New Roman" w:hAnsi="Arial" w:cs="Arial"/>
          <w:iCs/>
          <w:color w:val="0000FF"/>
          <w:u w:val="single"/>
        </w:rPr>
      </w:pPr>
      <w:hyperlink r:id="rId15" w:history="1">
        <w:r w:rsidR="008A77E9" w:rsidRPr="00B60C22">
          <w:rPr>
            <w:rFonts w:ascii="Arial" w:eastAsia="Times New Roman" w:hAnsi="Arial" w:cs="Arial"/>
            <w:iCs/>
            <w:color w:val="0000FF"/>
            <w:u w:val="single"/>
          </w:rPr>
          <w:t>https://www.gov.uk/government/organisations/medicines-and-healthcare-products-regulatory-agency</w:t>
        </w:r>
      </w:hyperlink>
    </w:p>
    <w:p w:rsidR="008A77E9" w:rsidRPr="00136242" w:rsidRDefault="008A77E9" w:rsidP="00136242">
      <w:pPr>
        <w:pStyle w:val="ListParagraph"/>
        <w:spacing w:after="0" w:line="240" w:lineRule="auto"/>
        <w:ind w:left="1418"/>
        <w:jc w:val="both"/>
        <w:rPr>
          <w:rFonts w:ascii="Arial" w:eastAsia="Times New Roman" w:hAnsi="Arial" w:cs="Arial"/>
          <w:iCs/>
          <w:color w:val="0000FF"/>
          <w:u w:val="single"/>
        </w:rPr>
      </w:pPr>
    </w:p>
    <w:p w:rsidR="008A77E9" w:rsidRPr="00B60C22" w:rsidRDefault="008A77E9" w:rsidP="007C7872">
      <w:pPr>
        <w:pStyle w:val="ListParagraph"/>
        <w:numPr>
          <w:ilvl w:val="0"/>
          <w:numId w:val="9"/>
        </w:numPr>
        <w:spacing w:after="0" w:line="240" w:lineRule="auto"/>
        <w:ind w:left="1418" w:hanging="425"/>
        <w:jc w:val="both"/>
        <w:rPr>
          <w:rFonts w:ascii="Arial" w:eastAsia="Times New Roman" w:hAnsi="Arial" w:cs="Arial"/>
          <w:iCs/>
        </w:rPr>
      </w:pPr>
      <w:r w:rsidRPr="00B60C22">
        <w:rPr>
          <w:rFonts w:ascii="Arial" w:eastAsia="Times New Roman" w:hAnsi="Arial" w:cs="Arial"/>
          <w:iCs/>
        </w:rPr>
        <w:t>Medicine Pharmacy &amp; Industry (MPI)</w:t>
      </w:r>
    </w:p>
    <w:p w:rsidR="008A77E9" w:rsidRPr="00B60C22" w:rsidRDefault="007C7872" w:rsidP="00136242">
      <w:pPr>
        <w:pStyle w:val="ListParagraph"/>
        <w:spacing w:after="0" w:line="240" w:lineRule="auto"/>
        <w:ind w:left="1418"/>
        <w:jc w:val="both"/>
        <w:rPr>
          <w:rFonts w:ascii="Arial" w:eastAsia="Times New Roman" w:hAnsi="Arial" w:cs="Arial"/>
          <w:iCs/>
          <w:color w:val="0000FF"/>
          <w:u w:val="single"/>
        </w:rPr>
      </w:pPr>
      <w:hyperlink r:id="rId16" w:history="1">
        <w:r w:rsidR="008A77E9" w:rsidRPr="00B60C22">
          <w:rPr>
            <w:rFonts w:ascii="Arial" w:eastAsia="Times New Roman" w:hAnsi="Arial" w:cs="Arial"/>
            <w:iCs/>
            <w:color w:val="0000FF"/>
            <w:u w:val="single"/>
          </w:rPr>
          <w:t>https://www.gov.uk/government/collections/commercial-medicines-unit-cmu</w:t>
        </w:r>
      </w:hyperlink>
    </w:p>
    <w:p w:rsidR="008A77E9" w:rsidRPr="00B60C22" w:rsidRDefault="008A77E9" w:rsidP="00E654E9">
      <w:pPr>
        <w:spacing w:after="0" w:line="240" w:lineRule="auto"/>
        <w:jc w:val="both"/>
        <w:rPr>
          <w:rFonts w:ascii="Arial" w:eastAsia="Times New Roman" w:hAnsi="Arial" w:cs="Arial"/>
          <w:i/>
          <w:iCs/>
        </w:rPr>
      </w:pPr>
    </w:p>
    <w:p w:rsidR="008A77E9" w:rsidRPr="00B60C22" w:rsidRDefault="008A77E9" w:rsidP="007C7872">
      <w:pPr>
        <w:pStyle w:val="ListParagraph"/>
        <w:numPr>
          <w:ilvl w:val="0"/>
          <w:numId w:val="9"/>
        </w:numPr>
        <w:spacing w:after="0" w:line="240" w:lineRule="auto"/>
        <w:ind w:left="1418" w:hanging="425"/>
        <w:jc w:val="both"/>
        <w:rPr>
          <w:rFonts w:ascii="Arial" w:eastAsia="Times New Roman" w:hAnsi="Arial" w:cs="Arial"/>
          <w:iCs/>
        </w:rPr>
      </w:pPr>
      <w:r w:rsidRPr="00B60C22">
        <w:rPr>
          <w:rFonts w:ascii="Arial" w:eastAsia="Times New Roman" w:hAnsi="Arial" w:cs="Arial"/>
          <w:iCs/>
        </w:rPr>
        <w:t>Competition and Markets Authority</w:t>
      </w:r>
    </w:p>
    <w:p w:rsidR="008A77E9" w:rsidRPr="00B60C22" w:rsidRDefault="007C7872" w:rsidP="00136242">
      <w:pPr>
        <w:pStyle w:val="ListParagraph"/>
        <w:spacing w:after="0" w:line="240" w:lineRule="auto"/>
        <w:ind w:left="1418"/>
        <w:jc w:val="both"/>
        <w:rPr>
          <w:rFonts w:ascii="Arial" w:eastAsia="Times New Roman" w:hAnsi="Arial" w:cs="Arial"/>
          <w:iCs/>
        </w:rPr>
      </w:pPr>
      <w:hyperlink r:id="rId17" w:history="1">
        <w:r w:rsidR="008A77E9" w:rsidRPr="00B60C22">
          <w:rPr>
            <w:rFonts w:ascii="Arial" w:eastAsia="Times New Roman" w:hAnsi="Arial" w:cs="Arial"/>
            <w:iCs/>
            <w:color w:val="0000FF"/>
            <w:u w:val="single"/>
          </w:rPr>
          <w:t>https://www.gov.uk/cma-cases?keywords=drug&amp;closed_date%5Bfrom%5D=&amp;closed_date%5Bto%5D</w:t>
        </w:r>
      </w:hyperlink>
    </w:p>
    <w:p w:rsidR="0026172D" w:rsidRDefault="0026172D" w:rsidP="00E654E9">
      <w:pPr>
        <w:spacing w:after="0" w:line="240" w:lineRule="auto"/>
        <w:jc w:val="both"/>
        <w:rPr>
          <w:rFonts w:ascii="Arial" w:hAnsi="Arial" w:cs="Arial"/>
        </w:rPr>
      </w:pPr>
    </w:p>
    <w:p w:rsidR="00136242" w:rsidRPr="00B60C22" w:rsidRDefault="00136242" w:rsidP="00E654E9">
      <w:pPr>
        <w:spacing w:after="0" w:line="240" w:lineRule="auto"/>
        <w:jc w:val="both"/>
        <w:rPr>
          <w:rFonts w:ascii="Arial" w:hAnsi="Arial" w:cs="Arial"/>
        </w:rPr>
      </w:pPr>
    </w:p>
    <w:p w:rsidR="00136242" w:rsidRDefault="006A48E8" w:rsidP="00136242">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F</w:t>
      </w:r>
      <w:r w:rsidR="00E654E9" w:rsidRPr="00B60C22">
        <w:rPr>
          <w:rFonts w:ascii="Arial" w:hAnsi="Arial"/>
          <w:sz w:val="22"/>
          <w:szCs w:val="22"/>
        </w:rPr>
        <w:t>RAMEWORK PRICING</w:t>
      </w:r>
    </w:p>
    <w:p w:rsidR="00AB2877" w:rsidRPr="00AB2877" w:rsidRDefault="00AB2877" w:rsidP="00AB2877"/>
    <w:p w:rsidR="008A77E9" w:rsidRPr="00B60C22" w:rsidRDefault="00E50152" w:rsidP="00AB2877">
      <w:pPr>
        <w:pStyle w:val="ONEH2"/>
      </w:pPr>
      <w:r w:rsidRPr="00B60C22">
        <w:t xml:space="preserve">Rate </w:t>
      </w:r>
      <w:r w:rsidR="00CA0F63" w:rsidRPr="00B60C22">
        <w:t>Card</w:t>
      </w:r>
    </w:p>
    <w:p w:rsidR="0026172D" w:rsidRPr="00B60C22" w:rsidRDefault="0026172D" w:rsidP="00C63E30">
      <w:pPr>
        <w:pStyle w:val="BoldTextindent"/>
        <w:spacing w:before="0" w:after="0"/>
        <w:ind w:left="992" w:hanging="993"/>
      </w:pPr>
      <w:r w:rsidRPr="00B60C22">
        <w:t xml:space="preserve">As part of the tender submission a </w:t>
      </w:r>
      <w:r w:rsidR="00E50152" w:rsidRPr="00B60C22">
        <w:t>Rate C</w:t>
      </w:r>
      <w:r w:rsidRPr="00B60C22">
        <w:t xml:space="preserve">ard must be completed. The </w:t>
      </w:r>
      <w:r w:rsidR="00AD204A" w:rsidRPr="00B60C22">
        <w:t>R</w:t>
      </w:r>
      <w:r w:rsidRPr="00B60C22">
        <w:t xml:space="preserve">ate </w:t>
      </w:r>
      <w:r w:rsidR="00AD204A" w:rsidRPr="00B60C22">
        <w:t>C</w:t>
      </w:r>
      <w:r w:rsidRPr="00B60C22">
        <w:t xml:space="preserve">ard will form the basis of pricing for </w:t>
      </w:r>
      <w:r w:rsidR="00AD204A" w:rsidRPr="00B60C22">
        <w:t>Call-off C</w:t>
      </w:r>
      <w:r w:rsidRPr="00B60C22">
        <w:t xml:space="preserve">ontracts from the </w:t>
      </w:r>
      <w:r w:rsidR="007118C5" w:rsidRPr="00B60C22">
        <w:t>F</w:t>
      </w:r>
      <w:r w:rsidRPr="00B60C22">
        <w:t xml:space="preserve">ramework. </w:t>
      </w:r>
    </w:p>
    <w:p w:rsidR="003239DB" w:rsidRPr="00B60C22" w:rsidRDefault="00E50152" w:rsidP="00C63E30">
      <w:pPr>
        <w:pStyle w:val="BoldTextindent"/>
        <w:spacing w:before="0" w:after="0"/>
        <w:ind w:left="992" w:hanging="993"/>
      </w:pPr>
      <w:r w:rsidRPr="00B60C22">
        <w:t xml:space="preserve">The Rate Card contains fixed pricing for a range of professional personnel, in addition the Rate Card provides fixed pricing for items that have standard charges; to include but not limited to Court Fees, Travel and Subsistence, access to External Experts.  </w:t>
      </w:r>
    </w:p>
    <w:p w:rsidR="008A77E9" w:rsidRPr="00B60C22" w:rsidRDefault="008A77E9" w:rsidP="00C63E30">
      <w:pPr>
        <w:pStyle w:val="BoldTextindent"/>
        <w:spacing w:before="0" w:after="0"/>
        <w:ind w:left="992" w:hanging="993"/>
      </w:pPr>
      <w:r w:rsidRPr="00B60C22">
        <w:t xml:space="preserve">The </w:t>
      </w:r>
      <w:r w:rsidR="00E50152" w:rsidRPr="00B60C22">
        <w:t>R</w:t>
      </w:r>
      <w:r w:rsidRPr="00B60C22">
        <w:t>ate</w:t>
      </w:r>
      <w:r w:rsidR="00E50152" w:rsidRPr="00B60C22">
        <w:t xml:space="preserve"> C</w:t>
      </w:r>
      <w:r w:rsidRPr="00B60C22">
        <w:t xml:space="preserve">ard pricing may be used for direct call off where the pricing is suitably precise to demonstrate value for money for a package of work. </w:t>
      </w:r>
    </w:p>
    <w:p w:rsidR="003239DB" w:rsidRPr="00B60C22" w:rsidRDefault="003239DB" w:rsidP="00C63E30">
      <w:pPr>
        <w:pStyle w:val="BoldTextindent"/>
        <w:numPr>
          <w:ilvl w:val="0"/>
          <w:numId w:val="0"/>
        </w:numPr>
        <w:spacing w:before="0" w:after="0"/>
        <w:ind w:left="992"/>
      </w:pPr>
    </w:p>
    <w:p w:rsidR="003239DB" w:rsidRPr="00B60C22" w:rsidRDefault="003239DB" w:rsidP="00AB2877">
      <w:pPr>
        <w:pStyle w:val="ONEH2"/>
      </w:pPr>
      <w:r w:rsidRPr="00B60C22">
        <w:t>Capability Assessment</w:t>
      </w:r>
    </w:p>
    <w:p w:rsidR="003239DB" w:rsidRPr="00B60C22" w:rsidRDefault="003239DB" w:rsidP="007118C5">
      <w:pPr>
        <w:pStyle w:val="BoldTextindent"/>
        <w:spacing w:before="0" w:after="0"/>
        <w:ind w:left="992" w:hanging="993"/>
      </w:pPr>
      <w:r w:rsidRPr="00B60C22">
        <w:t xml:space="preserve">Prior to the commencement of a further competition from the </w:t>
      </w:r>
      <w:r w:rsidR="007118C5" w:rsidRPr="00B60C22">
        <w:t>F</w:t>
      </w:r>
      <w:r w:rsidRPr="00B60C22">
        <w:t>ramework a capability assessment will be issued to all framework suppliers. The purpose of this document is to provide framework suppliers an early indication of the package of work prior to full documentation being issued. If it is ascertained that only a single framework supplier is likely to bid then</w:t>
      </w:r>
      <w:r w:rsidR="00E27EC3" w:rsidRPr="00B60C22">
        <w:t xml:space="preserve"> a direct award may be awarded in accordance with the Framework </w:t>
      </w:r>
      <w:proofErr w:type="spellStart"/>
      <w:r w:rsidR="00E27EC3" w:rsidRPr="00B60C22">
        <w:t>Ratecard</w:t>
      </w:r>
      <w:proofErr w:type="spellEnd"/>
      <w:r w:rsidR="00E27EC3" w:rsidRPr="00B60C22">
        <w:t>.</w:t>
      </w:r>
      <w:r w:rsidRPr="00B60C22">
        <w:t xml:space="preserve">  </w:t>
      </w:r>
    </w:p>
    <w:p w:rsidR="00F10F64" w:rsidRDefault="00F10F64" w:rsidP="007118C5">
      <w:pPr>
        <w:spacing w:after="0" w:line="240" w:lineRule="auto"/>
        <w:jc w:val="both"/>
        <w:rPr>
          <w:rFonts w:ascii="Arial" w:hAnsi="Arial" w:cs="Arial"/>
        </w:rPr>
      </w:pPr>
      <w:bookmarkStart w:id="0" w:name="_Toc330388275"/>
      <w:bookmarkStart w:id="1" w:name="_Ref313382807"/>
    </w:p>
    <w:p w:rsidR="00AB2877" w:rsidRPr="00B60C22" w:rsidRDefault="00AB2877" w:rsidP="007118C5">
      <w:pPr>
        <w:spacing w:after="0" w:line="240" w:lineRule="auto"/>
        <w:jc w:val="both"/>
        <w:rPr>
          <w:rFonts w:ascii="Arial" w:hAnsi="Arial" w:cs="Arial"/>
        </w:rPr>
      </w:pPr>
      <w:bookmarkStart w:id="2" w:name="_GoBack"/>
      <w:bookmarkEnd w:id="2"/>
    </w:p>
    <w:p w:rsidR="00D87621" w:rsidRPr="00B60C22" w:rsidRDefault="00D87621" w:rsidP="007118C5">
      <w:pPr>
        <w:pStyle w:val="ONEH1"/>
        <w:keepNext/>
        <w:numPr>
          <w:ilvl w:val="0"/>
          <w:numId w:val="2"/>
        </w:numPr>
        <w:tabs>
          <w:tab w:val="clear" w:pos="851"/>
        </w:tabs>
        <w:spacing w:before="0" w:after="0"/>
        <w:jc w:val="both"/>
        <w:rPr>
          <w:rFonts w:ascii="Arial" w:hAnsi="Arial"/>
          <w:sz w:val="22"/>
          <w:szCs w:val="22"/>
        </w:rPr>
      </w:pPr>
      <w:r w:rsidRPr="00B60C22">
        <w:rPr>
          <w:rFonts w:ascii="Arial" w:hAnsi="Arial"/>
          <w:sz w:val="22"/>
          <w:szCs w:val="22"/>
        </w:rPr>
        <w:t>SERVICE LEVELS</w:t>
      </w:r>
      <w:bookmarkEnd w:id="0"/>
      <w:r w:rsidRPr="00B60C22">
        <w:rPr>
          <w:rFonts w:ascii="Arial" w:hAnsi="Arial"/>
          <w:sz w:val="22"/>
          <w:szCs w:val="22"/>
        </w:rPr>
        <w:t xml:space="preserve"> </w:t>
      </w:r>
    </w:p>
    <w:p w:rsidR="007118C5" w:rsidRPr="00B60C22" w:rsidRDefault="007118C5" w:rsidP="007118C5">
      <w:pPr>
        <w:spacing w:after="0" w:line="240" w:lineRule="auto"/>
        <w:rPr>
          <w:rFonts w:ascii="Arial" w:hAnsi="Arial" w:cs="Arial"/>
        </w:rPr>
      </w:pPr>
    </w:p>
    <w:p w:rsidR="00B60C22" w:rsidRPr="00136242" w:rsidRDefault="00B60C22" w:rsidP="00AB2877">
      <w:pPr>
        <w:pStyle w:val="ONEH2"/>
      </w:pPr>
      <w:r w:rsidRPr="00136242">
        <w:t>Scope</w:t>
      </w:r>
    </w:p>
    <w:p w:rsidR="00B60C22" w:rsidRPr="00B60C22" w:rsidRDefault="00B60C22" w:rsidP="00136242">
      <w:pPr>
        <w:pStyle w:val="BoldTextindent"/>
        <w:spacing w:before="0" w:after="0"/>
        <w:ind w:left="992" w:hanging="993"/>
      </w:pPr>
      <w:r w:rsidRPr="00B60C22">
        <w:t>This Annex sets out the Service Levels which a Solicitor is required to achieve when delivering the Services.</w:t>
      </w:r>
    </w:p>
    <w:p w:rsidR="00B60C22" w:rsidRPr="00B60C22" w:rsidRDefault="00B60C22" w:rsidP="00136242">
      <w:pPr>
        <w:pStyle w:val="BoldTextindent"/>
        <w:spacing w:before="0" w:after="0"/>
        <w:ind w:left="992" w:hanging="993"/>
      </w:pPr>
      <w:r w:rsidRPr="00B60C22">
        <w:t>The objectives of the Service Levels are to ensure that the Contract Services are of a consistently high quality and meet the requirements of the Department.</w:t>
      </w:r>
    </w:p>
    <w:p w:rsidR="00B60C22" w:rsidRPr="00B60C22" w:rsidRDefault="00B60C22" w:rsidP="00136242">
      <w:pPr>
        <w:pStyle w:val="BoldTextindent"/>
        <w:spacing w:before="0" w:after="0"/>
        <w:ind w:left="992" w:hanging="993"/>
      </w:pPr>
      <w:r w:rsidRPr="00B60C22">
        <w:t>The Service Levels for the framework shall be incorporated into the specification that is subsequently issued with the tender documentation.</w:t>
      </w:r>
      <w:bookmarkEnd w:id="1"/>
    </w:p>
    <w:sectPr w:rsidR="00B60C22" w:rsidRPr="00B60C2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1DA" w:rsidRDefault="00C931DA" w:rsidP="00794DC6">
      <w:pPr>
        <w:spacing w:after="0" w:line="240" w:lineRule="auto"/>
      </w:pPr>
      <w:r>
        <w:separator/>
      </w:r>
    </w:p>
  </w:endnote>
  <w:endnote w:type="continuationSeparator" w:id="0">
    <w:p w:rsidR="00C931DA" w:rsidRDefault="00C931DA" w:rsidP="0079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36434889"/>
      <w:docPartObj>
        <w:docPartGallery w:val="Page Numbers (Bottom of Page)"/>
        <w:docPartUnique/>
      </w:docPartObj>
    </w:sdtPr>
    <w:sdtEndPr>
      <w:rPr>
        <w:noProof/>
      </w:rPr>
    </w:sdtEndPr>
    <w:sdtContent>
      <w:p w:rsidR="00C931DA" w:rsidRPr="00BF7FBE" w:rsidRDefault="00C931DA">
        <w:pPr>
          <w:pStyle w:val="Footer"/>
          <w:jc w:val="center"/>
          <w:rPr>
            <w:rFonts w:ascii="Arial" w:hAnsi="Arial" w:cs="Arial"/>
            <w:sz w:val="18"/>
            <w:szCs w:val="18"/>
          </w:rPr>
        </w:pPr>
        <w:r w:rsidRPr="00BF7FBE">
          <w:rPr>
            <w:rFonts w:ascii="Arial" w:hAnsi="Arial" w:cs="Arial"/>
            <w:sz w:val="18"/>
            <w:szCs w:val="18"/>
          </w:rPr>
          <w:fldChar w:fldCharType="begin"/>
        </w:r>
        <w:r w:rsidRPr="00BF7FBE">
          <w:rPr>
            <w:rFonts w:ascii="Arial" w:hAnsi="Arial" w:cs="Arial"/>
            <w:sz w:val="18"/>
            <w:szCs w:val="18"/>
          </w:rPr>
          <w:instrText xml:space="preserve"> PAGE   \* MERGEFORMAT </w:instrText>
        </w:r>
        <w:r w:rsidRPr="00BF7FBE">
          <w:rPr>
            <w:rFonts w:ascii="Arial" w:hAnsi="Arial" w:cs="Arial"/>
            <w:sz w:val="18"/>
            <w:szCs w:val="18"/>
          </w:rPr>
          <w:fldChar w:fldCharType="separate"/>
        </w:r>
        <w:r w:rsidR="00AB2877">
          <w:rPr>
            <w:rFonts w:ascii="Arial" w:hAnsi="Arial" w:cs="Arial"/>
            <w:noProof/>
            <w:sz w:val="18"/>
            <w:szCs w:val="18"/>
          </w:rPr>
          <w:t>12</w:t>
        </w:r>
        <w:r w:rsidRPr="00BF7FBE">
          <w:rPr>
            <w:rFonts w:ascii="Arial" w:hAnsi="Arial" w:cs="Arial"/>
            <w:noProof/>
            <w:sz w:val="18"/>
            <w:szCs w:val="18"/>
          </w:rPr>
          <w:fldChar w:fldCharType="end"/>
        </w:r>
      </w:p>
    </w:sdtContent>
  </w:sdt>
  <w:p w:rsidR="00C931DA" w:rsidRPr="00BF7FBE" w:rsidRDefault="00C931DA">
    <w:pPr>
      <w:pStyle w:val="Footer"/>
      <w:rPr>
        <w:rFonts w:ascii="Arial" w:hAnsi="Arial" w:cs="Arial"/>
        <w:sz w:val="18"/>
        <w:szCs w:val="18"/>
      </w:rPr>
    </w:pPr>
    <w:r w:rsidRPr="00BF7FBE">
      <w:rPr>
        <w:rFonts w:ascii="Arial" w:hAnsi="Arial" w:cs="Arial"/>
        <w:sz w:val="18"/>
        <w:szCs w:val="18"/>
      </w:rPr>
      <w:t xml:space="preserve">Draft </w:t>
    </w:r>
    <w:r w:rsidR="00B60C22">
      <w:rPr>
        <w:rFonts w:ascii="Arial" w:hAnsi="Arial" w:cs="Arial"/>
        <w:sz w:val="18"/>
        <w:szCs w:val="18"/>
      </w:rPr>
      <w:t>22</w:t>
    </w:r>
    <w:r>
      <w:rPr>
        <w:rFonts w:ascii="Arial" w:hAnsi="Arial" w:cs="Arial"/>
        <w:sz w:val="18"/>
        <w:szCs w:val="18"/>
      </w:rPr>
      <w:t>.12</w:t>
    </w:r>
    <w:r w:rsidRPr="00BF7FBE">
      <w:rPr>
        <w:rFonts w:ascii="Arial" w:hAnsi="Arial" w:cs="Arial"/>
        <w:sz w:val="18"/>
        <w:szCs w:val="18"/>
      </w:rPr>
      <w:t>.2016</w:t>
    </w:r>
  </w:p>
  <w:p w:rsidR="00C931DA" w:rsidRDefault="00C931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1DA" w:rsidRDefault="00C931DA" w:rsidP="00794DC6">
      <w:pPr>
        <w:spacing w:after="0" w:line="240" w:lineRule="auto"/>
      </w:pPr>
      <w:r>
        <w:separator/>
      </w:r>
    </w:p>
  </w:footnote>
  <w:footnote w:type="continuationSeparator" w:id="0">
    <w:p w:rsidR="00C931DA" w:rsidRDefault="00C931DA" w:rsidP="00794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DA" w:rsidRDefault="007C7872" w:rsidP="0026172D">
    <w:pPr>
      <w:keepNext/>
    </w:pPr>
    <w:sdt>
      <w:sdtPr>
        <w:id w:val="1946883155"/>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931DA">
      <w:rPr>
        <w:noProof/>
        <w:lang w:eastAsia="en-GB"/>
      </w:rPr>
      <w:drawing>
        <wp:inline distT="0" distB="0" distL="0" distR="0" wp14:anchorId="0C19A9E9" wp14:editId="4F97F9FA">
          <wp:extent cx="1088304" cy="699624"/>
          <wp:effectExtent l="0" t="0" r="0" b="5715"/>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77" cy="699671"/>
                  </a:xfrm>
                  <a:prstGeom prst="rect">
                    <a:avLst/>
                  </a:prstGeom>
                  <a:noFill/>
                  <a:ln>
                    <a:noFill/>
                  </a:ln>
                </pic:spPr>
              </pic:pic>
            </a:graphicData>
          </a:graphic>
        </wp:inline>
      </w:drawing>
    </w:r>
    <w:r w:rsidR="00C931D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nsid w:val="07F852B1"/>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08600338"/>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09BA61D4"/>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0C071C9A"/>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1DC42117"/>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nsid w:val="27D42EAC"/>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nsid w:val="2BD65E83"/>
    <w:multiLevelType w:val="multilevel"/>
    <w:tmpl w:val="1332CCD4"/>
    <w:numStyleLink w:val="111111"/>
  </w:abstractNum>
  <w:abstractNum w:abstractNumId="9">
    <w:nsid w:val="353439A6"/>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nsid w:val="3C623D7B"/>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48CF797A"/>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nsid w:val="49BF591A"/>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nsid w:val="4C99619D"/>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nsid w:val="50BE5C35"/>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nsid w:val="54D23C25"/>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nsid w:val="57BC20DE"/>
    <w:multiLevelType w:val="hybridMultilevel"/>
    <w:tmpl w:val="A44EACE6"/>
    <w:lvl w:ilvl="0" w:tplc="9A7E7308">
      <w:start w:val="1"/>
      <w:numFmt w:val="lowerRoman"/>
      <w:lvlText w:val="%1."/>
      <w:lvlJc w:val="left"/>
      <w:pPr>
        <w:ind w:left="1146" w:hanging="360"/>
      </w:pPr>
      <w:rPr>
        <w:rFonts w:hint="default"/>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nsid w:val="5B82646E"/>
    <w:multiLevelType w:val="multilevel"/>
    <w:tmpl w:val="A664C336"/>
    <w:lvl w:ilvl="0">
      <w:start w:val="1"/>
      <w:numFmt w:val="decimal"/>
      <w:pStyle w:val="ListBullet"/>
      <w:lvlText w:val="%1."/>
      <w:lvlJc w:val="left"/>
      <w:pPr>
        <w:tabs>
          <w:tab w:val="num" w:pos="360"/>
        </w:tabs>
        <w:ind w:left="360" w:hanging="36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NEH2"/>
      <w:lvlText w:val="%1.%2"/>
      <w:lvlJc w:val="left"/>
      <w:pPr>
        <w:tabs>
          <w:tab w:val="num" w:pos="1789"/>
        </w:tabs>
        <w:ind w:left="1141" w:hanging="432"/>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oldTextindent"/>
      <w:lvlText w:val="%1.%2.%3"/>
      <w:lvlJc w:val="left"/>
      <w:pPr>
        <w:tabs>
          <w:tab w:val="num" w:pos="2084"/>
        </w:tabs>
        <w:ind w:left="788" w:hanging="504"/>
      </w:pPr>
      <w:rPr>
        <w:rFonts w:ascii="Arial" w:hAnsi="Arial" w:hint="default"/>
        <w:b w:val="0"/>
        <w:i w:val="0"/>
        <w:color w:val="000000" w:themeColor="text1"/>
        <w:sz w:val="22"/>
        <w:szCs w:val="22"/>
      </w:rPr>
    </w:lvl>
    <w:lvl w:ilvl="3">
      <w:start w:val="1"/>
      <w:numFmt w:val="lowerRoman"/>
      <w:lvlText w:val="%4."/>
      <w:lvlJc w:val="left"/>
      <w:pPr>
        <w:tabs>
          <w:tab w:val="num" w:pos="3060"/>
        </w:tabs>
        <w:ind w:left="1548" w:hanging="648"/>
      </w:pPr>
      <w:rPr>
        <w:rFonts w:ascii="Arial" w:eastAsia="Arial" w:hAnsi="Arial" w:cs="Arial"/>
      </w:rPr>
    </w:lvl>
    <w:lvl w:ilvl="4">
      <w:start w:val="1"/>
      <w:numFmt w:val="decimal"/>
      <w:lvlText w:val="%1.%2.%3.%4.%5."/>
      <w:lvlJc w:val="left"/>
      <w:pPr>
        <w:tabs>
          <w:tab w:val="num" w:pos="4140"/>
        </w:tabs>
        <w:ind w:left="2052" w:hanging="792"/>
      </w:pPr>
      <w:rPr>
        <w:rFonts w:hint="default"/>
      </w:rPr>
    </w:lvl>
    <w:lvl w:ilvl="5">
      <w:start w:val="1"/>
      <w:numFmt w:val="decimal"/>
      <w:lvlText w:val="%1.%2.%3.%4.%5.%6."/>
      <w:lvlJc w:val="left"/>
      <w:pPr>
        <w:tabs>
          <w:tab w:val="num" w:pos="4860"/>
        </w:tabs>
        <w:ind w:left="2556" w:hanging="936"/>
      </w:pPr>
      <w:rPr>
        <w:rFonts w:hint="default"/>
      </w:rPr>
    </w:lvl>
    <w:lvl w:ilvl="6">
      <w:start w:val="1"/>
      <w:numFmt w:val="decimal"/>
      <w:lvlText w:val="%1.%2.%3.%4.%5.%6.%7."/>
      <w:lvlJc w:val="left"/>
      <w:pPr>
        <w:tabs>
          <w:tab w:val="num" w:pos="5580"/>
        </w:tabs>
        <w:ind w:left="3060" w:hanging="1080"/>
      </w:pPr>
      <w:rPr>
        <w:rFonts w:hint="default"/>
      </w:rPr>
    </w:lvl>
    <w:lvl w:ilvl="7">
      <w:start w:val="1"/>
      <w:numFmt w:val="decimal"/>
      <w:lvlText w:val="%1.%2.%3.%4.%5.%6.%7.%8."/>
      <w:lvlJc w:val="left"/>
      <w:pPr>
        <w:tabs>
          <w:tab w:val="num" w:pos="6660"/>
        </w:tabs>
        <w:ind w:left="3564" w:hanging="1224"/>
      </w:pPr>
      <w:rPr>
        <w:rFonts w:hint="default"/>
      </w:rPr>
    </w:lvl>
    <w:lvl w:ilvl="8">
      <w:start w:val="1"/>
      <w:numFmt w:val="decimal"/>
      <w:lvlText w:val="%1.%2.%3.%4.%5.%6.%7.%8.%9."/>
      <w:lvlJc w:val="left"/>
      <w:pPr>
        <w:tabs>
          <w:tab w:val="num" w:pos="7380"/>
        </w:tabs>
        <w:ind w:left="4140" w:hanging="1440"/>
      </w:pPr>
      <w:rPr>
        <w:rFonts w:hint="default"/>
      </w:rPr>
    </w:lvl>
  </w:abstractNum>
  <w:abstractNum w:abstractNumId="19">
    <w:nsid w:val="746C184A"/>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nsid w:val="75B45480"/>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nsid w:val="76A20026"/>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nsid w:val="77D2019F"/>
    <w:multiLevelType w:val="multilevel"/>
    <w:tmpl w:val="619AD07E"/>
    <w:lvl w:ilvl="0">
      <w:start w:val="1"/>
      <w:numFmt w:val="decimal"/>
      <w:pStyle w:val="ONEH1"/>
      <w:lvlText w:val="%1."/>
      <w:lvlJc w:val="left"/>
      <w:pPr>
        <w:ind w:left="1073" w:hanging="363"/>
      </w:pPr>
      <w:rPr>
        <w:rFonts w:hint="default"/>
        <w:i w:val="0"/>
        <w:sz w:val="28"/>
      </w:rPr>
    </w:lvl>
    <w:lvl w:ilvl="1">
      <w:start w:val="1"/>
      <w:numFmt w:val="decimal"/>
      <w:lvlText w:val="%1.%2."/>
      <w:lvlJc w:val="left"/>
      <w:pPr>
        <w:ind w:left="1440" w:hanging="363"/>
      </w:pPr>
      <w:rPr>
        <w:rFonts w:hint="default"/>
      </w:rPr>
    </w:lvl>
    <w:lvl w:ilvl="2">
      <w:start w:val="1"/>
      <w:numFmt w:val="decimal"/>
      <w:pStyle w:val="ONEH3"/>
      <w:lvlText w:val="%1.%2.%3."/>
      <w:lvlJc w:val="right"/>
      <w:pPr>
        <w:ind w:left="2160" w:hanging="363"/>
      </w:pPr>
      <w:rPr>
        <w:rFonts w:hint="default"/>
        <w:b w:val="0"/>
        <w:i w:val="0"/>
      </w:rPr>
    </w:lvl>
    <w:lvl w:ilvl="3">
      <w:start w:val="1"/>
      <w:numFmt w:val="lowerRoman"/>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3">
    <w:nsid w:val="7B8A1E97"/>
    <w:multiLevelType w:val="hybridMultilevel"/>
    <w:tmpl w:val="5B149122"/>
    <w:lvl w:ilvl="0" w:tplc="2C18FF64">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2"/>
  </w:num>
  <w:num w:numId="2">
    <w:abstractNumId w:val="18"/>
  </w:num>
  <w:num w:numId="3">
    <w:abstractNumId w:val="0"/>
  </w:num>
  <w:num w:numId="4">
    <w:abstractNumId w:val="21"/>
  </w:num>
  <w:num w:numId="5">
    <w:abstractNumId w:val="11"/>
  </w:num>
  <w:num w:numId="6">
    <w:abstractNumId w:val="1"/>
  </w:num>
  <w:num w:numId="7">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trike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15"/>
  </w:num>
  <w:num w:numId="9">
    <w:abstractNumId w:val="17"/>
  </w:num>
  <w:num w:numId="10">
    <w:abstractNumId w:val="10"/>
  </w:num>
  <w:num w:numId="11">
    <w:abstractNumId w:val="2"/>
  </w:num>
  <w:num w:numId="12">
    <w:abstractNumId w:val="12"/>
  </w:num>
  <w:num w:numId="13">
    <w:abstractNumId w:val="19"/>
  </w:num>
  <w:num w:numId="14">
    <w:abstractNumId w:val="7"/>
  </w:num>
  <w:num w:numId="15">
    <w:abstractNumId w:val="14"/>
  </w:num>
  <w:num w:numId="16">
    <w:abstractNumId w:val="4"/>
  </w:num>
  <w:num w:numId="17">
    <w:abstractNumId w:val="6"/>
  </w:num>
  <w:num w:numId="18">
    <w:abstractNumId w:val="3"/>
  </w:num>
  <w:num w:numId="19">
    <w:abstractNumId w:val="5"/>
  </w:num>
  <w:num w:numId="20">
    <w:abstractNumId w:val="9"/>
  </w:num>
  <w:num w:numId="21">
    <w:abstractNumId w:val="13"/>
  </w:num>
  <w:num w:numId="22">
    <w:abstractNumId w:val="16"/>
  </w:num>
  <w:num w:numId="23">
    <w:abstractNumId w:val="20"/>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ED"/>
    <w:rsid w:val="00015431"/>
    <w:rsid w:val="00022D7B"/>
    <w:rsid w:val="00034111"/>
    <w:rsid w:val="0004061D"/>
    <w:rsid w:val="000477C1"/>
    <w:rsid w:val="000548C4"/>
    <w:rsid w:val="00060320"/>
    <w:rsid w:val="00067DE1"/>
    <w:rsid w:val="00073F54"/>
    <w:rsid w:val="000768D5"/>
    <w:rsid w:val="0008045B"/>
    <w:rsid w:val="00084BAD"/>
    <w:rsid w:val="0009261C"/>
    <w:rsid w:val="00093726"/>
    <w:rsid w:val="00094994"/>
    <w:rsid w:val="000D3AF9"/>
    <w:rsid w:val="000F19B9"/>
    <w:rsid w:val="0010020F"/>
    <w:rsid w:val="0010486E"/>
    <w:rsid w:val="00136242"/>
    <w:rsid w:val="00151CBE"/>
    <w:rsid w:val="00162824"/>
    <w:rsid w:val="00164705"/>
    <w:rsid w:val="001667A2"/>
    <w:rsid w:val="001872EE"/>
    <w:rsid w:val="0019116C"/>
    <w:rsid w:val="001C7273"/>
    <w:rsid w:val="001D1AB9"/>
    <w:rsid w:val="001D4966"/>
    <w:rsid w:val="001F4116"/>
    <w:rsid w:val="002164CE"/>
    <w:rsid w:val="00223B58"/>
    <w:rsid w:val="00252690"/>
    <w:rsid w:val="00254FDA"/>
    <w:rsid w:val="0026172D"/>
    <w:rsid w:val="002709FF"/>
    <w:rsid w:val="002743D8"/>
    <w:rsid w:val="00276688"/>
    <w:rsid w:val="00276CBC"/>
    <w:rsid w:val="00293714"/>
    <w:rsid w:val="002A69D3"/>
    <w:rsid w:val="002D0CD6"/>
    <w:rsid w:val="00316003"/>
    <w:rsid w:val="003223D3"/>
    <w:rsid w:val="00322459"/>
    <w:rsid w:val="003239DB"/>
    <w:rsid w:val="00327252"/>
    <w:rsid w:val="00327B1F"/>
    <w:rsid w:val="00371039"/>
    <w:rsid w:val="003802C2"/>
    <w:rsid w:val="003C2834"/>
    <w:rsid w:val="003C566E"/>
    <w:rsid w:val="003D7355"/>
    <w:rsid w:val="003D782D"/>
    <w:rsid w:val="003F0E66"/>
    <w:rsid w:val="003F453D"/>
    <w:rsid w:val="0040456B"/>
    <w:rsid w:val="00412E5D"/>
    <w:rsid w:val="004175A0"/>
    <w:rsid w:val="004218E9"/>
    <w:rsid w:val="00435857"/>
    <w:rsid w:val="004409FF"/>
    <w:rsid w:val="00450637"/>
    <w:rsid w:val="004518F2"/>
    <w:rsid w:val="00457854"/>
    <w:rsid w:val="004749D0"/>
    <w:rsid w:val="00480AED"/>
    <w:rsid w:val="004817F3"/>
    <w:rsid w:val="004922C8"/>
    <w:rsid w:val="004939ED"/>
    <w:rsid w:val="004A2B47"/>
    <w:rsid w:val="004A309C"/>
    <w:rsid w:val="004A6E62"/>
    <w:rsid w:val="004B16CF"/>
    <w:rsid w:val="004B2FD1"/>
    <w:rsid w:val="004C6CBC"/>
    <w:rsid w:val="004E0096"/>
    <w:rsid w:val="004F0A24"/>
    <w:rsid w:val="004F2C74"/>
    <w:rsid w:val="004F47E6"/>
    <w:rsid w:val="004F75C8"/>
    <w:rsid w:val="0050284D"/>
    <w:rsid w:val="0051420C"/>
    <w:rsid w:val="00515245"/>
    <w:rsid w:val="00516595"/>
    <w:rsid w:val="00541967"/>
    <w:rsid w:val="0055490A"/>
    <w:rsid w:val="00556BC5"/>
    <w:rsid w:val="005727B7"/>
    <w:rsid w:val="005A4F1F"/>
    <w:rsid w:val="005B01B7"/>
    <w:rsid w:val="005B4DC3"/>
    <w:rsid w:val="005D2F19"/>
    <w:rsid w:val="00601792"/>
    <w:rsid w:val="006128FA"/>
    <w:rsid w:val="006209AB"/>
    <w:rsid w:val="00624B1D"/>
    <w:rsid w:val="00630246"/>
    <w:rsid w:val="00634946"/>
    <w:rsid w:val="00635E24"/>
    <w:rsid w:val="00652FDD"/>
    <w:rsid w:val="006636AA"/>
    <w:rsid w:val="006655CB"/>
    <w:rsid w:val="00670028"/>
    <w:rsid w:val="00677F1A"/>
    <w:rsid w:val="006952DA"/>
    <w:rsid w:val="006A48E8"/>
    <w:rsid w:val="006B6DBE"/>
    <w:rsid w:val="006C3FC0"/>
    <w:rsid w:val="006C7B33"/>
    <w:rsid w:val="006E754B"/>
    <w:rsid w:val="00701C21"/>
    <w:rsid w:val="00706399"/>
    <w:rsid w:val="007118C5"/>
    <w:rsid w:val="00723505"/>
    <w:rsid w:val="00727B02"/>
    <w:rsid w:val="00730B76"/>
    <w:rsid w:val="0073247A"/>
    <w:rsid w:val="007378BB"/>
    <w:rsid w:val="007550C8"/>
    <w:rsid w:val="0075571D"/>
    <w:rsid w:val="00761466"/>
    <w:rsid w:val="007633AF"/>
    <w:rsid w:val="007658A0"/>
    <w:rsid w:val="00766DD3"/>
    <w:rsid w:val="007827B2"/>
    <w:rsid w:val="00794DC6"/>
    <w:rsid w:val="007A14A8"/>
    <w:rsid w:val="007C5BBD"/>
    <w:rsid w:val="007C6F10"/>
    <w:rsid w:val="007C7872"/>
    <w:rsid w:val="007D1B14"/>
    <w:rsid w:val="007D4BAE"/>
    <w:rsid w:val="007F2327"/>
    <w:rsid w:val="00813351"/>
    <w:rsid w:val="00844302"/>
    <w:rsid w:val="00846917"/>
    <w:rsid w:val="0085566D"/>
    <w:rsid w:val="00876153"/>
    <w:rsid w:val="0089128B"/>
    <w:rsid w:val="00896746"/>
    <w:rsid w:val="008A0F2D"/>
    <w:rsid w:val="008A4852"/>
    <w:rsid w:val="008A77E9"/>
    <w:rsid w:val="008A792E"/>
    <w:rsid w:val="008D7763"/>
    <w:rsid w:val="008E28D4"/>
    <w:rsid w:val="008F59D0"/>
    <w:rsid w:val="00914A77"/>
    <w:rsid w:val="00930FB7"/>
    <w:rsid w:val="00934A01"/>
    <w:rsid w:val="00950ECC"/>
    <w:rsid w:val="00954C90"/>
    <w:rsid w:val="0098123F"/>
    <w:rsid w:val="00982453"/>
    <w:rsid w:val="00983294"/>
    <w:rsid w:val="0098615E"/>
    <w:rsid w:val="009B0EDE"/>
    <w:rsid w:val="009B2268"/>
    <w:rsid w:val="009D6454"/>
    <w:rsid w:val="009F3279"/>
    <w:rsid w:val="00A04562"/>
    <w:rsid w:val="00A31E57"/>
    <w:rsid w:val="00A4104F"/>
    <w:rsid w:val="00A666B8"/>
    <w:rsid w:val="00A66FB1"/>
    <w:rsid w:val="00A728E9"/>
    <w:rsid w:val="00AA48B4"/>
    <w:rsid w:val="00AB14E5"/>
    <w:rsid w:val="00AB2877"/>
    <w:rsid w:val="00AB4330"/>
    <w:rsid w:val="00AD204A"/>
    <w:rsid w:val="00AD2726"/>
    <w:rsid w:val="00AD4650"/>
    <w:rsid w:val="00AD7645"/>
    <w:rsid w:val="00AE3EAD"/>
    <w:rsid w:val="00AF34FF"/>
    <w:rsid w:val="00B02341"/>
    <w:rsid w:val="00B218E8"/>
    <w:rsid w:val="00B21F80"/>
    <w:rsid w:val="00B35441"/>
    <w:rsid w:val="00B60C22"/>
    <w:rsid w:val="00B6589B"/>
    <w:rsid w:val="00B66710"/>
    <w:rsid w:val="00B67BFD"/>
    <w:rsid w:val="00B85430"/>
    <w:rsid w:val="00B9529C"/>
    <w:rsid w:val="00BB101B"/>
    <w:rsid w:val="00BB7D86"/>
    <w:rsid w:val="00BC2838"/>
    <w:rsid w:val="00BF7FBE"/>
    <w:rsid w:val="00C0483F"/>
    <w:rsid w:val="00C0535B"/>
    <w:rsid w:val="00C0559E"/>
    <w:rsid w:val="00C55584"/>
    <w:rsid w:val="00C6019F"/>
    <w:rsid w:val="00C63E30"/>
    <w:rsid w:val="00C63F8D"/>
    <w:rsid w:val="00C815AC"/>
    <w:rsid w:val="00C869F6"/>
    <w:rsid w:val="00C931DA"/>
    <w:rsid w:val="00CA0F63"/>
    <w:rsid w:val="00CA65D7"/>
    <w:rsid w:val="00CB3D0C"/>
    <w:rsid w:val="00CD2AB3"/>
    <w:rsid w:val="00CD4196"/>
    <w:rsid w:val="00D12D0F"/>
    <w:rsid w:val="00D179B9"/>
    <w:rsid w:val="00D36867"/>
    <w:rsid w:val="00D40EA6"/>
    <w:rsid w:val="00D44BD3"/>
    <w:rsid w:val="00D508C0"/>
    <w:rsid w:val="00D61940"/>
    <w:rsid w:val="00D64765"/>
    <w:rsid w:val="00D6642C"/>
    <w:rsid w:val="00D75249"/>
    <w:rsid w:val="00D8001D"/>
    <w:rsid w:val="00D87621"/>
    <w:rsid w:val="00D97686"/>
    <w:rsid w:val="00DA1343"/>
    <w:rsid w:val="00DC03D9"/>
    <w:rsid w:val="00DC0A2A"/>
    <w:rsid w:val="00DC460F"/>
    <w:rsid w:val="00DD191F"/>
    <w:rsid w:val="00DD7383"/>
    <w:rsid w:val="00DE797B"/>
    <w:rsid w:val="00E10F01"/>
    <w:rsid w:val="00E27D70"/>
    <w:rsid w:val="00E27EC3"/>
    <w:rsid w:val="00E32304"/>
    <w:rsid w:val="00E33135"/>
    <w:rsid w:val="00E50152"/>
    <w:rsid w:val="00E53826"/>
    <w:rsid w:val="00E559A2"/>
    <w:rsid w:val="00E60A67"/>
    <w:rsid w:val="00E654E9"/>
    <w:rsid w:val="00E819A0"/>
    <w:rsid w:val="00EA08D6"/>
    <w:rsid w:val="00EA22BB"/>
    <w:rsid w:val="00EB4558"/>
    <w:rsid w:val="00ED5280"/>
    <w:rsid w:val="00ED66B9"/>
    <w:rsid w:val="00EE1A54"/>
    <w:rsid w:val="00EE529E"/>
    <w:rsid w:val="00EF1E33"/>
    <w:rsid w:val="00EF361B"/>
    <w:rsid w:val="00F10F64"/>
    <w:rsid w:val="00F144C7"/>
    <w:rsid w:val="00F14CA8"/>
    <w:rsid w:val="00F21BB7"/>
    <w:rsid w:val="00F241A3"/>
    <w:rsid w:val="00F40CCB"/>
    <w:rsid w:val="00F47022"/>
    <w:rsid w:val="00F64A2E"/>
    <w:rsid w:val="00FA189C"/>
    <w:rsid w:val="00FD1095"/>
    <w:rsid w:val="00FD2188"/>
    <w:rsid w:val="00FF1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7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EH1">
    <w:name w:val="ONE_H1"/>
    <w:basedOn w:val="Normal"/>
    <w:next w:val="Normal"/>
    <w:rsid w:val="004939ED"/>
    <w:pPr>
      <w:numPr>
        <w:numId w:val="1"/>
      </w:numPr>
      <w:tabs>
        <w:tab w:val="left" w:pos="851"/>
      </w:tabs>
      <w:spacing w:before="120" w:after="120" w:line="240" w:lineRule="auto"/>
    </w:pPr>
    <w:rPr>
      <w:rFonts w:ascii="Arial Bold" w:eastAsia="Times New Roman" w:hAnsi="Arial Bold" w:cs="Arial"/>
      <w:b/>
      <w:smallCaps/>
      <w:sz w:val="28"/>
      <w:szCs w:val="28"/>
    </w:rPr>
  </w:style>
  <w:style w:type="paragraph" w:customStyle="1" w:styleId="ONEH2">
    <w:name w:val="ONE_H2"/>
    <w:basedOn w:val="Normal"/>
    <w:autoRedefine/>
    <w:rsid w:val="00AB2877"/>
    <w:pPr>
      <w:widowControl w:val="0"/>
      <w:numPr>
        <w:ilvl w:val="1"/>
        <w:numId w:val="2"/>
      </w:numPr>
      <w:spacing w:after="0" w:line="240" w:lineRule="auto"/>
      <w:ind w:left="993" w:hanging="993"/>
      <w:jc w:val="both"/>
    </w:pPr>
    <w:rPr>
      <w:rFonts w:ascii="Arial" w:eastAsia="Times New Roman" w:hAnsi="Arial" w:cs="Arial"/>
      <w:b/>
    </w:rPr>
  </w:style>
  <w:style w:type="paragraph" w:customStyle="1" w:styleId="ONEH3">
    <w:name w:val="ONE_H3"/>
    <w:basedOn w:val="Normal"/>
    <w:rsid w:val="004939ED"/>
    <w:pPr>
      <w:numPr>
        <w:ilvl w:val="2"/>
        <w:numId w:val="1"/>
      </w:numPr>
      <w:tabs>
        <w:tab w:val="left" w:pos="851"/>
      </w:tabs>
      <w:spacing w:after="0" w:line="240" w:lineRule="auto"/>
    </w:pPr>
    <w:rPr>
      <w:rFonts w:ascii="Arial" w:eastAsia="Times New Roman" w:hAnsi="Arial" w:cs="Arial"/>
      <w:szCs w:val="20"/>
    </w:rPr>
  </w:style>
  <w:style w:type="paragraph" w:customStyle="1" w:styleId="InA">
    <w:name w:val="In_A"/>
    <w:basedOn w:val="Normal"/>
    <w:rsid w:val="004939ED"/>
    <w:pPr>
      <w:spacing w:before="60" w:after="60" w:line="240" w:lineRule="auto"/>
      <w:ind w:left="851"/>
      <w:jc w:val="both"/>
    </w:pPr>
    <w:rPr>
      <w:rFonts w:ascii="Arial" w:eastAsia="Times New Roman" w:hAnsi="Arial" w:cs="Arial"/>
      <w:i/>
      <w:iCs/>
      <w:szCs w:val="20"/>
    </w:rPr>
  </w:style>
  <w:style w:type="paragraph" w:styleId="ListBullet">
    <w:name w:val="List Bullet"/>
    <w:aliases w:val="Comment Bullet"/>
    <w:basedOn w:val="Normal"/>
    <w:rsid w:val="004939ED"/>
    <w:pPr>
      <w:numPr>
        <w:numId w:val="2"/>
      </w:numPr>
      <w:spacing w:after="0" w:line="240" w:lineRule="auto"/>
    </w:pPr>
    <w:rPr>
      <w:rFonts w:ascii="Arial" w:eastAsia="Times New Roman" w:hAnsi="Arial" w:cs="Times New Roman"/>
      <w:sz w:val="18"/>
      <w:szCs w:val="18"/>
      <w:lang w:eastAsia="en-GB"/>
    </w:rPr>
  </w:style>
  <w:style w:type="paragraph" w:customStyle="1" w:styleId="ISOPbullet">
    <w:name w:val="ISOP bullet"/>
    <w:basedOn w:val="ListBullet"/>
    <w:rsid w:val="004939ED"/>
    <w:pPr>
      <w:numPr>
        <w:numId w:val="0"/>
      </w:numPr>
      <w:tabs>
        <w:tab w:val="num" w:pos="1789"/>
      </w:tabs>
      <w:ind w:left="1141" w:hanging="432"/>
    </w:pPr>
  </w:style>
  <w:style w:type="paragraph" w:customStyle="1" w:styleId="BoldTextindent">
    <w:name w:val="Bold Text indent"/>
    <w:basedOn w:val="Normal"/>
    <w:rsid w:val="004939ED"/>
    <w:pPr>
      <w:numPr>
        <w:ilvl w:val="2"/>
        <w:numId w:val="2"/>
      </w:numPr>
      <w:spacing w:before="60" w:after="120" w:line="240" w:lineRule="auto"/>
      <w:jc w:val="both"/>
      <w:outlineLvl w:val="0"/>
    </w:pPr>
    <w:rPr>
      <w:rFonts w:ascii="Arial" w:eastAsia="Arial" w:hAnsi="Arial" w:cs="Arial"/>
      <w:color w:val="000000"/>
      <w:kern w:val="32"/>
      <w:lang w:eastAsia="en-GB"/>
    </w:rPr>
  </w:style>
  <w:style w:type="paragraph" w:styleId="ListParagraph">
    <w:name w:val="List Paragraph"/>
    <w:basedOn w:val="Normal"/>
    <w:uiPriority w:val="34"/>
    <w:qFormat/>
    <w:rsid w:val="004939ED"/>
    <w:pPr>
      <w:autoSpaceDN w:val="0"/>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9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9ED"/>
    <w:rPr>
      <w:rFonts w:ascii="Tahoma" w:hAnsi="Tahoma" w:cs="Tahoma"/>
      <w:sz w:val="16"/>
      <w:szCs w:val="16"/>
    </w:rPr>
  </w:style>
  <w:style w:type="paragraph" w:customStyle="1" w:styleId="Default">
    <w:name w:val="Default"/>
    <w:rsid w:val="006636AA"/>
    <w:pPr>
      <w:autoSpaceDE w:val="0"/>
      <w:autoSpaceDN w:val="0"/>
      <w:adjustRightInd w:val="0"/>
      <w:spacing w:after="0" w:line="240" w:lineRule="auto"/>
    </w:pPr>
    <w:rPr>
      <w:rFonts w:ascii="Arial" w:hAnsi="Arial" w:cs="Arial"/>
      <w:color w:val="000000"/>
      <w:sz w:val="24"/>
      <w:szCs w:val="24"/>
    </w:rPr>
  </w:style>
  <w:style w:type="paragraph" w:customStyle="1" w:styleId="description">
    <w:name w:val="description"/>
    <w:basedOn w:val="Normal"/>
    <w:rsid w:val="00F40C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40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223D3"/>
    <w:rPr>
      <w:color w:val="0000FF"/>
      <w:u w:val="single"/>
    </w:rPr>
  </w:style>
  <w:style w:type="character" w:styleId="Strong">
    <w:name w:val="Strong"/>
    <w:basedOn w:val="DefaultParagraphFont"/>
    <w:uiPriority w:val="22"/>
    <w:qFormat/>
    <w:rsid w:val="00B218E8"/>
    <w:rPr>
      <w:b/>
      <w:bCs/>
    </w:rPr>
  </w:style>
  <w:style w:type="paragraph" w:customStyle="1" w:styleId="ScheduleL1">
    <w:name w:val="Schedule L1"/>
    <w:basedOn w:val="Normal"/>
    <w:rsid w:val="00D87621"/>
    <w:pPr>
      <w:numPr>
        <w:numId w:val="3"/>
      </w:numPr>
      <w:adjustRightInd w:val="0"/>
      <w:spacing w:after="240" w:line="240" w:lineRule="auto"/>
      <w:jc w:val="both"/>
      <w:outlineLvl w:val="0"/>
    </w:pPr>
    <w:rPr>
      <w:rFonts w:ascii="Arial" w:eastAsia="STZhongsong" w:hAnsi="Arial" w:cs="Times New Roman"/>
      <w:szCs w:val="20"/>
      <w:lang w:eastAsia="zh-CN"/>
    </w:rPr>
  </w:style>
  <w:style w:type="paragraph" w:customStyle="1" w:styleId="ScheduleL2">
    <w:name w:val="Schedule L2"/>
    <w:basedOn w:val="Normal"/>
    <w:rsid w:val="00D87621"/>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customStyle="1" w:styleId="ScheduleL3">
    <w:name w:val="Schedule L3"/>
    <w:basedOn w:val="Normal"/>
    <w:rsid w:val="00D87621"/>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customStyle="1" w:styleId="ScheduleL4">
    <w:name w:val="Schedule L4"/>
    <w:basedOn w:val="Normal"/>
    <w:rsid w:val="00D87621"/>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customStyle="1" w:styleId="ScheduleL5">
    <w:name w:val="Schedule L5"/>
    <w:basedOn w:val="Normal"/>
    <w:rsid w:val="00D87621"/>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D87621"/>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rsid w:val="00D87621"/>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rsid w:val="00D87621"/>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rsid w:val="00D87621"/>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table" w:styleId="TableGrid">
    <w:name w:val="Table Grid"/>
    <w:basedOn w:val="TableNormal"/>
    <w:uiPriority w:val="59"/>
    <w:rsid w:val="00DE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406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
    <w:name w:val="Indented"/>
    <w:basedOn w:val="Normal"/>
    <w:rsid w:val="0004061D"/>
    <w:pPr>
      <w:spacing w:after="0" w:line="240" w:lineRule="auto"/>
      <w:ind w:left="851"/>
    </w:pPr>
    <w:rPr>
      <w:rFonts w:ascii="Arial" w:eastAsia="Times New Roman" w:hAnsi="Arial" w:cs="Arial"/>
      <w:sz w:val="24"/>
      <w:szCs w:val="20"/>
    </w:rPr>
  </w:style>
  <w:style w:type="paragraph" w:styleId="Header">
    <w:name w:val="header"/>
    <w:basedOn w:val="Normal"/>
    <w:link w:val="HeaderChar"/>
    <w:uiPriority w:val="99"/>
    <w:unhideWhenUsed/>
    <w:rsid w:val="0079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C6"/>
  </w:style>
  <w:style w:type="paragraph" w:styleId="Footer">
    <w:name w:val="footer"/>
    <w:basedOn w:val="Normal"/>
    <w:link w:val="FooterChar"/>
    <w:uiPriority w:val="99"/>
    <w:unhideWhenUsed/>
    <w:rsid w:val="0079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DC6"/>
  </w:style>
  <w:style w:type="character" w:styleId="CommentReference">
    <w:name w:val="annotation reference"/>
    <w:basedOn w:val="DefaultParagraphFont"/>
    <w:uiPriority w:val="99"/>
    <w:semiHidden/>
    <w:unhideWhenUsed/>
    <w:rsid w:val="00630246"/>
    <w:rPr>
      <w:sz w:val="16"/>
      <w:szCs w:val="16"/>
    </w:rPr>
  </w:style>
  <w:style w:type="paragraph" w:styleId="CommentText">
    <w:name w:val="annotation text"/>
    <w:basedOn w:val="Normal"/>
    <w:link w:val="CommentTextChar"/>
    <w:uiPriority w:val="99"/>
    <w:semiHidden/>
    <w:unhideWhenUsed/>
    <w:rsid w:val="00630246"/>
    <w:pPr>
      <w:spacing w:line="240" w:lineRule="auto"/>
    </w:pPr>
    <w:rPr>
      <w:sz w:val="20"/>
      <w:szCs w:val="20"/>
    </w:rPr>
  </w:style>
  <w:style w:type="character" w:customStyle="1" w:styleId="CommentTextChar">
    <w:name w:val="Comment Text Char"/>
    <w:basedOn w:val="DefaultParagraphFont"/>
    <w:link w:val="CommentText"/>
    <w:uiPriority w:val="99"/>
    <w:semiHidden/>
    <w:rsid w:val="00630246"/>
    <w:rPr>
      <w:sz w:val="20"/>
      <w:szCs w:val="20"/>
    </w:rPr>
  </w:style>
  <w:style w:type="paragraph" w:styleId="CommentSubject">
    <w:name w:val="annotation subject"/>
    <w:basedOn w:val="CommentText"/>
    <w:next w:val="CommentText"/>
    <w:link w:val="CommentSubjectChar"/>
    <w:uiPriority w:val="99"/>
    <w:semiHidden/>
    <w:unhideWhenUsed/>
    <w:rsid w:val="00630246"/>
    <w:rPr>
      <w:b/>
      <w:bCs/>
    </w:rPr>
  </w:style>
  <w:style w:type="character" w:customStyle="1" w:styleId="CommentSubjectChar">
    <w:name w:val="Comment Subject Char"/>
    <w:basedOn w:val="CommentTextChar"/>
    <w:link w:val="CommentSubject"/>
    <w:uiPriority w:val="99"/>
    <w:semiHidden/>
    <w:rsid w:val="00630246"/>
    <w:rPr>
      <w:b/>
      <w:bCs/>
      <w:sz w:val="20"/>
      <w:szCs w:val="20"/>
    </w:rPr>
  </w:style>
  <w:style w:type="paragraph" w:styleId="Revision">
    <w:name w:val="Revision"/>
    <w:hidden/>
    <w:uiPriority w:val="99"/>
    <w:semiHidden/>
    <w:rsid w:val="00670028"/>
    <w:pPr>
      <w:spacing w:after="0" w:line="240" w:lineRule="auto"/>
    </w:pPr>
  </w:style>
  <w:style w:type="paragraph" w:customStyle="1" w:styleId="DHTitle">
    <w:name w:val="DH Title"/>
    <w:basedOn w:val="Normal"/>
    <w:link w:val="DHTitleChar"/>
    <w:rsid w:val="00556BC5"/>
    <w:pPr>
      <w:spacing w:after="0" w:line="660" w:lineRule="exact"/>
    </w:pPr>
    <w:rPr>
      <w:rFonts w:ascii="Arial" w:eastAsia="Times New Roman" w:hAnsi="Arial" w:cs="Times New Roman"/>
      <w:b/>
      <w:color w:val="009966"/>
      <w:sz w:val="60"/>
      <w:szCs w:val="20"/>
    </w:rPr>
  </w:style>
  <w:style w:type="paragraph" w:customStyle="1" w:styleId="FOURH1">
    <w:name w:val="FOUR_H1"/>
    <w:basedOn w:val="Normal"/>
    <w:next w:val="Normal"/>
    <w:rsid w:val="00556BC5"/>
    <w:pPr>
      <w:numPr>
        <w:numId w:val="5"/>
      </w:numPr>
      <w:tabs>
        <w:tab w:val="left" w:pos="709"/>
      </w:tabs>
      <w:spacing w:before="60" w:after="60" w:line="240" w:lineRule="auto"/>
      <w:ind w:left="709" w:hanging="709"/>
    </w:pPr>
    <w:rPr>
      <w:rFonts w:ascii="Arial Bold" w:eastAsia="Times New Roman" w:hAnsi="Arial Bold" w:cs="Arial"/>
      <w:b/>
      <w:smallCaps/>
      <w:sz w:val="28"/>
      <w:szCs w:val="20"/>
    </w:rPr>
  </w:style>
  <w:style w:type="paragraph" w:customStyle="1" w:styleId="FOURH2">
    <w:name w:val="FOUR_H2"/>
    <w:basedOn w:val="Normal"/>
    <w:rsid w:val="00556BC5"/>
    <w:pPr>
      <w:numPr>
        <w:ilvl w:val="1"/>
        <w:numId w:val="5"/>
      </w:numPr>
      <w:tabs>
        <w:tab w:val="clear" w:pos="1440"/>
        <w:tab w:val="num" w:pos="851"/>
      </w:tabs>
      <w:spacing w:before="60" w:after="60" w:line="240" w:lineRule="auto"/>
      <w:ind w:left="851" w:hanging="709"/>
    </w:pPr>
    <w:rPr>
      <w:rFonts w:ascii="Arial" w:eastAsia="Times New Roman" w:hAnsi="Arial" w:cs="Arial"/>
      <w:szCs w:val="20"/>
    </w:rPr>
  </w:style>
  <w:style w:type="paragraph" w:customStyle="1" w:styleId="FOURH3">
    <w:name w:val="FOUR_H3"/>
    <w:basedOn w:val="Normal"/>
    <w:rsid w:val="00556BC5"/>
    <w:pPr>
      <w:numPr>
        <w:ilvl w:val="2"/>
        <w:numId w:val="5"/>
      </w:numPr>
      <w:tabs>
        <w:tab w:val="clear" w:pos="2520"/>
        <w:tab w:val="left" w:pos="1276"/>
      </w:tabs>
      <w:spacing w:after="120" w:line="240" w:lineRule="auto"/>
      <w:ind w:left="1276" w:hanging="556"/>
      <w:jc w:val="both"/>
    </w:pPr>
    <w:rPr>
      <w:rFonts w:ascii="Arial" w:eastAsia="Times New Roman" w:hAnsi="Arial" w:cs="Arial"/>
    </w:rPr>
  </w:style>
  <w:style w:type="character" w:customStyle="1" w:styleId="DHTitleChar">
    <w:name w:val="DH Title Char"/>
    <w:basedOn w:val="DefaultParagraphFont"/>
    <w:link w:val="DHTitle"/>
    <w:rsid w:val="00556BC5"/>
    <w:rPr>
      <w:rFonts w:ascii="Arial" w:eastAsia="Times New Roman" w:hAnsi="Arial" w:cs="Times New Roman"/>
      <w:b/>
      <w:color w:val="009966"/>
      <w:sz w:val="60"/>
      <w:szCs w:val="20"/>
    </w:rPr>
  </w:style>
  <w:style w:type="numbering" w:styleId="111111">
    <w:name w:val="Outline List 2"/>
    <w:basedOn w:val="NoList"/>
    <w:rsid w:val="00BF7FBE"/>
    <w:pPr>
      <w:numPr>
        <w:numId w:val="6"/>
      </w:numPr>
    </w:pPr>
  </w:style>
  <w:style w:type="paragraph" w:customStyle="1" w:styleId="Style7">
    <w:name w:val="Style7"/>
    <w:basedOn w:val="Heading1"/>
    <w:next w:val="Style8"/>
    <w:qFormat/>
    <w:rsid w:val="00BF7FBE"/>
    <w:pPr>
      <w:keepLines w:val="0"/>
      <w:numPr>
        <w:numId w:val="7"/>
      </w:numPr>
      <w:tabs>
        <w:tab w:val="left" w:pos="851"/>
      </w:tabs>
      <w:adjustRightInd w:val="0"/>
      <w:spacing w:before="240" w:after="120" w:line="240" w:lineRule="auto"/>
      <w:jc w:val="both"/>
    </w:pPr>
    <w:rPr>
      <w:rFonts w:ascii="Arial" w:eastAsia="STZhongsong" w:hAnsi="Arial" w:cs="Arial"/>
      <w:bCs w:val="0"/>
      <w:caps/>
      <w:color w:val="auto"/>
      <w:sz w:val="22"/>
      <w:szCs w:val="22"/>
      <w:lang w:eastAsia="zh-CN"/>
    </w:rPr>
  </w:style>
  <w:style w:type="paragraph" w:customStyle="1" w:styleId="Style8">
    <w:name w:val="Style8"/>
    <w:basedOn w:val="ListParagraph"/>
    <w:next w:val="Style9"/>
    <w:link w:val="Style8Char"/>
    <w:qFormat/>
    <w:rsid w:val="00BF7FBE"/>
    <w:pPr>
      <w:numPr>
        <w:ilvl w:val="1"/>
        <w:numId w:val="7"/>
      </w:numPr>
      <w:autoSpaceDN/>
      <w:spacing w:before="120" w:after="120" w:line="240" w:lineRule="auto"/>
    </w:pPr>
    <w:rPr>
      <w:rFonts w:ascii="Arial" w:eastAsia="Times New Roman" w:hAnsi="Arial" w:cs="Arial"/>
      <w:lang w:eastAsia="en-GB"/>
    </w:rPr>
  </w:style>
  <w:style w:type="paragraph" w:customStyle="1" w:styleId="Style9">
    <w:name w:val="Style9"/>
    <w:basedOn w:val="ListParagraph"/>
    <w:next w:val="Style10"/>
    <w:qFormat/>
    <w:rsid w:val="00BF7FBE"/>
    <w:pPr>
      <w:numPr>
        <w:ilvl w:val="2"/>
        <w:numId w:val="7"/>
      </w:numPr>
      <w:autoSpaceDN/>
      <w:spacing w:before="120" w:after="120" w:line="240" w:lineRule="auto"/>
    </w:pPr>
    <w:rPr>
      <w:rFonts w:ascii="Arial" w:eastAsia="Times New Roman" w:hAnsi="Arial" w:cs="Arial"/>
      <w:lang w:eastAsia="en-GB"/>
    </w:rPr>
  </w:style>
  <w:style w:type="character" w:customStyle="1" w:styleId="Style8Char">
    <w:name w:val="Style8 Char"/>
    <w:basedOn w:val="DefaultParagraphFont"/>
    <w:link w:val="Style8"/>
    <w:rsid w:val="00BF7FBE"/>
    <w:rPr>
      <w:rFonts w:ascii="Arial" w:eastAsia="Times New Roman" w:hAnsi="Arial" w:cs="Arial"/>
      <w:lang w:eastAsia="en-GB"/>
    </w:rPr>
  </w:style>
  <w:style w:type="paragraph" w:customStyle="1" w:styleId="Style10">
    <w:name w:val="Style10"/>
    <w:basedOn w:val="ListParagraph"/>
    <w:qFormat/>
    <w:rsid w:val="00BF7FBE"/>
    <w:pPr>
      <w:numPr>
        <w:ilvl w:val="3"/>
        <w:numId w:val="7"/>
      </w:numPr>
      <w:autoSpaceDN/>
      <w:spacing w:before="120" w:after="120" w:line="240" w:lineRule="auto"/>
    </w:pPr>
    <w:rPr>
      <w:rFonts w:ascii="Arial" w:eastAsia="Times New Roman" w:hAnsi="Arial" w:cs="Arial"/>
      <w:lang w:eastAsia="en-GB"/>
    </w:rPr>
  </w:style>
  <w:style w:type="character" w:customStyle="1" w:styleId="Heading1Char">
    <w:name w:val="Heading 1 Char"/>
    <w:basedOn w:val="DefaultParagraphFont"/>
    <w:link w:val="Heading1"/>
    <w:uiPriority w:val="9"/>
    <w:rsid w:val="00BF7FB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7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EH1">
    <w:name w:val="ONE_H1"/>
    <w:basedOn w:val="Normal"/>
    <w:next w:val="Normal"/>
    <w:rsid w:val="004939ED"/>
    <w:pPr>
      <w:numPr>
        <w:numId w:val="1"/>
      </w:numPr>
      <w:tabs>
        <w:tab w:val="left" w:pos="851"/>
      </w:tabs>
      <w:spacing w:before="120" w:after="120" w:line="240" w:lineRule="auto"/>
    </w:pPr>
    <w:rPr>
      <w:rFonts w:ascii="Arial Bold" w:eastAsia="Times New Roman" w:hAnsi="Arial Bold" w:cs="Arial"/>
      <w:b/>
      <w:smallCaps/>
      <w:sz w:val="28"/>
      <w:szCs w:val="28"/>
    </w:rPr>
  </w:style>
  <w:style w:type="paragraph" w:customStyle="1" w:styleId="ONEH2">
    <w:name w:val="ONE_H2"/>
    <w:basedOn w:val="Normal"/>
    <w:autoRedefine/>
    <w:rsid w:val="00AB2877"/>
    <w:pPr>
      <w:widowControl w:val="0"/>
      <w:numPr>
        <w:ilvl w:val="1"/>
        <w:numId w:val="2"/>
      </w:numPr>
      <w:spacing w:after="0" w:line="240" w:lineRule="auto"/>
      <w:ind w:left="993" w:hanging="993"/>
      <w:jc w:val="both"/>
    </w:pPr>
    <w:rPr>
      <w:rFonts w:ascii="Arial" w:eastAsia="Times New Roman" w:hAnsi="Arial" w:cs="Arial"/>
      <w:b/>
    </w:rPr>
  </w:style>
  <w:style w:type="paragraph" w:customStyle="1" w:styleId="ONEH3">
    <w:name w:val="ONE_H3"/>
    <w:basedOn w:val="Normal"/>
    <w:rsid w:val="004939ED"/>
    <w:pPr>
      <w:numPr>
        <w:ilvl w:val="2"/>
        <w:numId w:val="1"/>
      </w:numPr>
      <w:tabs>
        <w:tab w:val="left" w:pos="851"/>
      </w:tabs>
      <w:spacing w:after="0" w:line="240" w:lineRule="auto"/>
    </w:pPr>
    <w:rPr>
      <w:rFonts w:ascii="Arial" w:eastAsia="Times New Roman" w:hAnsi="Arial" w:cs="Arial"/>
      <w:szCs w:val="20"/>
    </w:rPr>
  </w:style>
  <w:style w:type="paragraph" w:customStyle="1" w:styleId="InA">
    <w:name w:val="In_A"/>
    <w:basedOn w:val="Normal"/>
    <w:rsid w:val="004939ED"/>
    <w:pPr>
      <w:spacing w:before="60" w:after="60" w:line="240" w:lineRule="auto"/>
      <w:ind w:left="851"/>
      <w:jc w:val="both"/>
    </w:pPr>
    <w:rPr>
      <w:rFonts w:ascii="Arial" w:eastAsia="Times New Roman" w:hAnsi="Arial" w:cs="Arial"/>
      <w:i/>
      <w:iCs/>
      <w:szCs w:val="20"/>
    </w:rPr>
  </w:style>
  <w:style w:type="paragraph" w:styleId="ListBullet">
    <w:name w:val="List Bullet"/>
    <w:aliases w:val="Comment Bullet"/>
    <w:basedOn w:val="Normal"/>
    <w:rsid w:val="004939ED"/>
    <w:pPr>
      <w:numPr>
        <w:numId w:val="2"/>
      </w:numPr>
      <w:spacing w:after="0" w:line="240" w:lineRule="auto"/>
    </w:pPr>
    <w:rPr>
      <w:rFonts w:ascii="Arial" w:eastAsia="Times New Roman" w:hAnsi="Arial" w:cs="Times New Roman"/>
      <w:sz w:val="18"/>
      <w:szCs w:val="18"/>
      <w:lang w:eastAsia="en-GB"/>
    </w:rPr>
  </w:style>
  <w:style w:type="paragraph" w:customStyle="1" w:styleId="ISOPbullet">
    <w:name w:val="ISOP bullet"/>
    <w:basedOn w:val="ListBullet"/>
    <w:rsid w:val="004939ED"/>
    <w:pPr>
      <w:numPr>
        <w:numId w:val="0"/>
      </w:numPr>
      <w:tabs>
        <w:tab w:val="num" w:pos="1789"/>
      </w:tabs>
      <w:ind w:left="1141" w:hanging="432"/>
    </w:pPr>
  </w:style>
  <w:style w:type="paragraph" w:customStyle="1" w:styleId="BoldTextindent">
    <w:name w:val="Bold Text indent"/>
    <w:basedOn w:val="Normal"/>
    <w:rsid w:val="004939ED"/>
    <w:pPr>
      <w:numPr>
        <w:ilvl w:val="2"/>
        <w:numId w:val="2"/>
      </w:numPr>
      <w:spacing w:before="60" w:after="120" w:line="240" w:lineRule="auto"/>
      <w:jc w:val="both"/>
      <w:outlineLvl w:val="0"/>
    </w:pPr>
    <w:rPr>
      <w:rFonts w:ascii="Arial" w:eastAsia="Arial" w:hAnsi="Arial" w:cs="Arial"/>
      <w:color w:val="000000"/>
      <w:kern w:val="32"/>
      <w:lang w:eastAsia="en-GB"/>
    </w:rPr>
  </w:style>
  <w:style w:type="paragraph" w:styleId="ListParagraph">
    <w:name w:val="List Paragraph"/>
    <w:basedOn w:val="Normal"/>
    <w:uiPriority w:val="34"/>
    <w:qFormat/>
    <w:rsid w:val="004939ED"/>
    <w:pPr>
      <w:autoSpaceDN w:val="0"/>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9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9ED"/>
    <w:rPr>
      <w:rFonts w:ascii="Tahoma" w:hAnsi="Tahoma" w:cs="Tahoma"/>
      <w:sz w:val="16"/>
      <w:szCs w:val="16"/>
    </w:rPr>
  </w:style>
  <w:style w:type="paragraph" w:customStyle="1" w:styleId="Default">
    <w:name w:val="Default"/>
    <w:rsid w:val="006636AA"/>
    <w:pPr>
      <w:autoSpaceDE w:val="0"/>
      <w:autoSpaceDN w:val="0"/>
      <w:adjustRightInd w:val="0"/>
      <w:spacing w:after="0" w:line="240" w:lineRule="auto"/>
    </w:pPr>
    <w:rPr>
      <w:rFonts w:ascii="Arial" w:hAnsi="Arial" w:cs="Arial"/>
      <w:color w:val="000000"/>
      <w:sz w:val="24"/>
      <w:szCs w:val="24"/>
    </w:rPr>
  </w:style>
  <w:style w:type="paragraph" w:customStyle="1" w:styleId="description">
    <w:name w:val="description"/>
    <w:basedOn w:val="Normal"/>
    <w:rsid w:val="00F40C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40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223D3"/>
    <w:rPr>
      <w:color w:val="0000FF"/>
      <w:u w:val="single"/>
    </w:rPr>
  </w:style>
  <w:style w:type="character" w:styleId="Strong">
    <w:name w:val="Strong"/>
    <w:basedOn w:val="DefaultParagraphFont"/>
    <w:uiPriority w:val="22"/>
    <w:qFormat/>
    <w:rsid w:val="00B218E8"/>
    <w:rPr>
      <w:b/>
      <w:bCs/>
    </w:rPr>
  </w:style>
  <w:style w:type="paragraph" w:customStyle="1" w:styleId="ScheduleL1">
    <w:name w:val="Schedule L1"/>
    <w:basedOn w:val="Normal"/>
    <w:rsid w:val="00D87621"/>
    <w:pPr>
      <w:numPr>
        <w:numId w:val="3"/>
      </w:numPr>
      <w:adjustRightInd w:val="0"/>
      <w:spacing w:after="240" w:line="240" w:lineRule="auto"/>
      <w:jc w:val="both"/>
      <w:outlineLvl w:val="0"/>
    </w:pPr>
    <w:rPr>
      <w:rFonts w:ascii="Arial" w:eastAsia="STZhongsong" w:hAnsi="Arial" w:cs="Times New Roman"/>
      <w:szCs w:val="20"/>
      <w:lang w:eastAsia="zh-CN"/>
    </w:rPr>
  </w:style>
  <w:style w:type="paragraph" w:customStyle="1" w:styleId="ScheduleL2">
    <w:name w:val="Schedule L2"/>
    <w:basedOn w:val="Normal"/>
    <w:rsid w:val="00D87621"/>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customStyle="1" w:styleId="ScheduleL3">
    <w:name w:val="Schedule L3"/>
    <w:basedOn w:val="Normal"/>
    <w:rsid w:val="00D87621"/>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customStyle="1" w:styleId="ScheduleL4">
    <w:name w:val="Schedule L4"/>
    <w:basedOn w:val="Normal"/>
    <w:rsid w:val="00D87621"/>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customStyle="1" w:styleId="ScheduleL5">
    <w:name w:val="Schedule L5"/>
    <w:basedOn w:val="Normal"/>
    <w:rsid w:val="00D87621"/>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D87621"/>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rsid w:val="00D87621"/>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rsid w:val="00D87621"/>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rsid w:val="00D87621"/>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table" w:styleId="TableGrid">
    <w:name w:val="Table Grid"/>
    <w:basedOn w:val="TableNormal"/>
    <w:uiPriority w:val="59"/>
    <w:rsid w:val="00DE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406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
    <w:name w:val="Indented"/>
    <w:basedOn w:val="Normal"/>
    <w:rsid w:val="0004061D"/>
    <w:pPr>
      <w:spacing w:after="0" w:line="240" w:lineRule="auto"/>
      <w:ind w:left="851"/>
    </w:pPr>
    <w:rPr>
      <w:rFonts w:ascii="Arial" w:eastAsia="Times New Roman" w:hAnsi="Arial" w:cs="Arial"/>
      <w:sz w:val="24"/>
      <w:szCs w:val="20"/>
    </w:rPr>
  </w:style>
  <w:style w:type="paragraph" w:styleId="Header">
    <w:name w:val="header"/>
    <w:basedOn w:val="Normal"/>
    <w:link w:val="HeaderChar"/>
    <w:uiPriority w:val="99"/>
    <w:unhideWhenUsed/>
    <w:rsid w:val="0079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C6"/>
  </w:style>
  <w:style w:type="paragraph" w:styleId="Footer">
    <w:name w:val="footer"/>
    <w:basedOn w:val="Normal"/>
    <w:link w:val="FooterChar"/>
    <w:uiPriority w:val="99"/>
    <w:unhideWhenUsed/>
    <w:rsid w:val="0079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DC6"/>
  </w:style>
  <w:style w:type="character" w:styleId="CommentReference">
    <w:name w:val="annotation reference"/>
    <w:basedOn w:val="DefaultParagraphFont"/>
    <w:uiPriority w:val="99"/>
    <w:semiHidden/>
    <w:unhideWhenUsed/>
    <w:rsid w:val="00630246"/>
    <w:rPr>
      <w:sz w:val="16"/>
      <w:szCs w:val="16"/>
    </w:rPr>
  </w:style>
  <w:style w:type="paragraph" w:styleId="CommentText">
    <w:name w:val="annotation text"/>
    <w:basedOn w:val="Normal"/>
    <w:link w:val="CommentTextChar"/>
    <w:uiPriority w:val="99"/>
    <w:semiHidden/>
    <w:unhideWhenUsed/>
    <w:rsid w:val="00630246"/>
    <w:pPr>
      <w:spacing w:line="240" w:lineRule="auto"/>
    </w:pPr>
    <w:rPr>
      <w:sz w:val="20"/>
      <w:szCs w:val="20"/>
    </w:rPr>
  </w:style>
  <w:style w:type="character" w:customStyle="1" w:styleId="CommentTextChar">
    <w:name w:val="Comment Text Char"/>
    <w:basedOn w:val="DefaultParagraphFont"/>
    <w:link w:val="CommentText"/>
    <w:uiPriority w:val="99"/>
    <w:semiHidden/>
    <w:rsid w:val="00630246"/>
    <w:rPr>
      <w:sz w:val="20"/>
      <w:szCs w:val="20"/>
    </w:rPr>
  </w:style>
  <w:style w:type="paragraph" w:styleId="CommentSubject">
    <w:name w:val="annotation subject"/>
    <w:basedOn w:val="CommentText"/>
    <w:next w:val="CommentText"/>
    <w:link w:val="CommentSubjectChar"/>
    <w:uiPriority w:val="99"/>
    <w:semiHidden/>
    <w:unhideWhenUsed/>
    <w:rsid w:val="00630246"/>
    <w:rPr>
      <w:b/>
      <w:bCs/>
    </w:rPr>
  </w:style>
  <w:style w:type="character" w:customStyle="1" w:styleId="CommentSubjectChar">
    <w:name w:val="Comment Subject Char"/>
    <w:basedOn w:val="CommentTextChar"/>
    <w:link w:val="CommentSubject"/>
    <w:uiPriority w:val="99"/>
    <w:semiHidden/>
    <w:rsid w:val="00630246"/>
    <w:rPr>
      <w:b/>
      <w:bCs/>
      <w:sz w:val="20"/>
      <w:szCs w:val="20"/>
    </w:rPr>
  </w:style>
  <w:style w:type="paragraph" w:styleId="Revision">
    <w:name w:val="Revision"/>
    <w:hidden/>
    <w:uiPriority w:val="99"/>
    <w:semiHidden/>
    <w:rsid w:val="00670028"/>
    <w:pPr>
      <w:spacing w:after="0" w:line="240" w:lineRule="auto"/>
    </w:pPr>
  </w:style>
  <w:style w:type="paragraph" w:customStyle="1" w:styleId="DHTitle">
    <w:name w:val="DH Title"/>
    <w:basedOn w:val="Normal"/>
    <w:link w:val="DHTitleChar"/>
    <w:rsid w:val="00556BC5"/>
    <w:pPr>
      <w:spacing w:after="0" w:line="660" w:lineRule="exact"/>
    </w:pPr>
    <w:rPr>
      <w:rFonts w:ascii="Arial" w:eastAsia="Times New Roman" w:hAnsi="Arial" w:cs="Times New Roman"/>
      <w:b/>
      <w:color w:val="009966"/>
      <w:sz w:val="60"/>
      <w:szCs w:val="20"/>
    </w:rPr>
  </w:style>
  <w:style w:type="paragraph" w:customStyle="1" w:styleId="FOURH1">
    <w:name w:val="FOUR_H1"/>
    <w:basedOn w:val="Normal"/>
    <w:next w:val="Normal"/>
    <w:rsid w:val="00556BC5"/>
    <w:pPr>
      <w:numPr>
        <w:numId w:val="5"/>
      </w:numPr>
      <w:tabs>
        <w:tab w:val="left" w:pos="709"/>
      </w:tabs>
      <w:spacing w:before="60" w:after="60" w:line="240" w:lineRule="auto"/>
      <w:ind w:left="709" w:hanging="709"/>
    </w:pPr>
    <w:rPr>
      <w:rFonts w:ascii="Arial Bold" w:eastAsia="Times New Roman" w:hAnsi="Arial Bold" w:cs="Arial"/>
      <w:b/>
      <w:smallCaps/>
      <w:sz w:val="28"/>
      <w:szCs w:val="20"/>
    </w:rPr>
  </w:style>
  <w:style w:type="paragraph" w:customStyle="1" w:styleId="FOURH2">
    <w:name w:val="FOUR_H2"/>
    <w:basedOn w:val="Normal"/>
    <w:rsid w:val="00556BC5"/>
    <w:pPr>
      <w:numPr>
        <w:ilvl w:val="1"/>
        <w:numId w:val="5"/>
      </w:numPr>
      <w:tabs>
        <w:tab w:val="clear" w:pos="1440"/>
        <w:tab w:val="num" w:pos="851"/>
      </w:tabs>
      <w:spacing w:before="60" w:after="60" w:line="240" w:lineRule="auto"/>
      <w:ind w:left="851" w:hanging="709"/>
    </w:pPr>
    <w:rPr>
      <w:rFonts w:ascii="Arial" w:eastAsia="Times New Roman" w:hAnsi="Arial" w:cs="Arial"/>
      <w:szCs w:val="20"/>
    </w:rPr>
  </w:style>
  <w:style w:type="paragraph" w:customStyle="1" w:styleId="FOURH3">
    <w:name w:val="FOUR_H3"/>
    <w:basedOn w:val="Normal"/>
    <w:rsid w:val="00556BC5"/>
    <w:pPr>
      <w:numPr>
        <w:ilvl w:val="2"/>
        <w:numId w:val="5"/>
      </w:numPr>
      <w:tabs>
        <w:tab w:val="clear" w:pos="2520"/>
        <w:tab w:val="left" w:pos="1276"/>
      </w:tabs>
      <w:spacing w:after="120" w:line="240" w:lineRule="auto"/>
      <w:ind w:left="1276" w:hanging="556"/>
      <w:jc w:val="both"/>
    </w:pPr>
    <w:rPr>
      <w:rFonts w:ascii="Arial" w:eastAsia="Times New Roman" w:hAnsi="Arial" w:cs="Arial"/>
    </w:rPr>
  </w:style>
  <w:style w:type="character" w:customStyle="1" w:styleId="DHTitleChar">
    <w:name w:val="DH Title Char"/>
    <w:basedOn w:val="DefaultParagraphFont"/>
    <w:link w:val="DHTitle"/>
    <w:rsid w:val="00556BC5"/>
    <w:rPr>
      <w:rFonts w:ascii="Arial" w:eastAsia="Times New Roman" w:hAnsi="Arial" w:cs="Times New Roman"/>
      <w:b/>
      <w:color w:val="009966"/>
      <w:sz w:val="60"/>
      <w:szCs w:val="20"/>
    </w:rPr>
  </w:style>
  <w:style w:type="numbering" w:styleId="111111">
    <w:name w:val="Outline List 2"/>
    <w:basedOn w:val="NoList"/>
    <w:rsid w:val="00BF7FBE"/>
    <w:pPr>
      <w:numPr>
        <w:numId w:val="6"/>
      </w:numPr>
    </w:pPr>
  </w:style>
  <w:style w:type="paragraph" w:customStyle="1" w:styleId="Style7">
    <w:name w:val="Style7"/>
    <w:basedOn w:val="Heading1"/>
    <w:next w:val="Style8"/>
    <w:qFormat/>
    <w:rsid w:val="00BF7FBE"/>
    <w:pPr>
      <w:keepLines w:val="0"/>
      <w:numPr>
        <w:numId w:val="7"/>
      </w:numPr>
      <w:tabs>
        <w:tab w:val="left" w:pos="851"/>
      </w:tabs>
      <w:adjustRightInd w:val="0"/>
      <w:spacing w:before="240" w:after="120" w:line="240" w:lineRule="auto"/>
      <w:jc w:val="both"/>
    </w:pPr>
    <w:rPr>
      <w:rFonts w:ascii="Arial" w:eastAsia="STZhongsong" w:hAnsi="Arial" w:cs="Arial"/>
      <w:bCs w:val="0"/>
      <w:caps/>
      <w:color w:val="auto"/>
      <w:sz w:val="22"/>
      <w:szCs w:val="22"/>
      <w:lang w:eastAsia="zh-CN"/>
    </w:rPr>
  </w:style>
  <w:style w:type="paragraph" w:customStyle="1" w:styleId="Style8">
    <w:name w:val="Style8"/>
    <w:basedOn w:val="ListParagraph"/>
    <w:next w:val="Style9"/>
    <w:link w:val="Style8Char"/>
    <w:qFormat/>
    <w:rsid w:val="00BF7FBE"/>
    <w:pPr>
      <w:numPr>
        <w:ilvl w:val="1"/>
        <w:numId w:val="7"/>
      </w:numPr>
      <w:autoSpaceDN/>
      <w:spacing w:before="120" w:after="120" w:line="240" w:lineRule="auto"/>
    </w:pPr>
    <w:rPr>
      <w:rFonts w:ascii="Arial" w:eastAsia="Times New Roman" w:hAnsi="Arial" w:cs="Arial"/>
      <w:lang w:eastAsia="en-GB"/>
    </w:rPr>
  </w:style>
  <w:style w:type="paragraph" w:customStyle="1" w:styleId="Style9">
    <w:name w:val="Style9"/>
    <w:basedOn w:val="ListParagraph"/>
    <w:next w:val="Style10"/>
    <w:qFormat/>
    <w:rsid w:val="00BF7FBE"/>
    <w:pPr>
      <w:numPr>
        <w:ilvl w:val="2"/>
        <w:numId w:val="7"/>
      </w:numPr>
      <w:autoSpaceDN/>
      <w:spacing w:before="120" w:after="120" w:line="240" w:lineRule="auto"/>
    </w:pPr>
    <w:rPr>
      <w:rFonts w:ascii="Arial" w:eastAsia="Times New Roman" w:hAnsi="Arial" w:cs="Arial"/>
      <w:lang w:eastAsia="en-GB"/>
    </w:rPr>
  </w:style>
  <w:style w:type="character" w:customStyle="1" w:styleId="Style8Char">
    <w:name w:val="Style8 Char"/>
    <w:basedOn w:val="DefaultParagraphFont"/>
    <w:link w:val="Style8"/>
    <w:rsid w:val="00BF7FBE"/>
    <w:rPr>
      <w:rFonts w:ascii="Arial" w:eastAsia="Times New Roman" w:hAnsi="Arial" w:cs="Arial"/>
      <w:lang w:eastAsia="en-GB"/>
    </w:rPr>
  </w:style>
  <w:style w:type="paragraph" w:customStyle="1" w:styleId="Style10">
    <w:name w:val="Style10"/>
    <w:basedOn w:val="ListParagraph"/>
    <w:qFormat/>
    <w:rsid w:val="00BF7FBE"/>
    <w:pPr>
      <w:numPr>
        <w:ilvl w:val="3"/>
        <w:numId w:val="7"/>
      </w:numPr>
      <w:autoSpaceDN/>
      <w:spacing w:before="120" w:after="120" w:line="240" w:lineRule="auto"/>
    </w:pPr>
    <w:rPr>
      <w:rFonts w:ascii="Arial" w:eastAsia="Times New Roman" w:hAnsi="Arial" w:cs="Arial"/>
      <w:lang w:eastAsia="en-GB"/>
    </w:rPr>
  </w:style>
  <w:style w:type="character" w:customStyle="1" w:styleId="Heading1Char">
    <w:name w:val="Heading 1 Char"/>
    <w:basedOn w:val="DefaultParagraphFont"/>
    <w:link w:val="Heading1"/>
    <w:uiPriority w:val="9"/>
    <w:rsid w:val="00BF7F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9409">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sChild>
            <w:div w:id="2106605468">
              <w:marLeft w:val="0"/>
              <w:marRight w:val="0"/>
              <w:marTop w:val="0"/>
              <w:marBottom w:val="0"/>
              <w:divBdr>
                <w:top w:val="none" w:sz="0" w:space="0" w:color="auto"/>
                <w:left w:val="none" w:sz="0" w:space="0" w:color="auto"/>
                <w:bottom w:val="none" w:sz="0" w:space="0" w:color="auto"/>
                <w:right w:val="none" w:sz="0" w:space="0" w:color="auto"/>
              </w:divBdr>
              <w:divsChild>
                <w:div w:id="1543858887">
                  <w:marLeft w:val="0"/>
                  <w:marRight w:val="0"/>
                  <w:marTop w:val="0"/>
                  <w:marBottom w:val="1200"/>
                  <w:divBdr>
                    <w:top w:val="none" w:sz="0" w:space="0" w:color="auto"/>
                    <w:left w:val="none" w:sz="0" w:space="0" w:color="auto"/>
                    <w:bottom w:val="none" w:sz="0" w:space="0" w:color="auto"/>
                    <w:right w:val="none" w:sz="0" w:space="0" w:color="auto"/>
                  </w:divBdr>
                  <w:divsChild>
                    <w:div w:id="16583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6687">
      <w:bodyDiv w:val="1"/>
      <w:marLeft w:val="0"/>
      <w:marRight w:val="0"/>
      <w:marTop w:val="0"/>
      <w:marBottom w:val="0"/>
      <w:divBdr>
        <w:top w:val="none" w:sz="0" w:space="0" w:color="auto"/>
        <w:left w:val="none" w:sz="0" w:space="0" w:color="auto"/>
        <w:bottom w:val="none" w:sz="0" w:space="0" w:color="auto"/>
        <w:right w:val="none" w:sz="0" w:space="0" w:color="auto"/>
      </w:divBdr>
      <w:divsChild>
        <w:div w:id="1523975619">
          <w:marLeft w:val="0"/>
          <w:marRight w:val="0"/>
          <w:marTop w:val="0"/>
          <w:marBottom w:val="0"/>
          <w:divBdr>
            <w:top w:val="none" w:sz="0" w:space="0" w:color="auto"/>
            <w:left w:val="none" w:sz="0" w:space="0" w:color="auto"/>
            <w:bottom w:val="none" w:sz="0" w:space="0" w:color="auto"/>
            <w:right w:val="none" w:sz="0" w:space="0" w:color="auto"/>
          </w:divBdr>
          <w:divsChild>
            <w:div w:id="1295602062">
              <w:marLeft w:val="0"/>
              <w:marRight w:val="0"/>
              <w:marTop w:val="0"/>
              <w:marBottom w:val="0"/>
              <w:divBdr>
                <w:top w:val="none" w:sz="0" w:space="0" w:color="auto"/>
                <w:left w:val="none" w:sz="0" w:space="0" w:color="auto"/>
                <w:bottom w:val="none" w:sz="0" w:space="0" w:color="auto"/>
                <w:right w:val="none" w:sz="0" w:space="0" w:color="auto"/>
              </w:divBdr>
              <w:divsChild>
                <w:div w:id="72171493">
                  <w:marLeft w:val="0"/>
                  <w:marRight w:val="0"/>
                  <w:marTop w:val="900"/>
                  <w:marBottom w:val="150"/>
                  <w:divBdr>
                    <w:top w:val="none" w:sz="0" w:space="0" w:color="auto"/>
                    <w:left w:val="none" w:sz="0" w:space="0" w:color="auto"/>
                    <w:bottom w:val="none" w:sz="0" w:space="0" w:color="auto"/>
                    <w:right w:val="none" w:sz="0" w:space="0" w:color="auto"/>
                  </w:divBdr>
                  <w:divsChild>
                    <w:div w:id="911742160">
                      <w:marLeft w:val="0"/>
                      <w:marRight w:val="0"/>
                      <w:marTop w:val="0"/>
                      <w:marBottom w:val="0"/>
                      <w:divBdr>
                        <w:top w:val="none" w:sz="0" w:space="0" w:color="auto"/>
                        <w:left w:val="none" w:sz="0" w:space="0" w:color="auto"/>
                        <w:bottom w:val="none" w:sz="0" w:space="0" w:color="auto"/>
                        <w:right w:val="none" w:sz="0" w:space="0" w:color="auto"/>
                      </w:divBdr>
                      <w:divsChild>
                        <w:div w:id="1628127578">
                          <w:marLeft w:val="0"/>
                          <w:marRight w:val="0"/>
                          <w:marTop w:val="0"/>
                          <w:marBottom w:val="0"/>
                          <w:divBdr>
                            <w:top w:val="none" w:sz="0" w:space="0" w:color="auto"/>
                            <w:left w:val="none" w:sz="0" w:space="0" w:color="auto"/>
                            <w:bottom w:val="none" w:sz="0" w:space="0" w:color="auto"/>
                            <w:right w:val="none" w:sz="0" w:space="0" w:color="auto"/>
                          </w:divBdr>
                          <w:divsChild>
                            <w:div w:id="1197620614">
                              <w:marLeft w:val="0"/>
                              <w:marRight w:val="0"/>
                              <w:marTop w:val="0"/>
                              <w:marBottom w:val="0"/>
                              <w:divBdr>
                                <w:top w:val="none" w:sz="0" w:space="0" w:color="auto"/>
                                <w:left w:val="none" w:sz="0" w:space="0" w:color="auto"/>
                                <w:bottom w:val="none" w:sz="0" w:space="0" w:color="auto"/>
                                <w:right w:val="none" w:sz="0" w:space="0" w:color="auto"/>
                              </w:divBdr>
                              <w:divsChild>
                                <w:div w:id="1747612328">
                                  <w:marLeft w:val="0"/>
                                  <w:marRight w:val="0"/>
                                  <w:marTop w:val="0"/>
                                  <w:marBottom w:val="0"/>
                                  <w:divBdr>
                                    <w:top w:val="none" w:sz="0" w:space="0" w:color="auto"/>
                                    <w:left w:val="none" w:sz="0" w:space="0" w:color="auto"/>
                                    <w:bottom w:val="none" w:sz="0" w:space="0" w:color="auto"/>
                                    <w:right w:val="none" w:sz="0" w:space="0" w:color="auto"/>
                                  </w:divBdr>
                                  <w:divsChild>
                                    <w:div w:id="1708287760">
                                      <w:marLeft w:val="0"/>
                                      <w:marRight w:val="0"/>
                                      <w:marTop w:val="0"/>
                                      <w:marBottom w:val="0"/>
                                      <w:divBdr>
                                        <w:top w:val="none" w:sz="0" w:space="0" w:color="auto"/>
                                        <w:left w:val="none" w:sz="0" w:space="0" w:color="auto"/>
                                        <w:bottom w:val="none" w:sz="0" w:space="0" w:color="auto"/>
                                        <w:right w:val="none" w:sz="0" w:space="0" w:color="auto"/>
                                      </w:divBdr>
                                      <w:divsChild>
                                        <w:div w:id="21321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628227">
      <w:bodyDiv w:val="1"/>
      <w:marLeft w:val="0"/>
      <w:marRight w:val="0"/>
      <w:marTop w:val="0"/>
      <w:marBottom w:val="0"/>
      <w:divBdr>
        <w:top w:val="none" w:sz="0" w:space="0" w:color="auto"/>
        <w:left w:val="none" w:sz="0" w:space="0" w:color="auto"/>
        <w:bottom w:val="none" w:sz="0" w:space="0" w:color="auto"/>
        <w:right w:val="none" w:sz="0" w:space="0" w:color="auto"/>
      </w:divBdr>
      <w:divsChild>
        <w:div w:id="1300962558">
          <w:marLeft w:val="0"/>
          <w:marRight w:val="0"/>
          <w:marTop w:val="0"/>
          <w:marBottom w:val="0"/>
          <w:divBdr>
            <w:top w:val="none" w:sz="0" w:space="0" w:color="auto"/>
            <w:left w:val="none" w:sz="0" w:space="0" w:color="auto"/>
            <w:bottom w:val="none" w:sz="0" w:space="0" w:color="auto"/>
            <w:right w:val="none" w:sz="0" w:space="0" w:color="auto"/>
          </w:divBdr>
          <w:divsChild>
            <w:div w:id="41667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7310">
      <w:bodyDiv w:val="1"/>
      <w:marLeft w:val="0"/>
      <w:marRight w:val="0"/>
      <w:marTop w:val="0"/>
      <w:marBottom w:val="0"/>
      <w:divBdr>
        <w:top w:val="none" w:sz="0" w:space="0" w:color="auto"/>
        <w:left w:val="none" w:sz="0" w:space="0" w:color="auto"/>
        <w:bottom w:val="none" w:sz="0" w:space="0" w:color="auto"/>
        <w:right w:val="none" w:sz="0" w:space="0" w:color="auto"/>
      </w:divBdr>
      <w:divsChild>
        <w:div w:id="444276033">
          <w:marLeft w:val="0"/>
          <w:marRight w:val="0"/>
          <w:marTop w:val="0"/>
          <w:marBottom w:val="0"/>
          <w:divBdr>
            <w:top w:val="none" w:sz="0" w:space="0" w:color="auto"/>
            <w:left w:val="none" w:sz="0" w:space="0" w:color="auto"/>
            <w:bottom w:val="none" w:sz="0" w:space="0" w:color="auto"/>
            <w:right w:val="none" w:sz="0" w:space="0" w:color="auto"/>
          </w:divBdr>
          <w:divsChild>
            <w:div w:id="1412118773">
              <w:marLeft w:val="0"/>
              <w:marRight w:val="0"/>
              <w:marTop w:val="0"/>
              <w:marBottom w:val="0"/>
              <w:divBdr>
                <w:top w:val="none" w:sz="0" w:space="0" w:color="auto"/>
                <w:left w:val="none" w:sz="0" w:space="0" w:color="auto"/>
                <w:bottom w:val="none" w:sz="0" w:space="0" w:color="auto"/>
                <w:right w:val="none" w:sz="0" w:space="0" w:color="auto"/>
              </w:divBdr>
              <w:divsChild>
                <w:div w:id="1070882858">
                  <w:marLeft w:val="0"/>
                  <w:marRight w:val="0"/>
                  <w:marTop w:val="0"/>
                  <w:marBottom w:val="0"/>
                  <w:divBdr>
                    <w:top w:val="none" w:sz="0" w:space="0" w:color="auto"/>
                    <w:left w:val="none" w:sz="0" w:space="0" w:color="auto"/>
                    <w:bottom w:val="none" w:sz="0" w:space="0" w:color="auto"/>
                    <w:right w:val="none" w:sz="0" w:space="0" w:color="auto"/>
                  </w:divBdr>
                  <w:divsChild>
                    <w:div w:id="1444419547">
                      <w:marLeft w:val="0"/>
                      <w:marRight w:val="0"/>
                      <w:marTop w:val="0"/>
                      <w:marBottom w:val="0"/>
                      <w:divBdr>
                        <w:top w:val="none" w:sz="0" w:space="0" w:color="auto"/>
                        <w:left w:val="none" w:sz="0" w:space="0" w:color="auto"/>
                        <w:bottom w:val="none" w:sz="0" w:space="0" w:color="auto"/>
                        <w:right w:val="none" w:sz="0" w:space="0" w:color="auto"/>
                      </w:divBdr>
                      <w:divsChild>
                        <w:div w:id="1533104930">
                          <w:marLeft w:val="0"/>
                          <w:marRight w:val="0"/>
                          <w:marTop w:val="0"/>
                          <w:marBottom w:val="0"/>
                          <w:divBdr>
                            <w:top w:val="none" w:sz="0" w:space="0" w:color="auto"/>
                            <w:left w:val="none" w:sz="0" w:space="0" w:color="auto"/>
                            <w:bottom w:val="none" w:sz="0" w:space="0" w:color="auto"/>
                            <w:right w:val="none" w:sz="0" w:space="0" w:color="auto"/>
                          </w:divBdr>
                          <w:divsChild>
                            <w:div w:id="322583125">
                              <w:marLeft w:val="0"/>
                              <w:marRight w:val="0"/>
                              <w:marTop w:val="0"/>
                              <w:marBottom w:val="0"/>
                              <w:divBdr>
                                <w:top w:val="none" w:sz="0" w:space="0" w:color="auto"/>
                                <w:left w:val="none" w:sz="0" w:space="0" w:color="auto"/>
                                <w:bottom w:val="none" w:sz="0" w:space="0" w:color="auto"/>
                                <w:right w:val="none" w:sz="0" w:space="0" w:color="auto"/>
                              </w:divBdr>
                              <w:divsChild>
                                <w:div w:id="844517869">
                                  <w:marLeft w:val="0"/>
                                  <w:marRight w:val="0"/>
                                  <w:marTop w:val="0"/>
                                  <w:marBottom w:val="0"/>
                                  <w:divBdr>
                                    <w:top w:val="none" w:sz="0" w:space="0" w:color="auto"/>
                                    <w:left w:val="none" w:sz="0" w:space="0" w:color="auto"/>
                                    <w:bottom w:val="none" w:sz="0" w:space="0" w:color="auto"/>
                                    <w:right w:val="none" w:sz="0" w:space="0" w:color="auto"/>
                                  </w:divBdr>
                                </w:div>
                                <w:div w:id="4212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ngland.nhs.uk/" TargetMode="External"/><Relationship Id="rId17" Type="http://schemas.openxmlformats.org/officeDocument/2006/relationships/hyperlink" Target="https://www.gov.uk/cma-cases?keywords=drug&amp;closed_date%5Bfrom%5D=&amp;closed_date%5Bto%5D" TargetMode="External"/><Relationship Id="rId2" Type="http://schemas.openxmlformats.org/officeDocument/2006/relationships/numbering" Target="numbering.xml"/><Relationship Id="rId16" Type="http://schemas.openxmlformats.org/officeDocument/2006/relationships/hyperlink" Target="https://www.gov.uk/government/collections/commercial-medicines-unit-c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bsa.nhs.uk/Protect.aspx" TargetMode="External"/><Relationship Id="rId5" Type="http://schemas.openxmlformats.org/officeDocument/2006/relationships/settings" Target="settings.xml"/><Relationship Id="rId15" Type="http://schemas.openxmlformats.org/officeDocument/2006/relationships/hyperlink" Target="https://www.gov.uk/government/organisations/medicines-and-healthcare-products-regulatory-agency" TargetMode="External"/><Relationship Id="rId10" Type="http://schemas.openxmlformats.org/officeDocument/2006/relationships/hyperlink" Target="https://en.wikipedia.org/wiki/Cour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n.wikipedia.org/wiki/Alternative_dispute_resolution" TargetMode="External"/><Relationship Id="rId14" Type="http://schemas.openxmlformats.org/officeDocument/2006/relationships/hyperlink" Target="https://www.gov.uk/government/publications/pharmaceutical-price-regulation-scheme-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50C4-8D4E-40BB-9EB5-DCC0F6B8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3851</Words>
  <Characters>21955</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raisbeck, garry</dc:creator>
  <cp:lastModifiedBy>raisbeck, garry</cp:lastModifiedBy>
  <cp:revision>2</cp:revision>
  <cp:lastPrinted>2016-11-09T12:18:00Z</cp:lastPrinted>
  <dcterms:created xsi:type="dcterms:W3CDTF">2016-12-22T15:32:00Z</dcterms:created>
  <dcterms:modified xsi:type="dcterms:W3CDTF">2016-12-22T15:32:00Z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