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809CA" w14:textId="31B5170D" w:rsidR="000749F8" w:rsidRPr="00B43EE6" w:rsidRDefault="008E61B7" w:rsidP="00B43EE6">
      <w:pPr>
        <w:jc w:val="center"/>
        <w:rPr>
          <w:b/>
        </w:rPr>
      </w:pPr>
      <w:r>
        <w:rPr>
          <w:b/>
        </w:rPr>
        <w:t xml:space="preserve">UK &amp; </w:t>
      </w:r>
      <w:r w:rsidR="00A378D4">
        <w:rPr>
          <w:b/>
        </w:rPr>
        <w:t>Brazil</w:t>
      </w:r>
      <w:r>
        <w:rPr>
          <w:b/>
        </w:rPr>
        <w:t xml:space="preserve">: </w:t>
      </w:r>
      <w:r w:rsidR="00CF10FA">
        <w:rPr>
          <w:b/>
        </w:rPr>
        <w:t>PR Partner</w:t>
      </w:r>
      <w:r>
        <w:rPr>
          <w:b/>
        </w:rPr>
        <w:t xml:space="preserve"> 2019</w:t>
      </w:r>
      <w:r w:rsidR="00A378D4">
        <w:rPr>
          <w:b/>
        </w:rPr>
        <w:t xml:space="preserve"> </w:t>
      </w:r>
      <w:r w:rsidR="00B43EE6">
        <w:rPr>
          <w:b/>
        </w:rPr>
        <w:t>KPIs</w:t>
      </w:r>
    </w:p>
    <w:p w14:paraId="359C6EA3" w14:textId="77777777" w:rsidR="00162375" w:rsidRDefault="00162375"/>
    <w:tbl>
      <w:tblPr>
        <w:tblW w:w="0" w:type="auto"/>
        <w:tblCellMar>
          <w:left w:w="0" w:type="dxa"/>
          <w:right w:w="0" w:type="dxa"/>
        </w:tblCellMar>
        <w:tblLook w:val="04A0" w:firstRow="1" w:lastRow="0" w:firstColumn="1" w:lastColumn="0" w:noHBand="0" w:noVBand="1"/>
      </w:tblPr>
      <w:tblGrid>
        <w:gridCol w:w="2133"/>
        <w:gridCol w:w="3493"/>
        <w:gridCol w:w="3380"/>
      </w:tblGrid>
      <w:tr w:rsidR="00CD5169" w:rsidRPr="00162375" w14:paraId="664A0085" w14:textId="77777777" w:rsidTr="00634C87">
        <w:tc>
          <w:tcPr>
            <w:tcW w:w="2133" w:type="dxa"/>
            <w:tcBorders>
              <w:top w:val="single" w:sz="8" w:space="0" w:color="auto"/>
              <w:left w:val="single" w:sz="8" w:space="0" w:color="auto"/>
              <w:bottom w:val="single" w:sz="8" w:space="0" w:color="auto"/>
              <w:right w:val="single" w:sz="8" w:space="0" w:color="auto"/>
            </w:tcBorders>
            <w:shd w:val="clear" w:color="auto" w:fill="548DD4"/>
            <w:tcMar>
              <w:top w:w="0" w:type="dxa"/>
              <w:left w:w="108" w:type="dxa"/>
              <w:bottom w:w="0" w:type="dxa"/>
              <w:right w:w="108" w:type="dxa"/>
            </w:tcMar>
            <w:vAlign w:val="center"/>
          </w:tcPr>
          <w:p w14:paraId="4D4D3E67" w14:textId="77777777" w:rsidR="00162375" w:rsidRPr="00162375" w:rsidRDefault="00162375">
            <w:pPr>
              <w:jc w:val="center"/>
              <w:rPr>
                <w:b/>
                <w:bCs/>
                <w:sz w:val="20"/>
                <w:szCs w:val="20"/>
              </w:rPr>
            </w:pPr>
            <w:r w:rsidRPr="00162375">
              <w:rPr>
                <w:b/>
                <w:bCs/>
                <w:sz w:val="20"/>
                <w:szCs w:val="20"/>
              </w:rPr>
              <w:t>KPI</w:t>
            </w:r>
          </w:p>
        </w:tc>
        <w:tc>
          <w:tcPr>
            <w:tcW w:w="3493" w:type="dxa"/>
            <w:tcBorders>
              <w:top w:val="single" w:sz="8" w:space="0" w:color="auto"/>
              <w:left w:val="nil"/>
              <w:bottom w:val="single" w:sz="8" w:space="0" w:color="auto"/>
              <w:right w:val="single" w:sz="8" w:space="0" w:color="auto"/>
            </w:tcBorders>
            <w:shd w:val="clear" w:color="auto" w:fill="548DD4"/>
            <w:tcMar>
              <w:top w:w="0" w:type="dxa"/>
              <w:left w:w="108" w:type="dxa"/>
              <w:bottom w:w="0" w:type="dxa"/>
              <w:right w:w="108" w:type="dxa"/>
            </w:tcMar>
            <w:vAlign w:val="center"/>
          </w:tcPr>
          <w:p w14:paraId="275FD16F" w14:textId="77777777" w:rsidR="00162375" w:rsidRPr="00162375" w:rsidRDefault="00162375">
            <w:pPr>
              <w:jc w:val="center"/>
              <w:rPr>
                <w:b/>
                <w:bCs/>
                <w:sz w:val="20"/>
                <w:szCs w:val="20"/>
              </w:rPr>
            </w:pPr>
            <w:r w:rsidRPr="00162375">
              <w:rPr>
                <w:b/>
                <w:bCs/>
                <w:sz w:val="20"/>
                <w:szCs w:val="20"/>
              </w:rPr>
              <w:t>Description</w:t>
            </w:r>
          </w:p>
        </w:tc>
        <w:tc>
          <w:tcPr>
            <w:tcW w:w="3380" w:type="dxa"/>
            <w:tcBorders>
              <w:top w:val="single" w:sz="8" w:space="0" w:color="auto"/>
              <w:left w:val="nil"/>
              <w:bottom w:val="single" w:sz="8" w:space="0" w:color="auto"/>
              <w:right w:val="single" w:sz="8" w:space="0" w:color="auto"/>
            </w:tcBorders>
            <w:shd w:val="clear" w:color="auto" w:fill="548DD4"/>
            <w:tcMar>
              <w:top w:w="0" w:type="dxa"/>
              <w:left w:w="108" w:type="dxa"/>
              <w:bottom w:w="0" w:type="dxa"/>
              <w:right w:w="108" w:type="dxa"/>
            </w:tcMar>
            <w:vAlign w:val="center"/>
          </w:tcPr>
          <w:p w14:paraId="21F244E6" w14:textId="77777777" w:rsidR="00162375" w:rsidRPr="00162375" w:rsidRDefault="00162375" w:rsidP="00162375">
            <w:pPr>
              <w:jc w:val="center"/>
              <w:rPr>
                <w:b/>
                <w:bCs/>
                <w:sz w:val="20"/>
                <w:szCs w:val="20"/>
              </w:rPr>
            </w:pPr>
            <w:r>
              <w:rPr>
                <w:b/>
                <w:bCs/>
                <w:sz w:val="20"/>
                <w:szCs w:val="20"/>
              </w:rPr>
              <w:t>Measurement</w:t>
            </w:r>
          </w:p>
        </w:tc>
      </w:tr>
      <w:tr w:rsidR="00CD5169" w:rsidRPr="00162375" w14:paraId="1337AA2C" w14:textId="77777777">
        <w:tc>
          <w:tcPr>
            <w:tcW w:w="21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02EDC5" w14:textId="77777777" w:rsidR="00162375" w:rsidRPr="00162375" w:rsidRDefault="00162375" w:rsidP="00162375">
            <w:pPr>
              <w:jc w:val="both"/>
              <w:rPr>
                <w:sz w:val="20"/>
                <w:szCs w:val="20"/>
              </w:rPr>
            </w:pPr>
            <w:r>
              <w:rPr>
                <w:sz w:val="20"/>
                <w:szCs w:val="20"/>
              </w:rPr>
              <w:t xml:space="preserve">Purchase Price / Variation on Price </w:t>
            </w:r>
          </w:p>
        </w:tc>
        <w:tc>
          <w:tcPr>
            <w:tcW w:w="3589" w:type="dxa"/>
            <w:tcBorders>
              <w:top w:val="nil"/>
              <w:left w:val="nil"/>
              <w:bottom w:val="single" w:sz="8" w:space="0" w:color="auto"/>
              <w:right w:val="single" w:sz="8" w:space="0" w:color="auto"/>
            </w:tcBorders>
            <w:tcMar>
              <w:top w:w="0" w:type="dxa"/>
              <w:left w:w="108" w:type="dxa"/>
              <w:bottom w:w="0" w:type="dxa"/>
              <w:right w:w="108" w:type="dxa"/>
            </w:tcMar>
            <w:vAlign w:val="center"/>
          </w:tcPr>
          <w:p w14:paraId="4B687748" w14:textId="77777777" w:rsidR="00162375" w:rsidRPr="00162375" w:rsidRDefault="00162375" w:rsidP="001026E5">
            <w:pPr>
              <w:jc w:val="both"/>
              <w:rPr>
                <w:sz w:val="20"/>
                <w:szCs w:val="20"/>
              </w:rPr>
            </w:pPr>
            <w:r>
              <w:rPr>
                <w:sz w:val="20"/>
                <w:szCs w:val="20"/>
              </w:rPr>
              <w:t>The Authority consid</w:t>
            </w:r>
            <w:r w:rsidR="001026E5">
              <w:rPr>
                <w:sz w:val="20"/>
                <w:szCs w:val="20"/>
              </w:rPr>
              <w:t xml:space="preserve">ers that the price mentioned in the Schedule of Prices and Rates </w:t>
            </w:r>
            <w:r>
              <w:rPr>
                <w:sz w:val="20"/>
                <w:szCs w:val="20"/>
              </w:rPr>
              <w:t>will be th</w:t>
            </w:r>
            <w:r w:rsidR="00B43EE6">
              <w:rPr>
                <w:sz w:val="20"/>
                <w:szCs w:val="20"/>
              </w:rPr>
              <w:t>e maximum amount of money payable</w:t>
            </w:r>
            <w:r>
              <w:rPr>
                <w:sz w:val="20"/>
                <w:szCs w:val="20"/>
              </w:rPr>
              <w:t xml:space="preserve"> for the services described on this contract. Any additional service</w:t>
            </w:r>
            <w:r w:rsidR="00EC08F0">
              <w:rPr>
                <w:sz w:val="20"/>
                <w:szCs w:val="20"/>
              </w:rPr>
              <w:t>(s)</w:t>
            </w:r>
            <w:r>
              <w:rPr>
                <w:sz w:val="20"/>
                <w:szCs w:val="20"/>
              </w:rPr>
              <w:t xml:space="preserve"> required will be</w:t>
            </w:r>
            <w:r w:rsidR="003C58F5">
              <w:rPr>
                <w:sz w:val="20"/>
                <w:szCs w:val="20"/>
              </w:rPr>
              <w:t xml:space="preserve"> quoted and</w:t>
            </w:r>
            <w:r>
              <w:rPr>
                <w:sz w:val="20"/>
                <w:szCs w:val="20"/>
              </w:rPr>
              <w:t xml:space="preserve"> charged separately</w:t>
            </w:r>
            <w:r w:rsidR="00D304BD">
              <w:rPr>
                <w:sz w:val="20"/>
                <w:szCs w:val="20"/>
              </w:rPr>
              <w:t>, once they have been</w:t>
            </w:r>
            <w:r w:rsidR="003C58F5">
              <w:rPr>
                <w:sz w:val="20"/>
                <w:szCs w:val="20"/>
              </w:rPr>
              <w:t xml:space="preserve"> reviewed and</w:t>
            </w:r>
            <w:r w:rsidR="00D304BD">
              <w:rPr>
                <w:sz w:val="20"/>
                <w:szCs w:val="20"/>
              </w:rPr>
              <w:t xml:space="preserve"> approved by both parties</w:t>
            </w:r>
            <w:r w:rsidR="003C58F5">
              <w:rPr>
                <w:sz w:val="20"/>
                <w:szCs w:val="20"/>
              </w:rPr>
              <w:t xml:space="preserve"> by a written agreement.</w:t>
            </w:r>
          </w:p>
        </w:tc>
        <w:tc>
          <w:tcPr>
            <w:tcW w:w="3487" w:type="dxa"/>
            <w:tcBorders>
              <w:top w:val="nil"/>
              <w:left w:val="nil"/>
              <w:bottom w:val="single" w:sz="8" w:space="0" w:color="auto"/>
              <w:right w:val="single" w:sz="8" w:space="0" w:color="auto"/>
            </w:tcBorders>
            <w:tcMar>
              <w:top w:w="0" w:type="dxa"/>
              <w:left w:w="108" w:type="dxa"/>
              <w:bottom w:w="0" w:type="dxa"/>
              <w:right w:w="108" w:type="dxa"/>
            </w:tcMar>
            <w:vAlign w:val="center"/>
          </w:tcPr>
          <w:p w14:paraId="01B4E166" w14:textId="77777777" w:rsidR="00162375" w:rsidRPr="00162375" w:rsidRDefault="00162375" w:rsidP="00BD1865">
            <w:pPr>
              <w:jc w:val="both"/>
              <w:rPr>
                <w:sz w:val="20"/>
                <w:szCs w:val="20"/>
              </w:rPr>
            </w:pPr>
            <w:r w:rsidRPr="00162375">
              <w:rPr>
                <w:sz w:val="20"/>
                <w:szCs w:val="20"/>
              </w:rPr>
              <w:t xml:space="preserve">100%. </w:t>
            </w:r>
            <w:r w:rsidR="00B43EE6">
              <w:rPr>
                <w:sz w:val="20"/>
                <w:szCs w:val="20"/>
              </w:rPr>
              <w:t>This criteria</w:t>
            </w:r>
            <w:r>
              <w:rPr>
                <w:sz w:val="20"/>
                <w:szCs w:val="20"/>
              </w:rPr>
              <w:t xml:space="preserve"> will be evaluated </w:t>
            </w:r>
            <w:r w:rsidR="00B83E8D">
              <w:rPr>
                <w:sz w:val="20"/>
                <w:szCs w:val="20"/>
              </w:rPr>
              <w:t>against</w:t>
            </w:r>
            <w:r w:rsidR="00EB2293">
              <w:rPr>
                <w:sz w:val="20"/>
                <w:szCs w:val="20"/>
              </w:rPr>
              <w:t xml:space="preserve"> the financial </w:t>
            </w:r>
            <w:r>
              <w:rPr>
                <w:sz w:val="20"/>
                <w:szCs w:val="20"/>
              </w:rPr>
              <w:t xml:space="preserve">report </w:t>
            </w:r>
            <w:r w:rsidR="00B43EE6">
              <w:rPr>
                <w:sz w:val="20"/>
                <w:szCs w:val="20"/>
              </w:rPr>
              <w:t>given</w:t>
            </w:r>
            <w:r w:rsidR="00EC08F0">
              <w:rPr>
                <w:sz w:val="20"/>
                <w:szCs w:val="20"/>
              </w:rPr>
              <w:t xml:space="preserve"> by</w:t>
            </w:r>
            <w:r>
              <w:rPr>
                <w:sz w:val="20"/>
                <w:szCs w:val="20"/>
              </w:rPr>
              <w:t xml:space="preserve"> the </w:t>
            </w:r>
            <w:r w:rsidR="00B124B4">
              <w:rPr>
                <w:sz w:val="20"/>
                <w:szCs w:val="20"/>
              </w:rPr>
              <w:t>Supplier</w:t>
            </w:r>
            <w:r>
              <w:rPr>
                <w:sz w:val="20"/>
                <w:szCs w:val="20"/>
              </w:rPr>
              <w:t xml:space="preserve"> </w:t>
            </w:r>
            <w:r w:rsidR="006C4EAF">
              <w:rPr>
                <w:sz w:val="20"/>
                <w:szCs w:val="20"/>
              </w:rPr>
              <w:t xml:space="preserve">to the Authority </w:t>
            </w:r>
            <w:r>
              <w:rPr>
                <w:sz w:val="20"/>
                <w:szCs w:val="20"/>
              </w:rPr>
              <w:t xml:space="preserve">in the </w:t>
            </w:r>
            <w:r w:rsidR="00543DFE" w:rsidRPr="00A92EDE">
              <w:rPr>
                <w:sz w:val="20"/>
                <w:szCs w:val="20"/>
              </w:rPr>
              <w:t>monthly</w:t>
            </w:r>
            <w:r>
              <w:rPr>
                <w:sz w:val="20"/>
                <w:szCs w:val="20"/>
              </w:rPr>
              <w:t xml:space="preserve"> </w:t>
            </w:r>
            <w:r w:rsidR="00BD1865">
              <w:rPr>
                <w:sz w:val="20"/>
                <w:szCs w:val="20"/>
              </w:rPr>
              <w:t>progress reports</w:t>
            </w:r>
            <w:r>
              <w:rPr>
                <w:sz w:val="20"/>
                <w:szCs w:val="20"/>
              </w:rPr>
              <w:t xml:space="preserve">. </w:t>
            </w:r>
          </w:p>
        </w:tc>
      </w:tr>
      <w:tr w:rsidR="00CD5169" w:rsidRPr="00162375" w14:paraId="611D0484" w14:textId="77777777">
        <w:trPr>
          <w:trHeight w:val="2004"/>
        </w:trPr>
        <w:tc>
          <w:tcPr>
            <w:tcW w:w="21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9882297" w14:textId="77777777" w:rsidR="00162375" w:rsidRPr="00162375" w:rsidRDefault="002E6B8A" w:rsidP="00D304BD">
            <w:pPr>
              <w:jc w:val="both"/>
              <w:rPr>
                <w:sz w:val="20"/>
                <w:szCs w:val="20"/>
              </w:rPr>
            </w:pPr>
            <w:r>
              <w:rPr>
                <w:sz w:val="20"/>
                <w:szCs w:val="20"/>
              </w:rPr>
              <w:t>Maintain staff whereabouts and w</w:t>
            </w:r>
            <w:r w:rsidR="00D304BD">
              <w:rPr>
                <w:sz w:val="20"/>
                <w:szCs w:val="20"/>
              </w:rPr>
              <w:t xml:space="preserve">orking calendar </w:t>
            </w:r>
          </w:p>
        </w:tc>
        <w:tc>
          <w:tcPr>
            <w:tcW w:w="3589" w:type="dxa"/>
            <w:tcBorders>
              <w:top w:val="nil"/>
              <w:left w:val="nil"/>
              <w:bottom w:val="single" w:sz="8" w:space="0" w:color="auto"/>
              <w:right w:val="single" w:sz="8" w:space="0" w:color="auto"/>
            </w:tcBorders>
            <w:tcMar>
              <w:top w:w="0" w:type="dxa"/>
              <w:left w:w="108" w:type="dxa"/>
              <w:bottom w:w="0" w:type="dxa"/>
              <w:right w:w="108" w:type="dxa"/>
            </w:tcMar>
            <w:vAlign w:val="center"/>
          </w:tcPr>
          <w:p w14:paraId="56A3EC12" w14:textId="77777777" w:rsidR="00162375" w:rsidRPr="00162375" w:rsidRDefault="00061F91" w:rsidP="001026E5">
            <w:pPr>
              <w:jc w:val="both"/>
              <w:rPr>
                <w:sz w:val="20"/>
                <w:szCs w:val="20"/>
              </w:rPr>
            </w:pPr>
            <w:r>
              <w:rPr>
                <w:sz w:val="20"/>
                <w:szCs w:val="20"/>
              </w:rPr>
              <w:t xml:space="preserve">The </w:t>
            </w:r>
            <w:r w:rsidR="00B124B4">
              <w:rPr>
                <w:sz w:val="20"/>
                <w:szCs w:val="20"/>
              </w:rPr>
              <w:t>Supplier</w:t>
            </w:r>
            <w:r>
              <w:rPr>
                <w:sz w:val="20"/>
                <w:szCs w:val="20"/>
              </w:rPr>
              <w:t xml:space="preserve"> will provide a list of members of staff assigned to work for the Authority along with all relevant document</w:t>
            </w:r>
            <w:r w:rsidR="001026E5">
              <w:rPr>
                <w:sz w:val="20"/>
                <w:szCs w:val="20"/>
              </w:rPr>
              <w:t>ation</w:t>
            </w:r>
            <w:r>
              <w:rPr>
                <w:sz w:val="20"/>
                <w:szCs w:val="20"/>
              </w:rPr>
              <w:t xml:space="preserve">. The </w:t>
            </w:r>
            <w:r w:rsidR="00B124B4">
              <w:rPr>
                <w:sz w:val="20"/>
                <w:szCs w:val="20"/>
              </w:rPr>
              <w:t>Supplier</w:t>
            </w:r>
            <w:r>
              <w:rPr>
                <w:sz w:val="20"/>
                <w:szCs w:val="20"/>
              </w:rPr>
              <w:t xml:space="preserve"> will draw a calendar based on operational requirements, within the monthly hour allowance (</w:t>
            </w:r>
            <w:r w:rsidR="00B43EE6" w:rsidRPr="00A92EDE">
              <w:rPr>
                <w:sz w:val="20"/>
                <w:szCs w:val="20"/>
              </w:rPr>
              <w:t xml:space="preserve">40hrs/member of </w:t>
            </w:r>
            <w:r w:rsidR="00543DFE" w:rsidRPr="00A92EDE">
              <w:rPr>
                <w:sz w:val="20"/>
                <w:szCs w:val="20"/>
              </w:rPr>
              <w:t>staff</w:t>
            </w:r>
            <w:r>
              <w:rPr>
                <w:sz w:val="20"/>
                <w:szCs w:val="20"/>
              </w:rPr>
              <w:t xml:space="preserve">). A minimum of 72 hours notice should be given by the </w:t>
            </w:r>
            <w:r w:rsidR="00B124B4">
              <w:rPr>
                <w:sz w:val="20"/>
                <w:szCs w:val="20"/>
              </w:rPr>
              <w:t>Supplier</w:t>
            </w:r>
            <w:r>
              <w:rPr>
                <w:sz w:val="20"/>
                <w:szCs w:val="20"/>
              </w:rPr>
              <w:t>, in case of any change in staff</w:t>
            </w:r>
            <w:r w:rsidR="00FA1307">
              <w:rPr>
                <w:sz w:val="20"/>
                <w:szCs w:val="20"/>
              </w:rPr>
              <w:t>. T</w:t>
            </w:r>
            <w:r>
              <w:rPr>
                <w:sz w:val="20"/>
                <w:szCs w:val="20"/>
              </w:rPr>
              <w:t xml:space="preserve">he Authority will </w:t>
            </w:r>
            <w:r w:rsidR="00FA1307">
              <w:rPr>
                <w:sz w:val="20"/>
                <w:szCs w:val="20"/>
              </w:rPr>
              <w:t xml:space="preserve">have to approve any changes </w:t>
            </w:r>
            <w:r>
              <w:rPr>
                <w:sz w:val="20"/>
                <w:szCs w:val="20"/>
              </w:rPr>
              <w:t>accordingly.</w:t>
            </w:r>
          </w:p>
        </w:tc>
        <w:tc>
          <w:tcPr>
            <w:tcW w:w="3487" w:type="dxa"/>
            <w:tcBorders>
              <w:top w:val="nil"/>
              <w:left w:val="nil"/>
              <w:bottom w:val="single" w:sz="8" w:space="0" w:color="auto"/>
              <w:right w:val="single" w:sz="8" w:space="0" w:color="auto"/>
            </w:tcBorders>
            <w:tcMar>
              <w:top w:w="0" w:type="dxa"/>
              <w:left w:w="108" w:type="dxa"/>
              <w:bottom w:w="0" w:type="dxa"/>
              <w:right w:w="108" w:type="dxa"/>
            </w:tcMar>
            <w:vAlign w:val="center"/>
          </w:tcPr>
          <w:p w14:paraId="69A459FC" w14:textId="77777777" w:rsidR="00162375" w:rsidRPr="00162375" w:rsidRDefault="00162375" w:rsidP="00EC08F0">
            <w:pPr>
              <w:jc w:val="both"/>
              <w:rPr>
                <w:sz w:val="20"/>
                <w:szCs w:val="20"/>
              </w:rPr>
            </w:pPr>
            <w:r w:rsidRPr="00162375">
              <w:rPr>
                <w:sz w:val="20"/>
                <w:szCs w:val="20"/>
              </w:rPr>
              <w:t>100%.</w:t>
            </w:r>
          </w:p>
        </w:tc>
      </w:tr>
      <w:tr w:rsidR="00CD5169" w:rsidRPr="00162375" w14:paraId="5A240DC1" w14:textId="77777777">
        <w:tc>
          <w:tcPr>
            <w:tcW w:w="21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1433257" w14:textId="77777777" w:rsidR="00162375" w:rsidRPr="00162375" w:rsidRDefault="00EC08F0" w:rsidP="006C4EAF">
            <w:pPr>
              <w:jc w:val="both"/>
              <w:rPr>
                <w:sz w:val="20"/>
                <w:szCs w:val="20"/>
              </w:rPr>
            </w:pPr>
            <w:r>
              <w:rPr>
                <w:sz w:val="20"/>
                <w:szCs w:val="20"/>
              </w:rPr>
              <w:t>Detailed</w:t>
            </w:r>
            <w:r w:rsidR="002E6B8A">
              <w:rPr>
                <w:sz w:val="20"/>
                <w:szCs w:val="20"/>
              </w:rPr>
              <w:t xml:space="preserve"> and accurate</w:t>
            </w:r>
            <w:r>
              <w:rPr>
                <w:sz w:val="20"/>
                <w:szCs w:val="20"/>
              </w:rPr>
              <w:t xml:space="preserve"> </w:t>
            </w:r>
            <w:r w:rsidR="006C4EAF">
              <w:rPr>
                <w:sz w:val="20"/>
                <w:szCs w:val="20"/>
              </w:rPr>
              <w:t xml:space="preserve">financial reporting </w:t>
            </w:r>
          </w:p>
        </w:tc>
        <w:tc>
          <w:tcPr>
            <w:tcW w:w="35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9EF0D24" w14:textId="77777777" w:rsidR="00162375" w:rsidRPr="00162375" w:rsidRDefault="00EC08F0" w:rsidP="00EB2293">
            <w:pPr>
              <w:jc w:val="both"/>
              <w:rPr>
                <w:sz w:val="20"/>
                <w:szCs w:val="20"/>
              </w:rPr>
            </w:pPr>
            <w:r>
              <w:rPr>
                <w:sz w:val="20"/>
                <w:szCs w:val="20"/>
              </w:rPr>
              <w:t xml:space="preserve">The </w:t>
            </w:r>
            <w:r w:rsidR="00B124B4">
              <w:rPr>
                <w:sz w:val="20"/>
                <w:szCs w:val="20"/>
              </w:rPr>
              <w:t>Supplier</w:t>
            </w:r>
            <w:r w:rsidR="00EA5E7E">
              <w:rPr>
                <w:sz w:val="20"/>
                <w:szCs w:val="20"/>
              </w:rPr>
              <w:t xml:space="preserve"> is expected to deliver</w:t>
            </w:r>
            <w:r>
              <w:rPr>
                <w:sz w:val="20"/>
                <w:szCs w:val="20"/>
              </w:rPr>
              <w:t xml:space="preserve"> </w:t>
            </w:r>
            <w:r w:rsidR="00EA5E7E">
              <w:rPr>
                <w:sz w:val="20"/>
                <w:szCs w:val="20"/>
              </w:rPr>
              <w:t xml:space="preserve">a </w:t>
            </w:r>
            <w:r w:rsidR="00A87715">
              <w:rPr>
                <w:sz w:val="20"/>
                <w:szCs w:val="20"/>
              </w:rPr>
              <w:t xml:space="preserve">monthly </w:t>
            </w:r>
            <w:r w:rsidR="00EA5E7E">
              <w:rPr>
                <w:sz w:val="20"/>
                <w:szCs w:val="20"/>
              </w:rPr>
              <w:t xml:space="preserve">detailed </w:t>
            </w:r>
            <w:r w:rsidR="00FA1307">
              <w:rPr>
                <w:sz w:val="20"/>
                <w:szCs w:val="20"/>
              </w:rPr>
              <w:t xml:space="preserve">financial report (including expenditure receipts) </w:t>
            </w:r>
            <w:r w:rsidR="00EB2293">
              <w:rPr>
                <w:sz w:val="20"/>
                <w:szCs w:val="20"/>
              </w:rPr>
              <w:t>i</w:t>
            </w:r>
            <w:r w:rsidR="00EA5E7E">
              <w:rPr>
                <w:sz w:val="20"/>
                <w:szCs w:val="20"/>
              </w:rPr>
              <w:t xml:space="preserve">n the format </w:t>
            </w:r>
            <w:r w:rsidR="00FA1307">
              <w:rPr>
                <w:sz w:val="20"/>
                <w:szCs w:val="20"/>
              </w:rPr>
              <w:t xml:space="preserve">specified by the Authority </w:t>
            </w:r>
            <w:r w:rsidR="00A87715">
              <w:rPr>
                <w:sz w:val="20"/>
                <w:szCs w:val="20"/>
              </w:rPr>
              <w:t>(</w:t>
            </w:r>
            <w:r w:rsidR="00FA1307">
              <w:rPr>
                <w:sz w:val="20"/>
                <w:szCs w:val="20"/>
              </w:rPr>
              <w:t xml:space="preserve">a short </w:t>
            </w:r>
            <w:r w:rsidR="00A87715">
              <w:rPr>
                <w:sz w:val="20"/>
                <w:szCs w:val="20"/>
              </w:rPr>
              <w:t>description of the service, number of staff</w:t>
            </w:r>
            <w:r w:rsidR="00FA1307">
              <w:rPr>
                <w:sz w:val="20"/>
                <w:szCs w:val="20"/>
              </w:rPr>
              <w:t xml:space="preserve"> and</w:t>
            </w:r>
            <w:r w:rsidR="00A87715">
              <w:rPr>
                <w:sz w:val="20"/>
                <w:szCs w:val="20"/>
              </w:rPr>
              <w:t xml:space="preserve"> </w:t>
            </w:r>
            <w:r w:rsidR="00513962">
              <w:rPr>
                <w:sz w:val="20"/>
                <w:szCs w:val="20"/>
              </w:rPr>
              <w:t xml:space="preserve">material </w:t>
            </w:r>
            <w:r w:rsidR="00FA1307">
              <w:rPr>
                <w:sz w:val="20"/>
                <w:szCs w:val="20"/>
              </w:rPr>
              <w:t>should also be included in the report</w:t>
            </w:r>
            <w:r w:rsidR="00A87715">
              <w:rPr>
                <w:sz w:val="20"/>
                <w:szCs w:val="20"/>
              </w:rPr>
              <w:t>)</w:t>
            </w:r>
            <w:r w:rsidR="00EA5E7E">
              <w:rPr>
                <w:sz w:val="20"/>
                <w:szCs w:val="20"/>
              </w:rPr>
              <w:t xml:space="preserve">. </w:t>
            </w:r>
            <w:r w:rsidR="00EB2293">
              <w:rPr>
                <w:sz w:val="20"/>
                <w:szCs w:val="20"/>
              </w:rPr>
              <w:t xml:space="preserve">The Supplier must inform the Authority of any changes in forecast at the earliest opportunity. </w:t>
            </w:r>
          </w:p>
        </w:tc>
        <w:tc>
          <w:tcPr>
            <w:tcW w:w="34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62D8209A" w14:textId="78FC73DB" w:rsidR="00FA1307" w:rsidRPr="00FA1307" w:rsidRDefault="00162375" w:rsidP="00B124B4">
            <w:pPr>
              <w:jc w:val="both"/>
              <w:rPr>
                <w:sz w:val="20"/>
                <w:szCs w:val="20"/>
              </w:rPr>
            </w:pPr>
            <w:r w:rsidRPr="00FA1307">
              <w:rPr>
                <w:sz w:val="20"/>
                <w:szCs w:val="20"/>
              </w:rPr>
              <w:t xml:space="preserve">&lt;2 </w:t>
            </w:r>
            <w:r w:rsidR="00EA5E7E" w:rsidRPr="00FA1307">
              <w:rPr>
                <w:sz w:val="20"/>
                <w:szCs w:val="20"/>
              </w:rPr>
              <w:t>incidences</w:t>
            </w:r>
            <w:r w:rsidRPr="00FA1307">
              <w:rPr>
                <w:sz w:val="20"/>
                <w:szCs w:val="20"/>
              </w:rPr>
              <w:t xml:space="preserve">. </w:t>
            </w:r>
            <w:r w:rsidR="00FA1307" w:rsidRPr="00FA1307">
              <w:rPr>
                <w:sz w:val="20"/>
                <w:szCs w:val="20"/>
              </w:rPr>
              <w:t xml:space="preserve">The Supplier is expected to deliver the monthly financial reports (including expenditure receipts) </w:t>
            </w:r>
            <w:r w:rsidR="006C4EAF">
              <w:rPr>
                <w:sz w:val="20"/>
                <w:szCs w:val="20"/>
              </w:rPr>
              <w:t xml:space="preserve">within the first </w:t>
            </w:r>
            <w:r w:rsidR="00EB2293">
              <w:rPr>
                <w:sz w:val="20"/>
                <w:szCs w:val="20"/>
              </w:rPr>
              <w:t>5</w:t>
            </w:r>
            <w:r w:rsidR="006C4EAF">
              <w:rPr>
                <w:sz w:val="20"/>
                <w:szCs w:val="20"/>
              </w:rPr>
              <w:t xml:space="preserve"> working days of the months </w:t>
            </w:r>
            <w:r w:rsidR="0037029A">
              <w:rPr>
                <w:sz w:val="20"/>
                <w:szCs w:val="20"/>
              </w:rPr>
              <w:t xml:space="preserve">following the activities. </w:t>
            </w:r>
          </w:p>
          <w:p w14:paraId="18679DF9" w14:textId="77777777" w:rsidR="00162375" w:rsidRPr="00FA1307" w:rsidRDefault="00162375" w:rsidP="00B124B4">
            <w:pPr>
              <w:jc w:val="both"/>
              <w:rPr>
                <w:sz w:val="20"/>
                <w:szCs w:val="20"/>
                <w:highlight w:val="yellow"/>
              </w:rPr>
            </w:pPr>
          </w:p>
        </w:tc>
      </w:tr>
      <w:tr w:rsidR="00CD5169" w:rsidRPr="00162375" w14:paraId="7F4047E0" w14:textId="77777777">
        <w:tc>
          <w:tcPr>
            <w:tcW w:w="21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4309D13" w14:textId="77777777" w:rsidR="00162375" w:rsidRPr="00162375" w:rsidRDefault="002F623D" w:rsidP="002F623D">
            <w:pPr>
              <w:jc w:val="both"/>
              <w:rPr>
                <w:sz w:val="20"/>
                <w:szCs w:val="20"/>
              </w:rPr>
            </w:pPr>
            <w:r>
              <w:rPr>
                <w:sz w:val="20"/>
                <w:szCs w:val="20"/>
              </w:rPr>
              <w:t>Service complain</w:t>
            </w:r>
            <w:r w:rsidR="00B43EE6">
              <w:rPr>
                <w:sz w:val="20"/>
                <w:szCs w:val="20"/>
              </w:rPr>
              <w:t>t</w:t>
            </w:r>
            <w:r>
              <w:rPr>
                <w:sz w:val="20"/>
                <w:szCs w:val="20"/>
              </w:rPr>
              <w:t>s</w:t>
            </w:r>
          </w:p>
        </w:tc>
        <w:tc>
          <w:tcPr>
            <w:tcW w:w="3589" w:type="dxa"/>
            <w:tcBorders>
              <w:top w:val="nil"/>
              <w:left w:val="nil"/>
              <w:bottom w:val="single" w:sz="8" w:space="0" w:color="auto"/>
              <w:right w:val="single" w:sz="8" w:space="0" w:color="auto"/>
            </w:tcBorders>
            <w:tcMar>
              <w:top w:w="0" w:type="dxa"/>
              <w:left w:w="108" w:type="dxa"/>
              <w:bottom w:w="0" w:type="dxa"/>
              <w:right w:w="108" w:type="dxa"/>
            </w:tcMar>
            <w:vAlign w:val="center"/>
          </w:tcPr>
          <w:p w14:paraId="4806B453" w14:textId="77777777" w:rsidR="00162375" w:rsidRPr="00162375" w:rsidRDefault="002F623D" w:rsidP="00EB2293">
            <w:pPr>
              <w:jc w:val="both"/>
              <w:rPr>
                <w:sz w:val="20"/>
                <w:szCs w:val="20"/>
              </w:rPr>
            </w:pPr>
            <w:r>
              <w:rPr>
                <w:sz w:val="20"/>
                <w:szCs w:val="20"/>
              </w:rPr>
              <w:t xml:space="preserve">When the Authority </w:t>
            </w:r>
            <w:r w:rsidR="00EB2293">
              <w:rPr>
                <w:sz w:val="20"/>
                <w:szCs w:val="20"/>
              </w:rPr>
              <w:t xml:space="preserve">delivers </w:t>
            </w:r>
            <w:r w:rsidR="003C58F5">
              <w:rPr>
                <w:sz w:val="20"/>
                <w:szCs w:val="20"/>
              </w:rPr>
              <w:t xml:space="preserve">a </w:t>
            </w:r>
            <w:r w:rsidR="004D1F03">
              <w:rPr>
                <w:sz w:val="20"/>
                <w:szCs w:val="20"/>
              </w:rPr>
              <w:t>verbal complaint</w:t>
            </w:r>
            <w:r>
              <w:rPr>
                <w:sz w:val="20"/>
                <w:szCs w:val="20"/>
              </w:rPr>
              <w:t>, it is expected th</w:t>
            </w:r>
            <w:r w:rsidR="00B43EE6">
              <w:rPr>
                <w:sz w:val="20"/>
                <w:szCs w:val="20"/>
              </w:rPr>
              <w:t xml:space="preserve">at the </w:t>
            </w:r>
            <w:r w:rsidR="00B124B4">
              <w:rPr>
                <w:sz w:val="20"/>
                <w:szCs w:val="20"/>
              </w:rPr>
              <w:t>Supplier</w:t>
            </w:r>
            <w:r w:rsidR="00B43EE6">
              <w:rPr>
                <w:sz w:val="20"/>
                <w:szCs w:val="20"/>
              </w:rPr>
              <w:t xml:space="preserve"> will respond verbally</w:t>
            </w:r>
            <w:r>
              <w:rPr>
                <w:sz w:val="20"/>
                <w:szCs w:val="20"/>
              </w:rPr>
              <w:t xml:space="preserve"> within</w:t>
            </w:r>
            <w:r w:rsidR="00EB2293">
              <w:rPr>
                <w:sz w:val="20"/>
                <w:szCs w:val="20"/>
              </w:rPr>
              <w:t xml:space="preserve"> a 2-hour</w:t>
            </w:r>
            <w:r w:rsidR="00B43EE6">
              <w:rPr>
                <w:sz w:val="20"/>
                <w:szCs w:val="20"/>
              </w:rPr>
              <w:t xml:space="preserve"> period</w:t>
            </w:r>
            <w:r w:rsidR="00EB2293">
              <w:rPr>
                <w:sz w:val="20"/>
                <w:szCs w:val="20"/>
              </w:rPr>
              <w:t xml:space="preserve"> and propose</w:t>
            </w:r>
            <w:r w:rsidR="003C58F5">
              <w:rPr>
                <w:sz w:val="20"/>
                <w:szCs w:val="20"/>
              </w:rPr>
              <w:t xml:space="preserve"> a solution within 8 hours</w:t>
            </w:r>
            <w:r w:rsidR="00B43EE6">
              <w:rPr>
                <w:sz w:val="20"/>
                <w:szCs w:val="20"/>
              </w:rPr>
              <w:t xml:space="preserve">; or, if </w:t>
            </w:r>
            <w:r w:rsidR="00FA1307">
              <w:rPr>
                <w:sz w:val="20"/>
                <w:szCs w:val="20"/>
              </w:rPr>
              <w:t xml:space="preserve">the Authority files a </w:t>
            </w:r>
            <w:r>
              <w:rPr>
                <w:sz w:val="20"/>
                <w:szCs w:val="20"/>
              </w:rPr>
              <w:t>written complaint,</w:t>
            </w:r>
            <w:r w:rsidR="00FA1307">
              <w:rPr>
                <w:sz w:val="20"/>
                <w:szCs w:val="20"/>
              </w:rPr>
              <w:t xml:space="preserve"> the Supplier is expected to respond</w:t>
            </w:r>
            <w:r>
              <w:rPr>
                <w:sz w:val="20"/>
                <w:szCs w:val="20"/>
              </w:rPr>
              <w:t xml:space="preserve"> via email, within 24 hours to follow</w:t>
            </w:r>
            <w:r w:rsidR="00FA1307">
              <w:rPr>
                <w:sz w:val="20"/>
                <w:szCs w:val="20"/>
              </w:rPr>
              <w:t>-</w:t>
            </w:r>
            <w:r w:rsidR="00B43EE6">
              <w:rPr>
                <w:sz w:val="20"/>
                <w:szCs w:val="20"/>
              </w:rPr>
              <w:t>up</w:t>
            </w:r>
            <w:r w:rsidR="003C58F5">
              <w:rPr>
                <w:sz w:val="20"/>
                <w:szCs w:val="20"/>
              </w:rPr>
              <w:t xml:space="preserve"> with</w:t>
            </w:r>
            <w:r w:rsidR="00EB2293">
              <w:rPr>
                <w:sz w:val="20"/>
                <w:szCs w:val="20"/>
              </w:rPr>
              <w:t xml:space="preserve"> additional</w:t>
            </w:r>
            <w:r w:rsidR="003C58F5">
              <w:rPr>
                <w:sz w:val="20"/>
                <w:szCs w:val="20"/>
              </w:rPr>
              <w:t xml:space="preserve"> information and </w:t>
            </w:r>
            <w:r w:rsidR="00EB2293">
              <w:rPr>
                <w:sz w:val="20"/>
                <w:szCs w:val="20"/>
              </w:rPr>
              <w:t>a proposed solution.</w:t>
            </w:r>
          </w:p>
        </w:tc>
        <w:tc>
          <w:tcPr>
            <w:tcW w:w="3487" w:type="dxa"/>
            <w:tcBorders>
              <w:top w:val="nil"/>
              <w:left w:val="nil"/>
              <w:bottom w:val="single" w:sz="8" w:space="0" w:color="auto"/>
              <w:right w:val="single" w:sz="8" w:space="0" w:color="auto"/>
            </w:tcBorders>
            <w:tcMar>
              <w:top w:w="0" w:type="dxa"/>
              <w:left w:w="108" w:type="dxa"/>
              <w:bottom w:w="0" w:type="dxa"/>
              <w:right w:w="108" w:type="dxa"/>
            </w:tcMar>
            <w:vAlign w:val="center"/>
          </w:tcPr>
          <w:p w14:paraId="4440A680" w14:textId="77777777" w:rsidR="00162375" w:rsidRPr="00162375" w:rsidRDefault="002F623D" w:rsidP="00FA1307">
            <w:pPr>
              <w:jc w:val="both"/>
              <w:rPr>
                <w:sz w:val="20"/>
                <w:szCs w:val="20"/>
              </w:rPr>
            </w:pPr>
            <w:r>
              <w:rPr>
                <w:sz w:val="20"/>
                <w:szCs w:val="20"/>
              </w:rPr>
              <w:t xml:space="preserve">&lt;2 incidences </w:t>
            </w:r>
            <w:r w:rsidR="00543DFE" w:rsidRPr="00A92EDE">
              <w:rPr>
                <w:sz w:val="20"/>
                <w:szCs w:val="20"/>
              </w:rPr>
              <w:t>monthly</w:t>
            </w:r>
            <w:r w:rsidR="00162375" w:rsidRPr="00162375">
              <w:rPr>
                <w:sz w:val="20"/>
                <w:szCs w:val="20"/>
              </w:rPr>
              <w:t xml:space="preserve">. </w:t>
            </w:r>
            <w:r w:rsidR="00790051">
              <w:rPr>
                <w:sz w:val="20"/>
                <w:szCs w:val="20"/>
              </w:rPr>
              <w:t xml:space="preserve">The </w:t>
            </w:r>
            <w:r w:rsidR="00B124B4">
              <w:rPr>
                <w:sz w:val="20"/>
                <w:szCs w:val="20"/>
              </w:rPr>
              <w:t>Supplier</w:t>
            </w:r>
            <w:r w:rsidR="00790051">
              <w:rPr>
                <w:sz w:val="20"/>
                <w:szCs w:val="20"/>
              </w:rPr>
              <w:t xml:space="preserve"> will be notified</w:t>
            </w:r>
            <w:r>
              <w:rPr>
                <w:sz w:val="20"/>
                <w:szCs w:val="20"/>
              </w:rPr>
              <w:t xml:space="preserve"> of any complain</w:t>
            </w:r>
            <w:r w:rsidR="00790051">
              <w:rPr>
                <w:sz w:val="20"/>
                <w:szCs w:val="20"/>
              </w:rPr>
              <w:t>t</w:t>
            </w:r>
            <w:r>
              <w:rPr>
                <w:sz w:val="20"/>
                <w:szCs w:val="20"/>
              </w:rPr>
              <w:t xml:space="preserve"> </w:t>
            </w:r>
            <w:r w:rsidR="00FA1307">
              <w:rPr>
                <w:sz w:val="20"/>
                <w:szCs w:val="20"/>
              </w:rPr>
              <w:t xml:space="preserve">by the Authority </w:t>
            </w:r>
            <w:r>
              <w:rPr>
                <w:sz w:val="20"/>
                <w:szCs w:val="20"/>
              </w:rPr>
              <w:t>and will be expected to deliv</w:t>
            </w:r>
            <w:r w:rsidR="00790051">
              <w:rPr>
                <w:sz w:val="20"/>
                <w:szCs w:val="20"/>
              </w:rPr>
              <w:t>er a solution immediately. Th</w:t>
            </w:r>
            <w:r w:rsidR="004D1F03">
              <w:rPr>
                <w:sz w:val="20"/>
                <w:szCs w:val="20"/>
              </w:rPr>
              <w:t>ese</w:t>
            </w:r>
            <w:r w:rsidR="00790051">
              <w:rPr>
                <w:sz w:val="20"/>
                <w:szCs w:val="20"/>
              </w:rPr>
              <w:t xml:space="preserve"> </w:t>
            </w:r>
            <w:r>
              <w:rPr>
                <w:sz w:val="20"/>
                <w:szCs w:val="20"/>
              </w:rPr>
              <w:t xml:space="preserve">criteria will be reviewed </w:t>
            </w:r>
            <w:r w:rsidR="00FA1307">
              <w:rPr>
                <w:sz w:val="20"/>
                <w:szCs w:val="20"/>
              </w:rPr>
              <w:t>on</w:t>
            </w:r>
            <w:r>
              <w:rPr>
                <w:sz w:val="20"/>
                <w:szCs w:val="20"/>
              </w:rPr>
              <w:t xml:space="preserve"> a monthly basis, by looking at </w:t>
            </w:r>
            <w:r w:rsidR="00FA1307">
              <w:rPr>
                <w:sz w:val="20"/>
                <w:szCs w:val="20"/>
              </w:rPr>
              <w:t>the h</w:t>
            </w:r>
            <w:r>
              <w:rPr>
                <w:sz w:val="20"/>
                <w:szCs w:val="20"/>
              </w:rPr>
              <w:t>istorical records registered</w:t>
            </w:r>
            <w:r w:rsidR="00FA1307">
              <w:rPr>
                <w:sz w:val="20"/>
                <w:szCs w:val="20"/>
              </w:rPr>
              <w:t xml:space="preserve"> as part of the project</w:t>
            </w:r>
            <w:r>
              <w:rPr>
                <w:sz w:val="20"/>
                <w:szCs w:val="20"/>
              </w:rPr>
              <w:t xml:space="preserve">. The </w:t>
            </w:r>
            <w:r w:rsidR="00B124B4">
              <w:rPr>
                <w:sz w:val="20"/>
                <w:szCs w:val="20"/>
              </w:rPr>
              <w:t>Supplier</w:t>
            </w:r>
            <w:r>
              <w:rPr>
                <w:sz w:val="20"/>
                <w:szCs w:val="20"/>
              </w:rPr>
              <w:t xml:space="preserve"> should implement an action plan to avoid any future complains of that matter</w:t>
            </w:r>
            <w:r w:rsidR="00FA1307">
              <w:rPr>
                <w:sz w:val="20"/>
                <w:szCs w:val="20"/>
              </w:rPr>
              <w:t>; the Authority will be able to provide comments to the action plan and will have to be in agreement with the final action plan</w:t>
            </w:r>
            <w:r>
              <w:rPr>
                <w:sz w:val="20"/>
                <w:szCs w:val="20"/>
              </w:rPr>
              <w:t>.</w:t>
            </w:r>
          </w:p>
        </w:tc>
      </w:tr>
      <w:tr w:rsidR="00CD5169" w:rsidRPr="00162375" w14:paraId="4A712073" w14:textId="77777777">
        <w:trPr>
          <w:trHeight w:val="846"/>
        </w:trPr>
        <w:tc>
          <w:tcPr>
            <w:tcW w:w="21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012523C" w14:textId="77777777" w:rsidR="002F623D" w:rsidRDefault="002F623D">
            <w:pPr>
              <w:pStyle w:val="Default"/>
              <w:jc w:val="both"/>
              <w:rPr>
                <w:rFonts w:ascii="Calibri" w:hAnsi="Calibri"/>
                <w:sz w:val="20"/>
                <w:szCs w:val="20"/>
              </w:rPr>
            </w:pPr>
            <w:r>
              <w:rPr>
                <w:rFonts w:ascii="Calibri" w:hAnsi="Calibri"/>
                <w:sz w:val="20"/>
                <w:szCs w:val="20"/>
              </w:rPr>
              <w:t xml:space="preserve">Supervision of the service </w:t>
            </w:r>
          </w:p>
          <w:p w14:paraId="39E9BD5C" w14:textId="77777777" w:rsidR="00162375" w:rsidRPr="00162375" w:rsidRDefault="00162375" w:rsidP="002F623D">
            <w:pPr>
              <w:pStyle w:val="Default"/>
              <w:jc w:val="both"/>
              <w:rPr>
                <w:sz w:val="20"/>
                <w:szCs w:val="20"/>
              </w:rPr>
            </w:pPr>
          </w:p>
        </w:tc>
        <w:tc>
          <w:tcPr>
            <w:tcW w:w="3589" w:type="dxa"/>
            <w:tcBorders>
              <w:top w:val="nil"/>
              <w:left w:val="nil"/>
              <w:bottom w:val="single" w:sz="8" w:space="0" w:color="auto"/>
              <w:right w:val="single" w:sz="8" w:space="0" w:color="auto"/>
            </w:tcBorders>
            <w:tcMar>
              <w:top w:w="0" w:type="dxa"/>
              <w:left w:w="108" w:type="dxa"/>
              <w:bottom w:w="0" w:type="dxa"/>
              <w:right w:w="108" w:type="dxa"/>
            </w:tcMar>
            <w:vAlign w:val="center"/>
          </w:tcPr>
          <w:p w14:paraId="57124C09" w14:textId="77777777" w:rsidR="00162375" w:rsidRPr="00162375" w:rsidRDefault="002F623D" w:rsidP="004D1F03">
            <w:pPr>
              <w:jc w:val="both"/>
              <w:rPr>
                <w:sz w:val="20"/>
                <w:szCs w:val="20"/>
              </w:rPr>
            </w:pPr>
            <w:r>
              <w:rPr>
                <w:sz w:val="20"/>
                <w:szCs w:val="20"/>
              </w:rPr>
              <w:t xml:space="preserve">The </w:t>
            </w:r>
            <w:r w:rsidR="00B124B4">
              <w:rPr>
                <w:sz w:val="20"/>
                <w:szCs w:val="20"/>
              </w:rPr>
              <w:t>Supplier</w:t>
            </w:r>
            <w:r>
              <w:rPr>
                <w:sz w:val="20"/>
                <w:szCs w:val="20"/>
              </w:rPr>
              <w:t xml:space="preserve"> should implement and follow a supervision program</w:t>
            </w:r>
            <w:r w:rsidR="00FA1307">
              <w:rPr>
                <w:sz w:val="20"/>
                <w:szCs w:val="20"/>
              </w:rPr>
              <w:t>me</w:t>
            </w:r>
            <w:r>
              <w:rPr>
                <w:sz w:val="20"/>
                <w:szCs w:val="20"/>
              </w:rPr>
              <w:t xml:space="preserve"> that must </w:t>
            </w:r>
            <w:r w:rsidR="007A079F">
              <w:rPr>
                <w:sz w:val="20"/>
                <w:szCs w:val="20"/>
              </w:rPr>
              <w:t>be agreed</w:t>
            </w:r>
            <w:r w:rsidR="00790051">
              <w:rPr>
                <w:sz w:val="20"/>
                <w:szCs w:val="20"/>
              </w:rPr>
              <w:t xml:space="preserve"> by</w:t>
            </w:r>
            <w:r>
              <w:rPr>
                <w:sz w:val="20"/>
                <w:szCs w:val="20"/>
              </w:rPr>
              <w:t xml:space="preserve"> the Authority. </w:t>
            </w:r>
            <w:r w:rsidR="003C58F5">
              <w:rPr>
                <w:sz w:val="20"/>
                <w:szCs w:val="20"/>
              </w:rPr>
              <w:t>Once the</w:t>
            </w:r>
            <w:r w:rsidR="004D1F03">
              <w:rPr>
                <w:sz w:val="20"/>
                <w:szCs w:val="20"/>
              </w:rPr>
              <w:t>re is</w:t>
            </w:r>
            <w:r w:rsidR="003C58F5">
              <w:rPr>
                <w:sz w:val="20"/>
                <w:szCs w:val="20"/>
              </w:rPr>
              <w:t xml:space="preserve"> an agreement </w:t>
            </w:r>
            <w:r w:rsidR="004D1F03">
              <w:rPr>
                <w:sz w:val="20"/>
                <w:szCs w:val="20"/>
              </w:rPr>
              <w:t>on</w:t>
            </w:r>
            <w:r w:rsidR="003C58F5">
              <w:rPr>
                <w:sz w:val="20"/>
                <w:szCs w:val="20"/>
              </w:rPr>
              <w:t xml:space="preserve"> the supervision programme</w:t>
            </w:r>
            <w:r w:rsidR="004D1F03">
              <w:rPr>
                <w:sz w:val="20"/>
                <w:szCs w:val="20"/>
              </w:rPr>
              <w:t>, this</w:t>
            </w:r>
            <w:r w:rsidR="003C58F5">
              <w:rPr>
                <w:sz w:val="20"/>
                <w:szCs w:val="20"/>
              </w:rPr>
              <w:t xml:space="preserve"> will be </w:t>
            </w:r>
            <w:r w:rsidR="004D1F03">
              <w:rPr>
                <w:sz w:val="20"/>
                <w:szCs w:val="20"/>
              </w:rPr>
              <w:t>revised as required</w:t>
            </w:r>
            <w:r w:rsidR="003C58F5">
              <w:rPr>
                <w:sz w:val="20"/>
                <w:szCs w:val="20"/>
              </w:rPr>
              <w:t xml:space="preserve"> by </w:t>
            </w:r>
            <w:r w:rsidR="004D1F03">
              <w:rPr>
                <w:sz w:val="20"/>
                <w:szCs w:val="20"/>
              </w:rPr>
              <w:t xml:space="preserve">the </w:t>
            </w:r>
            <w:r w:rsidR="003C58F5">
              <w:rPr>
                <w:sz w:val="20"/>
                <w:szCs w:val="20"/>
              </w:rPr>
              <w:t>FCO Programme Manager o</w:t>
            </w:r>
            <w:r w:rsidR="004D1F03">
              <w:rPr>
                <w:sz w:val="20"/>
                <w:szCs w:val="20"/>
              </w:rPr>
              <w:t>r</w:t>
            </w:r>
            <w:r w:rsidR="003C58F5">
              <w:rPr>
                <w:sz w:val="20"/>
                <w:szCs w:val="20"/>
              </w:rPr>
              <w:t xml:space="preserve"> any other FCO Officer appointed by the Authority.</w:t>
            </w:r>
          </w:p>
        </w:tc>
        <w:tc>
          <w:tcPr>
            <w:tcW w:w="3487" w:type="dxa"/>
            <w:tcBorders>
              <w:top w:val="nil"/>
              <w:left w:val="nil"/>
              <w:bottom w:val="single" w:sz="8" w:space="0" w:color="auto"/>
              <w:right w:val="single" w:sz="8" w:space="0" w:color="auto"/>
            </w:tcBorders>
            <w:tcMar>
              <w:top w:w="0" w:type="dxa"/>
              <w:left w:w="108" w:type="dxa"/>
              <w:bottom w:w="0" w:type="dxa"/>
              <w:right w:w="108" w:type="dxa"/>
            </w:tcMar>
            <w:vAlign w:val="center"/>
          </w:tcPr>
          <w:p w14:paraId="73FBD866" w14:textId="77777777" w:rsidR="00162375" w:rsidRDefault="00061F91">
            <w:pPr>
              <w:jc w:val="both"/>
              <w:rPr>
                <w:sz w:val="20"/>
                <w:szCs w:val="20"/>
              </w:rPr>
            </w:pPr>
            <w:r>
              <w:rPr>
                <w:sz w:val="20"/>
                <w:szCs w:val="20"/>
              </w:rPr>
              <w:t>100</w:t>
            </w:r>
            <w:r w:rsidR="00162375" w:rsidRPr="00162375">
              <w:rPr>
                <w:sz w:val="20"/>
                <w:szCs w:val="20"/>
              </w:rPr>
              <w:t>%</w:t>
            </w:r>
          </w:p>
          <w:p w14:paraId="1FA9A6CF" w14:textId="77777777" w:rsidR="003C58F5" w:rsidRPr="00162375" w:rsidRDefault="003C58F5" w:rsidP="00EB2293">
            <w:pPr>
              <w:jc w:val="both"/>
              <w:rPr>
                <w:sz w:val="20"/>
                <w:szCs w:val="20"/>
              </w:rPr>
            </w:pPr>
            <w:r>
              <w:rPr>
                <w:sz w:val="20"/>
                <w:szCs w:val="20"/>
              </w:rPr>
              <w:t xml:space="preserve">The Supervision Programme reports will be filed in the Contract historic archive, and will serve the purpose to back up the link between services and payments. When the reports show service deficiencies, the Authority will be entitled to </w:t>
            </w:r>
            <w:r w:rsidR="00EB2293">
              <w:rPr>
                <w:sz w:val="20"/>
                <w:szCs w:val="20"/>
              </w:rPr>
              <w:t>deliver</w:t>
            </w:r>
            <w:r>
              <w:rPr>
                <w:sz w:val="20"/>
                <w:szCs w:val="20"/>
              </w:rPr>
              <w:t xml:space="preserve"> payments that correspond to the service that was </w:t>
            </w:r>
            <w:r>
              <w:rPr>
                <w:sz w:val="20"/>
                <w:szCs w:val="20"/>
              </w:rPr>
              <w:lastRenderedPageBreak/>
              <w:t>provided when this is no longer deliverable, or retain payments when</w:t>
            </w:r>
            <w:r w:rsidR="00EB2293">
              <w:rPr>
                <w:sz w:val="20"/>
                <w:szCs w:val="20"/>
              </w:rPr>
              <w:t xml:space="preserve"> the</w:t>
            </w:r>
            <w:r>
              <w:rPr>
                <w:sz w:val="20"/>
                <w:szCs w:val="20"/>
              </w:rPr>
              <w:t xml:space="preserve"> service can still be delivered. This will always be communicated to the Supplier in a timely manner.</w:t>
            </w:r>
          </w:p>
        </w:tc>
      </w:tr>
      <w:tr w:rsidR="0061474B" w:rsidRPr="00162375" w14:paraId="6727BC53" w14:textId="77777777">
        <w:trPr>
          <w:trHeight w:val="1013"/>
        </w:trPr>
        <w:tc>
          <w:tcPr>
            <w:tcW w:w="21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72C80DE" w14:textId="77777777" w:rsidR="0061474B" w:rsidRPr="00162375" w:rsidRDefault="00762385" w:rsidP="00762385">
            <w:pPr>
              <w:pStyle w:val="Default"/>
              <w:jc w:val="both"/>
              <w:rPr>
                <w:rFonts w:ascii="Calibri" w:hAnsi="Calibri"/>
                <w:sz w:val="20"/>
                <w:szCs w:val="20"/>
              </w:rPr>
            </w:pPr>
            <w:r>
              <w:rPr>
                <w:rFonts w:ascii="Calibri" w:hAnsi="Calibri"/>
                <w:sz w:val="20"/>
                <w:szCs w:val="20"/>
              </w:rPr>
              <w:lastRenderedPageBreak/>
              <w:t>Monthly Reporting</w:t>
            </w:r>
            <w:r w:rsidR="00BD1865">
              <w:rPr>
                <w:rFonts w:ascii="Calibri" w:hAnsi="Calibri"/>
                <w:sz w:val="20"/>
                <w:szCs w:val="20"/>
              </w:rPr>
              <w:t xml:space="preserve"> Review</w:t>
            </w:r>
            <w:r w:rsidR="0061474B">
              <w:rPr>
                <w:rFonts w:ascii="Calibri" w:hAnsi="Calibri"/>
                <w:sz w:val="20"/>
                <w:szCs w:val="20"/>
              </w:rPr>
              <w:t xml:space="preserve"> </w:t>
            </w:r>
          </w:p>
        </w:tc>
        <w:tc>
          <w:tcPr>
            <w:tcW w:w="3589" w:type="dxa"/>
            <w:tcBorders>
              <w:top w:val="nil"/>
              <w:left w:val="nil"/>
              <w:bottom w:val="single" w:sz="8" w:space="0" w:color="auto"/>
              <w:right w:val="single" w:sz="8" w:space="0" w:color="auto"/>
            </w:tcBorders>
            <w:tcMar>
              <w:top w:w="0" w:type="dxa"/>
              <w:left w:w="108" w:type="dxa"/>
              <w:bottom w:w="0" w:type="dxa"/>
              <w:right w:w="108" w:type="dxa"/>
            </w:tcMar>
            <w:vAlign w:val="center"/>
          </w:tcPr>
          <w:p w14:paraId="0158C47B" w14:textId="72BC7B24" w:rsidR="0061474B" w:rsidRPr="00FA1307" w:rsidRDefault="00FA1307" w:rsidP="00634C87">
            <w:pPr>
              <w:jc w:val="both"/>
              <w:rPr>
                <w:sz w:val="20"/>
                <w:szCs w:val="20"/>
              </w:rPr>
            </w:pPr>
            <w:r>
              <w:rPr>
                <w:sz w:val="20"/>
                <w:szCs w:val="20"/>
              </w:rPr>
              <w:t>Written narrative and financial r</w:t>
            </w:r>
            <w:r w:rsidR="0061474B">
              <w:rPr>
                <w:sz w:val="20"/>
                <w:szCs w:val="20"/>
              </w:rPr>
              <w:t xml:space="preserve">eports should be produced and delivered </w:t>
            </w:r>
            <w:r w:rsidR="00543DFE">
              <w:rPr>
                <w:sz w:val="20"/>
                <w:szCs w:val="20"/>
              </w:rPr>
              <w:t>monthly</w:t>
            </w:r>
            <w:r w:rsidR="0061474B">
              <w:rPr>
                <w:sz w:val="20"/>
                <w:szCs w:val="20"/>
              </w:rPr>
              <w:t xml:space="preserve"> within the first </w:t>
            </w:r>
            <w:r w:rsidR="00BD7D2C">
              <w:rPr>
                <w:sz w:val="20"/>
                <w:szCs w:val="20"/>
              </w:rPr>
              <w:t>5</w:t>
            </w:r>
            <w:r w:rsidR="0061474B">
              <w:rPr>
                <w:sz w:val="20"/>
                <w:szCs w:val="20"/>
              </w:rPr>
              <w:t xml:space="preserve"> </w:t>
            </w:r>
            <w:r>
              <w:rPr>
                <w:sz w:val="20"/>
                <w:szCs w:val="20"/>
              </w:rPr>
              <w:t xml:space="preserve">working </w:t>
            </w:r>
            <w:r w:rsidR="0061474B">
              <w:rPr>
                <w:sz w:val="20"/>
                <w:szCs w:val="20"/>
              </w:rPr>
              <w:t>days of the months of:</w:t>
            </w:r>
            <w:r w:rsidR="00A90162">
              <w:rPr>
                <w:sz w:val="20"/>
                <w:szCs w:val="20"/>
              </w:rPr>
              <w:t xml:space="preserve"> </w:t>
            </w:r>
            <w:r w:rsidR="00634C87">
              <w:rPr>
                <w:sz w:val="20"/>
                <w:szCs w:val="20"/>
              </w:rPr>
              <w:t>April, May, June and July</w:t>
            </w:r>
            <w:r w:rsidR="00EB2293">
              <w:rPr>
                <w:sz w:val="20"/>
                <w:szCs w:val="20"/>
              </w:rPr>
              <w:t xml:space="preserve"> 2019</w:t>
            </w:r>
            <w:r w:rsidR="0061474B" w:rsidRPr="00A92EDE">
              <w:rPr>
                <w:sz w:val="20"/>
                <w:szCs w:val="20"/>
              </w:rPr>
              <w:t>.</w:t>
            </w:r>
            <w:r w:rsidR="0061474B">
              <w:rPr>
                <w:sz w:val="20"/>
                <w:szCs w:val="20"/>
              </w:rPr>
              <w:t xml:space="preserve"> </w:t>
            </w:r>
            <w:r>
              <w:rPr>
                <w:sz w:val="20"/>
                <w:szCs w:val="20"/>
              </w:rPr>
              <w:t xml:space="preserve">The Authority </w:t>
            </w:r>
            <w:r w:rsidR="00BD7D2C">
              <w:rPr>
                <w:sz w:val="20"/>
                <w:szCs w:val="20"/>
              </w:rPr>
              <w:t>will provide</w:t>
            </w:r>
            <w:r>
              <w:rPr>
                <w:sz w:val="20"/>
                <w:szCs w:val="20"/>
              </w:rPr>
              <w:t xml:space="preserve"> the formats that will be used by the Supplier to report. </w:t>
            </w:r>
          </w:p>
        </w:tc>
        <w:tc>
          <w:tcPr>
            <w:tcW w:w="3487" w:type="dxa"/>
            <w:tcBorders>
              <w:top w:val="nil"/>
              <w:left w:val="nil"/>
              <w:bottom w:val="single" w:sz="8" w:space="0" w:color="auto"/>
              <w:right w:val="single" w:sz="8" w:space="0" w:color="auto"/>
            </w:tcBorders>
            <w:tcMar>
              <w:top w:w="0" w:type="dxa"/>
              <w:left w:w="108" w:type="dxa"/>
              <w:bottom w:w="0" w:type="dxa"/>
              <w:right w:w="108" w:type="dxa"/>
            </w:tcMar>
            <w:vAlign w:val="center"/>
          </w:tcPr>
          <w:p w14:paraId="457651AA" w14:textId="77777777" w:rsidR="0061474B" w:rsidRPr="00162375" w:rsidRDefault="0061474B" w:rsidP="00BD7D2C">
            <w:pPr>
              <w:jc w:val="both"/>
              <w:rPr>
                <w:sz w:val="20"/>
                <w:szCs w:val="20"/>
              </w:rPr>
            </w:pPr>
            <w:r w:rsidRPr="00162375">
              <w:rPr>
                <w:sz w:val="20"/>
                <w:szCs w:val="20"/>
              </w:rPr>
              <w:t xml:space="preserve">100% </w:t>
            </w:r>
            <w:r>
              <w:rPr>
                <w:sz w:val="20"/>
                <w:szCs w:val="20"/>
              </w:rPr>
              <w:t xml:space="preserve">within the first </w:t>
            </w:r>
            <w:r w:rsidR="00BD7D2C">
              <w:rPr>
                <w:sz w:val="20"/>
                <w:szCs w:val="20"/>
              </w:rPr>
              <w:t>5 working</w:t>
            </w:r>
            <w:r>
              <w:rPr>
                <w:sz w:val="20"/>
                <w:szCs w:val="20"/>
              </w:rPr>
              <w:t xml:space="preserve"> days of each reviewed month.</w:t>
            </w:r>
          </w:p>
        </w:tc>
      </w:tr>
      <w:tr w:rsidR="00EB2293" w:rsidRPr="00162375" w14:paraId="1539DA55" w14:textId="77777777" w:rsidTr="00634C87">
        <w:trPr>
          <w:trHeight w:val="1013"/>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A70B216" w14:textId="77777777" w:rsidR="00EB2293" w:rsidRDefault="00EB2293" w:rsidP="00762385">
            <w:pPr>
              <w:pStyle w:val="Default"/>
              <w:jc w:val="both"/>
              <w:rPr>
                <w:rFonts w:ascii="Calibri" w:hAnsi="Calibri"/>
                <w:sz w:val="20"/>
                <w:szCs w:val="20"/>
              </w:rPr>
            </w:pPr>
            <w:r>
              <w:rPr>
                <w:rFonts w:ascii="Calibri" w:hAnsi="Calibri"/>
                <w:sz w:val="20"/>
                <w:szCs w:val="20"/>
              </w:rPr>
              <w:t>Changes</w:t>
            </w:r>
          </w:p>
        </w:tc>
        <w:tc>
          <w:tcPr>
            <w:tcW w:w="3493"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CF273" w14:textId="77777777" w:rsidR="00EB2293" w:rsidRDefault="00EB2293" w:rsidP="00BD7D2C">
            <w:pPr>
              <w:jc w:val="both"/>
              <w:rPr>
                <w:sz w:val="20"/>
                <w:szCs w:val="20"/>
              </w:rPr>
            </w:pPr>
            <w:r>
              <w:rPr>
                <w:sz w:val="20"/>
                <w:szCs w:val="20"/>
              </w:rPr>
              <w:t>The supplier cannot deviate from the project plan agreed during the kick-off meeting without prior written approval from the Authority.</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E9DF460" w14:textId="77777777" w:rsidR="00EB2293" w:rsidRDefault="009E1D12" w:rsidP="00BD7D2C">
            <w:pPr>
              <w:jc w:val="both"/>
              <w:rPr>
                <w:sz w:val="20"/>
                <w:szCs w:val="20"/>
              </w:rPr>
            </w:pPr>
            <w:r>
              <w:rPr>
                <w:sz w:val="20"/>
                <w:szCs w:val="20"/>
              </w:rPr>
              <w:t xml:space="preserve">No incidences.  </w:t>
            </w:r>
          </w:p>
          <w:p w14:paraId="0CB4F579" w14:textId="77777777" w:rsidR="009E1D12" w:rsidRPr="00162375" w:rsidRDefault="009E1D12" w:rsidP="009E1D12">
            <w:pPr>
              <w:jc w:val="both"/>
              <w:rPr>
                <w:sz w:val="20"/>
                <w:szCs w:val="20"/>
              </w:rPr>
            </w:pPr>
            <w:r>
              <w:rPr>
                <w:sz w:val="20"/>
                <w:szCs w:val="20"/>
              </w:rPr>
              <w:t xml:space="preserve">The supplier must seek Authority approval of any required changes in advance and these must always remain within the price detailed in the contract for the delivery of this service. </w:t>
            </w:r>
          </w:p>
        </w:tc>
      </w:tr>
      <w:tr w:rsidR="0061474B" w:rsidRPr="00162375" w14:paraId="7FDEC781" w14:textId="77777777" w:rsidTr="00634C87">
        <w:trPr>
          <w:trHeight w:val="972"/>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79AB45" w14:textId="77777777" w:rsidR="0061474B" w:rsidRPr="00162375" w:rsidRDefault="0061474B" w:rsidP="00CD5169">
            <w:pPr>
              <w:jc w:val="both"/>
              <w:rPr>
                <w:sz w:val="20"/>
                <w:szCs w:val="20"/>
              </w:rPr>
            </w:pPr>
            <w:r>
              <w:rPr>
                <w:sz w:val="20"/>
                <w:szCs w:val="20"/>
              </w:rPr>
              <w:t>Negligence</w:t>
            </w:r>
          </w:p>
        </w:tc>
        <w:tc>
          <w:tcPr>
            <w:tcW w:w="3493" w:type="dxa"/>
            <w:tcBorders>
              <w:top w:val="nil"/>
              <w:left w:val="nil"/>
              <w:bottom w:val="single" w:sz="8" w:space="0" w:color="auto"/>
              <w:right w:val="single" w:sz="8" w:space="0" w:color="auto"/>
            </w:tcBorders>
            <w:tcMar>
              <w:top w:w="0" w:type="dxa"/>
              <w:left w:w="108" w:type="dxa"/>
              <w:bottom w:w="0" w:type="dxa"/>
              <w:right w:w="108" w:type="dxa"/>
            </w:tcMar>
            <w:vAlign w:val="center"/>
          </w:tcPr>
          <w:p w14:paraId="41AC5F57" w14:textId="77777777" w:rsidR="00D467BA" w:rsidRPr="00162375" w:rsidRDefault="0061474B" w:rsidP="00EB2293">
            <w:pPr>
              <w:jc w:val="both"/>
              <w:rPr>
                <w:sz w:val="20"/>
                <w:szCs w:val="20"/>
              </w:rPr>
            </w:pPr>
            <w:r>
              <w:rPr>
                <w:sz w:val="20"/>
                <w:szCs w:val="20"/>
              </w:rPr>
              <w:t xml:space="preserve">If a member of the </w:t>
            </w:r>
            <w:r w:rsidR="00B124B4">
              <w:rPr>
                <w:sz w:val="20"/>
                <w:szCs w:val="20"/>
              </w:rPr>
              <w:t>Supplier</w:t>
            </w:r>
            <w:r>
              <w:rPr>
                <w:sz w:val="20"/>
                <w:szCs w:val="20"/>
              </w:rPr>
              <w:t>’s staff is involved in any incident cause</w:t>
            </w:r>
            <w:r w:rsidR="003233B4">
              <w:rPr>
                <w:sz w:val="20"/>
                <w:szCs w:val="20"/>
              </w:rPr>
              <w:t>d</w:t>
            </w:r>
            <w:r>
              <w:rPr>
                <w:sz w:val="20"/>
                <w:szCs w:val="20"/>
              </w:rPr>
              <w:t xml:space="preserve"> by negligence, he</w:t>
            </w:r>
            <w:r w:rsidR="00FA1307">
              <w:rPr>
                <w:sz w:val="20"/>
                <w:szCs w:val="20"/>
              </w:rPr>
              <w:t>/she</w:t>
            </w:r>
            <w:r>
              <w:rPr>
                <w:sz w:val="20"/>
                <w:szCs w:val="20"/>
              </w:rPr>
              <w:t xml:space="preserve"> should be removed</w:t>
            </w:r>
            <w:r w:rsidR="003233B4">
              <w:rPr>
                <w:sz w:val="20"/>
                <w:szCs w:val="20"/>
              </w:rPr>
              <w:t xml:space="preserve"> from</w:t>
            </w:r>
            <w:r>
              <w:rPr>
                <w:sz w:val="20"/>
                <w:szCs w:val="20"/>
              </w:rPr>
              <w:t xml:space="preserve"> </w:t>
            </w:r>
            <w:r w:rsidR="007A079F">
              <w:rPr>
                <w:sz w:val="20"/>
                <w:szCs w:val="20"/>
              </w:rPr>
              <w:t>the contract</w:t>
            </w:r>
            <w:r>
              <w:rPr>
                <w:sz w:val="20"/>
                <w:szCs w:val="20"/>
              </w:rPr>
              <w:t xml:space="preserve"> immediately</w:t>
            </w:r>
            <w:r w:rsidR="00FA1307">
              <w:rPr>
                <w:sz w:val="20"/>
                <w:szCs w:val="20"/>
              </w:rPr>
              <w:t xml:space="preserve"> and replaced when necessary, with the Authority’s </w:t>
            </w:r>
            <w:r w:rsidR="003C58F5">
              <w:rPr>
                <w:sz w:val="20"/>
                <w:szCs w:val="20"/>
              </w:rPr>
              <w:t xml:space="preserve">written </w:t>
            </w:r>
            <w:r w:rsidR="00FA1307">
              <w:rPr>
                <w:sz w:val="20"/>
                <w:szCs w:val="20"/>
              </w:rPr>
              <w:t>authorisation</w:t>
            </w:r>
            <w:r w:rsidR="00EB2293">
              <w:rPr>
                <w:sz w:val="20"/>
                <w:szCs w:val="20"/>
              </w:rPr>
              <w:t xml:space="preserve">. </w:t>
            </w:r>
            <w:r w:rsidR="003233B4" w:rsidRPr="00FA1307">
              <w:rPr>
                <w:sz w:val="20"/>
                <w:szCs w:val="20"/>
              </w:rPr>
              <w:t>Pursuant to the KPI on turnover, the Authority</w:t>
            </w:r>
            <w:r w:rsidR="00EB2293">
              <w:rPr>
                <w:sz w:val="20"/>
                <w:szCs w:val="20"/>
              </w:rPr>
              <w:t xml:space="preserve"> should be informed</w:t>
            </w:r>
            <w:r w:rsidR="003233B4" w:rsidRPr="00FA1307">
              <w:rPr>
                <w:sz w:val="20"/>
                <w:szCs w:val="20"/>
              </w:rPr>
              <w:t xml:space="preserve"> immediately</w:t>
            </w:r>
            <w:r w:rsidRPr="00FA1307">
              <w:rPr>
                <w:sz w:val="20"/>
                <w:szCs w:val="20"/>
              </w:rPr>
              <w:t>.</w:t>
            </w:r>
            <w:r>
              <w:rPr>
                <w:sz w:val="20"/>
                <w:szCs w:val="20"/>
              </w:rPr>
              <w:t xml:space="preserve"> </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D26E51" w14:textId="77777777" w:rsidR="0061474B" w:rsidRPr="00162375" w:rsidRDefault="0061474B">
            <w:pPr>
              <w:jc w:val="both"/>
              <w:rPr>
                <w:sz w:val="20"/>
                <w:szCs w:val="20"/>
              </w:rPr>
            </w:pPr>
            <w:r w:rsidRPr="00162375">
              <w:rPr>
                <w:sz w:val="20"/>
                <w:szCs w:val="20"/>
              </w:rPr>
              <w:t>100%</w:t>
            </w:r>
          </w:p>
        </w:tc>
      </w:tr>
      <w:tr w:rsidR="0061474B" w:rsidRPr="00162375" w14:paraId="615AC980" w14:textId="77777777" w:rsidTr="00634C87">
        <w:trPr>
          <w:trHeight w:val="973"/>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09894E7" w14:textId="77777777" w:rsidR="0061474B" w:rsidRPr="00162375" w:rsidRDefault="00B124B4" w:rsidP="00CD5169">
            <w:pPr>
              <w:jc w:val="both"/>
              <w:rPr>
                <w:sz w:val="20"/>
                <w:szCs w:val="20"/>
              </w:rPr>
            </w:pPr>
            <w:r>
              <w:rPr>
                <w:sz w:val="20"/>
                <w:szCs w:val="20"/>
              </w:rPr>
              <w:t>Supplier</w:t>
            </w:r>
            <w:r w:rsidR="002E6B8A">
              <w:rPr>
                <w:sz w:val="20"/>
                <w:szCs w:val="20"/>
              </w:rPr>
              <w:t xml:space="preserve"> should be available when required by the Authority and schedule regular meetings. </w:t>
            </w:r>
          </w:p>
        </w:tc>
        <w:tc>
          <w:tcPr>
            <w:tcW w:w="3493" w:type="dxa"/>
            <w:tcBorders>
              <w:top w:val="nil"/>
              <w:left w:val="nil"/>
              <w:bottom w:val="single" w:sz="8" w:space="0" w:color="auto"/>
              <w:right w:val="single" w:sz="8" w:space="0" w:color="auto"/>
            </w:tcBorders>
            <w:tcMar>
              <w:top w:w="0" w:type="dxa"/>
              <w:left w:w="108" w:type="dxa"/>
              <w:bottom w:w="0" w:type="dxa"/>
              <w:right w:w="108" w:type="dxa"/>
            </w:tcMar>
            <w:vAlign w:val="center"/>
          </w:tcPr>
          <w:p w14:paraId="18953145" w14:textId="77777777" w:rsidR="0061474B" w:rsidRPr="00162375" w:rsidRDefault="0061474B" w:rsidP="00EB2293">
            <w:pPr>
              <w:jc w:val="both"/>
              <w:rPr>
                <w:sz w:val="20"/>
                <w:szCs w:val="20"/>
              </w:rPr>
            </w:pPr>
            <w:r w:rsidRPr="00B124B4">
              <w:rPr>
                <w:sz w:val="20"/>
                <w:szCs w:val="20"/>
              </w:rPr>
              <w:t>T</w:t>
            </w:r>
            <w:r w:rsidR="00B124B4">
              <w:rPr>
                <w:sz w:val="20"/>
                <w:szCs w:val="20"/>
              </w:rPr>
              <w:t>he Supplier</w:t>
            </w:r>
            <w:r w:rsidRPr="00B124B4">
              <w:rPr>
                <w:sz w:val="20"/>
                <w:szCs w:val="20"/>
              </w:rPr>
              <w:t xml:space="preserve">’s </w:t>
            </w:r>
            <w:r w:rsidR="00EB2293">
              <w:rPr>
                <w:sz w:val="20"/>
                <w:szCs w:val="20"/>
              </w:rPr>
              <w:t>Project Manager</w:t>
            </w:r>
            <w:r w:rsidRPr="00B124B4">
              <w:rPr>
                <w:sz w:val="20"/>
                <w:szCs w:val="20"/>
              </w:rPr>
              <w:t xml:space="preserve"> must </w:t>
            </w:r>
            <w:r w:rsidR="00EB2293">
              <w:rPr>
                <w:sz w:val="20"/>
                <w:szCs w:val="20"/>
              </w:rPr>
              <w:t>organise fortnightly meetings or calls</w:t>
            </w:r>
            <w:r w:rsidRPr="00B124B4">
              <w:rPr>
                <w:sz w:val="20"/>
                <w:szCs w:val="20"/>
              </w:rPr>
              <w:t xml:space="preserve"> with the Authority</w:t>
            </w:r>
            <w:r w:rsidR="003233B4" w:rsidRPr="00B124B4">
              <w:rPr>
                <w:sz w:val="20"/>
                <w:szCs w:val="20"/>
              </w:rPr>
              <w:t>. Ad-hoc meetings should be agreed</w:t>
            </w:r>
            <w:r w:rsidRPr="00B124B4">
              <w:rPr>
                <w:sz w:val="20"/>
                <w:szCs w:val="20"/>
              </w:rPr>
              <w:t xml:space="preserve"> </w:t>
            </w:r>
            <w:r w:rsidR="003233B4" w:rsidRPr="00B124B4">
              <w:rPr>
                <w:sz w:val="20"/>
                <w:szCs w:val="20"/>
              </w:rPr>
              <w:t>at a minimum 48 hours in advance by</w:t>
            </w:r>
            <w:r w:rsidRPr="00B124B4">
              <w:rPr>
                <w:sz w:val="20"/>
                <w:szCs w:val="20"/>
              </w:rPr>
              <w:t xml:space="preserve"> </w:t>
            </w:r>
            <w:r w:rsidR="00FA1307">
              <w:rPr>
                <w:sz w:val="20"/>
                <w:szCs w:val="20"/>
              </w:rPr>
              <w:t>the Authority</w:t>
            </w:r>
            <w:r w:rsidRPr="00B124B4">
              <w:rPr>
                <w:sz w:val="20"/>
                <w:szCs w:val="20"/>
              </w:rPr>
              <w:t>.</w:t>
            </w:r>
            <w:r w:rsidR="00FA1307">
              <w:rPr>
                <w:sz w:val="20"/>
                <w:szCs w:val="20"/>
              </w:rPr>
              <w:t xml:space="preserve"> The Authority will be able to request urgent ad-hoc meetings as deemed necessary. </w:t>
            </w:r>
            <w:r w:rsidR="003233B4" w:rsidRPr="00B124B4">
              <w:rPr>
                <w:sz w:val="20"/>
                <w:szCs w:val="20"/>
              </w:rPr>
              <w:t xml:space="preserve"> </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8FE541" w14:textId="77777777" w:rsidR="0061474B" w:rsidRPr="00162375" w:rsidRDefault="0061474B" w:rsidP="00B124B4">
            <w:pPr>
              <w:jc w:val="both"/>
              <w:rPr>
                <w:sz w:val="20"/>
                <w:szCs w:val="20"/>
              </w:rPr>
            </w:pPr>
            <w:r w:rsidRPr="00162375">
              <w:rPr>
                <w:sz w:val="20"/>
                <w:szCs w:val="20"/>
              </w:rPr>
              <w:t xml:space="preserve">100% </w:t>
            </w:r>
            <w:r>
              <w:rPr>
                <w:sz w:val="20"/>
                <w:szCs w:val="20"/>
              </w:rPr>
              <w:t xml:space="preserve">The Authority will </w:t>
            </w:r>
            <w:r w:rsidR="007A079F">
              <w:rPr>
                <w:sz w:val="20"/>
                <w:szCs w:val="20"/>
              </w:rPr>
              <w:t>agree with</w:t>
            </w:r>
            <w:r>
              <w:rPr>
                <w:sz w:val="20"/>
                <w:szCs w:val="20"/>
              </w:rPr>
              <w:t xml:space="preserve"> the </w:t>
            </w:r>
            <w:r w:rsidR="00B124B4">
              <w:rPr>
                <w:sz w:val="20"/>
                <w:szCs w:val="20"/>
              </w:rPr>
              <w:t>Supplier</w:t>
            </w:r>
            <w:r>
              <w:rPr>
                <w:sz w:val="20"/>
                <w:szCs w:val="20"/>
              </w:rPr>
              <w:t xml:space="preserve">, in advance; the date and time set for each meeting. </w:t>
            </w:r>
          </w:p>
        </w:tc>
      </w:tr>
      <w:tr w:rsidR="00790051" w:rsidRPr="00162375" w14:paraId="27674870" w14:textId="77777777" w:rsidTr="00634C87">
        <w:trPr>
          <w:trHeight w:val="826"/>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F11A00" w14:textId="77777777" w:rsidR="00790051" w:rsidRPr="00BC58E4" w:rsidRDefault="00790051" w:rsidP="007E1923">
            <w:pPr>
              <w:jc w:val="both"/>
              <w:rPr>
                <w:sz w:val="20"/>
                <w:szCs w:val="20"/>
              </w:rPr>
            </w:pPr>
            <w:r w:rsidRPr="00BC58E4">
              <w:rPr>
                <w:sz w:val="20"/>
                <w:szCs w:val="20"/>
              </w:rPr>
              <w:t xml:space="preserve">Implementation </w:t>
            </w:r>
          </w:p>
        </w:tc>
        <w:tc>
          <w:tcPr>
            <w:tcW w:w="3493" w:type="dxa"/>
            <w:tcBorders>
              <w:top w:val="nil"/>
              <w:left w:val="nil"/>
              <w:bottom w:val="single" w:sz="8" w:space="0" w:color="auto"/>
              <w:right w:val="single" w:sz="8" w:space="0" w:color="auto"/>
            </w:tcBorders>
            <w:tcMar>
              <w:top w:w="0" w:type="dxa"/>
              <w:left w:w="108" w:type="dxa"/>
              <w:bottom w:w="0" w:type="dxa"/>
              <w:right w:w="108" w:type="dxa"/>
            </w:tcMar>
            <w:vAlign w:val="bottom"/>
          </w:tcPr>
          <w:p w14:paraId="267F5E6C" w14:textId="77777777" w:rsidR="00790051" w:rsidRPr="00BC58E4" w:rsidRDefault="00790051" w:rsidP="00FA1307">
            <w:pPr>
              <w:rPr>
                <w:color w:val="000000"/>
                <w:sz w:val="20"/>
                <w:szCs w:val="20"/>
              </w:rPr>
            </w:pPr>
            <w:r w:rsidRPr="00BC58E4">
              <w:rPr>
                <w:color w:val="000000"/>
                <w:sz w:val="20"/>
                <w:szCs w:val="20"/>
              </w:rPr>
              <w:t xml:space="preserve">Implementation of any agreed action points arising from </w:t>
            </w:r>
            <w:r w:rsidR="00B124B4">
              <w:rPr>
                <w:color w:val="000000"/>
                <w:sz w:val="20"/>
                <w:szCs w:val="20"/>
              </w:rPr>
              <w:t>Supplier</w:t>
            </w:r>
            <w:r w:rsidRPr="00BC58E4">
              <w:rPr>
                <w:color w:val="000000"/>
                <w:sz w:val="20"/>
                <w:szCs w:val="20"/>
              </w:rPr>
              <w:t>/</w:t>
            </w:r>
            <w:r w:rsidR="003233B4">
              <w:rPr>
                <w:color w:val="000000"/>
                <w:sz w:val="20"/>
                <w:szCs w:val="20"/>
              </w:rPr>
              <w:t>Authority</w:t>
            </w:r>
            <w:r w:rsidRPr="00BC58E4">
              <w:rPr>
                <w:color w:val="000000"/>
                <w:sz w:val="20"/>
                <w:szCs w:val="20"/>
              </w:rPr>
              <w:t xml:space="preserve"> management meetings</w:t>
            </w:r>
            <w:r w:rsidR="003233B4">
              <w:rPr>
                <w:color w:val="000000"/>
                <w:sz w:val="20"/>
                <w:szCs w:val="20"/>
              </w:rPr>
              <w:t xml:space="preserve"> should be implemented </w:t>
            </w:r>
            <w:r w:rsidR="00FA1307">
              <w:rPr>
                <w:color w:val="000000"/>
                <w:sz w:val="20"/>
                <w:szCs w:val="20"/>
              </w:rPr>
              <w:t>when requested by the Authority</w:t>
            </w:r>
            <w:r w:rsidR="003233B4">
              <w:rPr>
                <w:color w:val="000000"/>
                <w:sz w:val="20"/>
                <w:szCs w:val="20"/>
              </w:rPr>
              <w:t xml:space="preserve"> (unless otherwise agreed) and </w:t>
            </w:r>
            <w:r w:rsidR="00FA1307">
              <w:rPr>
                <w:color w:val="000000"/>
                <w:sz w:val="20"/>
                <w:szCs w:val="20"/>
              </w:rPr>
              <w:t xml:space="preserve">the Supplier must always generate the </w:t>
            </w:r>
            <w:r w:rsidR="003233B4">
              <w:rPr>
                <w:color w:val="000000"/>
                <w:sz w:val="20"/>
                <w:szCs w:val="20"/>
              </w:rPr>
              <w:t xml:space="preserve">written confirmation </w:t>
            </w:r>
            <w:r w:rsidR="00FA1307">
              <w:rPr>
                <w:color w:val="000000"/>
                <w:sz w:val="20"/>
                <w:szCs w:val="20"/>
              </w:rPr>
              <w:t>of any implementation action</w:t>
            </w:r>
            <w:r w:rsidR="003233B4">
              <w:rPr>
                <w:color w:val="000000"/>
                <w:sz w:val="20"/>
                <w:szCs w:val="20"/>
              </w:rPr>
              <w:t>.</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5628C7" w14:textId="77777777" w:rsidR="00790051" w:rsidRPr="00BC58E4" w:rsidRDefault="007430B6" w:rsidP="00A775B6">
            <w:pPr>
              <w:jc w:val="both"/>
              <w:rPr>
                <w:sz w:val="20"/>
                <w:szCs w:val="20"/>
              </w:rPr>
            </w:pPr>
            <w:r>
              <w:rPr>
                <w:sz w:val="20"/>
                <w:szCs w:val="20"/>
              </w:rPr>
              <w:t>100</w:t>
            </w:r>
            <w:r w:rsidR="00790051" w:rsidRPr="00BC58E4">
              <w:rPr>
                <w:sz w:val="20"/>
                <w:szCs w:val="20"/>
              </w:rPr>
              <w:t>%</w:t>
            </w:r>
          </w:p>
        </w:tc>
      </w:tr>
      <w:tr w:rsidR="00790051" w:rsidRPr="00162375" w14:paraId="21AC29DC" w14:textId="77777777" w:rsidTr="00634C87">
        <w:trPr>
          <w:trHeight w:val="826"/>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052CB20" w14:textId="77777777" w:rsidR="00790051" w:rsidRPr="00BC58E4" w:rsidRDefault="00190DD8" w:rsidP="00D467BA">
            <w:pPr>
              <w:jc w:val="both"/>
              <w:rPr>
                <w:sz w:val="20"/>
                <w:szCs w:val="20"/>
              </w:rPr>
            </w:pPr>
            <w:r w:rsidRPr="00BC58E4">
              <w:rPr>
                <w:sz w:val="20"/>
                <w:szCs w:val="20"/>
              </w:rPr>
              <w:t>Conduct</w:t>
            </w:r>
          </w:p>
        </w:tc>
        <w:tc>
          <w:tcPr>
            <w:tcW w:w="3493" w:type="dxa"/>
            <w:tcBorders>
              <w:top w:val="nil"/>
              <w:left w:val="nil"/>
              <w:bottom w:val="single" w:sz="8" w:space="0" w:color="auto"/>
              <w:right w:val="single" w:sz="8" w:space="0" w:color="auto"/>
            </w:tcBorders>
            <w:tcMar>
              <w:top w:w="0" w:type="dxa"/>
              <w:left w:w="108" w:type="dxa"/>
              <w:bottom w:w="0" w:type="dxa"/>
              <w:right w:w="108" w:type="dxa"/>
            </w:tcMar>
            <w:vAlign w:val="center"/>
          </w:tcPr>
          <w:p w14:paraId="43476DAE" w14:textId="77777777" w:rsidR="00790051" w:rsidRPr="00BC58E4" w:rsidRDefault="00A42587" w:rsidP="00FA1307">
            <w:pPr>
              <w:jc w:val="both"/>
              <w:rPr>
                <w:sz w:val="20"/>
                <w:szCs w:val="20"/>
              </w:rPr>
            </w:pPr>
            <w:r w:rsidRPr="00BC58E4">
              <w:rPr>
                <w:color w:val="000000"/>
                <w:sz w:val="20"/>
                <w:szCs w:val="20"/>
              </w:rPr>
              <w:t xml:space="preserve">The </w:t>
            </w:r>
            <w:r w:rsidR="00B124B4">
              <w:rPr>
                <w:color w:val="000000"/>
                <w:sz w:val="20"/>
                <w:szCs w:val="20"/>
              </w:rPr>
              <w:t>Supplier</w:t>
            </w:r>
            <w:r w:rsidRPr="00BC58E4">
              <w:rPr>
                <w:color w:val="000000"/>
                <w:sz w:val="20"/>
                <w:szCs w:val="20"/>
              </w:rPr>
              <w:t xml:space="preserve"> must abide by the </w:t>
            </w:r>
            <w:r w:rsidR="00BC58E4" w:rsidRPr="00BC58E4">
              <w:rPr>
                <w:color w:val="000000"/>
                <w:sz w:val="20"/>
                <w:szCs w:val="20"/>
              </w:rPr>
              <w:t>behavioural standards</w:t>
            </w:r>
            <w:r w:rsidR="00A92EDE">
              <w:rPr>
                <w:color w:val="000000"/>
                <w:sz w:val="20"/>
                <w:szCs w:val="20"/>
              </w:rPr>
              <w:t xml:space="preserve"> set out in Award Letter of the contract</w:t>
            </w:r>
            <w:r w:rsidR="00BC58E4" w:rsidRPr="00BC58E4">
              <w:rPr>
                <w:color w:val="000000"/>
                <w:sz w:val="20"/>
                <w:szCs w:val="20"/>
              </w:rPr>
              <w:t xml:space="preserve"> that uphold the reputation of the Authority </w:t>
            </w:r>
            <w:r w:rsidR="006E62E4">
              <w:rPr>
                <w:color w:val="000000"/>
                <w:sz w:val="20"/>
                <w:szCs w:val="20"/>
              </w:rPr>
              <w:t xml:space="preserve">and </w:t>
            </w:r>
            <w:r w:rsidR="002E6B8A">
              <w:rPr>
                <w:color w:val="000000"/>
                <w:sz w:val="20"/>
                <w:szCs w:val="20"/>
              </w:rPr>
              <w:t>must not do anything</w:t>
            </w:r>
            <w:r w:rsidR="00790051" w:rsidRPr="00BC58E4">
              <w:rPr>
                <w:color w:val="000000"/>
                <w:sz w:val="20"/>
                <w:szCs w:val="20"/>
              </w:rPr>
              <w:t xml:space="preserve"> that might cause embarrassment</w:t>
            </w:r>
            <w:r w:rsidR="00BC58E4" w:rsidRPr="00BC58E4">
              <w:rPr>
                <w:color w:val="000000"/>
                <w:sz w:val="20"/>
                <w:szCs w:val="20"/>
              </w:rPr>
              <w:t>.</w:t>
            </w:r>
            <w:r w:rsidR="00FA1307">
              <w:rPr>
                <w:color w:val="000000"/>
                <w:sz w:val="20"/>
                <w:szCs w:val="20"/>
              </w:rPr>
              <w:t xml:space="preserve"> The Authority shall be responsible for deeming what might be considered as an embarrassing conduct. </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26478AFF" w14:textId="77777777" w:rsidR="00790051" w:rsidRPr="00BC58E4" w:rsidRDefault="00790051" w:rsidP="00B124B4">
            <w:pPr>
              <w:jc w:val="both"/>
              <w:rPr>
                <w:sz w:val="20"/>
                <w:szCs w:val="20"/>
              </w:rPr>
            </w:pPr>
            <w:r w:rsidRPr="00BC58E4">
              <w:rPr>
                <w:sz w:val="20"/>
                <w:szCs w:val="20"/>
              </w:rPr>
              <w:t xml:space="preserve">100%. </w:t>
            </w:r>
            <w:r w:rsidR="00B124B4">
              <w:rPr>
                <w:color w:val="000000"/>
                <w:sz w:val="20"/>
                <w:szCs w:val="20"/>
              </w:rPr>
              <w:t>Supplier</w:t>
            </w:r>
            <w:r w:rsidRPr="00BC58E4">
              <w:rPr>
                <w:color w:val="000000"/>
                <w:sz w:val="20"/>
                <w:szCs w:val="20"/>
              </w:rPr>
              <w:t xml:space="preserve"> to report any local transgressions to Authority.</w:t>
            </w:r>
          </w:p>
        </w:tc>
      </w:tr>
      <w:tr w:rsidR="00D467BA" w:rsidRPr="00162375" w14:paraId="6837DADD" w14:textId="77777777" w:rsidTr="00634C87">
        <w:trPr>
          <w:trHeight w:val="826"/>
        </w:trPr>
        <w:tc>
          <w:tcPr>
            <w:tcW w:w="21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CEB2DD" w14:textId="77777777" w:rsidR="00D467BA" w:rsidRPr="00BC58E4" w:rsidRDefault="00D467BA" w:rsidP="00514D90">
            <w:pPr>
              <w:jc w:val="both"/>
              <w:rPr>
                <w:sz w:val="20"/>
                <w:szCs w:val="20"/>
              </w:rPr>
            </w:pPr>
            <w:r w:rsidRPr="00BC58E4">
              <w:rPr>
                <w:sz w:val="20"/>
                <w:szCs w:val="20"/>
              </w:rPr>
              <w:t>Gender</w:t>
            </w:r>
          </w:p>
        </w:tc>
        <w:tc>
          <w:tcPr>
            <w:tcW w:w="34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8B0AF3C" w14:textId="77777777" w:rsidR="00D467BA" w:rsidRPr="00BC58E4" w:rsidRDefault="00FA1307" w:rsidP="00A92EDE">
            <w:pPr>
              <w:jc w:val="both"/>
              <w:rPr>
                <w:color w:val="000000"/>
                <w:sz w:val="20"/>
                <w:szCs w:val="20"/>
              </w:rPr>
            </w:pPr>
            <w:r>
              <w:rPr>
                <w:color w:val="000000"/>
                <w:sz w:val="20"/>
                <w:szCs w:val="20"/>
              </w:rPr>
              <w:t xml:space="preserve">The </w:t>
            </w:r>
            <w:r w:rsidR="00B124B4">
              <w:rPr>
                <w:color w:val="000000"/>
                <w:sz w:val="20"/>
                <w:szCs w:val="20"/>
              </w:rPr>
              <w:t>Supplier</w:t>
            </w:r>
            <w:r w:rsidR="00D467BA" w:rsidRPr="00BC58E4">
              <w:rPr>
                <w:color w:val="000000"/>
                <w:sz w:val="20"/>
                <w:szCs w:val="20"/>
              </w:rPr>
              <w:t xml:space="preserve"> should ensure that the delivery of the objectives of the project give adequate consideration to gender equality, in compliance with the</w:t>
            </w:r>
            <w:r w:rsidR="00A92EDE">
              <w:rPr>
                <w:color w:val="000000"/>
                <w:sz w:val="20"/>
                <w:szCs w:val="20"/>
              </w:rPr>
              <w:t xml:space="preserve"> UK International </w:t>
            </w:r>
            <w:r w:rsidR="00D467BA" w:rsidRPr="00BC58E4">
              <w:rPr>
                <w:color w:val="000000"/>
                <w:sz w:val="20"/>
                <w:szCs w:val="20"/>
              </w:rPr>
              <w:t>Development Act</w:t>
            </w:r>
            <w:r w:rsidR="00A92EDE">
              <w:rPr>
                <w:color w:val="000000"/>
                <w:sz w:val="20"/>
                <w:szCs w:val="20"/>
              </w:rPr>
              <w:t xml:space="preserve"> (2002) and the UK Gender Act (2014)</w:t>
            </w:r>
            <w:r w:rsidR="00D467BA" w:rsidRPr="00BC58E4">
              <w:rPr>
                <w:color w:val="000000"/>
                <w:sz w:val="20"/>
                <w:szCs w:val="20"/>
              </w:rPr>
              <w:t>.</w:t>
            </w:r>
          </w:p>
        </w:tc>
        <w:tc>
          <w:tcPr>
            <w:tcW w:w="33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D3F80AA" w14:textId="77777777" w:rsidR="00D467BA" w:rsidRPr="00BC58E4" w:rsidRDefault="00D467BA" w:rsidP="00514D90">
            <w:pPr>
              <w:jc w:val="both"/>
              <w:rPr>
                <w:sz w:val="20"/>
                <w:szCs w:val="20"/>
              </w:rPr>
            </w:pPr>
            <w:r w:rsidRPr="00BC58E4">
              <w:rPr>
                <w:sz w:val="20"/>
                <w:szCs w:val="20"/>
              </w:rPr>
              <w:t>100%</w:t>
            </w:r>
          </w:p>
        </w:tc>
      </w:tr>
      <w:tr w:rsidR="00BD7D2C" w:rsidRPr="00162375" w14:paraId="469C3867" w14:textId="77777777" w:rsidTr="00634C87">
        <w:trPr>
          <w:trHeight w:val="826"/>
        </w:trPr>
        <w:tc>
          <w:tcPr>
            <w:tcW w:w="21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1D439B6" w14:textId="77777777" w:rsidR="00BD7D2C" w:rsidRPr="00BC58E4" w:rsidRDefault="00BD7D2C" w:rsidP="00514D90">
            <w:pPr>
              <w:jc w:val="both"/>
              <w:rPr>
                <w:sz w:val="20"/>
                <w:szCs w:val="20"/>
              </w:rPr>
            </w:pPr>
            <w:r>
              <w:rPr>
                <w:sz w:val="20"/>
                <w:szCs w:val="20"/>
              </w:rPr>
              <w:t>Gender and Social Inclusion</w:t>
            </w:r>
          </w:p>
        </w:tc>
        <w:tc>
          <w:tcPr>
            <w:tcW w:w="349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5B6C467" w14:textId="77777777" w:rsidR="00BD7D2C" w:rsidRDefault="00BD7D2C" w:rsidP="00EB2293">
            <w:pPr>
              <w:jc w:val="both"/>
              <w:rPr>
                <w:color w:val="000000"/>
                <w:sz w:val="20"/>
                <w:szCs w:val="20"/>
              </w:rPr>
            </w:pPr>
            <w:r>
              <w:rPr>
                <w:color w:val="000000"/>
                <w:sz w:val="20"/>
                <w:szCs w:val="20"/>
              </w:rPr>
              <w:t xml:space="preserve">The Supplier should ensure that gender and social inclusion considerations and expertise, as per the agreed project plan, supplier staff and methodology, are mainstreamed and considered </w:t>
            </w:r>
            <w:r w:rsidR="00441AD8">
              <w:rPr>
                <w:color w:val="000000"/>
                <w:sz w:val="20"/>
                <w:szCs w:val="20"/>
              </w:rPr>
              <w:t>through</w:t>
            </w:r>
            <w:r w:rsidR="00EB2293">
              <w:rPr>
                <w:color w:val="000000"/>
                <w:sz w:val="20"/>
                <w:szCs w:val="20"/>
              </w:rPr>
              <w:t>out the life of the project.</w:t>
            </w:r>
          </w:p>
        </w:tc>
        <w:tc>
          <w:tcPr>
            <w:tcW w:w="33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4F994942" w14:textId="77777777" w:rsidR="00BD7D2C" w:rsidRPr="00BC58E4" w:rsidRDefault="00BD7D2C" w:rsidP="00514D90">
            <w:pPr>
              <w:jc w:val="both"/>
              <w:rPr>
                <w:sz w:val="20"/>
                <w:szCs w:val="20"/>
              </w:rPr>
            </w:pPr>
            <w:r>
              <w:rPr>
                <w:sz w:val="20"/>
                <w:szCs w:val="20"/>
              </w:rPr>
              <w:t xml:space="preserve">100% </w:t>
            </w:r>
          </w:p>
        </w:tc>
      </w:tr>
      <w:tr w:rsidR="00D467BA" w:rsidRPr="00162375" w14:paraId="6619C1C7" w14:textId="77777777" w:rsidTr="00634C87">
        <w:trPr>
          <w:trHeight w:val="826"/>
        </w:trPr>
        <w:tc>
          <w:tcPr>
            <w:tcW w:w="21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22C8F92" w14:textId="77777777" w:rsidR="00D467BA" w:rsidRPr="00BC58E4" w:rsidRDefault="003233B4" w:rsidP="00D467BA">
            <w:pPr>
              <w:jc w:val="both"/>
              <w:rPr>
                <w:sz w:val="20"/>
                <w:szCs w:val="20"/>
              </w:rPr>
            </w:pPr>
            <w:r>
              <w:rPr>
                <w:sz w:val="20"/>
                <w:szCs w:val="20"/>
              </w:rPr>
              <w:t>Delivery</w:t>
            </w:r>
          </w:p>
        </w:tc>
        <w:tc>
          <w:tcPr>
            <w:tcW w:w="3493"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CD12C" w14:textId="55E144FD" w:rsidR="00D467BA" w:rsidRPr="00BC58E4" w:rsidRDefault="00FA1307" w:rsidP="00EB2293">
            <w:pPr>
              <w:jc w:val="both"/>
              <w:rPr>
                <w:color w:val="000000"/>
                <w:sz w:val="20"/>
                <w:szCs w:val="20"/>
              </w:rPr>
            </w:pPr>
            <w:r>
              <w:rPr>
                <w:color w:val="000000"/>
                <w:sz w:val="20"/>
                <w:szCs w:val="20"/>
              </w:rPr>
              <w:t>The Supplier should ensure the d</w:t>
            </w:r>
            <w:r w:rsidR="003233B4">
              <w:rPr>
                <w:color w:val="000000"/>
                <w:sz w:val="20"/>
                <w:szCs w:val="20"/>
              </w:rPr>
              <w:t xml:space="preserve">elivery of </w:t>
            </w:r>
            <w:r>
              <w:rPr>
                <w:color w:val="000000"/>
                <w:sz w:val="20"/>
                <w:szCs w:val="20"/>
              </w:rPr>
              <w:t xml:space="preserve">the </w:t>
            </w:r>
            <w:r w:rsidR="003233B4">
              <w:rPr>
                <w:color w:val="000000"/>
                <w:sz w:val="20"/>
                <w:szCs w:val="20"/>
              </w:rPr>
              <w:t>project as proposed</w:t>
            </w:r>
            <w:r w:rsidR="00441AD8">
              <w:rPr>
                <w:color w:val="000000"/>
                <w:sz w:val="20"/>
                <w:szCs w:val="20"/>
              </w:rPr>
              <w:t>,</w:t>
            </w:r>
            <w:r w:rsidR="003233B4">
              <w:rPr>
                <w:color w:val="000000"/>
                <w:sz w:val="20"/>
                <w:szCs w:val="20"/>
              </w:rPr>
              <w:t xml:space="preserve"> within budget</w:t>
            </w:r>
            <w:r w:rsidR="00634C87">
              <w:rPr>
                <w:color w:val="000000"/>
                <w:sz w:val="20"/>
                <w:szCs w:val="20"/>
              </w:rPr>
              <w:t xml:space="preserve"> and on time</w:t>
            </w:r>
            <w:r w:rsidR="003233B4">
              <w:rPr>
                <w:color w:val="000000"/>
                <w:sz w:val="20"/>
                <w:szCs w:val="20"/>
              </w:rPr>
              <w:t xml:space="preserve">, </w:t>
            </w:r>
            <w:r w:rsidR="00441AD8">
              <w:rPr>
                <w:color w:val="000000"/>
                <w:sz w:val="20"/>
                <w:szCs w:val="20"/>
              </w:rPr>
              <w:t xml:space="preserve">and </w:t>
            </w:r>
            <w:r w:rsidR="003233B4">
              <w:rPr>
                <w:color w:val="000000"/>
                <w:sz w:val="20"/>
                <w:szCs w:val="20"/>
              </w:rPr>
              <w:t xml:space="preserve">achieving all </w:t>
            </w:r>
            <w:r w:rsidR="00EB2293">
              <w:rPr>
                <w:color w:val="000000"/>
                <w:sz w:val="20"/>
                <w:szCs w:val="20"/>
              </w:rPr>
              <w:t>milestones</w:t>
            </w:r>
            <w:r w:rsidR="003233B4">
              <w:rPr>
                <w:color w:val="000000"/>
                <w:sz w:val="20"/>
                <w:szCs w:val="20"/>
              </w:rPr>
              <w:t xml:space="preserve"> by the agreed date</w:t>
            </w:r>
            <w:r>
              <w:rPr>
                <w:color w:val="000000"/>
                <w:sz w:val="20"/>
                <w:szCs w:val="20"/>
              </w:rPr>
              <w:t>, p</w:t>
            </w:r>
            <w:r w:rsidR="003233B4">
              <w:rPr>
                <w:color w:val="000000"/>
                <w:sz w:val="20"/>
                <w:szCs w:val="20"/>
              </w:rPr>
              <w:t xml:space="preserve">ursuant to any previously agreed changes to the aforementioned between </w:t>
            </w:r>
            <w:r w:rsidR="00EB2293">
              <w:rPr>
                <w:color w:val="000000"/>
                <w:sz w:val="20"/>
                <w:szCs w:val="20"/>
              </w:rPr>
              <w:t xml:space="preserve">the </w:t>
            </w:r>
            <w:r w:rsidR="00B124B4">
              <w:rPr>
                <w:color w:val="000000"/>
                <w:sz w:val="20"/>
                <w:szCs w:val="20"/>
              </w:rPr>
              <w:t>Supplier</w:t>
            </w:r>
            <w:r w:rsidR="003233B4">
              <w:rPr>
                <w:color w:val="000000"/>
                <w:sz w:val="20"/>
                <w:szCs w:val="20"/>
              </w:rPr>
              <w:t xml:space="preserve"> and Authority.</w:t>
            </w:r>
          </w:p>
        </w:tc>
        <w:tc>
          <w:tcPr>
            <w:tcW w:w="33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145A5" w14:textId="77777777" w:rsidR="00C30287" w:rsidRPr="00BC58E4" w:rsidRDefault="00C30287" w:rsidP="00D467BA">
            <w:pPr>
              <w:jc w:val="both"/>
              <w:rPr>
                <w:sz w:val="20"/>
                <w:szCs w:val="20"/>
              </w:rPr>
            </w:pPr>
            <w:r>
              <w:rPr>
                <w:sz w:val="20"/>
                <w:szCs w:val="20"/>
              </w:rPr>
              <w:t>100%</w:t>
            </w:r>
          </w:p>
        </w:tc>
      </w:tr>
    </w:tbl>
    <w:p w14:paraId="052BCC48" w14:textId="77777777" w:rsidR="00162375" w:rsidRDefault="00162375">
      <w:bookmarkStart w:id="0" w:name="_GoBack"/>
      <w:bookmarkEnd w:id="0"/>
    </w:p>
    <w:sectPr w:rsidR="00162375" w:rsidSect="000749F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C38571" w14:textId="77777777" w:rsidR="009660C3" w:rsidRDefault="009660C3" w:rsidP="00162375">
      <w:r>
        <w:separator/>
      </w:r>
    </w:p>
  </w:endnote>
  <w:endnote w:type="continuationSeparator" w:id="0">
    <w:p w14:paraId="23CF4148" w14:textId="77777777" w:rsidR="009660C3" w:rsidRDefault="009660C3" w:rsidP="0016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8E2B4" w14:textId="77777777" w:rsidR="00514D90" w:rsidRDefault="00514D90">
    <w:pPr>
      <w:pStyle w:val="Footer"/>
    </w:pPr>
  </w:p>
  <w:p w14:paraId="18DDF09B" w14:textId="77777777" w:rsidR="00514D90" w:rsidRDefault="00514D90" w:rsidP="00162375">
    <w:pPr>
      <w:pStyle w:val="Footer"/>
      <w:jc w:val="center"/>
      <w:rPr>
        <w:rFonts w:ascii="Arial" w:hAnsi="Arial" w:cs="Arial"/>
        <w:b/>
        <w:sz w:val="20"/>
      </w:rPr>
    </w:pPr>
    <w:r w:rsidRPr="00162375">
      <w:rPr>
        <w:rFonts w:ascii="Arial" w:hAnsi="Arial" w:cs="Arial"/>
        <w:b/>
        <w:sz w:val="20"/>
      </w:rPr>
      <w:t xml:space="preserve"> </w:t>
    </w:r>
  </w:p>
  <w:p w14:paraId="15641C4A" w14:textId="77777777" w:rsidR="00514D90" w:rsidRPr="00162375" w:rsidRDefault="001026E5" w:rsidP="00162375">
    <w:pPr>
      <w:pStyle w:val="Footer"/>
      <w:spacing w:before="120"/>
      <w:jc w:val="right"/>
      <w:rPr>
        <w:rFonts w:ascii="Arial" w:hAnsi="Arial" w:cs="Arial"/>
        <w:sz w:val="12"/>
      </w:rPr>
    </w:pPr>
    <w:r>
      <w:rPr>
        <w:rFonts w:ascii="Arial" w:hAnsi="Arial" w:cs="Arial"/>
        <w:noProof/>
        <w:sz w:val="12"/>
      </w:rPr>
      <w:fldChar w:fldCharType="begin"/>
    </w:r>
    <w:r>
      <w:rPr>
        <w:rFonts w:ascii="Arial" w:hAnsi="Arial" w:cs="Arial"/>
        <w:noProof/>
        <w:sz w:val="12"/>
      </w:rPr>
      <w:instrText xml:space="preserve"> FILENAME \p \* MERGEFORMAT </w:instrText>
    </w:r>
    <w:r>
      <w:rPr>
        <w:rFonts w:ascii="Arial" w:hAnsi="Arial" w:cs="Arial"/>
        <w:noProof/>
        <w:sz w:val="12"/>
      </w:rPr>
      <w:fldChar w:fldCharType="separate"/>
    </w:r>
    <w:r w:rsidR="00514D90" w:rsidRPr="00F94AD5">
      <w:rPr>
        <w:rFonts w:ascii="Arial" w:hAnsi="Arial" w:cs="Arial"/>
        <w:noProof/>
        <w:sz w:val="12"/>
      </w:rPr>
      <w:t>S</w:t>
    </w:r>
    <w:r w:rsidR="00514D90">
      <w:rPr>
        <w:noProof/>
      </w:rPr>
      <w:t>:\Regional Hub\Procurement Mexico\LATAM Tenders\Bogota\UKEF PROSPERITY FUND RESEARCH\KIP's UKEF.docx</w:t>
    </w:r>
    <w:r>
      <w:rPr>
        <w:noProof/>
      </w:rPr>
      <w:fldChar w:fldCharType="end"/>
    </w:r>
    <w:r w:rsidR="00945887" w:rsidRPr="00162375">
      <w:rPr>
        <w:rFonts w:ascii="Arial" w:hAnsi="Arial" w:cs="Arial"/>
        <w:sz w:val="12"/>
      </w:rPr>
      <w:fldChar w:fldCharType="begin"/>
    </w:r>
    <w:r w:rsidR="00514D90" w:rsidRPr="00162375">
      <w:rPr>
        <w:rFonts w:ascii="Arial" w:hAnsi="Arial" w:cs="Arial"/>
        <w:sz w:val="12"/>
      </w:rPr>
      <w:instrText xml:space="preserve"> DOCPROPERTY PRIVACY  \* MERGEFORMAT </w:instrText>
    </w:r>
    <w:r w:rsidR="00945887" w:rsidRPr="00162375">
      <w:rPr>
        <w:rFonts w:ascii="Arial" w:hAnsi="Arial" w:cs="Arial"/>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40EE1" w14:textId="77777777" w:rsidR="00514D90" w:rsidRDefault="00514D90">
    <w:pPr>
      <w:pStyle w:val="Footer"/>
    </w:pPr>
  </w:p>
  <w:p w14:paraId="2F1B9479" w14:textId="77777777" w:rsidR="00514D90" w:rsidRDefault="00514D90" w:rsidP="00162375">
    <w:pPr>
      <w:pStyle w:val="Footer"/>
      <w:jc w:val="center"/>
      <w:rPr>
        <w:rFonts w:ascii="Arial" w:hAnsi="Arial" w:cs="Arial"/>
        <w:b/>
        <w:sz w:val="20"/>
      </w:rPr>
    </w:pPr>
    <w:r w:rsidRPr="00162375">
      <w:rPr>
        <w:rFonts w:ascii="Arial" w:hAnsi="Arial" w:cs="Arial"/>
        <w:b/>
        <w:sz w:val="20"/>
      </w:rPr>
      <w:t xml:space="preserve"> </w:t>
    </w:r>
  </w:p>
  <w:p w14:paraId="501BAB6A" w14:textId="77777777" w:rsidR="00514D90" w:rsidRPr="00162375" w:rsidRDefault="00514D90" w:rsidP="00162375">
    <w:pPr>
      <w:pStyle w:val="Footer"/>
      <w:spacing w:before="120"/>
      <w:jc w:val="right"/>
      <w:rPr>
        <w:rFonts w:ascii="Arial" w:hAnsi="Arial" w:cs="Arial"/>
        <w:sz w:val="1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73E50" w14:textId="77777777" w:rsidR="00514D90" w:rsidRDefault="00514D90">
    <w:pPr>
      <w:pStyle w:val="Footer"/>
    </w:pPr>
  </w:p>
  <w:p w14:paraId="794E5927" w14:textId="77777777" w:rsidR="00514D90" w:rsidRDefault="00514D90" w:rsidP="00162375">
    <w:pPr>
      <w:pStyle w:val="Footer"/>
      <w:jc w:val="center"/>
      <w:rPr>
        <w:rFonts w:ascii="Arial" w:hAnsi="Arial" w:cs="Arial"/>
        <w:b/>
        <w:sz w:val="20"/>
      </w:rPr>
    </w:pPr>
    <w:r w:rsidRPr="00162375">
      <w:rPr>
        <w:rFonts w:ascii="Arial" w:hAnsi="Arial" w:cs="Arial"/>
        <w:b/>
        <w:sz w:val="20"/>
      </w:rPr>
      <w:t xml:space="preserve"> </w:t>
    </w:r>
  </w:p>
  <w:p w14:paraId="4DBF220E" w14:textId="77777777" w:rsidR="00514D90" w:rsidRPr="00162375" w:rsidRDefault="001026E5" w:rsidP="00162375">
    <w:pPr>
      <w:pStyle w:val="Footer"/>
      <w:spacing w:before="120"/>
      <w:jc w:val="right"/>
      <w:rPr>
        <w:rFonts w:ascii="Arial" w:hAnsi="Arial" w:cs="Arial"/>
        <w:sz w:val="12"/>
      </w:rPr>
    </w:pPr>
    <w:r>
      <w:rPr>
        <w:rFonts w:ascii="Arial" w:hAnsi="Arial" w:cs="Arial"/>
        <w:noProof/>
        <w:sz w:val="12"/>
      </w:rPr>
      <w:fldChar w:fldCharType="begin"/>
    </w:r>
    <w:r>
      <w:rPr>
        <w:rFonts w:ascii="Arial" w:hAnsi="Arial" w:cs="Arial"/>
        <w:noProof/>
        <w:sz w:val="12"/>
      </w:rPr>
      <w:instrText xml:space="preserve"> FILENAME \p \* MERGEFORMAT </w:instrText>
    </w:r>
    <w:r>
      <w:rPr>
        <w:rFonts w:ascii="Arial" w:hAnsi="Arial" w:cs="Arial"/>
        <w:noProof/>
        <w:sz w:val="12"/>
      </w:rPr>
      <w:fldChar w:fldCharType="separate"/>
    </w:r>
    <w:r w:rsidR="00514D90" w:rsidRPr="00F94AD5">
      <w:rPr>
        <w:rFonts w:ascii="Arial" w:hAnsi="Arial" w:cs="Arial"/>
        <w:noProof/>
        <w:sz w:val="12"/>
      </w:rPr>
      <w:t>S</w:t>
    </w:r>
    <w:r w:rsidR="00514D90">
      <w:rPr>
        <w:noProof/>
      </w:rPr>
      <w:t>:\Regional Hub\Procurement Mexico\LATAM Tenders\Bogota\UKEF PROSPERITY FUND RESEARCH\KIP's UKEF.docx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8A997" w14:textId="77777777" w:rsidR="009660C3" w:rsidRDefault="009660C3" w:rsidP="00162375">
      <w:r>
        <w:separator/>
      </w:r>
    </w:p>
  </w:footnote>
  <w:footnote w:type="continuationSeparator" w:id="0">
    <w:p w14:paraId="0EB5E1DC" w14:textId="77777777" w:rsidR="009660C3" w:rsidRDefault="009660C3" w:rsidP="00162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8C07F" w14:textId="77777777" w:rsidR="00514D90" w:rsidRPr="00162375" w:rsidRDefault="00514D90" w:rsidP="00162375">
    <w:pPr>
      <w:pStyle w:val="Header"/>
      <w:jc w:val="center"/>
      <w:rPr>
        <w:rFonts w:ascii="Arial" w:hAnsi="Arial" w:cs="Arial"/>
        <w:b/>
        <w:sz w:val="20"/>
      </w:rPr>
    </w:pPr>
    <w:r w:rsidRPr="00162375">
      <w:rPr>
        <w:rFonts w:ascii="Arial" w:hAnsi="Arial" w:cs="Arial"/>
        <w:b/>
        <w:sz w:val="20"/>
      </w:rPr>
      <w:t xml:space="preserve"> </w:t>
    </w:r>
  </w:p>
  <w:p w14:paraId="091D7E8A" w14:textId="77777777" w:rsidR="00514D90" w:rsidRDefault="00514D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AA5E1" w14:textId="77777777" w:rsidR="00514D90" w:rsidRPr="00162375" w:rsidRDefault="00514D90" w:rsidP="00162375">
    <w:pPr>
      <w:pStyle w:val="Header"/>
      <w:jc w:val="center"/>
      <w:rPr>
        <w:rFonts w:ascii="Arial" w:hAnsi="Arial" w:cs="Arial"/>
        <w:b/>
        <w:sz w:val="20"/>
      </w:rPr>
    </w:pPr>
    <w:r w:rsidRPr="00162375">
      <w:rPr>
        <w:rFonts w:ascii="Arial" w:hAnsi="Arial" w:cs="Arial"/>
        <w:b/>
        <w:sz w:val="20"/>
      </w:rPr>
      <w:t xml:space="preserve"> </w:t>
    </w:r>
    <w:r w:rsidR="00945887" w:rsidRPr="00162375">
      <w:rPr>
        <w:rFonts w:ascii="Arial" w:hAnsi="Arial" w:cs="Arial"/>
        <w:b/>
        <w:sz w:val="20"/>
      </w:rPr>
      <w:fldChar w:fldCharType="begin"/>
    </w:r>
    <w:r w:rsidRPr="00162375">
      <w:rPr>
        <w:rFonts w:ascii="Arial" w:hAnsi="Arial" w:cs="Arial"/>
        <w:b/>
        <w:sz w:val="20"/>
      </w:rPr>
      <w:instrText xml:space="preserve"> DOCPROPERTY PRIVACY  \* MERGEFORMAT </w:instrText>
    </w:r>
    <w:r w:rsidR="00945887" w:rsidRPr="00162375">
      <w:rPr>
        <w:rFonts w:ascii="Arial" w:hAnsi="Arial" w:cs="Arial"/>
        <w:b/>
        <w:sz w:val="20"/>
      </w:rPr>
      <w:fldChar w:fldCharType="end"/>
    </w:r>
  </w:p>
  <w:p w14:paraId="4B5A8593" w14:textId="77777777" w:rsidR="00514D90" w:rsidRDefault="00514D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B3DCA" w14:textId="77777777" w:rsidR="00514D90" w:rsidRPr="00162375" w:rsidRDefault="00514D90" w:rsidP="00162375">
    <w:pPr>
      <w:pStyle w:val="Header"/>
      <w:jc w:val="center"/>
      <w:rPr>
        <w:rFonts w:ascii="Arial" w:hAnsi="Arial" w:cs="Arial"/>
        <w:b/>
        <w:sz w:val="20"/>
      </w:rPr>
    </w:pPr>
    <w:r w:rsidRPr="00162375">
      <w:rPr>
        <w:rFonts w:ascii="Arial" w:hAnsi="Arial" w:cs="Arial"/>
        <w:b/>
        <w:sz w:val="20"/>
      </w:rPr>
      <w:t xml:space="preserve"> </w:t>
    </w:r>
  </w:p>
  <w:p w14:paraId="389E236F" w14:textId="77777777" w:rsidR="00514D90" w:rsidRDefault="00514D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162375"/>
    <w:rsid w:val="00037944"/>
    <w:rsid w:val="00043CDD"/>
    <w:rsid w:val="00047823"/>
    <w:rsid w:val="00061A11"/>
    <w:rsid w:val="00061F91"/>
    <w:rsid w:val="000749F8"/>
    <w:rsid w:val="001026E5"/>
    <w:rsid w:val="00133460"/>
    <w:rsid w:val="00137944"/>
    <w:rsid w:val="00162375"/>
    <w:rsid w:val="00190DD8"/>
    <w:rsid w:val="001D526F"/>
    <w:rsid w:val="00265A43"/>
    <w:rsid w:val="002A2B43"/>
    <w:rsid w:val="002D1E7B"/>
    <w:rsid w:val="002E6B8A"/>
    <w:rsid w:val="002F623D"/>
    <w:rsid w:val="003201B7"/>
    <w:rsid w:val="003233B4"/>
    <w:rsid w:val="00342A20"/>
    <w:rsid w:val="003432E8"/>
    <w:rsid w:val="0037029A"/>
    <w:rsid w:val="003770A2"/>
    <w:rsid w:val="003A66F3"/>
    <w:rsid w:val="003B4B19"/>
    <w:rsid w:val="003B71BB"/>
    <w:rsid w:val="003C58F5"/>
    <w:rsid w:val="003F17B6"/>
    <w:rsid w:val="00424FD9"/>
    <w:rsid w:val="00441AD8"/>
    <w:rsid w:val="0046083E"/>
    <w:rsid w:val="0048658C"/>
    <w:rsid w:val="004A1FDC"/>
    <w:rsid w:val="004D1F03"/>
    <w:rsid w:val="00513962"/>
    <w:rsid w:val="00514D90"/>
    <w:rsid w:val="00543DFE"/>
    <w:rsid w:val="005C30EF"/>
    <w:rsid w:val="005C717E"/>
    <w:rsid w:val="005D05A1"/>
    <w:rsid w:val="005E19E3"/>
    <w:rsid w:val="005E395D"/>
    <w:rsid w:val="005E5CD1"/>
    <w:rsid w:val="0061474B"/>
    <w:rsid w:val="0062221B"/>
    <w:rsid w:val="00634C87"/>
    <w:rsid w:val="00661F7A"/>
    <w:rsid w:val="006C4EAF"/>
    <w:rsid w:val="006E62E4"/>
    <w:rsid w:val="007430B6"/>
    <w:rsid w:val="00762385"/>
    <w:rsid w:val="00790051"/>
    <w:rsid w:val="007A079F"/>
    <w:rsid w:val="007B3952"/>
    <w:rsid w:val="007E1923"/>
    <w:rsid w:val="00835CEA"/>
    <w:rsid w:val="008A6777"/>
    <w:rsid w:val="008E52AB"/>
    <w:rsid w:val="008E61B7"/>
    <w:rsid w:val="00945887"/>
    <w:rsid w:val="009579B3"/>
    <w:rsid w:val="009660C3"/>
    <w:rsid w:val="009E1D12"/>
    <w:rsid w:val="009E2780"/>
    <w:rsid w:val="00A11D53"/>
    <w:rsid w:val="00A378D4"/>
    <w:rsid w:val="00A42587"/>
    <w:rsid w:val="00A775B6"/>
    <w:rsid w:val="00A8488E"/>
    <w:rsid w:val="00A87715"/>
    <w:rsid w:val="00A90162"/>
    <w:rsid w:val="00A92EDE"/>
    <w:rsid w:val="00AA2238"/>
    <w:rsid w:val="00AA6962"/>
    <w:rsid w:val="00B124B4"/>
    <w:rsid w:val="00B35D06"/>
    <w:rsid w:val="00B41818"/>
    <w:rsid w:val="00B43801"/>
    <w:rsid w:val="00B43EE6"/>
    <w:rsid w:val="00B83E8D"/>
    <w:rsid w:val="00BA4577"/>
    <w:rsid w:val="00BC58E4"/>
    <w:rsid w:val="00BD1865"/>
    <w:rsid w:val="00BD7D2C"/>
    <w:rsid w:val="00C30287"/>
    <w:rsid w:val="00CD5169"/>
    <w:rsid w:val="00CF10FA"/>
    <w:rsid w:val="00D304BD"/>
    <w:rsid w:val="00D467BA"/>
    <w:rsid w:val="00DB07AE"/>
    <w:rsid w:val="00DC1816"/>
    <w:rsid w:val="00DF4504"/>
    <w:rsid w:val="00E218ED"/>
    <w:rsid w:val="00E221AD"/>
    <w:rsid w:val="00E85C2C"/>
    <w:rsid w:val="00E92E2D"/>
    <w:rsid w:val="00EA5B9F"/>
    <w:rsid w:val="00EA5E7E"/>
    <w:rsid w:val="00EB2293"/>
    <w:rsid w:val="00EB7D91"/>
    <w:rsid w:val="00EC01B5"/>
    <w:rsid w:val="00EC08F0"/>
    <w:rsid w:val="00F94AD5"/>
    <w:rsid w:val="00FA1307"/>
    <w:rsid w:val="00FF03FC"/>
    <w:rsid w:val="00FF3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8989"/>
  <w15:docId w15:val="{FC3702BA-C94D-4E42-B374-A5CC325A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375"/>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375"/>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162375"/>
  </w:style>
  <w:style w:type="paragraph" w:styleId="Footer">
    <w:name w:val="footer"/>
    <w:basedOn w:val="Normal"/>
    <w:link w:val="FooterChar"/>
    <w:uiPriority w:val="99"/>
    <w:unhideWhenUsed/>
    <w:rsid w:val="00162375"/>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162375"/>
  </w:style>
  <w:style w:type="paragraph" w:customStyle="1" w:styleId="Default">
    <w:name w:val="Default"/>
    <w:basedOn w:val="Normal"/>
    <w:rsid w:val="00162375"/>
    <w:pPr>
      <w:autoSpaceDE w:val="0"/>
      <w:autoSpaceDN w:val="0"/>
    </w:pPr>
    <w:rPr>
      <w:rFonts w:ascii="Arial" w:hAnsi="Arial" w:cs="Arial"/>
      <w:color w:val="000000"/>
      <w:sz w:val="24"/>
      <w:szCs w:val="24"/>
    </w:rPr>
  </w:style>
  <w:style w:type="character" w:styleId="Hyperlink">
    <w:name w:val="Hyperlink"/>
    <w:basedOn w:val="DefaultParagraphFont"/>
    <w:uiPriority w:val="99"/>
    <w:semiHidden/>
    <w:unhideWhenUsed/>
    <w:rsid w:val="005E395D"/>
    <w:rPr>
      <w:color w:val="0000FF"/>
      <w:u w:val="single"/>
    </w:rPr>
  </w:style>
  <w:style w:type="character" w:customStyle="1" w:styleId="apple-converted-space">
    <w:name w:val="apple-converted-space"/>
    <w:basedOn w:val="DefaultParagraphFont"/>
    <w:rsid w:val="005E395D"/>
  </w:style>
  <w:style w:type="character" w:styleId="CommentReference">
    <w:name w:val="annotation reference"/>
    <w:basedOn w:val="DefaultParagraphFont"/>
    <w:uiPriority w:val="99"/>
    <w:semiHidden/>
    <w:unhideWhenUsed/>
    <w:rsid w:val="003233B4"/>
    <w:rPr>
      <w:sz w:val="16"/>
      <w:szCs w:val="16"/>
    </w:rPr>
  </w:style>
  <w:style w:type="paragraph" w:styleId="CommentText">
    <w:name w:val="annotation text"/>
    <w:basedOn w:val="Normal"/>
    <w:link w:val="CommentTextChar"/>
    <w:uiPriority w:val="99"/>
    <w:semiHidden/>
    <w:unhideWhenUsed/>
    <w:rsid w:val="003233B4"/>
    <w:rPr>
      <w:sz w:val="20"/>
      <w:szCs w:val="20"/>
    </w:rPr>
  </w:style>
  <w:style w:type="character" w:customStyle="1" w:styleId="CommentTextChar">
    <w:name w:val="Comment Text Char"/>
    <w:basedOn w:val="DefaultParagraphFont"/>
    <w:link w:val="CommentText"/>
    <w:uiPriority w:val="99"/>
    <w:semiHidden/>
    <w:rsid w:val="003233B4"/>
    <w:rPr>
      <w:rFonts w:ascii="Calibri" w:hAnsi="Calibri"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233B4"/>
    <w:rPr>
      <w:b/>
      <w:bCs/>
    </w:rPr>
  </w:style>
  <w:style w:type="character" w:customStyle="1" w:styleId="CommentSubjectChar">
    <w:name w:val="Comment Subject Char"/>
    <w:basedOn w:val="CommentTextChar"/>
    <w:link w:val="CommentSubject"/>
    <w:uiPriority w:val="99"/>
    <w:semiHidden/>
    <w:rsid w:val="003233B4"/>
    <w:rPr>
      <w:rFonts w:ascii="Calibri" w:hAnsi="Calibri" w:cs="Times New Roman"/>
      <w:b/>
      <w:bCs/>
      <w:sz w:val="20"/>
      <w:szCs w:val="20"/>
      <w:lang w:eastAsia="en-GB"/>
    </w:rPr>
  </w:style>
  <w:style w:type="paragraph" w:styleId="BalloonText">
    <w:name w:val="Balloon Text"/>
    <w:basedOn w:val="Normal"/>
    <w:link w:val="BalloonTextChar"/>
    <w:uiPriority w:val="99"/>
    <w:semiHidden/>
    <w:unhideWhenUsed/>
    <w:rsid w:val="003233B4"/>
    <w:rPr>
      <w:rFonts w:ascii="Tahoma" w:hAnsi="Tahoma" w:cs="Tahoma"/>
      <w:sz w:val="16"/>
      <w:szCs w:val="16"/>
    </w:rPr>
  </w:style>
  <w:style w:type="character" w:customStyle="1" w:styleId="BalloonTextChar">
    <w:name w:val="Balloon Text Char"/>
    <w:basedOn w:val="DefaultParagraphFont"/>
    <w:link w:val="BalloonText"/>
    <w:uiPriority w:val="99"/>
    <w:semiHidden/>
    <w:rsid w:val="003233B4"/>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7130">
      <w:bodyDiv w:val="1"/>
      <w:marLeft w:val="0"/>
      <w:marRight w:val="0"/>
      <w:marTop w:val="0"/>
      <w:marBottom w:val="0"/>
      <w:divBdr>
        <w:top w:val="none" w:sz="0" w:space="0" w:color="auto"/>
        <w:left w:val="none" w:sz="0" w:space="0" w:color="auto"/>
        <w:bottom w:val="none" w:sz="0" w:space="0" w:color="auto"/>
        <w:right w:val="none" w:sz="0" w:space="0" w:color="auto"/>
      </w:divBdr>
    </w:div>
    <w:div w:id="230428880">
      <w:bodyDiv w:val="1"/>
      <w:marLeft w:val="0"/>
      <w:marRight w:val="0"/>
      <w:marTop w:val="0"/>
      <w:marBottom w:val="0"/>
      <w:divBdr>
        <w:top w:val="none" w:sz="0" w:space="0" w:color="auto"/>
        <w:left w:val="none" w:sz="0" w:space="0" w:color="auto"/>
        <w:bottom w:val="none" w:sz="0" w:space="0" w:color="auto"/>
        <w:right w:val="none" w:sz="0" w:space="0" w:color="auto"/>
      </w:divBdr>
    </w:div>
    <w:div w:id="615408555">
      <w:bodyDiv w:val="1"/>
      <w:marLeft w:val="0"/>
      <w:marRight w:val="0"/>
      <w:marTop w:val="0"/>
      <w:marBottom w:val="0"/>
      <w:divBdr>
        <w:top w:val="none" w:sz="0" w:space="0" w:color="auto"/>
        <w:left w:val="none" w:sz="0" w:space="0" w:color="auto"/>
        <w:bottom w:val="none" w:sz="0" w:space="0" w:color="auto"/>
        <w:right w:val="none" w:sz="0" w:space="0" w:color="auto"/>
      </w:divBdr>
    </w:div>
    <w:div w:id="1947233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0450E2-1607-4F9E-BAB4-91BF46476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KIP's</vt:lpstr>
    </vt:vector>
  </TitlesOfParts>
  <Company>FCO</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KIP's</dc:title>
  <dc:creator>ctirado</dc:creator>
  <cp:lastModifiedBy>Patricia Quartarollo</cp:lastModifiedBy>
  <cp:revision>3</cp:revision>
  <cp:lastPrinted>2017-07-17T19:31:00Z</cp:lastPrinted>
  <dcterms:created xsi:type="dcterms:W3CDTF">2019-02-14T17:01:00Z</dcterms:created>
  <dcterms:modified xsi:type="dcterms:W3CDTF">2019-02-14T17:01:00Z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Unit">
    <vt:lpwstr> </vt:lpwstr>
  </property>
  <property fmtid="{D5CDD505-2E9C-101B-9397-08002B2CF9AE}" pid="3" name="GeographicalCoverage">
    <vt:lpwstr> </vt:lpwstr>
  </property>
  <property fmtid="{D5CDD505-2E9C-101B-9397-08002B2CF9AE}" pid="4" name="Privacy">
    <vt:lpwstr/>
  </property>
  <property fmtid="{D5CDD505-2E9C-101B-9397-08002B2CF9AE}" pid="5" name="Classification">
    <vt:lpwstr>OFFICIAL</vt:lpwstr>
  </property>
  <property fmtid="{D5CDD505-2E9C-101B-9397-08002B2CF9AE}" pid="6" name="AlternativeTitle">
    <vt:lpwstr/>
  </property>
  <property fmtid="{D5CDD505-2E9C-101B-9397-08002B2CF9AE}" pid="7" name="SubjectCode">
    <vt:lpwstr> </vt:lpwstr>
  </property>
  <property fmtid="{D5CDD505-2E9C-101B-9397-08002B2CF9AE}" pid="8" name="DocType">
    <vt:lpwstr>Normal</vt:lpwstr>
  </property>
  <property fmtid="{D5CDD505-2E9C-101B-9397-08002B2CF9AE}" pid="9" name="SourceSystem">
    <vt:lpwstr>IREC</vt:lpwstr>
  </property>
  <property fmtid="{D5CDD505-2E9C-101B-9397-08002B2CF9AE}" pid="10" name="Originator">
    <vt:lpwstr> </vt:lpwstr>
  </property>
  <property fmtid="{D5CDD505-2E9C-101B-9397-08002B2CF9AE}" pid="11" name="MaintainMarking">
    <vt:lpwstr>True</vt:lpwstr>
  </property>
  <property fmtid="{D5CDD505-2E9C-101B-9397-08002B2CF9AE}" pid="12" name="MaintainPath">
    <vt:lpwstr>True</vt:lpwstr>
  </property>
  <property fmtid="{D5CDD505-2E9C-101B-9397-08002B2CF9AE}" pid="13" name="Created">
    <vt:filetime>2017-07-14T05:00:00Z</vt:filetime>
  </property>
</Properties>
</file>