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F94FA81"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153A7E">
        <w:rPr>
          <w:rFonts w:eastAsia="Times New Roman" w:cs="Arial"/>
        </w:rPr>
        <w:t>Supplier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2358EFED"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 xml:space="preserve">Guidance – sets out information for the </w:t>
      </w:r>
      <w:r w:rsidR="00153A7E">
        <w:rPr>
          <w:rFonts w:eastAsia="Times New Roman" w:cs="Arial"/>
        </w:rPr>
        <w:t>Suppliers</w:t>
      </w:r>
      <w:r>
        <w:rPr>
          <w:rFonts w:eastAsia="Times New Roman" w:cs="Arial"/>
        </w:rPr>
        <w:t xml:space="preserve">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98522C" w14:paraId="69FD7D79" w14:textId="77777777" w:rsidTr="00714E0F">
        <w:tc>
          <w:tcPr>
            <w:tcW w:w="2961" w:type="dxa"/>
          </w:tcPr>
          <w:p w14:paraId="22A0A899" w14:textId="3CE6DA55" w:rsidR="0098522C" w:rsidRDefault="0098522C" w:rsidP="0098522C">
            <w:pPr>
              <w:spacing w:before="240" w:after="240" w:line="360" w:lineRule="auto"/>
              <w:contextualSpacing/>
              <w:jc w:val="center"/>
              <w:rPr>
                <w:rFonts w:cs="Arial"/>
              </w:rPr>
            </w:pPr>
            <w:r>
              <w:rPr>
                <w:rFonts w:cs="Arial"/>
              </w:rPr>
              <w:t>4</w:t>
            </w:r>
          </w:p>
        </w:tc>
        <w:tc>
          <w:tcPr>
            <w:tcW w:w="5669" w:type="dxa"/>
          </w:tcPr>
          <w:p w14:paraId="0870C9E1" w14:textId="417ECD38" w:rsidR="0098522C" w:rsidRDefault="0098522C" w:rsidP="0098522C">
            <w:pPr>
              <w:spacing w:before="240" w:after="240" w:line="360" w:lineRule="auto"/>
              <w:contextualSpacing/>
              <w:jc w:val="both"/>
              <w:rPr>
                <w:rFonts w:cs="Arial"/>
              </w:rPr>
            </w:pPr>
            <w:r w:rsidRPr="00420A47">
              <w:t xml:space="preserve">TEAM CAPABILITY </w:t>
            </w:r>
          </w:p>
        </w:tc>
      </w:tr>
      <w:tr w:rsidR="0098522C" w14:paraId="55C01016" w14:textId="77777777" w:rsidTr="00714E0F">
        <w:tc>
          <w:tcPr>
            <w:tcW w:w="2961" w:type="dxa"/>
          </w:tcPr>
          <w:p w14:paraId="62ECA79C" w14:textId="7F52C14C" w:rsidR="0098522C" w:rsidRDefault="0098522C" w:rsidP="0098522C">
            <w:pPr>
              <w:spacing w:before="240" w:after="240" w:line="360" w:lineRule="auto"/>
              <w:contextualSpacing/>
              <w:jc w:val="center"/>
              <w:rPr>
                <w:rFonts w:cs="Arial"/>
              </w:rPr>
            </w:pPr>
            <w:r>
              <w:rPr>
                <w:rFonts w:cs="Arial"/>
              </w:rPr>
              <w:t>5</w:t>
            </w:r>
          </w:p>
        </w:tc>
        <w:tc>
          <w:tcPr>
            <w:tcW w:w="5669" w:type="dxa"/>
          </w:tcPr>
          <w:p w14:paraId="2BE6F134" w14:textId="1651B2F7" w:rsidR="0098522C" w:rsidRPr="00CA757D" w:rsidRDefault="0098522C" w:rsidP="0098522C">
            <w:pPr>
              <w:spacing w:before="240" w:after="240" w:line="360" w:lineRule="auto"/>
              <w:contextualSpacing/>
              <w:jc w:val="both"/>
              <w:rPr>
                <w:rFonts w:cs="Arial"/>
                <w:highlight w:val="yellow"/>
              </w:rPr>
            </w:pPr>
            <w:r w:rsidRPr="00420A47">
              <w:t xml:space="preserve">DATA QUALITY AND METHODOLOGY </w:t>
            </w:r>
          </w:p>
        </w:tc>
      </w:tr>
      <w:tr w:rsidR="0098522C" w14:paraId="318DFA23" w14:textId="77777777" w:rsidTr="00714E0F">
        <w:tc>
          <w:tcPr>
            <w:tcW w:w="2961" w:type="dxa"/>
          </w:tcPr>
          <w:p w14:paraId="2210A136" w14:textId="24CE7952" w:rsidR="0098522C" w:rsidRDefault="0098522C" w:rsidP="0098522C">
            <w:pPr>
              <w:spacing w:before="240" w:after="240" w:line="360" w:lineRule="auto"/>
              <w:contextualSpacing/>
              <w:jc w:val="center"/>
              <w:rPr>
                <w:rFonts w:cs="Arial"/>
              </w:rPr>
            </w:pPr>
            <w:r>
              <w:rPr>
                <w:rFonts w:cs="Arial"/>
              </w:rPr>
              <w:t>6</w:t>
            </w:r>
          </w:p>
        </w:tc>
        <w:tc>
          <w:tcPr>
            <w:tcW w:w="5669" w:type="dxa"/>
          </w:tcPr>
          <w:p w14:paraId="730568AF" w14:textId="01F11F06" w:rsidR="0098522C" w:rsidRPr="00CA757D" w:rsidRDefault="0098522C" w:rsidP="0098522C">
            <w:pPr>
              <w:spacing w:before="240" w:after="240" w:line="360" w:lineRule="auto"/>
              <w:contextualSpacing/>
              <w:jc w:val="both"/>
              <w:rPr>
                <w:rFonts w:cs="Arial"/>
                <w:highlight w:val="yellow"/>
              </w:rPr>
            </w:pPr>
            <w:r w:rsidRPr="00420A47">
              <w:t xml:space="preserve">FUNCTIONAL DATA </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7B84FDE"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BA2E6A">
        <w:rPr>
          <w:rFonts w:cs="Arial"/>
        </w:rPr>
        <w:t>Suppliers</w:t>
      </w:r>
      <w:r w:rsidR="008E4A6C">
        <w:rPr>
          <w:rFonts w:cs="Arial"/>
        </w:rPr>
        <w:t xml:space="preserve">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41E9751E"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 xml:space="preserve">uted to each </w:t>
      </w:r>
      <w:r w:rsidR="00BA2E6A">
        <w:rPr>
          <w:rFonts w:cs="Arial"/>
        </w:rPr>
        <w:t xml:space="preserve">Suppliers’ </w:t>
      </w:r>
      <w:r w:rsidRPr="00953729">
        <w:rPr>
          <w:rFonts w:cs="Arial"/>
        </w:rPr>
        <w:t>answer to the question</w:t>
      </w:r>
      <w:r w:rsidR="00935ADB">
        <w:rPr>
          <w:rFonts w:cs="Arial"/>
        </w:rPr>
        <w:t>s</w:t>
      </w:r>
      <w:r w:rsidRPr="00953729">
        <w:rPr>
          <w:rFonts w:cs="Arial"/>
        </w:rPr>
        <w:t xml:space="preserve">. </w:t>
      </w:r>
    </w:p>
    <w:p w14:paraId="04F092ED" w14:textId="77777777" w:rsidR="00440F39" w:rsidRPr="00384563" w:rsidRDefault="00440F39" w:rsidP="00153A7E">
      <w:pPr>
        <w:spacing w:before="120" w:after="480" w:line="240" w:lineRule="auto"/>
        <w:ind w:left="1418"/>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324507A9" w:rsidR="00283A43" w:rsidRPr="00E8189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153A7E">
        <w:rPr>
          <w:rFonts w:cs="Arial"/>
        </w:rPr>
        <w:t>Suppliers’</w:t>
      </w:r>
      <w:r w:rsidRPr="00283A43">
        <w:rPr>
          <w:rFonts w:cs="Arial"/>
        </w:rPr>
        <w:t xml:space="preserve"> in </w:t>
      </w:r>
      <w:r w:rsidRPr="00E81893">
        <w:rPr>
          <w:rFonts w:cs="Arial"/>
        </w:rPr>
        <w:t xml:space="preserve">the </w:t>
      </w:r>
      <w:r w:rsidR="001F0B62" w:rsidRPr="00E81893">
        <w:rPr>
          <w:rFonts w:cs="Arial"/>
        </w:rPr>
        <w:t>Price Schedule</w:t>
      </w:r>
      <w:r w:rsidRPr="00E81893">
        <w:rPr>
          <w:rFonts w:cs="Arial"/>
        </w:rPr>
        <w:t xml:space="preserve"> 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49FFA778" w:rsidR="00283A43" w:rsidRPr="00E81893" w:rsidRDefault="00153A7E" w:rsidP="00E7197A">
      <w:pPr>
        <w:numPr>
          <w:ilvl w:val="2"/>
          <w:numId w:val="7"/>
        </w:numPr>
        <w:spacing w:before="120" w:after="480" w:line="240" w:lineRule="auto"/>
        <w:ind w:left="1418" w:hanging="567"/>
        <w:contextualSpacing/>
        <w:jc w:val="both"/>
        <w:rPr>
          <w:rFonts w:cs="Arial"/>
        </w:rPr>
      </w:pPr>
      <w:r>
        <w:rPr>
          <w:rFonts w:cs="Arial"/>
        </w:rPr>
        <w:t>Suppliers</w:t>
      </w:r>
      <w:r w:rsidR="00283A43" w:rsidRPr="00E81893">
        <w:rPr>
          <w:rFonts w:cs="Arial"/>
        </w:rPr>
        <w:t xml:space="preserve"> are required to </w:t>
      </w:r>
      <w:r w:rsidR="001F0B62" w:rsidRPr="00E81893">
        <w:rPr>
          <w:rFonts w:cs="Arial"/>
        </w:rPr>
        <w:t>provide a completed pricing schedule against the ‘Price’ Questionnaire</w:t>
      </w:r>
      <w:r w:rsidR="006A1754" w:rsidRPr="00E81893">
        <w:rPr>
          <w:rFonts w:cs="Arial"/>
        </w:rPr>
        <w:t xml:space="preserve"> </w:t>
      </w:r>
      <w:r w:rsidR="00283A43" w:rsidRPr="00E81893">
        <w:rPr>
          <w:rFonts w:cs="Arial"/>
        </w:rPr>
        <w:t>within the e-Sourcing event</w:t>
      </w:r>
      <w:r w:rsidR="00E7197A" w:rsidRPr="00E81893">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E2B4C5"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 xml:space="preserve">l </w:t>
      </w:r>
      <w:r w:rsidR="00153A7E">
        <w:rPr>
          <w:rFonts w:cs="Arial"/>
        </w:rPr>
        <w:t>Suppliers</w:t>
      </w:r>
      <w:r w:rsidR="00E7197A">
        <w:rPr>
          <w:rFonts w:cs="Arial"/>
        </w:rPr>
        <w:t xml:space="preserve">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4E9F3838" w:rsidR="0032720C" w:rsidRPr="00E81893" w:rsidRDefault="0032720C" w:rsidP="00E7197A">
      <w:pPr>
        <w:numPr>
          <w:ilvl w:val="2"/>
          <w:numId w:val="7"/>
        </w:numPr>
        <w:spacing w:before="120" w:after="480" w:line="240" w:lineRule="auto"/>
        <w:ind w:left="1418" w:hanging="567"/>
        <w:contextualSpacing/>
        <w:jc w:val="both"/>
        <w:rPr>
          <w:rFonts w:cs="Arial"/>
        </w:rPr>
      </w:pPr>
      <w:r w:rsidRPr="00E81893">
        <w:rPr>
          <w:rFonts w:cs="Arial"/>
        </w:rPr>
        <w:t xml:space="preserve">The </w:t>
      </w:r>
      <w:r w:rsidR="00153A7E">
        <w:rPr>
          <w:rFonts w:cs="Arial"/>
        </w:rPr>
        <w:t>Supplier</w:t>
      </w:r>
      <w:r w:rsidRPr="00E81893">
        <w:rPr>
          <w:rFonts w:cs="Arial"/>
        </w:rPr>
        <w:t xml:space="preserve"> with the lowest price </w:t>
      </w:r>
      <w:r w:rsidR="00AB1FEC" w:rsidRPr="00E81893">
        <w:rPr>
          <w:rFonts w:cs="Arial"/>
        </w:rPr>
        <w:t>the requirement</w:t>
      </w:r>
      <w:r w:rsidRPr="00E81893">
        <w:rPr>
          <w:rFonts w:cs="Arial"/>
        </w:rPr>
        <w:t xml:space="preserve"> shall be awarded the Maximum Score Available. The remaining </w:t>
      </w:r>
      <w:r w:rsidR="00153A7E">
        <w:rPr>
          <w:rFonts w:cs="Arial"/>
        </w:rPr>
        <w:t>Suppliers</w:t>
      </w:r>
      <w:r w:rsidRPr="00E81893">
        <w:rPr>
          <w:rFonts w:cs="Arial"/>
        </w:rPr>
        <w:t xml:space="preserve">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47D5250C" w:rsidR="001C0C3F" w:rsidRPr="00AB1FEC" w:rsidRDefault="00BA2E6A" w:rsidP="001C0C3F">
            <w:pPr>
              <w:spacing w:before="120" w:after="480" w:line="240" w:lineRule="auto"/>
              <w:contextualSpacing/>
              <w:jc w:val="center"/>
              <w:rPr>
                <w:rFonts w:cs="Arial"/>
                <w:b/>
              </w:rPr>
            </w:pPr>
            <w:r>
              <w:rPr>
                <w:rFonts w:cs="Arial"/>
                <w:b/>
              </w:rPr>
              <w:t>Supplier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79D56FC6" w:rsidR="001C0C3F" w:rsidRDefault="00BA2E6A" w:rsidP="00AB1FEC">
            <w:pPr>
              <w:spacing w:before="120" w:after="480" w:line="240" w:lineRule="auto"/>
              <w:contextualSpacing/>
              <w:jc w:val="center"/>
              <w:rPr>
                <w:rFonts w:cs="Arial"/>
              </w:rPr>
            </w:pPr>
            <w:r>
              <w:rPr>
                <w:rFonts w:cs="Arial"/>
              </w:rPr>
              <w:t>Supplier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A84F9D3" w:rsidR="001C0C3F" w:rsidRDefault="00BA2E6A" w:rsidP="00AB1FEC">
            <w:pPr>
              <w:spacing w:before="120" w:after="480" w:line="240" w:lineRule="auto"/>
              <w:contextualSpacing/>
              <w:jc w:val="center"/>
              <w:rPr>
                <w:rFonts w:cs="Arial"/>
              </w:rPr>
            </w:pPr>
            <w:r>
              <w:rPr>
                <w:rFonts w:cs="Arial"/>
              </w:rPr>
              <w:t>Supplier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1CE8C331" w:rsidR="001C0C3F" w:rsidRDefault="00BA2E6A" w:rsidP="00AB1FEC">
            <w:pPr>
              <w:spacing w:before="120" w:after="480" w:line="240" w:lineRule="auto"/>
              <w:contextualSpacing/>
              <w:jc w:val="center"/>
              <w:rPr>
                <w:rFonts w:cs="Arial"/>
              </w:rPr>
            </w:pPr>
            <w:r>
              <w:rPr>
                <w:rFonts w:cs="Arial"/>
              </w:rPr>
              <w:t>Supplier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6C8D6480" w:rsidR="00E7197A" w:rsidRPr="00605C0C" w:rsidRDefault="00E7197A" w:rsidP="00E7197A">
      <w:pPr>
        <w:numPr>
          <w:ilvl w:val="1"/>
          <w:numId w:val="7"/>
        </w:numPr>
        <w:spacing w:before="120" w:after="480" w:line="240" w:lineRule="auto"/>
        <w:contextualSpacing/>
        <w:jc w:val="both"/>
        <w:rPr>
          <w:rFonts w:cs="Arial"/>
        </w:rPr>
      </w:pPr>
      <w:r w:rsidRPr="00605C0C">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67963776" w:rsidR="00AB1FEC" w:rsidRDefault="00E7197A" w:rsidP="00AB1FEC">
      <w:pPr>
        <w:numPr>
          <w:ilvl w:val="2"/>
          <w:numId w:val="7"/>
        </w:numPr>
        <w:ind w:left="1418" w:hanging="567"/>
        <w:jc w:val="both"/>
        <w:rPr>
          <w:rFonts w:cs="Arial"/>
        </w:rPr>
      </w:pPr>
      <w:r w:rsidRPr="00E7197A">
        <w:rPr>
          <w:rFonts w:cs="Arial"/>
        </w:rPr>
        <w:t xml:space="preserve">The Quality Score will be added to the Price Score to determine the final score for each </w:t>
      </w:r>
      <w:r w:rsidR="00BA2E6A">
        <w:rPr>
          <w:rFonts w:cs="Arial"/>
        </w:rPr>
        <w:t>Supplier</w:t>
      </w:r>
      <w:r w:rsidRPr="00E7197A">
        <w:rPr>
          <w:rFonts w:cs="Arial"/>
        </w:rPr>
        <w:t xml:space="preserve">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27C7C15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 xml:space="preserve">Questionnaires 1 and 2 contain ‘Pass/Fail’ questions and act as a doorway for progression to the following stages of the evaluation. </w:t>
      </w:r>
      <w:r w:rsidR="00153A7E">
        <w:rPr>
          <w:rFonts w:eastAsia="Times New Roman" w:cs="Arial"/>
        </w:rPr>
        <w:t>Suppliers</w:t>
      </w:r>
      <w:r>
        <w:rPr>
          <w:rFonts w:eastAsia="Times New Roman" w:cs="Arial"/>
        </w:rPr>
        <w:t xml:space="preserve">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0239E82E"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w:t>
      </w:r>
      <w:r w:rsidR="00153A7E">
        <w:rPr>
          <w:rFonts w:eastAsia="Times New Roman" w:cs="Arial"/>
        </w:rPr>
        <w:t>Suppliers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1013D78D" w:rsidR="00941689" w:rsidRPr="00351F53" w:rsidRDefault="00941689" w:rsidP="00153A7E">
            <w:pPr>
              <w:spacing w:after="0" w:line="240" w:lineRule="auto"/>
              <w:rPr>
                <w:rFonts w:cs="Arial"/>
              </w:rPr>
            </w:pPr>
            <w:r w:rsidRPr="00351F53">
              <w:rPr>
                <w:rFonts w:cs="Arial"/>
              </w:rPr>
              <w:t xml:space="preserve">The following questions  are ‘Pass/Fail’ questions. If </w:t>
            </w:r>
            <w:r w:rsidR="00153A7E">
              <w:rPr>
                <w:rFonts w:cs="Arial"/>
              </w:rPr>
              <w:t>Suppliers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153A7E">
              <w:rPr>
                <w:rFonts w:cs="Arial"/>
              </w:rPr>
              <w:t>Suppliers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153A7E">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38311E6F" w:rsidR="00B52099" w:rsidRPr="00625CDE" w:rsidRDefault="00605C0C"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678405FE" w:rsidR="001005DC" w:rsidRPr="00625CDE" w:rsidRDefault="00605C0C"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031DD766" w:rsidR="00BC2C3D" w:rsidRPr="00625CDE" w:rsidRDefault="00605C0C"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4B74E589" w:rsidR="00BC2C3D" w:rsidRPr="00625CDE" w:rsidRDefault="00605C0C" w:rsidP="00625CDE">
            <w:pPr>
              <w:spacing w:before="60" w:after="60" w:line="240" w:lineRule="auto"/>
              <w:rPr>
                <w:rFonts w:cs="Arial"/>
              </w:rPr>
            </w:pPr>
            <w:r w:rsidRPr="00605C0C">
              <w:rPr>
                <w:color w:val="000000" w:themeColor="text1"/>
              </w:rPr>
              <w:t xml:space="preserve">Do you agree, </w:t>
            </w:r>
            <w:r w:rsidRPr="00153A7E">
              <w:rPr>
                <w:color w:val="000000" w:themeColor="text1"/>
              </w:rPr>
              <w:t>without caveats or limitations, that in the event that you are successful the Crown Commercial Service’s Terms and Conditions within Appendix C, 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2465B00F" w:rsidR="00930F24" w:rsidRPr="00625CDE" w:rsidRDefault="00605C0C"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7907A90B" w:rsidR="00041498" w:rsidRPr="00336532" w:rsidRDefault="00041498" w:rsidP="00153A7E">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 xml:space="preserve">n 2.2 is a Pass / Fail question. </w:t>
            </w:r>
            <w:r w:rsidR="00153A7E">
              <w:rPr>
                <w:rFonts w:eastAsia="SimSun"/>
                <w:lang w:eastAsia="zh-CN"/>
              </w:rPr>
              <w:t>Suppliers</w:t>
            </w:r>
            <w:r w:rsidR="00336532" w:rsidRPr="00351F53">
              <w:rPr>
                <w:rFonts w:eastAsia="SimSun"/>
                <w:lang w:eastAsia="zh-CN"/>
              </w:rPr>
              <w:t xml:space="preserve">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153A7E">
              <w:rPr>
                <w:rFonts w:eastAsia="SimSun"/>
                <w:lang w:eastAsia="zh-CN"/>
              </w:rPr>
              <w:t>Suppliers</w:t>
            </w:r>
            <w:r w:rsidRPr="00351F53">
              <w:rPr>
                <w:rFonts w:eastAsia="SimSun"/>
                <w:lang w:eastAsia="zh-CN"/>
              </w:rPr>
              <w:t xml:space="preserve"> cannot or are unwilling to suitably </w:t>
            </w:r>
            <w:r w:rsidRPr="00351F53">
              <w:rPr>
                <w:rFonts w:eastAsia="SimSun"/>
                <w:lang w:eastAsia="zh-CN"/>
              </w:rPr>
              <w:lastRenderedPageBreak/>
              <w:t xml:space="preserve">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0F824A6E" w:rsidR="004F5DD4" w:rsidRPr="00147082" w:rsidRDefault="00605C0C"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57397A8E" w:rsidR="00BD1E75" w:rsidRPr="00147082" w:rsidRDefault="00605C0C"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3A76B915" w:rsidR="00BD1E75" w:rsidRDefault="00605C0C"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618114B3" w:rsidR="00FF05A6" w:rsidRDefault="00FF05A6" w:rsidP="00605C0C">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24A92A63" w:rsidR="00BD1E75" w:rsidRDefault="00737BFF" w:rsidP="00605C0C">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11CC0BBD" w:rsidR="000737FF" w:rsidRDefault="000737FF" w:rsidP="00605C0C">
            <w:pPr>
              <w:jc w:val="center"/>
            </w:pPr>
            <w:r>
              <w:lastRenderedPageBreak/>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2105CAA8"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w:t>
      </w:r>
      <w:r w:rsidR="00153A7E">
        <w:rPr>
          <w:rFonts w:cs="Arial"/>
        </w:rPr>
        <w:t>Suppliers’</w:t>
      </w:r>
      <w:r w:rsidRPr="004F4B67">
        <w:rPr>
          <w:rFonts w:cs="Arial"/>
        </w:rPr>
        <w:t xml:space="preserve"> ability to deliver the requirement as set out in Appendix B, Statement of Requirements. </w:t>
      </w:r>
      <w:r w:rsidR="00153A7E">
        <w:rPr>
          <w:rFonts w:cs="Arial"/>
        </w:rPr>
        <w:t>Suppliers</w:t>
      </w:r>
      <w:r w:rsidRPr="004F4B67">
        <w:rPr>
          <w:rFonts w:cs="Arial"/>
        </w:rPr>
        <w:t xml:space="preserve">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00D8E684" w:rsidR="00850BAA" w:rsidRPr="00850BAA" w:rsidRDefault="00153A7E" w:rsidP="00850BAA">
      <w:pPr>
        <w:pStyle w:val="ListParagraph"/>
        <w:numPr>
          <w:ilvl w:val="1"/>
          <w:numId w:val="7"/>
        </w:numPr>
        <w:contextualSpacing/>
        <w:jc w:val="both"/>
        <w:rPr>
          <w:rFonts w:cs="Arial"/>
        </w:rPr>
      </w:pPr>
      <w:r>
        <w:rPr>
          <w:rFonts w:cs="Arial"/>
        </w:rPr>
        <w:t>Suppliers</w:t>
      </w:r>
      <w:r w:rsidR="002F58AC">
        <w:rPr>
          <w:rFonts w:cs="Arial"/>
        </w:rPr>
        <w:t xml:space="preserve"> must achieve the minimum acceptable Quality Score</w:t>
      </w:r>
      <w:r w:rsidR="00850BAA">
        <w:rPr>
          <w:rFonts w:cs="Arial"/>
        </w:rPr>
        <w:t>,</w:t>
      </w:r>
      <w:r w:rsidR="002F58AC">
        <w:rPr>
          <w:rFonts w:cs="Arial"/>
        </w:rPr>
        <w:t xml:space="preserve"> as described</w:t>
      </w:r>
      <w:r w:rsidR="00850BAA">
        <w:rPr>
          <w:rFonts w:cs="Arial"/>
        </w:rPr>
        <w:t>,</w:t>
      </w:r>
      <w:r w:rsidR="002F58AC">
        <w:rPr>
          <w:rFonts w:cs="Arial"/>
        </w:rPr>
        <w:t xml:space="preserve"> for each of the questions below. Only those responses which achieve </w:t>
      </w:r>
      <w:r w:rsidR="00850BAA">
        <w:rPr>
          <w:rFonts w:cs="Arial"/>
        </w:rPr>
        <w:t>the minimum acceptable Q</w:t>
      </w:r>
      <w:r w:rsidR="002F58AC">
        <w:rPr>
          <w:rFonts w:cs="Arial"/>
        </w:rPr>
        <w:t xml:space="preserve">uality </w:t>
      </w:r>
      <w:r w:rsidR="00850BAA">
        <w:rPr>
          <w:rFonts w:cs="Arial"/>
        </w:rPr>
        <w:t>S</w:t>
      </w:r>
      <w:r w:rsidR="002F58AC">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774037EF" w14:textId="77777777" w:rsidR="00605C0C" w:rsidRPr="00605C0C" w:rsidRDefault="00605C0C" w:rsidP="00605C0C">
      <w:pPr>
        <w:pStyle w:val="ListParagraph"/>
        <w:rPr>
          <w:rFonts w:cs="Arial"/>
        </w:rPr>
      </w:pPr>
    </w:p>
    <w:p w14:paraId="7F7F397C" w14:textId="77200930" w:rsidR="00C16349" w:rsidRPr="00AF70C0" w:rsidRDefault="00BC3866" w:rsidP="00C16349">
      <w:pPr>
        <w:pStyle w:val="ListParagraph"/>
        <w:numPr>
          <w:ilvl w:val="1"/>
          <w:numId w:val="7"/>
        </w:numPr>
        <w:spacing w:after="240"/>
        <w:jc w:val="both"/>
        <w:rPr>
          <w:rFonts w:cs="Arial"/>
        </w:rPr>
      </w:pPr>
      <w:r>
        <w:rPr>
          <w:rFonts w:cs="Arial"/>
        </w:rPr>
        <w:t>Suppliers</w:t>
      </w:r>
      <w:r w:rsidR="00C16349" w:rsidRPr="000271BD">
        <w:rPr>
          <w:rFonts w:cs="Arial"/>
        </w:rPr>
        <w:t xml:space="preserve"> are able to provide a </w:t>
      </w:r>
      <w:r w:rsidR="00C16349" w:rsidRPr="008B0A3E">
        <w:rPr>
          <w:rFonts w:cs="Arial"/>
          <w:b/>
        </w:rPr>
        <w:t>single (1)</w:t>
      </w:r>
      <w:r w:rsidR="00C16349" w:rsidRPr="007D00D7">
        <w:rPr>
          <w:rFonts w:cs="Arial"/>
        </w:rPr>
        <w:t xml:space="preserve"> document attachment</w:t>
      </w:r>
      <w:r w:rsidR="00C16349" w:rsidRPr="000271BD">
        <w:rPr>
          <w:rFonts w:cs="Arial"/>
        </w:rPr>
        <w:t xml:space="preserve"> </w:t>
      </w:r>
      <w:r w:rsidR="00C16349" w:rsidRPr="00E11100">
        <w:rPr>
          <w:rFonts w:cs="Arial"/>
        </w:rPr>
        <w:t>(including CV’s</w:t>
      </w:r>
      <w:r w:rsidR="00C16349" w:rsidRPr="000271BD">
        <w:rPr>
          <w:rFonts w:cs="Arial"/>
        </w:rPr>
        <w:t xml:space="preserve">) for their Quality proposal to </w:t>
      </w:r>
      <w:r w:rsidR="00C16349" w:rsidRPr="00E11100">
        <w:rPr>
          <w:rFonts w:cs="Arial"/>
        </w:rPr>
        <w:t xml:space="preserve">Questionnaires 4 – </w:t>
      </w:r>
      <w:r w:rsidR="00C16349">
        <w:rPr>
          <w:rFonts w:cs="Arial"/>
        </w:rPr>
        <w:t>6</w:t>
      </w:r>
      <w:r w:rsidR="00C16349" w:rsidRPr="000271BD">
        <w:rPr>
          <w:rFonts w:cs="Arial"/>
        </w:rPr>
        <w:t xml:space="preserve"> which is to be uploaded at question level 4.1. The Pricing Schedule (Appendix E) in response to Questionnaire </w:t>
      </w:r>
      <w:r w:rsidR="00C16349">
        <w:rPr>
          <w:rFonts w:cs="Arial"/>
        </w:rPr>
        <w:t>7</w:t>
      </w:r>
      <w:r w:rsidR="00C16349" w:rsidRPr="000271BD">
        <w:rPr>
          <w:rFonts w:cs="Arial"/>
        </w:rPr>
        <w:t xml:space="preserve"> should be uploaded at question level </w:t>
      </w:r>
      <w:r w:rsidR="00C16349">
        <w:rPr>
          <w:rFonts w:cs="Arial"/>
        </w:rPr>
        <w:t>7</w:t>
      </w:r>
      <w:r w:rsidR="00C16349" w:rsidRPr="000271BD">
        <w:rPr>
          <w:rFonts w:cs="Arial"/>
        </w:rPr>
        <w:t>.1.</w:t>
      </w:r>
    </w:p>
    <w:p w14:paraId="015D81FC" w14:textId="4BF55C12" w:rsidR="00925EC2" w:rsidRPr="008023F4" w:rsidRDefault="00BC3866" w:rsidP="00945618">
      <w:pPr>
        <w:pStyle w:val="ListParagraph"/>
        <w:numPr>
          <w:ilvl w:val="1"/>
          <w:numId w:val="7"/>
        </w:numPr>
        <w:spacing w:after="0"/>
        <w:contextualSpacing/>
        <w:jc w:val="both"/>
        <w:rPr>
          <w:rFonts w:cs="Arial"/>
        </w:rPr>
      </w:pPr>
      <w:r>
        <w:rPr>
          <w:rFonts w:cs="Arial"/>
        </w:rPr>
        <w:t>Suppliers’</w:t>
      </w:r>
      <w:r w:rsidR="00925EC2" w:rsidRPr="008023F4">
        <w:rPr>
          <w:rFonts w:cs="Arial"/>
        </w:rPr>
        <w:t xml:space="preserve"> response</w:t>
      </w:r>
      <w:r w:rsidR="00D33192" w:rsidRPr="008023F4">
        <w:rPr>
          <w:rFonts w:cs="Arial"/>
        </w:rPr>
        <w:t>s</w:t>
      </w:r>
      <w:r w:rsidR="00925EC2" w:rsidRPr="008023F4">
        <w:rPr>
          <w:rFonts w:cs="Arial"/>
        </w:rPr>
        <w:t xml:space="preserve"> must clearly demonstrate how </w:t>
      </w:r>
      <w:r w:rsidR="00D33192"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8D05F1F" w:rsidR="00925EC2" w:rsidRDefault="00BC3866" w:rsidP="00925EC2">
      <w:pPr>
        <w:pStyle w:val="ListParagraph"/>
        <w:numPr>
          <w:ilvl w:val="1"/>
          <w:numId w:val="7"/>
        </w:numPr>
        <w:spacing w:after="0"/>
        <w:contextualSpacing/>
        <w:jc w:val="both"/>
        <w:rPr>
          <w:rFonts w:cs="Arial"/>
        </w:rPr>
      </w:pPr>
      <w:r>
        <w:rPr>
          <w:rFonts w:cs="Arial"/>
        </w:rPr>
        <w:t>Suppliers’</w:t>
      </w:r>
      <w:r w:rsidR="00925EC2" w:rsidRPr="00925EC2">
        <w:rPr>
          <w:rFonts w:cs="Arial"/>
        </w:rPr>
        <w:t xml:space="preserve"> response</w:t>
      </w:r>
      <w:r w:rsidR="00D33192">
        <w:rPr>
          <w:rFonts w:cs="Arial"/>
        </w:rPr>
        <w:t>s</w:t>
      </w:r>
      <w:r w:rsidR="00925EC2" w:rsidRPr="00925EC2">
        <w:rPr>
          <w:rFonts w:cs="Arial"/>
        </w:rPr>
        <w:t xml:space="preserve"> should be limited to, and focused on each of the component parts of the question posed. </w:t>
      </w:r>
      <w:r w:rsidR="00D33192">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3774E3C0" w:rsidR="00925EC2" w:rsidRDefault="00BC3866" w:rsidP="00925EC2">
      <w:pPr>
        <w:pStyle w:val="ListParagraph"/>
        <w:numPr>
          <w:ilvl w:val="1"/>
          <w:numId w:val="7"/>
        </w:numPr>
        <w:spacing w:after="0"/>
        <w:contextualSpacing/>
        <w:jc w:val="both"/>
        <w:rPr>
          <w:rFonts w:cs="Arial"/>
        </w:rPr>
      </w:pPr>
      <w:r>
        <w:rPr>
          <w:rFonts w:cs="Arial"/>
        </w:rPr>
        <w:t>Suppliers’</w:t>
      </w:r>
      <w:r w:rsidR="00925EC2" w:rsidRPr="00925EC2">
        <w:rPr>
          <w:rFonts w:cs="Arial"/>
        </w:rPr>
        <w:t xml:space="preserve">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055FE83E" w14:textId="26D71CCC" w:rsidR="008C18A6" w:rsidRPr="001B305D" w:rsidRDefault="008C18A6" w:rsidP="001B305D">
      <w:pPr>
        <w:pStyle w:val="ListParagraph"/>
        <w:numPr>
          <w:ilvl w:val="1"/>
          <w:numId w:val="7"/>
        </w:numPr>
        <w:spacing w:after="0"/>
        <w:contextualSpacing/>
        <w:jc w:val="both"/>
        <w:rPr>
          <w:rFonts w:cs="Arial"/>
        </w:rPr>
      </w:pPr>
      <w:r w:rsidRPr="008C18A6">
        <w:rPr>
          <w:rFonts w:eastAsia="Arial" w:cs="Arial"/>
          <w:color w:val="000000"/>
        </w:rPr>
        <w:t xml:space="preserve">As attachments are permitted, the maximum total page count is </w:t>
      </w:r>
      <w:r w:rsidR="00F324AA" w:rsidRPr="005E0335">
        <w:rPr>
          <w:rFonts w:eastAsia="Arial" w:cs="Arial"/>
          <w:b/>
          <w:color w:val="000000"/>
        </w:rPr>
        <w:t>10</w:t>
      </w:r>
      <w:r w:rsidR="00105359" w:rsidRPr="005E0335">
        <w:rPr>
          <w:rFonts w:eastAsia="Arial" w:cs="Arial"/>
          <w:b/>
          <w:color w:val="000000"/>
        </w:rPr>
        <w:t xml:space="preserve"> </w:t>
      </w:r>
      <w:r w:rsidR="00105359" w:rsidRPr="005E0335">
        <w:rPr>
          <w:rFonts w:cs="Arial"/>
          <w:b/>
        </w:rPr>
        <w:t>Sides</w:t>
      </w:r>
      <w:r w:rsidR="00105359" w:rsidRPr="00254D09">
        <w:rPr>
          <w:rFonts w:cs="Arial"/>
        </w:rPr>
        <w:t xml:space="preserve"> of A4 inclusive</w:t>
      </w:r>
      <w:r w:rsidR="00105359">
        <w:rPr>
          <w:rFonts w:cs="Arial"/>
        </w:rPr>
        <w:t xml:space="preserve"> of</w:t>
      </w:r>
      <w:r w:rsidR="00105359" w:rsidRPr="00254D09">
        <w:rPr>
          <w:rFonts w:cs="Arial"/>
        </w:rPr>
        <w:t xml:space="preserve"> </w:t>
      </w:r>
      <w:r w:rsidRPr="008C18A6">
        <w:rPr>
          <w:rFonts w:eastAsia="Arial" w:cs="Arial"/>
          <w:color w:val="000000"/>
        </w:rPr>
        <w:t>titles, diagrams</w:t>
      </w:r>
      <w:r>
        <w:rPr>
          <w:rFonts w:eastAsia="Arial" w:cs="Arial"/>
          <w:color w:val="000000"/>
        </w:rPr>
        <w:t>, headers</w:t>
      </w:r>
      <w:r w:rsidRPr="008C18A6">
        <w:rPr>
          <w:rFonts w:eastAsia="Arial" w:cs="Arial"/>
          <w:color w:val="000000"/>
        </w:rPr>
        <w:t xml:space="preserve"> and paragraph headings. This </w:t>
      </w:r>
      <w:r w:rsidR="00440F39">
        <w:rPr>
          <w:rFonts w:eastAsia="Arial" w:cs="Arial"/>
          <w:color w:val="000000"/>
        </w:rPr>
        <w:t>p</w:t>
      </w:r>
      <w:r w:rsidRPr="008C18A6">
        <w:rPr>
          <w:rFonts w:eastAsia="Arial" w:cs="Arial"/>
          <w:color w:val="000000"/>
        </w:rPr>
        <w:t xml:space="preserve">age count must not be </w:t>
      </w:r>
      <w:r w:rsidRPr="008C18A6">
        <w:rPr>
          <w:rFonts w:eastAsia="Arial" w:cs="Arial"/>
          <w:color w:val="000000"/>
        </w:rPr>
        <w:lastRenderedPageBreak/>
        <w:t xml:space="preserve">exceeded and any text which is in excess of this limit shall be disregarded and shall not be considered in the evaluation process. </w:t>
      </w:r>
      <w:r w:rsidRPr="008C18A6">
        <w:rPr>
          <w:rFonts w:eastAsia="Arial" w:cs="Arial"/>
          <w:b/>
          <w:color w:val="000000"/>
        </w:rPr>
        <w:t>One (1) Attachment</w:t>
      </w:r>
      <w:r w:rsidRPr="008C18A6">
        <w:rPr>
          <w:rFonts w:eastAsia="Arial" w:cs="Arial"/>
          <w:color w:val="000000"/>
        </w:rPr>
        <w:t xml:space="preserve"> is permitted for the </w:t>
      </w:r>
      <w:r w:rsidRPr="005E0335">
        <w:rPr>
          <w:rFonts w:eastAsia="Arial" w:cs="Arial"/>
          <w:color w:val="000000"/>
          <w:u w:val="single"/>
        </w:rPr>
        <w:t>quality</w:t>
      </w:r>
      <w:r w:rsidRPr="008C18A6">
        <w:rPr>
          <w:rFonts w:eastAsia="Arial" w:cs="Arial"/>
          <w:color w:val="000000"/>
        </w:rPr>
        <w:t xml:space="preserve"> response (Questionnaires 4-</w:t>
      </w:r>
      <w:r>
        <w:rPr>
          <w:rFonts w:eastAsia="Arial" w:cs="Arial"/>
          <w:color w:val="000000"/>
        </w:rPr>
        <w:t>6</w:t>
      </w:r>
      <w:r w:rsidRPr="008C18A6">
        <w:rPr>
          <w:rFonts w:eastAsia="Arial" w:cs="Arial"/>
          <w:color w:val="000000"/>
        </w:rPr>
        <w:t xml:space="preserve">) and should include CV’s at the end of your response. The page count </w:t>
      </w:r>
      <w:r w:rsidRPr="005E0335">
        <w:rPr>
          <w:rFonts w:eastAsia="Arial" w:cs="Arial"/>
          <w:color w:val="000000"/>
          <w:u w:val="single"/>
        </w:rPr>
        <w:t>excludes</w:t>
      </w:r>
      <w:r w:rsidRPr="008C18A6">
        <w:rPr>
          <w:rFonts w:eastAsia="Arial" w:cs="Arial"/>
          <w:color w:val="000000"/>
        </w:rPr>
        <w:t xml:space="preserve"> CV’s which should highlight experience relevant to this requirement and be no longer than </w:t>
      </w:r>
      <w:r w:rsidRPr="00153A7E">
        <w:rPr>
          <w:rFonts w:eastAsia="Arial" w:cs="Arial"/>
          <w:color w:val="000000"/>
        </w:rPr>
        <w:t>two sides</w:t>
      </w:r>
      <w:r w:rsidR="00440F39" w:rsidRPr="00153A7E">
        <w:rPr>
          <w:rFonts w:eastAsia="Arial" w:cs="Arial"/>
          <w:color w:val="000000"/>
        </w:rPr>
        <w:t xml:space="preserve"> </w:t>
      </w:r>
      <w:r w:rsidR="00440F39">
        <w:rPr>
          <w:rFonts w:eastAsia="Arial" w:cs="Arial"/>
          <w:color w:val="000000"/>
        </w:rPr>
        <w:t>of A4</w:t>
      </w:r>
      <w:r w:rsidRPr="008C18A6">
        <w:rPr>
          <w:rFonts w:eastAsia="Arial" w:cs="Arial"/>
          <w:color w:val="000000"/>
        </w:rPr>
        <w:t xml:space="preserve">. </w:t>
      </w:r>
      <w:r w:rsidR="001B305D" w:rsidRPr="00165910">
        <w:rPr>
          <w:rFonts w:cs="Arial"/>
        </w:rPr>
        <w:t>Quality attachments</w:t>
      </w:r>
      <w:r w:rsidR="001B305D">
        <w:rPr>
          <w:rFonts w:cs="Arial"/>
        </w:rPr>
        <w:t xml:space="preserve"> must</w:t>
      </w:r>
      <w:r w:rsidR="001B305D" w:rsidRPr="00B93490">
        <w:rPr>
          <w:rFonts w:cs="Arial"/>
        </w:rPr>
        <w:t xml:space="preserve"> </w:t>
      </w:r>
      <w:r w:rsidR="001B305D">
        <w:rPr>
          <w:rFonts w:cs="Arial"/>
        </w:rPr>
        <w:t xml:space="preserve">be </w:t>
      </w:r>
      <w:r w:rsidR="001B305D" w:rsidRPr="00B93490">
        <w:rPr>
          <w:rFonts w:cs="Arial"/>
        </w:rPr>
        <w:t xml:space="preserve">submitted in </w:t>
      </w:r>
      <w:r w:rsidR="001B305D" w:rsidRPr="001B0AF4">
        <w:rPr>
          <w:rFonts w:cs="Arial"/>
          <w:b/>
        </w:rPr>
        <w:t>PDF format</w:t>
      </w:r>
      <w:r w:rsidR="001B305D" w:rsidRPr="00B93490">
        <w:rPr>
          <w:rFonts w:cs="Arial"/>
        </w:rPr>
        <w:t xml:space="preserve"> and be in </w:t>
      </w:r>
      <w:r w:rsidR="001B305D" w:rsidRPr="001B0AF4">
        <w:rPr>
          <w:rFonts w:cs="Arial"/>
          <w:b/>
        </w:rPr>
        <w:t>Arial font size 11</w:t>
      </w:r>
      <w:r w:rsidR="001B305D" w:rsidRPr="00B93490">
        <w:rPr>
          <w:rFonts w:cs="Arial"/>
        </w:rPr>
        <w:t>.</w:t>
      </w:r>
      <w:r w:rsidR="001B305D">
        <w:rPr>
          <w:rFonts w:cs="Arial"/>
        </w:rPr>
        <w:t xml:space="preserve"> The Pricing Schedule must be submitted in </w:t>
      </w:r>
      <w:r w:rsidR="001B305D" w:rsidRPr="001B0AF4">
        <w:rPr>
          <w:rFonts w:cs="Arial"/>
          <w:b/>
        </w:rPr>
        <w:t>Excel format.</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1975AF6D" w:rsidR="006A087F" w:rsidRPr="006A087F" w:rsidRDefault="006A087F" w:rsidP="00237306">
            <w:pPr>
              <w:rPr>
                <w:b/>
                <w:color w:val="FFFFFF" w:themeColor="background1"/>
              </w:rPr>
            </w:pPr>
            <w:r w:rsidRPr="006A087F">
              <w:rPr>
                <w:b/>
                <w:color w:val="FFFFFF" w:themeColor="background1"/>
              </w:rPr>
              <w:t xml:space="preserve">QUESTIONNAIRE 4 – </w:t>
            </w:r>
            <w:r w:rsidR="008C18A6">
              <w:rPr>
                <w:b/>
                <w:color w:val="FFFFFF"/>
              </w:rPr>
              <w:t>TEAM CAPABILITY</w:t>
            </w:r>
            <w:r w:rsidR="008C18A6" w:rsidRPr="006A087F">
              <w:rPr>
                <w:b/>
                <w:color w:val="FFFFFF" w:themeColor="background1"/>
              </w:rPr>
              <w:t xml:space="preserve"> </w:t>
            </w:r>
          </w:p>
        </w:tc>
        <w:tc>
          <w:tcPr>
            <w:tcW w:w="2551" w:type="dxa"/>
            <w:gridSpan w:val="2"/>
            <w:shd w:val="clear" w:color="auto" w:fill="0D0D0D" w:themeFill="text1" w:themeFillTint="F2"/>
          </w:tcPr>
          <w:p w14:paraId="1290A9B6" w14:textId="3C8F03E1" w:rsidR="006A087F" w:rsidRPr="006A087F" w:rsidRDefault="006A087F">
            <w:pPr>
              <w:jc w:val="right"/>
              <w:rPr>
                <w:b/>
                <w:color w:val="FFFFFF" w:themeColor="background1"/>
              </w:rPr>
            </w:pPr>
            <w:r w:rsidRPr="006A087F">
              <w:rPr>
                <w:b/>
                <w:color w:val="FFFFFF" w:themeColor="background1"/>
              </w:rPr>
              <w:t xml:space="preserve">Weighting – </w:t>
            </w:r>
            <w:r w:rsidR="00F324AA" w:rsidRPr="005E0335">
              <w:rPr>
                <w:b/>
                <w:color w:val="FFFFFF" w:themeColor="background1"/>
              </w:rPr>
              <w:t>20</w:t>
            </w:r>
            <w:r w:rsidRPr="006A087F">
              <w:rPr>
                <w:b/>
                <w:color w:val="FFFFFF" w:themeColor="background1"/>
              </w:rPr>
              <w:t>%</w:t>
            </w:r>
          </w:p>
        </w:tc>
      </w:tr>
      <w:tr w:rsidR="00F10B85" w14:paraId="3FC6316B" w14:textId="77777777" w:rsidTr="00D33192">
        <w:tc>
          <w:tcPr>
            <w:tcW w:w="9350" w:type="dxa"/>
            <w:gridSpan w:val="5"/>
          </w:tcPr>
          <w:p w14:paraId="6B0F29DF" w14:textId="76DE3FBE" w:rsidR="00F10B85" w:rsidRPr="00F10B85" w:rsidRDefault="00F10B85" w:rsidP="00BA2E6A">
            <w:pPr>
              <w:jc w:val="center"/>
              <w:rPr>
                <w:b/>
              </w:rPr>
            </w:pPr>
            <w:r w:rsidRPr="00F10B85">
              <w:rPr>
                <w:b/>
              </w:rPr>
              <w:t xml:space="preserve">All </w:t>
            </w:r>
            <w:r w:rsidR="00BA2E6A">
              <w:rPr>
                <w:b/>
              </w:rPr>
              <w:t>Suppliers</w:t>
            </w:r>
            <w:r w:rsidRPr="00F10B85">
              <w:rPr>
                <w:b/>
              </w:rPr>
              <w:t xml:space="preserve">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559493D2" w:rsidR="00F10B85" w:rsidRPr="00F10B85" w:rsidRDefault="00F10B85" w:rsidP="00F10B85">
            <w:pPr>
              <w:jc w:val="center"/>
            </w:pPr>
            <w:r w:rsidRPr="00F10B85">
              <w:t xml:space="preserve">Weighting </w:t>
            </w:r>
            <w:r w:rsidR="00105359">
              <w:t>(</w:t>
            </w:r>
            <w:r w:rsidRPr="00F10B85">
              <w:t>%</w:t>
            </w:r>
            <w:r w:rsidR="00105359">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619A352C" w14:textId="77777777" w:rsidR="00237306" w:rsidRDefault="00237306" w:rsidP="00237306">
            <w:r>
              <w:t>Please provide details of your proven track record of delivering projects of this scale within the agreed timeframe.</w:t>
            </w:r>
          </w:p>
          <w:p w14:paraId="4C6BB02E" w14:textId="3FF7CB43" w:rsidR="00F10B85" w:rsidRPr="006A087F" w:rsidRDefault="00237306">
            <w:pPr>
              <w:rPr>
                <w:highlight w:val="yellow"/>
              </w:rPr>
            </w:pPr>
            <w:r>
              <w:t xml:space="preserve">Outline how this experience will deliver this </w:t>
            </w:r>
            <w:r w:rsidR="00105359">
              <w:t xml:space="preserve">requirement (outlined in Appendix B) </w:t>
            </w:r>
            <w:r>
              <w:t>for CSEP.</w:t>
            </w:r>
          </w:p>
        </w:tc>
        <w:tc>
          <w:tcPr>
            <w:tcW w:w="1417" w:type="dxa"/>
          </w:tcPr>
          <w:p w14:paraId="5A52C002" w14:textId="203D995E" w:rsidR="00F10B85" w:rsidRPr="005E0335" w:rsidRDefault="00114CC7" w:rsidP="00237306">
            <w:pPr>
              <w:jc w:val="center"/>
            </w:pPr>
            <w:r>
              <w:t>50</w:t>
            </w:r>
          </w:p>
        </w:tc>
        <w:tc>
          <w:tcPr>
            <w:tcW w:w="1271" w:type="dxa"/>
          </w:tcPr>
          <w:p w14:paraId="339CEAC3" w14:textId="7BBA4DD9" w:rsidR="00F10B85" w:rsidRDefault="006A087F" w:rsidP="006A087F">
            <w:pPr>
              <w:jc w:val="center"/>
            </w:pPr>
            <w:r>
              <w:t>100</w:t>
            </w:r>
          </w:p>
        </w:tc>
        <w:tc>
          <w:tcPr>
            <w:tcW w:w="1280" w:type="dxa"/>
          </w:tcPr>
          <w:p w14:paraId="25E7131B" w14:textId="15BA5117" w:rsidR="00F10B85" w:rsidRDefault="00CF4CF9">
            <w:pPr>
              <w:jc w:val="center"/>
            </w:pPr>
            <w:r>
              <w:t>40</w:t>
            </w:r>
            <w:r w:rsidR="006A087F">
              <w:t>%</w:t>
            </w:r>
          </w:p>
        </w:tc>
      </w:tr>
      <w:tr w:rsidR="00F10B85" w14:paraId="5549B292" w14:textId="77777777" w:rsidTr="00F10B85">
        <w:tc>
          <w:tcPr>
            <w:tcW w:w="1170" w:type="dxa"/>
          </w:tcPr>
          <w:p w14:paraId="7A938FC9" w14:textId="18368B7C" w:rsidR="00F10B85" w:rsidRPr="005551C9" w:rsidRDefault="006A087F" w:rsidP="006A087F">
            <w:pPr>
              <w:jc w:val="center"/>
            </w:pPr>
            <w:r w:rsidRPr="005551C9">
              <w:t>4.2</w:t>
            </w:r>
          </w:p>
        </w:tc>
        <w:tc>
          <w:tcPr>
            <w:tcW w:w="4212" w:type="dxa"/>
          </w:tcPr>
          <w:p w14:paraId="2C9E5BCA" w14:textId="77777777" w:rsidR="00237306" w:rsidRPr="005551C9" w:rsidRDefault="00237306" w:rsidP="00237306">
            <w:pPr>
              <w:spacing w:after="0"/>
            </w:pPr>
            <w:r w:rsidRPr="005551C9">
              <w:t>Please provide CVs for all members of</w:t>
            </w:r>
          </w:p>
          <w:p w14:paraId="51A2C9CA" w14:textId="61BE65A0" w:rsidR="005551C9" w:rsidRPr="005551C9" w:rsidRDefault="00237306" w:rsidP="00237306">
            <w:pPr>
              <w:spacing w:after="0"/>
            </w:pPr>
            <w:r w:rsidRPr="005551C9">
              <w:t>the project team</w:t>
            </w:r>
            <w:r w:rsidR="005551C9" w:rsidRPr="005551C9">
              <w:t xml:space="preserve">. The CV’s should be </w:t>
            </w:r>
            <w:r w:rsidR="005551C9" w:rsidRPr="005551C9">
              <w:rPr>
                <w:rFonts w:eastAsia="Arial" w:cs="Arial"/>
                <w:color w:val="000000"/>
              </w:rPr>
              <w:t>no longer than two sides and</w:t>
            </w:r>
            <w:r w:rsidR="005551C9" w:rsidRPr="005551C9">
              <w:t xml:space="preserve"> highlight:</w:t>
            </w:r>
          </w:p>
          <w:p w14:paraId="355FC395" w14:textId="1CBE22A7" w:rsidR="00237306" w:rsidRPr="005E0335" w:rsidRDefault="005551C9" w:rsidP="00C36191">
            <w:pPr>
              <w:pStyle w:val="ListParagraph"/>
              <w:numPr>
                <w:ilvl w:val="0"/>
                <w:numId w:val="18"/>
              </w:numPr>
            </w:pPr>
            <w:r w:rsidRPr="005E0335">
              <w:t>T</w:t>
            </w:r>
            <w:r w:rsidR="00237306" w:rsidRPr="005E0335">
              <w:t>he range</w:t>
            </w:r>
            <w:r w:rsidRPr="005E0335">
              <w:t xml:space="preserve"> </w:t>
            </w:r>
            <w:r w:rsidR="00237306" w:rsidRPr="005E0335">
              <w:t>and depth of experience in the team.</w:t>
            </w:r>
          </w:p>
          <w:p w14:paraId="35DEE92C" w14:textId="4544302B" w:rsidR="00237306" w:rsidRPr="005E0335" w:rsidRDefault="00237306" w:rsidP="00C36191">
            <w:pPr>
              <w:pStyle w:val="ListParagraph"/>
              <w:numPr>
                <w:ilvl w:val="0"/>
                <w:numId w:val="18"/>
              </w:numPr>
              <w:spacing w:after="0"/>
            </w:pPr>
            <w:r w:rsidRPr="005E0335">
              <w:t xml:space="preserve">Include details </w:t>
            </w:r>
            <w:r w:rsidR="005551C9" w:rsidRPr="005E0335">
              <w:t xml:space="preserve">that are </w:t>
            </w:r>
            <w:r w:rsidRPr="005E0335">
              <w:t>relevant to th</w:t>
            </w:r>
            <w:r w:rsidR="005551C9" w:rsidRPr="005E0335">
              <w:t>is</w:t>
            </w:r>
            <w:r w:rsidRPr="005E0335">
              <w:t xml:space="preserve"> project</w:t>
            </w:r>
          </w:p>
          <w:p w14:paraId="05971629" w14:textId="68D4020F" w:rsidR="00237306" w:rsidRPr="005E0335" w:rsidRDefault="00237306" w:rsidP="00C36191">
            <w:pPr>
              <w:pStyle w:val="ListParagraph"/>
              <w:numPr>
                <w:ilvl w:val="0"/>
                <w:numId w:val="18"/>
              </w:numPr>
              <w:spacing w:after="0"/>
            </w:pPr>
            <w:r w:rsidRPr="005E0335">
              <w:t>Experience and qualifications</w:t>
            </w:r>
          </w:p>
          <w:p w14:paraId="09FFFEBE" w14:textId="619841D6" w:rsidR="00F10B85" w:rsidRPr="005E0335" w:rsidRDefault="00237306" w:rsidP="00C36191">
            <w:pPr>
              <w:pStyle w:val="ListParagraph"/>
              <w:numPr>
                <w:ilvl w:val="0"/>
                <w:numId w:val="18"/>
              </w:numPr>
            </w:pPr>
            <w:r w:rsidRPr="005E0335">
              <w:t>Knowledge of the area</w:t>
            </w:r>
          </w:p>
        </w:tc>
        <w:tc>
          <w:tcPr>
            <w:tcW w:w="1417" w:type="dxa"/>
          </w:tcPr>
          <w:p w14:paraId="3CDC8814" w14:textId="63F8B0BE" w:rsidR="00F10B85" w:rsidRPr="005E0335" w:rsidRDefault="00114CC7" w:rsidP="00237306">
            <w:pPr>
              <w:jc w:val="center"/>
            </w:pPr>
            <w:r>
              <w:t>50</w:t>
            </w:r>
          </w:p>
        </w:tc>
        <w:tc>
          <w:tcPr>
            <w:tcW w:w="1271" w:type="dxa"/>
          </w:tcPr>
          <w:p w14:paraId="735D44EC" w14:textId="732D0981" w:rsidR="00F10B85" w:rsidRDefault="006A087F" w:rsidP="006A087F">
            <w:pPr>
              <w:jc w:val="center"/>
            </w:pPr>
            <w:r>
              <w:t>100</w:t>
            </w:r>
          </w:p>
        </w:tc>
        <w:tc>
          <w:tcPr>
            <w:tcW w:w="1280" w:type="dxa"/>
          </w:tcPr>
          <w:p w14:paraId="5C2A13E2" w14:textId="4F1E47E9" w:rsidR="00F10B85" w:rsidRDefault="000053E0">
            <w:pPr>
              <w:jc w:val="center"/>
            </w:pPr>
            <w:r>
              <w:t>1</w:t>
            </w:r>
            <w:r w:rsidR="00CF4CF9">
              <w:t>0</w:t>
            </w:r>
            <w:r w:rsidR="006A087F">
              <w:t>%</w:t>
            </w:r>
          </w:p>
        </w:tc>
      </w:tr>
      <w:tr w:rsidR="00F10B85" w14:paraId="6799063F" w14:textId="77777777" w:rsidTr="00F10B85">
        <w:tc>
          <w:tcPr>
            <w:tcW w:w="1170" w:type="dxa"/>
          </w:tcPr>
          <w:p w14:paraId="07547358" w14:textId="6D2433CE" w:rsidR="00F10B85" w:rsidRDefault="006A087F" w:rsidP="006A087F">
            <w:pPr>
              <w:jc w:val="center"/>
            </w:pPr>
            <w:r>
              <w:t>4.3</w:t>
            </w:r>
          </w:p>
        </w:tc>
        <w:tc>
          <w:tcPr>
            <w:tcW w:w="4212" w:type="dxa"/>
          </w:tcPr>
          <w:p w14:paraId="4DD9A473" w14:textId="2F42757B" w:rsidR="00F10B85" w:rsidRPr="006A087F" w:rsidRDefault="00237306">
            <w:pPr>
              <w:rPr>
                <w:highlight w:val="yellow"/>
              </w:rPr>
            </w:pPr>
            <w:r>
              <w:t xml:space="preserve">Please provide </w:t>
            </w:r>
            <w:r w:rsidR="00114CC7">
              <w:t>2</w:t>
            </w:r>
            <w:r w:rsidR="005551C9">
              <w:t xml:space="preserve"> </w:t>
            </w:r>
            <w:r w:rsidR="00F93718">
              <w:t xml:space="preserve">recent </w:t>
            </w:r>
            <w:r>
              <w:t>case stud</w:t>
            </w:r>
            <w:r w:rsidR="00F93718">
              <w:t>y</w:t>
            </w:r>
            <w:r>
              <w:t xml:space="preserve"> examples of similar projects you have successfully delivered for clients in the public sector or wider.</w:t>
            </w:r>
            <w:r w:rsidR="005551C9">
              <w:t xml:space="preserve"> Ou</w:t>
            </w:r>
            <w:r w:rsidR="00114CC7">
              <w:t>t</w:t>
            </w:r>
            <w:r w:rsidR="005551C9">
              <w:t xml:space="preserve">line how the </w:t>
            </w:r>
            <w:r w:rsidR="005551C9">
              <w:lastRenderedPageBreak/>
              <w:t>experience gained will enable you to deliver this requirement for CSEP</w:t>
            </w:r>
            <w:r w:rsidR="00440F39">
              <w:t>.</w:t>
            </w:r>
          </w:p>
        </w:tc>
        <w:tc>
          <w:tcPr>
            <w:tcW w:w="1417" w:type="dxa"/>
          </w:tcPr>
          <w:p w14:paraId="3186B36F" w14:textId="3323E0AF" w:rsidR="00F10B85" w:rsidRPr="005E0335" w:rsidRDefault="00114CC7" w:rsidP="00237306">
            <w:pPr>
              <w:jc w:val="center"/>
            </w:pPr>
            <w:r>
              <w:lastRenderedPageBreak/>
              <w:t>50</w:t>
            </w:r>
          </w:p>
        </w:tc>
        <w:tc>
          <w:tcPr>
            <w:tcW w:w="1271" w:type="dxa"/>
          </w:tcPr>
          <w:p w14:paraId="179E7322" w14:textId="21D28F0E" w:rsidR="00F10B85" w:rsidRDefault="006A087F" w:rsidP="006A087F">
            <w:pPr>
              <w:jc w:val="center"/>
            </w:pPr>
            <w:r>
              <w:t>100</w:t>
            </w:r>
          </w:p>
        </w:tc>
        <w:tc>
          <w:tcPr>
            <w:tcW w:w="1280" w:type="dxa"/>
          </w:tcPr>
          <w:p w14:paraId="34B38F9B" w14:textId="12AAB551" w:rsidR="00F10B85" w:rsidRDefault="000053E0">
            <w:pPr>
              <w:jc w:val="center"/>
            </w:pPr>
            <w:r>
              <w:t>3</w:t>
            </w:r>
            <w:r w:rsidR="00CF4CF9">
              <w:t>0</w:t>
            </w:r>
            <w:r w:rsidR="006A087F">
              <w:t>%</w:t>
            </w:r>
          </w:p>
        </w:tc>
      </w:tr>
      <w:tr w:rsidR="00F10B85" w14:paraId="5CA4E961" w14:textId="77777777" w:rsidTr="00F10B85">
        <w:tc>
          <w:tcPr>
            <w:tcW w:w="1170" w:type="dxa"/>
          </w:tcPr>
          <w:p w14:paraId="74919007" w14:textId="1AA2632F" w:rsidR="00F10B85" w:rsidRDefault="006A087F" w:rsidP="006A087F">
            <w:pPr>
              <w:jc w:val="center"/>
            </w:pPr>
            <w:r>
              <w:t>4.4</w:t>
            </w:r>
          </w:p>
        </w:tc>
        <w:tc>
          <w:tcPr>
            <w:tcW w:w="4212" w:type="dxa"/>
          </w:tcPr>
          <w:p w14:paraId="0F4F4106" w14:textId="214E688C" w:rsidR="00F10B85" w:rsidRPr="006A087F" w:rsidRDefault="00237306">
            <w:pPr>
              <w:rPr>
                <w:highlight w:val="yellow"/>
              </w:rPr>
            </w:pPr>
            <w:r>
              <w:t>Please outline fully your proposal to manage this project, ensure appropriate resources allocated (including a single point of contact) and how time will be assigned to meet the required timescales.</w:t>
            </w:r>
          </w:p>
        </w:tc>
        <w:tc>
          <w:tcPr>
            <w:tcW w:w="1417" w:type="dxa"/>
          </w:tcPr>
          <w:p w14:paraId="6E7E4CFB" w14:textId="39FA8F5A" w:rsidR="00F10B85" w:rsidRPr="005E0335" w:rsidRDefault="00114CC7" w:rsidP="00237306">
            <w:pPr>
              <w:jc w:val="center"/>
            </w:pPr>
            <w:r>
              <w:t>50</w:t>
            </w:r>
          </w:p>
        </w:tc>
        <w:tc>
          <w:tcPr>
            <w:tcW w:w="1271" w:type="dxa"/>
          </w:tcPr>
          <w:p w14:paraId="7E5C3629" w14:textId="25C6C2DC" w:rsidR="00F10B85" w:rsidRDefault="006A087F" w:rsidP="006A087F">
            <w:pPr>
              <w:jc w:val="center"/>
            </w:pPr>
            <w:r>
              <w:t>100</w:t>
            </w:r>
          </w:p>
        </w:tc>
        <w:tc>
          <w:tcPr>
            <w:tcW w:w="1280" w:type="dxa"/>
          </w:tcPr>
          <w:p w14:paraId="3296C233" w14:textId="0B88A725" w:rsidR="00F10B85" w:rsidRDefault="000053E0">
            <w:pPr>
              <w:jc w:val="center"/>
            </w:pPr>
            <w:r>
              <w:t>20</w:t>
            </w:r>
            <w:r w:rsidR="006A087F">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28F7AAE3" w:rsidR="00D33192" w:rsidRPr="006A087F" w:rsidRDefault="00D33192" w:rsidP="00237306">
            <w:pPr>
              <w:rPr>
                <w:b/>
                <w:color w:val="FFFFFF" w:themeColor="background1"/>
              </w:rPr>
            </w:pPr>
            <w:r>
              <w:rPr>
                <w:b/>
                <w:color w:val="FFFFFF" w:themeColor="background1"/>
              </w:rPr>
              <w:t>QUESTIONNAIRE 5</w:t>
            </w:r>
            <w:r w:rsidRPr="006A087F">
              <w:rPr>
                <w:b/>
                <w:color w:val="FFFFFF" w:themeColor="background1"/>
              </w:rPr>
              <w:t xml:space="preserve"> – </w:t>
            </w:r>
            <w:r w:rsidR="00F93718">
              <w:rPr>
                <w:b/>
                <w:color w:val="FFFFFF"/>
              </w:rPr>
              <w:t>DATA QUALITY AND METHODOLOGY</w:t>
            </w:r>
            <w:r w:rsidR="00F93718" w:rsidRPr="006A087F">
              <w:rPr>
                <w:b/>
                <w:color w:val="FFFFFF" w:themeColor="background1"/>
              </w:rPr>
              <w:t xml:space="preserve"> </w:t>
            </w:r>
          </w:p>
        </w:tc>
        <w:tc>
          <w:tcPr>
            <w:tcW w:w="2551" w:type="dxa"/>
            <w:gridSpan w:val="2"/>
            <w:shd w:val="clear" w:color="auto" w:fill="0D0D0D" w:themeFill="text1" w:themeFillTint="F2"/>
          </w:tcPr>
          <w:p w14:paraId="15DC8048" w14:textId="7D779839" w:rsidR="00D33192" w:rsidRPr="006A087F" w:rsidRDefault="00D33192" w:rsidP="00D33192">
            <w:pPr>
              <w:jc w:val="right"/>
              <w:rPr>
                <w:b/>
                <w:color w:val="FFFFFF" w:themeColor="background1"/>
              </w:rPr>
            </w:pPr>
            <w:r w:rsidRPr="006A087F">
              <w:rPr>
                <w:b/>
                <w:color w:val="FFFFFF" w:themeColor="background1"/>
              </w:rPr>
              <w:t xml:space="preserve">Weighting – </w:t>
            </w:r>
            <w:r w:rsidR="00F324AA" w:rsidRPr="005E0335">
              <w:rPr>
                <w:b/>
                <w:color w:val="FFFFFF" w:themeColor="background1"/>
              </w:rPr>
              <w:t>30</w:t>
            </w:r>
            <w:r w:rsidRPr="006A087F">
              <w:rPr>
                <w:b/>
                <w:color w:val="FFFFFF" w:themeColor="background1"/>
              </w:rPr>
              <w:t xml:space="preserve"> %</w:t>
            </w:r>
          </w:p>
        </w:tc>
      </w:tr>
      <w:tr w:rsidR="00D33192" w14:paraId="40CA7D09" w14:textId="77777777" w:rsidTr="00D33192">
        <w:tc>
          <w:tcPr>
            <w:tcW w:w="9350" w:type="dxa"/>
            <w:gridSpan w:val="5"/>
          </w:tcPr>
          <w:p w14:paraId="67263BA1" w14:textId="0761B9F6" w:rsidR="00D33192" w:rsidRPr="00F10B85" w:rsidRDefault="00D33192" w:rsidP="00BA2E6A">
            <w:pPr>
              <w:jc w:val="center"/>
              <w:rPr>
                <w:b/>
              </w:rPr>
            </w:pPr>
            <w:r w:rsidRPr="00F10B85">
              <w:rPr>
                <w:b/>
              </w:rPr>
              <w:t xml:space="preserve">All </w:t>
            </w:r>
            <w:r w:rsidR="00BA2E6A">
              <w:rPr>
                <w:b/>
              </w:rPr>
              <w:t>Suppliers</w:t>
            </w:r>
            <w:r w:rsidRPr="00F10B85">
              <w:rPr>
                <w:b/>
              </w:rPr>
              <w:t xml:space="preserve">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7017AEFA" w:rsidR="00D33192" w:rsidRPr="00F10B85" w:rsidRDefault="00D33192">
            <w:pPr>
              <w:jc w:val="center"/>
            </w:pPr>
            <w:r w:rsidRPr="00F10B85">
              <w:t xml:space="preserve">Weighting </w:t>
            </w:r>
            <w:r w:rsidR="00CF4CF9">
              <w:t>(</w:t>
            </w:r>
            <w:r w:rsidRPr="00F10B85">
              <w:t>%</w:t>
            </w:r>
            <w:r w:rsidR="00CF4CF9">
              <w:t>)</w:t>
            </w:r>
          </w:p>
        </w:tc>
      </w:tr>
      <w:tr w:rsidR="00D33192" w14:paraId="1A8F2DDA" w14:textId="77777777" w:rsidTr="00D33192">
        <w:tc>
          <w:tcPr>
            <w:tcW w:w="1170" w:type="dxa"/>
          </w:tcPr>
          <w:p w14:paraId="5C2943F1" w14:textId="3A29A125" w:rsidR="00D33192" w:rsidRPr="00F93718" w:rsidRDefault="00D33192" w:rsidP="00D33192">
            <w:pPr>
              <w:jc w:val="center"/>
            </w:pPr>
            <w:r w:rsidRPr="00F93718">
              <w:t>5.1</w:t>
            </w:r>
          </w:p>
        </w:tc>
        <w:tc>
          <w:tcPr>
            <w:tcW w:w="4212" w:type="dxa"/>
          </w:tcPr>
          <w:p w14:paraId="5010BCB9" w14:textId="77777777" w:rsidR="00F93718" w:rsidRPr="00F93718" w:rsidRDefault="00237306" w:rsidP="00237306">
            <w:r w:rsidRPr="00F93718">
              <w:t>Please provide evidence that you have sufficient access to broad reward benchmarking data across public, private, and not for profit sectors including SCS pay.</w:t>
            </w:r>
            <w:r w:rsidRPr="00F93718">
              <w:br/>
            </w:r>
            <w:r w:rsidRPr="00F93718">
              <w:br/>
              <w:t>This will include but not be limited to:</w:t>
            </w:r>
          </w:p>
          <w:p w14:paraId="1FBB683C" w14:textId="57A098CA" w:rsidR="00237306" w:rsidRPr="005E0335" w:rsidRDefault="00237306" w:rsidP="00C36191">
            <w:pPr>
              <w:pStyle w:val="ListParagraph"/>
              <w:numPr>
                <w:ilvl w:val="0"/>
                <w:numId w:val="19"/>
              </w:numPr>
            </w:pPr>
            <w:r w:rsidRPr="005E0335">
              <w:rPr>
                <w:rFonts w:eastAsia="Calibri"/>
              </w:rPr>
              <w:t xml:space="preserve">Employee Benefits Data </w:t>
            </w:r>
          </w:p>
          <w:p w14:paraId="37668E48" w14:textId="77777777" w:rsidR="00F93718" w:rsidRPr="005E0335" w:rsidRDefault="00237306" w:rsidP="00C36191">
            <w:pPr>
              <w:pStyle w:val="ListParagraph"/>
              <w:numPr>
                <w:ilvl w:val="0"/>
                <w:numId w:val="19"/>
              </w:numPr>
            </w:pPr>
            <w:r w:rsidRPr="00F93718">
              <w:rPr>
                <w:rFonts w:eastAsia="Calibri"/>
                <w:szCs w:val="22"/>
              </w:rPr>
              <w:t xml:space="preserve">Salary Change Data  </w:t>
            </w:r>
          </w:p>
          <w:p w14:paraId="362060F9" w14:textId="29F305FA" w:rsidR="00D33192" w:rsidRPr="005E0335" w:rsidRDefault="00237306">
            <w:r w:rsidRPr="00F93718">
              <w:t>Detail how access to this information will enable you deliver the requirement</w:t>
            </w:r>
          </w:p>
        </w:tc>
        <w:tc>
          <w:tcPr>
            <w:tcW w:w="1417" w:type="dxa"/>
          </w:tcPr>
          <w:p w14:paraId="133503EE" w14:textId="6B391FDC" w:rsidR="00D33192" w:rsidRPr="00237306" w:rsidRDefault="00114CC7" w:rsidP="00D33192">
            <w:pPr>
              <w:jc w:val="center"/>
            </w:pPr>
            <w:r>
              <w:t>50</w:t>
            </w:r>
          </w:p>
        </w:tc>
        <w:tc>
          <w:tcPr>
            <w:tcW w:w="1271" w:type="dxa"/>
          </w:tcPr>
          <w:p w14:paraId="73E48245" w14:textId="77777777" w:rsidR="00D33192" w:rsidRDefault="00D33192" w:rsidP="00D33192">
            <w:pPr>
              <w:jc w:val="center"/>
            </w:pPr>
            <w:r>
              <w:t>100</w:t>
            </w:r>
          </w:p>
        </w:tc>
        <w:tc>
          <w:tcPr>
            <w:tcW w:w="1280" w:type="dxa"/>
          </w:tcPr>
          <w:p w14:paraId="206695D7" w14:textId="1DC3DBC9" w:rsidR="00D33192" w:rsidRDefault="005E0335">
            <w:pPr>
              <w:jc w:val="center"/>
            </w:pPr>
            <w:r>
              <w:t>6</w:t>
            </w:r>
            <w:r w:rsidR="000053E0">
              <w:t>0</w:t>
            </w:r>
            <w:r w:rsidR="00D33192">
              <w:t>%</w:t>
            </w:r>
          </w:p>
        </w:tc>
      </w:tr>
      <w:tr w:rsidR="00D33192" w14:paraId="79DB93CE" w14:textId="77777777" w:rsidTr="00D33192">
        <w:tc>
          <w:tcPr>
            <w:tcW w:w="1170" w:type="dxa"/>
          </w:tcPr>
          <w:p w14:paraId="01DEC862" w14:textId="305980F4" w:rsidR="00D33192" w:rsidRDefault="00D33192" w:rsidP="00D33192">
            <w:pPr>
              <w:jc w:val="center"/>
            </w:pPr>
            <w:r>
              <w:t>5.2</w:t>
            </w:r>
          </w:p>
        </w:tc>
        <w:tc>
          <w:tcPr>
            <w:tcW w:w="4212" w:type="dxa"/>
          </w:tcPr>
          <w:p w14:paraId="5ABA1651" w14:textId="56126899" w:rsidR="00D33192" w:rsidRPr="006A087F" w:rsidRDefault="00237306" w:rsidP="00FB3CD0">
            <w:pPr>
              <w:rPr>
                <w:highlight w:val="yellow"/>
              </w:rPr>
            </w:pPr>
            <w:r>
              <w:t xml:space="preserve">Please </w:t>
            </w:r>
            <w:r w:rsidR="00F93718">
              <w:t xml:space="preserve">outline </w:t>
            </w:r>
            <w:r w:rsidR="00FB3CD0">
              <w:t>the</w:t>
            </w:r>
            <w:r w:rsidR="00F93718">
              <w:t xml:space="preserve"> </w:t>
            </w:r>
            <w:r>
              <w:t xml:space="preserve">capability </w:t>
            </w:r>
            <w:r w:rsidR="00F93718">
              <w:t>you already have</w:t>
            </w:r>
            <w:r w:rsidR="00FB3CD0">
              <w:t>,</w:t>
            </w:r>
            <w:r w:rsidR="00F93718">
              <w:t xml:space="preserve"> or intend to develop</w:t>
            </w:r>
            <w:r w:rsidR="00FB3CD0">
              <w:t xml:space="preserve"> (and how you would do this), </w:t>
            </w:r>
            <w:r>
              <w:t>to match Civil Service roles to equivalent roles of seniority in the private sector.</w:t>
            </w:r>
            <w:r w:rsidR="00F93718">
              <w:t xml:space="preserve"> </w:t>
            </w:r>
          </w:p>
        </w:tc>
        <w:tc>
          <w:tcPr>
            <w:tcW w:w="1417" w:type="dxa"/>
          </w:tcPr>
          <w:p w14:paraId="2FF6FC8B" w14:textId="221DD0D2" w:rsidR="00D33192" w:rsidRPr="00237306" w:rsidRDefault="00114CC7" w:rsidP="00237306">
            <w:pPr>
              <w:jc w:val="center"/>
            </w:pPr>
            <w:r>
              <w:t>50</w:t>
            </w:r>
          </w:p>
        </w:tc>
        <w:tc>
          <w:tcPr>
            <w:tcW w:w="1271" w:type="dxa"/>
          </w:tcPr>
          <w:p w14:paraId="3143262E" w14:textId="77777777" w:rsidR="00D33192" w:rsidRDefault="00D33192" w:rsidP="00D33192">
            <w:pPr>
              <w:jc w:val="center"/>
            </w:pPr>
            <w:r>
              <w:t>100</w:t>
            </w:r>
          </w:p>
        </w:tc>
        <w:tc>
          <w:tcPr>
            <w:tcW w:w="1280" w:type="dxa"/>
          </w:tcPr>
          <w:p w14:paraId="781C89B3" w14:textId="29AD3A96" w:rsidR="00D33192" w:rsidRDefault="000053E0">
            <w:pPr>
              <w:jc w:val="center"/>
            </w:pPr>
            <w:r>
              <w:t>40</w:t>
            </w:r>
            <w:r w:rsidR="00D33192">
              <w:t>%</w:t>
            </w:r>
          </w:p>
        </w:tc>
      </w:tr>
    </w:tbl>
    <w:p w14:paraId="0FD28E9A" w14:textId="77777777" w:rsidR="00D33192" w:rsidRDefault="00D33192"/>
    <w:tbl>
      <w:tblPr>
        <w:tblStyle w:val="TableGrid"/>
        <w:tblW w:w="9493" w:type="dxa"/>
        <w:tblLayout w:type="fixed"/>
        <w:tblLook w:val="04A0" w:firstRow="1" w:lastRow="0" w:firstColumn="1" w:lastColumn="0" w:noHBand="0" w:noVBand="1"/>
      </w:tblPr>
      <w:tblGrid>
        <w:gridCol w:w="1170"/>
        <w:gridCol w:w="4212"/>
        <w:gridCol w:w="1417"/>
        <w:gridCol w:w="1271"/>
        <w:gridCol w:w="1423"/>
      </w:tblGrid>
      <w:tr w:rsidR="00D33192" w14:paraId="36E7C9DB" w14:textId="77777777" w:rsidTr="00FB3CD0">
        <w:tc>
          <w:tcPr>
            <w:tcW w:w="6799" w:type="dxa"/>
            <w:gridSpan w:val="3"/>
            <w:shd w:val="clear" w:color="auto" w:fill="0D0D0D" w:themeFill="text1" w:themeFillTint="F2"/>
          </w:tcPr>
          <w:p w14:paraId="42942880" w14:textId="269A4A2C" w:rsidR="00D33192" w:rsidRPr="006A087F" w:rsidRDefault="00D33192" w:rsidP="00237306">
            <w:pPr>
              <w:rPr>
                <w:b/>
                <w:color w:val="FFFFFF" w:themeColor="background1"/>
              </w:rPr>
            </w:pPr>
            <w:r>
              <w:rPr>
                <w:b/>
                <w:color w:val="FFFFFF" w:themeColor="background1"/>
              </w:rPr>
              <w:lastRenderedPageBreak/>
              <w:t>QUESTIONNAIRE 6</w:t>
            </w:r>
            <w:r w:rsidRPr="006A087F">
              <w:rPr>
                <w:b/>
                <w:color w:val="FFFFFF" w:themeColor="background1"/>
              </w:rPr>
              <w:t xml:space="preserve"> – </w:t>
            </w:r>
            <w:r w:rsidR="008C18A6">
              <w:rPr>
                <w:b/>
                <w:color w:val="FFFFFF"/>
              </w:rPr>
              <w:t>FUNCTIONAL DATA</w:t>
            </w:r>
            <w:r w:rsidR="008C18A6" w:rsidRPr="006A087F">
              <w:rPr>
                <w:b/>
                <w:color w:val="FFFFFF" w:themeColor="background1"/>
              </w:rPr>
              <w:t xml:space="preserve"> </w:t>
            </w:r>
          </w:p>
        </w:tc>
        <w:tc>
          <w:tcPr>
            <w:tcW w:w="2694" w:type="dxa"/>
            <w:gridSpan w:val="2"/>
            <w:shd w:val="clear" w:color="auto" w:fill="0D0D0D" w:themeFill="text1" w:themeFillTint="F2"/>
          </w:tcPr>
          <w:p w14:paraId="48E2912A" w14:textId="6E18691F" w:rsidR="00D33192" w:rsidRPr="006A087F" w:rsidRDefault="00D33192">
            <w:pPr>
              <w:jc w:val="right"/>
              <w:rPr>
                <w:b/>
                <w:color w:val="FFFFFF" w:themeColor="background1"/>
              </w:rPr>
            </w:pPr>
            <w:r w:rsidRPr="006A087F">
              <w:rPr>
                <w:b/>
                <w:color w:val="FFFFFF" w:themeColor="background1"/>
              </w:rPr>
              <w:t xml:space="preserve">Weighting – </w:t>
            </w:r>
            <w:r w:rsidR="00F324AA" w:rsidRPr="005E0335">
              <w:rPr>
                <w:b/>
                <w:color w:val="FFFFFF" w:themeColor="background1"/>
              </w:rPr>
              <w:t>20</w:t>
            </w:r>
            <w:r w:rsidRPr="006A087F">
              <w:rPr>
                <w:b/>
                <w:color w:val="FFFFFF" w:themeColor="background1"/>
              </w:rPr>
              <w:t xml:space="preserve"> %</w:t>
            </w:r>
          </w:p>
        </w:tc>
      </w:tr>
      <w:tr w:rsidR="00D33192" w14:paraId="735A7787" w14:textId="77777777" w:rsidTr="00FB3CD0">
        <w:tc>
          <w:tcPr>
            <w:tcW w:w="9493" w:type="dxa"/>
            <w:gridSpan w:val="5"/>
          </w:tcPr>
          <w:p w14:paraId="7537A8FA" w14:textId="5092D8FE" w:rsidR="00D33192" w:rsidRPr="00F10B85" w:rsidRDefault="00D33192" w:rsidP="00BA2E6A">
            <w:pPr>
              <w:jc w:val="center"/>
              <w:rPr>
                <w:b/>
              </w:rPr>
            </w:pPr>
            <w:r w:rsidRPr="00F10B85">
              <w:rPr>
                <w:b/>
              </w:rPr>
              <w:t xml:space="preserve">All </w:t>
            </w:r>
            <w:r w:rsidR="00BA2E6A">
              <w:rPr>
                <w:b/>
              </w:rPr>
              <w:t>Suppliers</w:t>
            </w:r>
            <w:r w:rsidRPr="00F10B85">
              <w:rPr>
                <w:b/>
              </w:rPr>
              <w:t xml:space="preserve"> MUST answer ALL the following questions</w:t>
            </w:r>
          </w:p>
        </w:tc>
      </w:tr>
      <w:tr w:rsidR="00D33192" w14:paraId="7B34AADC" w14:textId="77777777" w:rsidTr="00FB3CD0">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423" w:type="dxa"/>
            <w:shd w:val="clear" w:color="auto" w:fill="D9D9D9" w:themeFill="background1" w:themeFillShade="D9"/>
          </w:tcPr>
          <w:p w14:paraId="29C16461" w14:textId="3985B94E" w:rsidR="00D33192" w:rsidRPr="00F10B85" w:rsidRDefault="00D33192">
            <w:pPr>
              <w:jc w:val="center"/>
            </w:pPr>
            <w:r w:rsidRPr="00F10B85">
              <w:t xml:space="preserve">Weighting </w:t>
            </w:r>
            <w:r w:rsidR="00F93718">
              <w:t>(</w:t>
            </w:r>
            <w:r w:rsidRPr="00F10B85">
              <w:t>%</w:t>
            </w:r>
            <w:r w:rsidR="00F93718">
              <w:t>)</w:t>
            </w:r>
          </w:p>
        </w:tc>
      </w:tr>
      <w:tr w:rsidR="0098522C" w14:paraId="3E87A764" w14:textId="77777777" w:rsidTr="00FB3CD0">
        <w:tc>
          <w:tcPr>
            <w:tcW w:w="1170" w:type="dxa"/>
          </w:tcPr>
          <w:p w14:paraId="2E8BC105" w14:textId="31394AB8" w:rsidR="0098522C" w:rsidRDefault="0098522C" w:rsidP="0098522C">
            <w:pPr>
              <w:jc w:val="center"/>
            </w:pPr>
            <w:r>
              <w:t>6.1</w:t>
            </w:r>
          </w:p>
        </w:tc>
        <w:tc>
          <w:tcPr>
            <w:tcW w:w="4212" w:type="dxa"/>
          </w:tcPr>
          <w:p w14:paraId="5E928854" w14:textId="0436CCD7" w:rsidR="0098522C" w:rsidRDefault="0098522C" w:rsidP="0098522C">
            <w:r w:rsidRPr="00FF47AB">
              <w:t xml:space="preserve">Please provide evidence you are able to provide data on salary movements and wider market insights pertaining to roles in the </w:t>
            </w:r>
            <w:r w:rsidR="00415D99">
              <w:t>following functional job families.</w:t>
            </w:r>
            <w:bookmarkStart w:id="0" w:name="_GoBack"/>
            <w:bookmarkEnd w:id="0"/>
            <w:r w:rsidRPr="00FF47AB">
              <w:t xml:space="preserve"> </w:t>
            </w:r>
          </w:p>
          <w:p w14:paraId="59AA75EA" w14:textId="539C4FD6" w:rsidR="00E4612E" w:rsidRDefault="00542803" w:rsidP="00E4612E">
            <w:pPr>
              <w:pStyle w:val="ListParagraph"/>
              <w:numPr>
                <w:ilvl w:val="0"/>
                <w:numId w:val="17"/>
              </w:numPr>
            </w:pPr>
            <w:r>
              <w:t>Commercial</w:t>
            </w:r>
          </w:p>
          <w:p w14:paraId="1181D0C8" w14:textId="77777777" w:rsidR="00E4612E" w:rsidRDefault="00E4612E" w:rsidP="00E4612E">
            <w:pPr>
              <w:pStyle w:val="ListParagraph"/>
              <w:numPr>
                <w:ilvl w:val="0"/>
                <w:numId w:val="17"/>
              </w:numPr>
            </w:pPr>
            <w:r>
              <w:t xml:space="preserve">Communications </w:t>
            </w:r>
          </w:p>
          <w:p w14:paraId="15D6A6AD" w14:textId="77777777" w:rsidR="00E4612E" w:rsidRDefault="00E4612E" w:rsidP="00E4612E">
            <w:pPr>
              <w:pStyle w:val="ListParagraph"/>
              <w:numPr>
                <w:ilvl w:val="0"/>
                <w:numId w:val="17"/>
              </w:numPr>
            </w:pPr>
            <w:r>
              <w:t xml:space="preserve">Digital, Data and Technology </w:t>
            </w:r>
          </w:p>
          <w:p w14:paraId="48864900" w14:textId="77777777" w:rsidR="00E4612E" w:rsidRDefault="00E4612E" w:rsidP="00E4612E">
            <w:pPr>
              <w:pStyle w:val="ListParagraph"/>
              <w:numPr>
                <w:ilvl w:val="0"/>
                <w:numId w:val="17"/>
              </w:numPr>
            </w:pPr>
            <w:r>
              <w:t>Finance</w:t>
            </w:r>
          </w:p>
          <w:p w14:paraId="0EFB2828" w14:textId="77777777" w:rsidR="00E4612E" w:rsidRDefault="00E4612E" w:rsidP="00E4612E">
            <w:pPr>
              <w:pStyle w:val="ListParagraph"/>
              <w:numPr>
                <w:ilvl w:val="0"/>
                <w:numId w:val="17"/>
              </w:numPr>
            </w:pPr>
            <w:r>
              <w:t>HR</w:t>
            </w:r>
          </w:p>
          <w:p w14:paraId="28554630" w14:textId="77777777" w:rsidR="00E4612E" w:rsidRDefault="00E4612E" w:rsidP="00E4612E">
            <w:pPr>
              <w:pStyle w:val="ListParagraph"/>
              <w:numPr>
                <w:ilvl w:val="0"/>
                <w:numId w:val="17"/>
              </w:numPr>
            </w:pPr>
            <w:r>
              <w:t>Internal Audit</w:t>
            </w:r>
          </w:p>
          <w:p w14:paraId="0664531A" w14:textId="77777777" w:rsidR="00E4612E" w:rsidRDefault="00E4612E" w:rsidP="00E4612E">
            <w:pPr>
              <w:pStyle w:val="ListParagraph"/>
              <w:numPr>
                <w:ilvl w:val="0"/>
                <w:numId w:val="17"/>
              </w:numPr>
            </w:pPr>
            <w:r>
              <w:t>Legal</w:t>
            </w:r>
          </w:p>
          <w:p w14:paraId="16203DF1" w14:textId="77777777" w:rsidR="00E4612E" w:rsidRDefault="00E4612E" w:rsidP="00E4612E">
            <w:pPr>
              <w:pStyle w:val="ListParagraph"/>
              <w:numPr>
                <w:ilvl w:val="0"/>
                <w:numId w:val="17"/>
              </w:numPr>
            </w:pPr>
            <w:r>
              <w:t xml:space="preserve">Project Delivery </w:t>
            </w:r>
          </w:p>
          <w:p w14:paraId="4278A379" w14:textId="455E4B1C" w:rsidR="00E4612E" w:rsidRPr="00E4612E" w:rsidRDefault="00E4612E" w:rsidP="00E4612E">
            <w:pPr>
              <w:pStyle w:val="ListParagraph"/>
              <w:numPr>
                <w:ilvl w:val="0"/>
                <w:numId w:val="17"/>
              </w:numPr>
            </w:pPr>
            <w:r>
              <w:t>Property</w:t>
            </w:r>
          </w:p>
        </w:tc>
        <w:tc>
          <w:tcPr>
            <w:tcW w:w="1417" w:type="dxa"/>
          </w:tcPr>
          <w:p w14:paraId="29243DD0" w14:textId="33C40133" w:rsidR="0098522C" w:rsidRPr="006A087F" w:rsidRDefault="0098522C" w:rsidP="0098522C">
            <w:pPr>
              <w:jc w:val="center"/>
              <w:rPr>
                <w:highlight w:val="yellow"/>
              </w:rPr>
            </w:pPr>
            <w:r w:rsidRPr="001B7E52">
              <w:t>50</w:t>
            </w:r>
          </w:p>
        </w:tc>
        <w:tc>
          <w:tcPr>
            <w:tcW w:w="1271" w:type="dxa"/>
          </w:tcPr>
          <w:p w14:paraId="6E641AC5" w14:textId="4197FE76" w:rsidR="0098522C" w:rsidRDefault="0098522C" w:rsidP="0098522C">
            <w:pPr>
              <w:jc w:val="center"/>
            </w:pPr>
            <w:r w:rsidRPr="00BE0121">
              <w:t>100</w:t>
            </w:r>
          </w:p>
        </w:tc>
        <w:tc>
          <w:tcPr>
            <w:tcW w:w="1423" w:type="dxa"/>
          </w:tcPr>
          <w:p w14:paraId="1163D8FA" w14:textId="404E2616" w:rsidR="0098522C" w:rsidRDefault="0098522C" w:rsidP="0098522C">
            <w:pPr>
              <w:jc w:val="center"/>
            </w:pPr>
            <w:r w:rsidRPr="002F7D8C">
              <w:t>10</w:t>
            </w:r>
            <w:r w:rsidR="00E4612E">
              <w:t>0</w:t>
            </w:r>
            <w:r w:rsidRPr="002F7D8C">
              <w:t>%</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59553D45" w:rsidR="000C1EA7" w:rsidRPr="000C1EA7" w:rsidRDefault="000C1EA7">
            <w:pPr>
              <w:spacing w:before="240" w:line="240" w:lineRule="auto"/>
              <w:ind w:left="-391" w:firstLine="391"/>
              <w:jc w:val="right"/>
              <w:rPr>
                <w:b/>
                <w:color w:val="FFFFFF" w:themeColor="background1"/>
              </w:rPr>
            </w:pPr>
            <w:r w:rsidRPr="000C1EA7">
              <w:rPr>
                <w:b/>
                <w:color w:val="FFFFFF" w:themeColor="background1"/>
              </w:rPr>
              <w:t xml:space="preserve">Weighting – </w:t>
            </w:r>
            <w:r w:rsidR="00F324AA" w:rsidRPr="005E0335">
              <w:rPr>
                <w:b/>
                <w:color w:val="FFFFFF" w:themeColor="background1"/>
              </w:rPr>
              <w:t>30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61549597" w:rsidR="000C1EA7" w:rsidRPr="008C18A6" w:rsidRDefault="00BA2E6A" w:rsidP="00831B96">
            <w:pPr>
              <w:spacing w:after="0" w:line="240" w:lineRule="auto"/>
            </w:pPr>
            <w:r>
              <w:t>Suppliers</w:t>
            </w:r>
            <w:r w:rsidR="000C1EA7" w:rsidRPr="008C18A6">
              <w:t xml:space="preserve"> must </w:t>
            </w:r>
            <w:r w:rsidR="0070789D" w:rsidRPr="005E0335">
              <w:t>upload the price schedule at the question level</w:t>
            </w:r>
            <w:r w:rsidR="0070789D" w:rsidRPr="008C18A6">
              <w:t xml:space="preserve"> </w:t>
            </w:r>
            <w:r w:rsidR="000C1EA7" w:rsidRPr="008C18A6">
              <w:t>on the e-Sourcing event.</w:t>
            </w:r>
          </w:p>
          <w:p w14:paraId="0169A5F3" w14:textId="77777777" w:rsidR="00943DAE" w:rsidRPr="008C18A6" w:rsidRDefault="00943DAE" w:rsidP="00831B96">
            <w:pPr>
              <w:spacing w:after="0" w:line="240" w:lineRule="auto"/>
            </w:pPr>
          </w:p>
          <w:p w14:paraId="4D101A84" w14:textId="29CD2901" w:rsidR="00943DAE" w:rsidRPr="008C18A6" w:rsidRDefault="00943DAE" w:rsidP="00831B96">
            <w:pPr>
              <w:spacing w:after="0" w:line="240" w:lineRule="auto"/>
            </w:pPr>
            <w:r w:rsidRPr="008C18A6">
              <w:t>Prices should be submitted in pounds Sterling inclusive of any expenses but exclusive of VAT.</w:t>
            </w:r>
          </w:p>
          <w:p w14:paraId="6AB992A3" w14:textId="77777777" w:rsidR="0070789D" w:rsidRPr="008C18A6" w:rsidRDefault="0070789D" w:rsidP="00831B96">
            <w:pPr>
              <w:spacing w:after="0" w:line="240" w:lineRule="auto"/>
            </w:pPr>
          </w:p>
          <w:p w14:paraId="61C804FF" w14:textId="3C179A32" w:rsidR="0070789D" w:rsidRPr="000C1EA7" w:rsidRDefault="00BA2E6A" w:rsidP="00831B96">
            <w:pPr>
              <w:spacing w:after="0" w:line="240" w:lineRule="auto"/>
              <w:rPr>
                <w:sz w:val="20"/>
                <w:szCs w:val="20"/>
              </w:rPr>
            </w:pPr>
            <w:r>
              <w:t>Suppliers</w:t>
            </w:r>
            <w:r w:rsidR="009F286E">
              <w:t xml:space="preserve"> </w:t>
            </w:r>
            <w:r w:rsidR="0070789D" w:rsidRPr="008C18A6">
              <w:t>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14D119D7" w:rsidR="000C1EA7" w:rsidRDefault="00B57738" w:rsidP="00EC34AD">
            <w:pPr>
              <w:spacing w:line="240" w:lineRule="auto"/>
              <w:jc w:val="center"/>
            </w:pPr>
            <w:r>
              <w:t>7</w:t>
            </w:r>
            <w:r w:rsidR="00831B96">
              <w:t>.1</w:t>
            </w:r>
          </w:p>
        </w:tc>
        <w:tc>
          <w:tcPr>
            <w:tcW w:w="5837" w:type="dxa"/>
          </w:tcPr>
          <w:p w14:paraId="4B5B03FA" w14:textId="4DF4D500" w:rsidR="000C1EA7" w:rsidRPr="00EC34AD" w:rsidRDefault="002B4DCB" w:rsidP="00F41778">
            <w:pPr>
              <w:spacing w:line="240" w:lineRule="auto"/>
              <w:rPr>
                <w:highlight w:val="yellow"/>
              </w:rPr>
            </w:pPr>
            <w:r w:rsidRPr="00943DAE">
              <w:t xml:space="preserve">Please confirm, by selecting ‘YES’ that you have </w:t>
            </w:r>
            <w:r>
              <w:t xml:space="preserve">attached a completed Price Schedule to the response to this question. In so doing, you are also confirming that </w:t>
            </w:r>
            <w:r>
              <w:lastRenderedPageBreak/>
              <w:t xml:space="preserve">prices offered are inclusive of any expenses, exclusive of VAT and firm for a period of </w:t>
            </w:r>
            <w:r w:rsidRPr="00587F9C">
              <w:t>90</w:t>
            </w:r>
            <w:r>
              <w:t xml:space="preserve"> days following the Deadline for Submission.</w:t>
            </w:r>
          </w:p>
        </w:tc>
        <w:tc>
          <w:tcPr>
            <w:tcW w:w="2410" w:type="dxa"/>
          </w:tcPr>
          <w:p w14:paraId="7DB47CC9" w14:textId="25A34C71" w:rsidR="000C1EA7" w:rsidRDefault="00EC34AD" w:rsidP="00EC34AD">
            <w:pPr>
              <w:spacing w:line="240" w:lineRule="auto"/>
              <w:jc w:val="center"/>
            </w:pPr>
            <w:r>
              <w:lastRenderedPageBreak/>
              <w:t>100</w:t>
            </w:r>
          </w:p>
        </w:tc>
      </w:tr>
    </w:tbl>
    <w:p w14:paraId="4EAA6EB3" w14:textId="77777777" w:rsidR="00155E58" w:rsidRPr="00155E58" w:rsidRDefault="00155E58" w:rsidP="00BA2E6A">
      <w:pPr>
        <w:spacing w:after="0" w:line="240" w:lineRule="auto"/>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E4FC9" w14:textId="77777777" w:rsidR="00563739" w:rsidRDefault="00563739">
      <w:pPr>
        <w:spacing w:after="0" w:line="240" w:lineRule="auto"/>
      </w:pPr>
      <w:r>
        <w:separator/>
      </w:r>
    </w:p>
  </w:endnote>
  <w:endnote w:type="continuationSeparator" w:id="0">
    <w:p w14:paraId="5C954A47" w14:textId="77777777" w:rsidR="00563739" w:rsidRDefault="00563739">
      <w:pPr>
        <w:spacing w:after="0" w:line="240" w:lineRule="auto"/>
      </w:pPr>
      <w:r>
        <w:continuationSeparator/>
      </w:r>
    </w:p>
  </w:endnote>
  <w:endnote w:type="continuationNotice" w:id="1">
    <w:p w14:paraId="10C67C7D" w14:textId="77777777" w:rsidR="00563739" w:rsidRDefault="00563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F93718" w:rsidRDefault="00F93718" w:rsidP="00BD4A1D">
    <w:pPr>
      <w:pStyle w:val="Footer"/>
      <w:pBdr>
        <w:top w:val="single" w:sz="6" w:space="1" w:color="auto"/>
      </w:pBdr>
      <w:tabs>
        <w:tab w:val="right" w:pos="8647"/>
      </w:tabs>
      <w:rPr>
        <w:sz w:val="16"/>
        <w:szCs w:val="16"/>
      </w:rPr>
    </w:pPr>
  </w:p>
  <w:p w14:paraId="34EEED2F" w14:textId="77777777" w:rsidR="00F93718" w:rsidRDefault="00F93718" w:rsidP="00C67CA1">
    <w:pPr>
      <w:pStyle w:val="Footer"/>
      <w:jc w:val="center"/>
    </w:pPr>
    <w:r>
      <w:t>OFFICIAL</w:t>
    </w:r>
  </w:p>
  <w:p w14:paraId="4D0E06AE" w14:textId="77777777" w:rsidR="00F93718" w:rsidRDefault="00F93718" w:rsidP="00C67CA1">
    <w:pPr>
      <w:pStyle w:val="Footer"/>
    </w:pPr>
    <w:r>
      <w:t>Appendix D – Response Guidance</w:t>
    </w:r>
  </w:p>
  <w:p w14:paraId="2E231C8D" w14:textId="6FCBA5E7" w:rsidR="00F93718" w:rsidRDefault="00153A7E" w:rsidP="00C67CA1">
    <w:pPr>
      <w:pStyle w:val="Footer"/>
    </w:pPr>
    <w:r>
      <w:t>Nick Williams</w:t>
    </w:r>
  </w:p>
  <w:p w14:paraId="7659DFC1" w14:textId="2CC11AF4" w:rsidR="00F93718" w:rsidRDefault="00F93718" w:rsidP="00C67CA1">
    <w:pPr>
      <w:pStyle w:val="Footer"/>
    </w:pPr>
    <w:r>
      <w:rPr>
        <w:rFonts w:cs="Arial"/>
        <w:color w:val="222222"/>
        <w:sz w:val="19"/>
        <w:szCs w:val="19"/>
        <w:shd w:val="clear" w:color="auto" w:fill="FFFFFF"/>
      </w:rPr>
      <w:t>© Crown copyright 2016</w:t>
    </w:r>
  </w:p>
  <w:p w14:paraId="140B10D0" w14:textId="2DA26747" w:rsidR="00F93718" w:rsidRDefault="00D15827" w:rsidP="00C67CA1">
    <w:pPr>
      <w:pStyle w:val="Footer"/>
      <w:jc w:val="right"/>
    </w:pPr>
    <w:r>
      <w:t>V1.0 23</w:t>
    </w:r>
    <w:r w:rsidRPr="00D15827">
      <w:rPr>
        <w:vertAlign w:val="superscript"/>
      </w:rPr>
      <w:t>rd</w:t>
    </w:r>
    <w:r>
      <w:t xml:space="preserve"> </w:t>
    </w:r>
    <w:r w:rsidR="00153A7E">
      <w:t>October 2018</w:t>
    </w:r>
  </w:p>
  <w:p w14:paraId="0790A8E6" w14:textId="1C73F66E" w:rsidR="00F93718" w:rsidRDefault="00563739" w:rsidP="00C67CA1">
    <w:pPr>
      <w:pStyle w:val="Footer"/>
      <w:jc w:val="center"/>
    </w:pPr>
    <w:sdt>
      <w:sdtPr>
        <w:id w:val="-1105721636"/>
        <w:docPartObj>
          <w:docPartGallery w:val="Page Numbers (Bottom of Page)"/>
          <w:docPartUnique/>
        </w:docPartObj>
      </w:sdtPr>
      <w:sdtEndPr>
        <w:rPr>
          <w:noProof/>
        </w:rPr>
      </w:sdtEndPr>
      <w:sdtContent>
        <w:r w:rsidR="00F93718">
          <w:fldChar w:fldCharType="begin"/>
        </w:r>
        <w:r w:rsidR="00F93718">
          <w:instrText xml:space="preserve"> PAGE   \* MERGEFORMAT </w:instrText>
        </w:r>
        <w:r w:rsidR="00F93718">
          <w:fldChar w:fldCharType="separate"/>
        </w:r>
        <w:r w:rsidR="00415D99">
          <w:rPr>
            <w:noProof/>
          </w:rPr>
          <w:t>9</w:t>
        </w:r>
        <w:r w:rsidR="00F93718">
          <w:rPr>
            <w:noProof/>
          </w:rPr>
          <w:fldChar w:fldCharType="end"/>
        </w:r>
      </w:sdtContent>
    </w:sdt>
  </w:p>
  <w:p w14:paraId="278CD5DE" w14:textId="77777777" w:rsidR="00F93718" w:rsidRDefault="00F93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F93718" w:rsidRDefault="00F93718" w:rsidP="00CF7C82">
    <w:pPr>
      <w:pStyle w:val="Footer"/>
      <w:pBdr>
        <w:top w:val="single" w:sz="4" w:space="1" w:color="auto"/>
      </w:pBdr>
      <w:jc w:val="center"/>
    </w:pPr>
    <w:r>
      <w:t>OFFICIAL</w:t>
    </w:r>
  </w:p>
  <w:p w14:paraId="62072C58" w14:textId="3BD7C74C" w:rsidR="00F93718" w:rsidRDefault="00F93718" w:rsidP="00CF7C82">
    <w:pPr>
      <w:pStyle w:val="Footer"/>
      <w:pBdr>
        <w:top w:val="single" w:sz="4" w:space="1" w:color="auto"/>
      </w:pBdr>
    </w:pPr>
    <w:r>
      <w:t>Appendix D – Response Guidance</w:t>
    </w:r>
  </w:p>
  <w:p w14:paraId="46335F31" w14:textId="6FDBB77D" w:rsidR="00F93718" w:rsidRDefault="00F93718"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F93718" w:rsidRDefault="00F93718" w:rsidP="00CF7C82">
    <w:pPr>
      <w:pStyle w:val="Footer"/>
      <w:pBdr>
        <w:top w:val="single" w:sz="4" w:space="1" w:color="auto"/>
      </w:pBdr>
      <w:jc w:val="right"/>
    </w:pPr>
    <w:r>
      <w:t>V0.6 19/11/15</w:t>
    </w:r>
  </w:p>
  <w:p w14:paraId="4DA9F036" w14:textId="4559D95A" w:rsidR="00F93718" w:rsidRDefault="00F93718" w:rsidP="00C67CA1">
    <w:pPr>
      <w:pStyle w:val="Footer"/>
      <w:jc w:val="center"/>
    </w:pPr>
  </w:p>
  <w:p w14:paraId="2A10DA50" w14:textId="77777777" w:rsidR="00F93718" w:rsidRDefault="00F93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DB8C2" w14:textId="77777777" w:rsidR="00563739" w:rsidRDefault="00563739">
      <w:pPr>
        <w:spacing w:after="0" w:line="240" w:lineRule="auto"/>
      </w:pPr>
      <w:r>
        <w:separator/>
      </w:r>
    </w:p>
  </w:footnote>
  <w:footnote w:type="continuationSeparator" w:id="0">
    <w:p w14:paraId="55867F23" w14:textId="77777777" w:rsidR="00563739" w:rsidRDefault="00563739">
      <w:pPr>
        <w:spacing w:after="0" w:line="240" w:lineRule="auto"/>
      </w:pPr>
      <w:r>
        <w:continuationSeparator/>
      </w:r>
    </w:p>
  </w:footnote>
  <w:footnote w:type="continuationNotice" w:id="1">
    <w:p w14:paraId="57C078CB" w14:textId="77777777" w:rsidR="00563739" w:rsidRDefault="005637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F93718" w:rsidRDefault="00F93718" w:rsidP="00C67CA1">
    <w:pPr>
      <w:pStyle w:val="Header"/>
      <w:spacing w:after="0"/>
      <w:jc w:val="center"/>
    </w:pPr>
    <w:r w:rsidRPr="009D0EAE">
      <w:rPr>
        <w:noProof/>
        <w:sz w:val="20"/>
        <w:szCs w:val="20"/>
        <w:lang w:eastAsia="en-GB"/>
      </w:rPr>
      <w:drawing>
        <wp:anchor distT="0" distB="0" distL="114300" distR="114300" simplePos="0" relativeHeight="251657216"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384696D" w:rsidR="00F93718" w:rsidRPr="0098522C" w:rsidRDefault="00F93718" w:rsidP="0098522C">
    <w:pPr>
      <w:pStyle w:val="Header"/>
      <w:tabs>
        <w:tab w:val="left" w:pos="1884"/>
        <w:tab w:val="center" w:pos="4680"/>
      </w:tabs>
      <w:spacing w:after="0"/>
      <w:jc w:val="center"/>
    </w:pPr>
    <w:r w:rsidRPr="0098522C">
      <w:t>Appendix D – Response Guidance</w:t>
    </w:r>
  </w:p>
  <w:p w14:paraId="687E77EC" w14:textId="20815429" w:rsidR="00F93718" w:rsidRPr="0098522C" w:rsidRDefault="00F93718" w:rsidP="0098522C">
    <w:pPr>
      <w:tabs>
        <w:tab w:val="center" w:pos="4153"/>
        <w:tab w:val="right" w:pos="8306"/>
      </w:tabs>
      <w:spacing w:after="0" w:line="240" w:lineRule="auto"/>
      <w:ind w:left="720"/>
      <w:rPr>
        <w:rFonts w:eastAsia="SimSun" w:cs="Arial"/>
        <w:highlight w:val="yellow"/>
        <w:lang w:eastAsia="zh-CN"/>
      </w:rPr>
    </w:pPr>
    <w:r>
      <w:rPr>
        <w:rFonts w:eastAsia="SimSun" w:cs="Arial"/>
        <w:lang w:eastAsia="zh-CN"/>
      </w:rPr>
      <w:t xml:space="preserve">                                   </w:t>
    </w:r>
    <w:r w:rsidRPr="0098522C">
      <w:rPr>
        <w:rFonts w:eastAsia="SimSun" w:cs="Arial"/>
        <w:lang w:eastAsia="zh-CN"/>
      </w:rPr>
      <w:t>Provision of Pay Bench-marking Report</w:t>
    </w:r>
  </w:p>
  <w:p w14:paraId="56CB78B7" w14:textId="32AE5C3B" w:rsidR="00F93718" w:rsidRPr="0098522C" w:rsidRDefault="00440F39" w:rsidP="0098522C">
    <w:pPr>
      <w:tabs>
        <w:tab w:val="center" w:pos="4153"/>
        <w:tab w:val="right" w:pos="8306"/>
      </w:tabs>
      <w:spacing w:after="0" w:line="240" w:lineRule="auto"/>
      <w:jc w:val="center"/>
      <w:rPr>
        <w:rFonts w:eastAsia="SimSun" w:cs="Arial"/>
        <w:highlight w:val="yellow"/>
        <w:lang w:eastAsia="zh-CN"/>
      </w:rPr>
    </w:pPr>
    <w:r>
      <w:rPr>
        <w:rFonts w:eastAsia="SimSun" w:cs="Arial"/>
        <w:lang w:eastAsia="zh-CN"/>
      </w:rPr>
      <w:t xml:space="preserve">Contract Reference: </w:t>
    </w:r>
    <w:r w:rsidR="00F93718" w:rsidRPr="0098522C">
      <w:rPr>
        <w:rFonts w:eastAsia="SimSun" w:cs="Arial"/>
        <w:lang w:eastAsia="zh-CN"/>
      </w:rPr>
      <w:t>CCCC18A69</w:t>
    </w:r>
  </w:p>
  <w:p w14:paraId="648AC685" w14:textId="0BCE5282" w:rsidR="00F93718" w:rsidRDefault="00F93718">
    <w:pPr>
      <w:pStyle w:val="Header"/>
    </w:pPr>
    <w:r>
      <w:rPr>
        <w:noProof/>
        <w:sz w:val="20"/>
        <w:szCs w:val="20"/>
        <w:lang w:eastAsia="en-GB"/>
      </w:rPr>
      <mc:AlternateContent>
        <mc:Choice Requires="wps">
          <w:drawing>
            <wp:anchor distT="0" distB="0" distL="114300" distR="114300" simplePos="0" relativeHeight="251668480"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78814B8"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F93718" w:rsidRDefault="00F93718"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F93718" w:rsidRDefault="00F93718" w:rsidP="00A840F2">
    <w:pPr>
      <w:pStyle w:val="Header"/>
      <w:spacing w:after="0"/>
      <w:jc w:val="center"/>
    </w:pPr>
    <w:r w:rsidRPr="00B51DFB">
      <w:t>Appendix D – Response Guidance</w:t>
    </w:r>
  </w:p>
  <w:p w14:paraId="5F46E552" w14:textId="2F08581A" w:rsidR="00F93718" w:rsidRPr="001F656C" w:rsidRDefault="00F93718"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F93718" w:rsidRDefault="00F93718"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F93718" w:rsidRPr="00F547BA" w:rsidRDefault="00F93718"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D5C8742"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0D2F"/>
    <w:multiLevelType w:val="multilevel"/>
    <w:tmpl w:val="FEE4023E"/>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8739A"/>
    <w:multiLevelType w:val="hybridMultilevel"/>
    <w:tmpl w:val="69F8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10098"/>
    <w:multiLevelType w:val="hybridMultilevel"/>
    <w:tmpl w:val="E848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55321E79"/>
    <w:multiLevelType w:val="hybridMultilevel"/>
    <w:tmpl w:val="9926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00E6A"/>
    <w:multiLevelType w:val="hybridMultilevel"/>
    <w:tmpl w:val="6126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2"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DD5A0F"/>
    <w:multiLevelType w:val="hybridMultilevel"/>
    <w:tmpl w:val="8D6A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84A69"/>
    <w:multiLevelType w:val="hybridMultilevel"/>
    <w:tmpl w:val="65F611A2"/>
    <w:lvl w:ilvl="0" w:tplc="46A8123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24721C"/>
    <w:multiLevelType w:val="hybridMultilevel"/>
    <w:tmpl w:val="D6D2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8"/>
  </w:num>
  <w:num w:numId="4">
    <w:abstractNumId w:val="3"/>
  </w:num>
  <w:num w:numId="5">
    <w:abstractNumId w:val="2"/>
  </w:num>
  <w:num w:numId="6">
    <w:abstractNumId w:val="16"/>
  </w:num>
  <w:num w:numId="7">
    <w:abstractNumId w:val="14"/>
  </w:num>
  <w:num w:numId="8">
    <w:abstractNumId w:val="1"/>
  </w:num>
  <w:num w:numId="9">
    <w:abstractNumId w:val="5"/>
  </w:num>
  <w:num w:numId="10">
    <w:abstractNumId w:val="12"/>
  </w:num>
  <w:num w:numId="11">
    <w:abstractNumId w:val="4"/>
  </w:num>
  <w:num w:numId="12">
    <w:abstractNumId w:val="0"/>
  </w:num>
  <w:num w:numId="13">
    <w:abstractNumId w:val="15"/>
  </w:num>
  <w:num w:numId="14">
    <w:abstractNumId w:val="9"/>
  </w:num>
  <w:num w:numId="15">
    <w:abstractNumId w:val="18"/>
  </w:num>
  <w:num w:numId="16">
    <w:abstractNumId w:val="10"/>
  </w:num>
  <w:num w:numId="17">
    <w:abstractNumId w:val="6"/>
  </w:num>
  <w:num w:numId="18">
    <w:abstractNumId w:val="7"/>
  </w:num>
  <w:num w:numId="1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3E0"/>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05359"/>
    <w:rsid w:val="00112BE4"/>
    <w:rsid w:val="001146E5"/>
    <w:rsid w:val="001149B6"/>
    <w:rsid w:val="00114C1B"/>
    <w:rsid w:val="00114CC7"/>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3A7E"/>
    <w:rsid w:val="001545E8"/>
    <w:rsid w:val="001549E1"/>
    <w:rsid w:val="00155E58"/>
    <w:rsid w:val="00163077"/>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305D"/>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37306"/>
    <w:rsid w:val="0024172C"/>
    <w:rsid w:val="00241E43"/>
    <w:rsid w:val="002429CE"/>
    <w:rsid w:val="00243140"/>
    <w:rsid w:val="00243368"/>
    <w:rsid w:val="0024442D"/>
    <w:rsid w:val="002448F4"/>
    <w:rsid w:val="0024496F"/>
    <w:rsid w:val="002522DF"/>
    <w:rsid w:val="00260B88"/>
    <w:rsid w:val="00261070"/>
    <w:rsid w:val="00261806"/>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4DCB"/>
    <w:rsid w:val="002B5C91"/>
    <w:rsid w:val="002B6D1F"/>
    <w:rsid w:val="002B7CC2"/>
    <w:rsid w:val="002C053C"/>
    <w:rsid w:val="002C13B1"/>
    <w:rsid w:val="002C2212"/>
    <w:rsid w:val="002C52C6"/>
    <w:rsid w:val="002C6F12"/>
    <w:rsid w:val="002C775A"/>
    <w:rsid w:val="002C7DFE"/>
    <w:rsid w:val="002D1958"/>
    <w:rsid w:val="002D4568"/>
    <w:rsid w:val="002D4BEB"/>
    <w:rsid w:val="002D68E1"/>
    <w:rsid w:val="002E0C4A"/>
    <w:rsid w:val="002E1AC3"/>
    <w:rsid w:val="002E6422"/>
    <w:rsid w:val="002E7E00"/>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30F3"/>
    <w:rsid w:val="003347C1"/>
    <w:rsid w:val="00334C95"/>
    <w:rsid w:val="003354A9"/>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35EA"/>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4EA"/>
    <w:rsid w:val="004037A0"/>
    <w:rsid w:val="00406859"/>
    <w:rsid w:val="00407784"/>
    <w:rsid w:val="00415647"/>
    <w:rsid w:val="00415D99"/>
    <w:rsid w:val="00416B19"/>
    <w:rsid w:val="00420CF6"/>
    <w:rsid w:val="004227F3"/>
    <w:rsid w:val="00422CAA"/>
    <w:rsid w:val="004257BF"/>
    <w:rsid w:val="00427603"/>
    <w:rsid w:val="00431117"/>
    <w:rsid w:val="00431799"/>
    <w:rsid w:val="00431AFA"/>
    <w:rsid w:val="00431D7D"/>
    <w:rsid w:val="004323B0"/>
    <w:rsid w:val="004337D8"/>
    <w:rsid w:val="00435A66"/>
    <w:rsid w:val="00437C99"/>
    <w:rsid w:val="00437CE6"/>
    <w:rsid w:val="00440B48"/>
    <w:rsid w:val="00440F39"/>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2803"/>
    <w:rsid w:val="0054394B"/>
    <w:rsid w:val="00543D97"/>
    <w:rsid w:val="0054427C"/>
    <w:rsid w:val="00544CD6"/>
    <w:rsid w:val="005460FE"/>
    <w:rsid w:val="00546737"/>
    <w:rsid w:val="005535CE"/>
    <w:rsid w:val="00553768"/>
    <w:rsid w:val="005551C9"/>
    <w:rsid w:val="005553BC"/>
    <w:rsid w:val="00556EBE"/>
    <w:rsid w:val="00557351"/>
    <w:rsid w:val="00557AB4"/>
    <w:rsid w:val="005621C5"/>
    <w:rsid w:val="005627C2"/>
    <w:rsid w:val="005630FC"/>
    <w:rsid w:val="00563739"/>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1918"/>
    <w:rsid w:val="005A262B"/>
    <w:rsid w:val="005A453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0335"/>
    <w:rsid w:val="005E214B"/>
    <w:rsid w:val="005E6CCE"/>
    <w:rsid w:val="005F00A4"/>
    <w:rsid w:val="005F06F6"/>
    <w:rsid w:val="005F0AC6"/>
    <w:rsid w:val="005F15C6"/>
    <w:rsid w:val="005F4872"/>
    <w:rsid w:val="005F5459"/>
    <w:rsid w:val="00602FA0"/>
    <w:rsid w:val="00603C18"/>
    <w:rsid w:val="00605C0C"/>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5E13"/>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5F91"/>
    <w:rsid w:val="007971F7"/>
    <w:rsid w:val="007A297F"/>
    <w:rsid w:val="007A5099"/>
    <w:rsid w:val="007A5AA6"/>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18A6"/>
    <w:rsid w:val="008C2012"/>
    <w:rsid w:val="008C57D0"/>
    <w:rsid w:val="008C6134"/>
    <w:rsid w:val="008C66F3"/>
    <w:rsid w:val="008C7B95"/>
    <w:rsid w:val="008C7C65"/>
    <w:rsid w:val="008D1509"/>
    <w:rsid w:val="008D5A66"/>
    <w:rsid w:val="008E0679"/>
    <w:rsid w:val="008E1348"/>
    <w:rsid w:val="008E18A8"/>
    <w:rsid w:val="008E35BA"/>
    <w:rsid w:val="008E35CB"/>
    <w:rsid w:val="008E46CE"/>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36EE2"/>
    <w:rsid w:val="00941689"/>
    <w:rsid w:val="0094196D"/>
    <w:rsid w:val="00943DAE"/>
    <w:rsid w:val="00945618"/>
    <w:rsid w:val="00952011"/>
    <w:rsid w:val="00952EA4"/>
    <w:rsid w:val="00953729"/>
    <w:rsid w:val="009542A3"/>
    <w:rsid w:val="00957856"/>
    <w:rsid w:val="00961178"/>
    <w:rsid w:val="00962A9D"/>
    <w:rsid w:val="00971930"/>
    <w:rsid w:val="0097388B"/>
    <w:rsid w:val="00975684"/>
    <w:rsid w:val="00976FDC"/>
    <w:rsid w:val="0098213A"/>
    <w:rsid w:val="00983FE8"/>
    <w:rsid w:val="00984866"/>
    <w:rsid w:val="0098522C"/>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286E"/>
    <w:rsid w:val="009F30C8"/>
    <w:rsid w:val="009F3E3D"/>
    <w:rsid w:val="009F4FFE"/>
    <w:rsid w:val="00A10397"/>
    <w:rsid w:val="00A1094A"/>
    <w:rsid w:val="00A113E0"/>
    <w:rsid w:val="00A14E42"/>
    <w:rsid w:val="00A17732"/>
    <w:rsid w:val="00A20A31"/>
    <w:rsid w:val="00A23E77"/>
    <w:rsid w:val="00A23EF4"/>
    <w:rsid w:val="00A25DB6"/>
    <w:rsid w:val="00A26230"/>
    <w:rsid w:val="00A263DF"/>
    <w:rsid w:val="00A263F0"/>
    <w:rsid w:val="00A27988"/>
    <w:rsid w:val="00A304B7"/>
    <w:rsid w:val="00A315D3"/>
    <w:rsid w:val="00A36F7E"/>
    <w:rsid w:val="00A37D0A"/>
    <w:rsid w:val="00A405CC"/>
    <w:rsid w:val="00A40A1E"/>
    <w:rsid w:val="00A41509"/>
    <w:rsid w:val="00A43EC3"/>
    <w:rsid w:val="00A4465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25AD"/>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2E6A"/>
    <w:rsid w:val="00BB38CB"/>
    <w:rsid w:val="00BB6A1A"/>
    <w:rsid w:val="00BC0F65"/>
    <w:rsid w:val="00BC211E"/>
    <w:rsid w:val="00BC2C3D"/>
    <w:rsid w:val="00BC3866"/>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16349"/>
    <w:rsid w:val="00C219D5"/>
    <w:rsid w:val="00C223F8"/>
    <w:rsid w:val="00C23BC5"/>
    <w:rsid w:val="00C23EAB"/>
    <w:rsid w:val="00C24219"/>
    <w:rsid w:val="00C31DCE"/>
    <w:rsid w:val="00C32E7E"/>
    <w:rsid w:val="00C345F6"/>
    <w:rsid w:val="00C36191"/>
    <w:rsid w:val="00C362F1"/>
    <w:rsid w:val="00C36AAF"/>
    <w:rsid w:val="00C41DFC"/>
    <w:rsid w:val="00C4285A"/>
    <w:rsid w:val="00C43E2E"/>
    <w:rsid w:val="00C51311"/>
    <w:rsid w:val="00C5316F"/>
    <w:rsid w:val="00C54286"/>
    <w:rsid w:val="00C5445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CF9"/>
    <w:rsid w:val="00CF4D17"/>
    <w:rsid w:val="00CF55AD"/>
    <w:rsid w:val="00CF7867"/>
    <w:rsid w:val="00CF7B02"/>
    <w:rsid w:val="00CF7C82"/>
    <w:rsid w:val="00D00EE6"/>
    <w:rsid w:val="00D01802"/>
    <w:rsid w:val="00D02BFD"/>
    <w:rsid w:val="00D05E83"/>
    <w:rsid w:val="00D11BF0"/>
    <w:rsid w:val="00D1383B"/>
    <w:rsid w:val="00D15827"/>
    <w:rsid w:val="00D16821"/>
    <w:rsid w:val="00D2087A"/>
    <w:rsid w:val="00D25E75"/>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158D"/>
    <w:rsid w:val="00D72519"/>
    <w:rsid w:val="00D73DE7"/>
    <w:rsid w:val="00D77275"/>
    <w:rsid w:val="00D802E0"/>
    <w:rsid w:val="00D8195F"/>
    <w:rsid w:val="00D82CF1"/>
    <w:rsid w:val="00D836FE"/>
    <w:rsid w:val="00D83C57"/>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143A"/>
    <w:rsid w:val="00DF2235"/>
    <w:rsid w:val="00DF5C5E"/>
    <w:rsid w:val="00E01B8F"/>
    <w:rsid w:val="00E029C6"/>
    <w:rsid w:val="00E07827"/>
    <w:rsid w:val="00E2022D"/>
    <w:rsid w:val="00E22728"/>
    <w:rsid w:val="00E237E3"/>
    <w:rsid w:val="00E30543"/>
    <w:rsid w:val="00E31C23"/>
    <w:rsid w:val="00E34EB2"/>
    <w:rsid w:val="00E3617C"/>
    <w:rsid w:val="00E45005"/>
    <w:rsid w:val="00E4612E"/>
    <w:rsid w:val="00E467E4"/>
    <w:rsid w:val="00E477CD"/>
    <w:rsid w:val="00E50F4E"/>
    <w:rsid w:val="00E53081"/>
    <w:rsid w:val="00E5522D"/>
    <w:rsid w:val="00E65B51"/>
    <w:rsid w:val="00E65FAC"/>
    <w:rsid w:val="00E67E21"/>
    <w:rsid w:val="00E7196C"/>
    <w:rsid w:val="00E7197A"/>
    <w:rsid w:val="00E7283F"/>
    <w:rsid w:val="00E741EC"/>
    <w:rsid w:val="00E7450E"/>
    <w:rsid w:val="00E748DF"/>
    <w:rsid w:val="00E765A9"/>
    <w:rsid w:val="00E80491"/>
    <w:rsid w:val="00E813B8"/>
    <w:rsid w:val="00E81893"/>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24AA"/>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3718"/>
    <w:rsid w:val="00F94DAA"/>
    <w:rsid w:val="00F96D99"/>
    <w:rsid w:val="00FA4EDA"/>
    <w:rsid w:val="00FA6BB7"/>
    <w:rsid w:val="00FA76B5"/>
    <w:rsid w:val="00FA7AA2"/>
    <w:rsid w:val="00FB3CD0"/>
    <w:rsid w:val="00FB5D61"/>
    <w:rsid w:val="00FB7D56"/>
    <w:rsid w:val="00FC5941"/>
    <w:rsid w:val="00FC691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53FFF55-2F22-4107-B489-68A114CD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Hughes</dc:creator>
  <cp:lastModifiedBy>Nick Williams</cp:lastModifiedBy>
  <cp:revision>6</cp:revision>
  <dcterms:created xsi:type="dcterms:W3CDTF">2018-10-22T08:14:00Z</dcterms:created>
  <dcterms:modified xsi:type="dcterms:W3CDTF">2018-10-24T08:03:00Z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