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FC" w:rsidRPr="0036679C" w:rsidRDefault="007B61FC" w:rsidP="007B61FC">
      <w:pPr>
        <w:ind w:left="709"/>
        <w:rPr>
          <w:b/>
        </w:rPr>
      </w:pPr>
      <w:r w:rsidRPr="0036679C">
        <w:rPr>
          <w:rFonts w:ascii="Arial Bold" w:hAnsi="Arial Bold"/>
          <w:b/>
          <w:caps/>
          <w:noProof/>
          <w:lang w:eastAsia="en-GB"/>
        </w:rPr>
        <w:drawing>
          <wp:inline distT="0" distB="0" distL="114300" distR="114300" wp14:anchorId="18280DE0" wp14:editId="53A90258">
            <wp:extent cx="1727200" cy="1463675"/>
            <wp:effectExtent l="0" t="0" r="635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27200" cy="1463675"/>
                    </a:xfrm>
                    <a:prstGeom prst="rect">
                      <a:avLst/>
                    </a:prstGeom>
                    <a:ln/>
                  </pic:spPr>
                </pic:pic>
              </a:graphicData>
            </a:graphic>
          </wp:inline>
        </w:drawing>
      </w:r>
    </w:p>
    <w:p w:rsidR="007B61FC" w:rsidRPr="0036679C" w:rsidRDefault="007B61FC" w:rsidP="007B61FC">
      <w:pPr>
        <w:rPr>
          <w:b/>
        </w:rPr>
      </w:pPr>
    </w:p>
    <w:p w:rsidR="007B61FC" w:rsidRPr="0036679C" w:rsidRDefault="007B61FC" w:rsidP="007B61FC">
      <w:pPr>
        <w:rPr>
          <w:b/>
        </w:rPr>
      </w:pPr>
    </w:p>
    <w:p w:rsidR="007B61FC" w:rsidRDefault="007B61FC" w:rsidP="00FB1BB1">
      <w:pPr>
        <w:pStyle w:val="Header"/>
        <w:ind w:left="284" w:firstLine="142"/>
        <w:jc w:val="center"/>
        <w:rPr>
          <w:b/>
          <w:sz w:val="28"/>
          <w:szCs w:val="28"/>
        </w:rPr>
      </w:pPr>
      <w:r>
        <w:rPr>
          <w:b/>
          <w:sz w:val="28"/>
          <w:szCs w:val="28"/>
        </w:rPr>
        <w:t xml:space="preserve">   </w:t>
      </w:r>
      <w:r w:rsidRPr="00271DFF">
        <w:rPr>
          <w:b/>
          <w:sz w:val="28"/>
          <w:szCs w:val="28"/>
        </w:rPr>
        <w:t xml:space="preserve">Provision of </w:t>
      </w:r>
      <w:r>
        <w:rPr>
          <w:b/>
          <w:sz w:val="28"/>
          <w:szCs w:val="28"/>
        </w:rPr>
        <w:t>Ongoing Support for the</w:t>
      </w:r>
    </w:p>
    <w:p w:rsidR="007B61FC" w:rsidRDefault="007B61FC" w:rsidP="00FB1BB1">
      <w:pPr>
        <w:pStyle w:val="Header"/>
        <w:ind w:left="284" w:firstLine="142"/>
        <w:jc w:val="center"/>
        <w:rPr>
          <w:b/>
          <w:sz w:val="28"/>
          <w:szCs w:val="28"/>
        </w:rPr>
      </w:pPr>
      <w:proofErr w:type="spellStart"/>
      <w:r>
        <w:rPr>
          <w:b/>
          <w:sz w:val="28"/>
          <w:szCs w:val="28"/>
        </w:rPr>
        <w:t>Covid</w:t>
      </w:r>
      <w:proofErr w:type="spellEnd"/>
      <w:r>
        <w:rPr>
          <w:b/>
          <w:sz w:val="28"/>
          <w:szCs w:val="28"/>
        </w:rPr>
        <w:t xml:space="preserve"> Corporate Financing Facility</w:t>
      </w:r>
    </w:p>
    <w:p w:rsidR="007B61FC" w:rsidRPr="00271DFF" w:rsidRDefault="007B61FC" w:rsidP="007B61FC">
      <w:pPr>
        <w:pStyle w:val="Header"/>
        <w:ind w:left="284" w:firstLine="142"/>
        <w:jc w:val="center"/>
        <w:rPr>
          <w:b/>
          <w:sz w:val="28"/>
          <w:szCs w:val="28"/>
        </w:rPr>
      </w:pPr>
      <w:r>
        <w:rPr>
          <w:b/>
          <w:sz w:val="28"/>
          <w:szCs w:val="28"/>
        </w:rPr>
        <w:t>to</w:t>
      </w:r>
    </w:p>
    <w:p w:rsidR="007B61FC" w:rsidRPr="00271DFF" w:rsidRDefault="007B61FC" w:rsidP="007B61FC">
      <w:pPr>
        <w:pStyle w:val="Header"/>
        <w:ind w:left="142"/>
        <w:jc w:val="center"/>
        <w:rPr>
          <w:b/>
          <w:sz w:val="28"/>
          <w:szCs w:val="28"/>
        </w:rPr>
      </w:pPr>
      <w:r>
        <w:rPr>
          <w:b/>
          <w:sz w:val="28"/>
          <w:szCs w:val="28"/>
        </w:rPr>
        <w:t xml:space="preserve">        HM Treasury</w:t>
      </w:r>
    </w:p>
    <w:p w:rsidR="007B61FC" w:rsidRPr="00271DFF" w:rsidRDefault="007B61FC" w:rsidP="007B61FC">
      <w:pPr>
        <w:pStyle w:val="Header"/>
        <w:ind w:left="709"/>
        <w:rPr>
          <w:b/>
          <w:sz w:val="28"/>
          <w:szCs w:val="28"/>
        </w:rPr>
      </w:pPr>
      <w:r>
        <w:rPr>
          <w:b/>
          <w:sz w:val="28"/>
          <w:szCs w:val="28"/>
        </w:rPr>
        <w:t xml:space="preserve">                                                           </w:t>
      </w:r>
      <w:r w:rsidRPr="00271DFF">
        <w:rPr>
          <w:b/>
          <w:sz w:val="28"/>
          <w:szCs w:val="28"/>
        </w:rPr>
        <w:t>From</w:t>
      </w:r>
    </w:p>
    <w:p w:rsidR="007B61FC" w:rsidRPr="00271DFF" w:rsidRDefault="007B61FC" w:rsidP="007B61FC">
      <w:pPr>
        <w:pStyle w:val="Header"/>
        <w:ind w:left="851"/>
        <w:jc w:val="center"/>
        <w:rPr>
          <w:b/>
          <w:sz w:val="28"/>
          <w:szCs w:val="28"/>
        </w:rPr>
      </w:pPr>
      <w:r>
        <w:rPr>
          <w:b/>
          <w:sz w:val="28"/>
          <w:szCs w:val="28"/>
        </w:rPr>
        <w:t>McKinsey &amp; Company</w:t>
      </w:r>
      <w:r w:rsidR="00FB1BB1">
        <w:rPr>
          <w:b/>
          <w:sz w:val="28"/>
          <w:szCs w:val="28"/>
        </w:rPr>
        <w:t>,</w:t>
      </w:r>
      <w:r>
        <w:rPr>
          <w:b/>
          <w:sz w:val="28"/>
          <w:szCs w:val="28"/>
        </w:rPr>
        <w:t xml:space="preserve"> Inc</w:t>
      </w:r>
      <w:r w:rsidR="00FB1BB1">
        <w:rPr>
          <w:b/>
          <w:sz w:val="28"/>
          <w:szCs w:val="28"/>
        </w:rPr>
        <w:t>.</w:t>
      </w:r>
      <w:r>
        <w:rPr>
          <w:b/>
          <w:sz w:val="28"/>
          <w:szCs w:val="28"/>
        </w:rPr>
        <w:t xml:space="preserve"> UK</w:t>
      </w:r>
    </w:p>
    <w:p w:rsidR="007B61FC" w:rsidRPr="00271DFF" w:rsidRDefault="007B61FC" w:rsidP="007B61FC">
      <w:pPr>
        <w:pStyle w:val="Header"/>
        <w:jc w:val="center"/>
        <w:rPr>
          <w:b/>
          <w:sz w:val="28"/>
          <w:szCs w:val="28"/>
        </w:rPr>
      </w:pPr>
    </w:p>
    <w:p w:rsidR="007B61FC" w:rsidRPr="00271DFF" w:rsidRDefault="007B61FC" w:rsidP="007B61FC">
      <w:pPr>
        <w:pStyle w:val="Header"/>
        <w:jc w:val="center"/>
        <w:rPr>
          <w:b/>
          <w:sz w:val="28"/>
          <w:szCs w:val="28"/>
        </w:rPr>
      </w:pPr>
    </w:p>
    <w:p w:rsidR="007B61FC" w:rsidRDefault="007B61FC" w:rsidP="007B61FC">
      <w:pPr>
        <w:pStyle w:val="Header"/>
        <w:ind w:left="284"/>
        <w:jc w:val="center"/>
        <w:rPr>
          <w:b/>
          <w:sz w:val="28"/>
          <w:szCs w:val="28"/>
        </w:rPr>
      </w:pPr>
      <w:r>
        <w:rPr>
          <w:b/>
          <w:sz w:val="28"/>
          <w:szCs w:val="28"/>
        </w:rPr>
        <w:t xml:space="preserve">    Contract Reference: CCCC20A84</w:t>
      </w: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Default="007B61FC" w:rsidP="007B61FC">
      <w:pPr>
        <w:pStyle w:val="Header"/>
        <w:ind w:left="284"/>
        <w:jc w:val="center"/>
        <w:rPr>
          <w:b/>
          <w:sz w:val="28"/>
          <w:szCs w:val="28"/>
        </w:rPr>
      </w:pPr>
    </w:p>
    <w:p w:rsidR="00D824CC" w:rsidRDefault="00D824CC" w:rsidP="007B61FC">
      <w:pPr>
        <w:pStyle w:val="Header"/>
        <w:ind w:left="284"/>
        <w:jc w:val="center"/>
        <w:rPr>
          <w:b/>
          <w:sz w:val="28"/>
          <w:szCs w:val="28"/>
        </w:rPr>
      </w:pPr>
    </w:p>
    <w:p w:rsidR="007B61FC" w:rsidRDefault="007B61FC" w:rsidP="007B61FC">
      <w:pPr>
        <w:pStyle w:val="Header"/>
        <w:ind w:left="284"/>
        <w:jc w:val="center"/>
        <w:rPr>
          <w:b/>
          <w:sz w:val="28"/>
          <w:szCs w:val="28"/>
        </w:rPr>
      </w:pPr>
    </w:p>
    <w:p w:rsidR="007B61FC" w:rsidRPr="00271DFF" w:rsidRDefault="007B61FC" w:rsidP="007B61FC">
      <w:pPr>
        <w:pStyle w:val="Header"/>
        <w:ind w:left="284"/>
        <w:jc w:val="center"/>
        <w:rPr>
          <w:b/>
          <w:sz w:val="28"/>
          <w:szCs w:val="28"/>
        </w:rPr>
      </w:pPr>
    </w:p>
    <w:p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rsidR="0036679C" w:rsidRPr="007B61FC" w:rsidRDefault="0036679C" w:rsidP="007B61F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rsidR="0036679C" w:rsidRPr="00D824CC" w:rsidRDefault="0036679C" w:rsidP="0036679C">
      <w:pPr>
        <w:spacing w:after="0" w:line="240" w:lineRule="auto"/>
        <w:ind w:right="936"/>
        <w:rPr>
          <w:rFonts w:ascii="Arial" w:eastAsia="Calibri" w:hAnsi="Arial" w:cs="Arial"/>
          <w:b/>
        </w:rPr>
      </w:pPr>
      <w:r w:rsidRPr="00D824CC">
        <w:rPr>
          <w:rFonts w:ascii="Arial" w:eastAsia="Calibri" w:hAnsi="Arial" w:cs="Arial"/>
          <w:b/>
        </w:rPr>
        <w:t>SECTION A</w:t>
      </w:r>
    </w:p>
    <w:p w:rsidR="0036679C" w:rsidRPr="0036679C" w:rsidRDefault="0036679C" w:rsidP="0036679C">
      <w:pPr>
        <w:spacing w:after="0" w:line="240" w:lineRule="auto"/>
        <w:ind w:right="936"/>
        <w:rPr>
          <w:rFonts w:ascii="Arial" w:eastAsia="Calibri" w:hAnsi="Arial" w:cs="Arial"/>
          <w:b/>
          <w:color w:val="C00000"/>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B32627">
        <w:rPr>
          <w:rFonts w:ascii="Arial" w:eastAsia="Times New Roman" w:hAnsi="Arial" w:cs="Arial"/>
          <w:color w:val="000000"/>
        </w:rPr>
        <w:t>21</w:t>
      </w:r>
      <w:r w:rsidR="0082354C" w:rsidRPr="00B32627">
        <w:rPr>
          <w:rFonts w:ascii="Arial" w:eastAsia="Times New Roman" w:hAnsi="Arial" w:cs="Arial"/>
          <w:color w:val="000000"/>
          <w:vertAlign w:val="superscript"/>
        </w:rPr>
        <w:t>st</w:t>
      </w:r>
      <w:r w:rsidR="0082354C" w:rsidRPr="00B32627">
        <w:rPr>
          <w:rFonts w:ascii="Arial" w:eastAsia="Times New Roman" w:hAnsi="Arial" w:cs="Arial"/>
          <w:color w:val="000000"/>
        </w:rPr>
        <w:t xml:space="preserve"> November 2017</w:t>
      </w:r>
      <w:r w:rsidR="00B32627" w:rsidRPr="00B32627">
        <w:rPr>
          <w:rFonts w:ascii="Arial" w:eastAsia="Times New Roman" w:hAnsi="Arial" w:cs="Arial"/>
          <w:color w:val="000000"/>
        </w:rPr>
        <w:t>.</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D824CC" w:rsidRPr="0036679C" w:rsidTr="00D824CC">
        <w:tc>
          <w:tcPr>
            <w:tcW w:w="1532" w:type="dxa"/>
            <w:shd w:val="clear" w:color="auto" w:fill="auto"/>
          </w:tcPr>
          <w:p w:rsidR="00D824CC" w:rsidRPr="0082354C" w:rsidRDefault="00D824CC" w:rsidP="00D824C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rsidR="00D824CC" w:rsidRPr="00881A93" w:rsidRDefault="00D824CC" w:rsidP="00D824CC">
            <w:pPr>
              <w:spacing w:after="0"/>
              <w:rPr>
                <w:b/>
              </w:rPr>
            </w:pPr>
            <w:r w:rsidRPr="00881A93">
              <w:rPr>
                <w:b/>
                <w:color w:val="222222"/>
                <w:shd w:val="clear" w:color="auto" w:fill="FFFFFF"/>
              </w:rPr>
              <w:t>To be advised by Contracting Authority post award</w:t>
            </w:r>
          </w:p>
        </w:tc>
      </w:tr>
      <w:tr w:rsidR="00D824CC" w:rsidRPr="0036679C" w:rsidTr="00D824CC">
        <w:tc>
          <w:tcPr>
            <w:tcW w:w="1532" w:type="dxa"/>
            <w:shd w:val="clear" w:color="auto" w:fill="auto"/>
          </w:tcPr>
          <w:p w:rsidR="00D824CC" w:rsidRPr="0082354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 xml:space="preserve">HM </w:t>
            </w:r>
            <w:r w:rsidR="00504D47">
              <w:rPr>
                <w:rFonts w:ascii="Arial" w:eastAsia="Times New Roman" w:hAnsi="Arial" w:cs="Arial"/>
                <w:b/>
                <w:spacing w:val="-3"/>
                <w:lang w:eastAsia="en-GB"/>
              </w:rPr>
              <w:t>Treasury</w:t>
            </w:r>
          </w:p>
          <w:p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D824CC" w:rsidRPr="0036679C" w:rsidTr="00D824CC">
        <w:tc>
          <w:tcPr>
            <w:tcW w:w="1532" w:type="dxa"/>
            <w:shd w:val="clear" w:color="auto" w:fill="auto"/>
          </w:tcPr>
          <w:p w:rsidR="00D824CC" w:rsidRPr="0082354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McKinsey &amp; Company</w:t>
            </w:r>
            <w:r w:rsidR="00FB1BB1">
              <w:rPr>
                <w:rFonts w:ascii="Arial" w:eastAsia="Times New Roman" w:hAnsi="Arial" w:cs="Arial"/>
                <w:b/>
              </w:rPr>
              <w:t>,</w:t>
            </w:r>
            <w:r>
              <w:rPr>
                <w:rFonts w:ascii="Arial" w:eastAsia="Times New Roman" w:hAnsi="Arial" w:cs="Arial"/>
                <w:b/>
              </w:rPr>
              <w:t xml:space="preserve"> Inc</w:t>
            </w:r>
            <w:r w:rsidR="00FB1BB1">
              <w:rPr>
                <w:rFonts w:ascii="Arial" w:eastAsia="Times New Roman" w:hAnsi="Arial" w:cs="Arial"/>
                <w:b/>
              </w:rPr>
              <w:t>.</w:t>
            </w:r>
            <w:r>
              <w:rPr>
                <w:rFonts w:ascii="Arial" w:eastAsia="Times New Roman" w:hAnsi="Arial" w:cs="Arial"/>
                <w:b/>
              </w:rPr>
              <w:t xml:space="preserve"> UK</w:t>
            </w:r>
          </w:p>
          <w:p w:rsidR="00D824CC" w:rsidRPr="0036679C" w:rsidRDefault="00D824CC"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D824CC" w:rsidRDefault="0036679C" w:rsidP="0036679C">
      <w:pPr>
        <w:spacing w:after="0" w:line="240" w:lineRule="auto"/>
        <w:ind w:right="936"/>
        <w:rPr>
          <w:rFonts w:ascii="Arial" w:eastAsia="Calibri" w:hAnsi="Arial" w:cs="Arial"/>
          <w:b/>
        </w:rPr>
      </w:pPr>
      <w:r w:rsidRPr="00D824CC">
        <w:rPr>
          <w:rFonts w:ascii="Arial" w:eastAsia="Calibri" w:hAnsi="Arial" w:cs="Arial"/>
          <w:b/>
        </w:rPr>
        <w:t xml:space="preserve">SECTION B </w:t>
      </w:r>
    </w:p>
    <w:p w:rsidR="0036679C" w:rsidRPr="0036679C" w:rsidRDefault="0036679C" w:rsidP="0036679C">
      <w:pPr>
        <w:spacing w:after="0" w:line="240" w:lineRule="auto"/>
        <w:ind w:right="936"/>
        <w:rPr>
          <w:rFonts w:ascii="Arial" w:eastAsia="Calibri" w:hAnsi="Arial" w:cs="Arial"/>
          <w:b/>
          <w:color w:val="C00000"/>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D824CC" w:rsidRPr="0036679C" w:rsidTr="00D824CC">
        <w:tc>
          <w:tcPr>
            <w:tcW w:w="567" w:type="dxa"/>
          </w:tcPr>
          <w:p w:rsidR="00D824CC" w:rsidRPr="0036679C" w:rsidRDefault="00D824CC"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rsidR="004469F4" w:rsidRDefault="00D824CC" w:rsidP="0036679C">
            <w:pPr>
              <w:spacing w:after="0" w:line="240" w:lineRule="auto"/>
              <w:ind w:right="936"/>
              <w:rPr>
                <w:rFonts w:ascii="Arial" w:eastAsia="STZhongsong" w:hAnsi="Arial" w:cs="Arial"/>
                <w:lang w:eastAsia="zh-CN"/>
              </w:rPr>
            </w:pPr>
            <w:r w:rsidRPr="0036679C">
              <w:rPr>
                <w:rFonts w:ascii="Arial" w:eastAsia="STZhongsong" w:hAnsi="Arial" w:cs="Arial"/>
                <w:b/>
                <w:lang w:eastAsia="zh-CN"/>
              </w:rPr>
              <w:t>Commencement Date</w:t>
            </w:r>
            <w:r>
              <w:rPr>
                <w:rFonts w:ascii="Arial" w:eastAsia="STZhongsong" w:hAnsi="Arial" w:cs="Arial"/>
                <w:lang w:eastAsia="zh-CN"/>
              </w:rPr>
              <w:t xml:space="preserve">: </w:t>
            </w:r>
          </w:p>
          <w:p w:rsidR="004469F4" w:rsidRDefault="004469F4" w:rsidP="0036679C">
            <w:pPr>
              <w:spacing w:after="0" w:line="240" w:lineRule="auto"/>
              <w:ind w:right="936"/>
              <w:rPr>
                <w:rFonts w:ascii="Arial" w:eastAsia="STZhongsong" w:hAnsi="Arial" w:cs="Arial"/>
                <w:lang w:eastAsia="zh-CN"/>
              </w:rPr>
            </w:pPr>
          </w:p>
          <w:p w:rsidR="00D824CC" w:rsidRDefault="004469F4" w:rsidP="0036679C">
            <w:pPr>
              <w:spacing w:after="0" w:line="240" w:lineRule="auto"/>
              <w:ind w:right="936"/>
              <w:rPr>
                <w:rFonts w:ascii="Arial" w:eastAsia="STZhongsong" w:hAnsi="Arial" w:cs="Arial"/>
                <w:lang w:eastAsia="zh-CN"/>
              </w:rPr>
            </w:pPr>
            <w:r>
              <w:rPr>
                <w:rFonts w:ascii="Arial" w:eastAsia="STZhongsong" w:hAnsi="Arial" w:cs="Arial"/>
                <w:lang w:eastAsia="zh-CN"/>
              </w:rPr>
              <w:t xml:space="preserve">The Contract is deemed to have commenced on </w:t>
            </w:r>
            <w:r w:rsidR="00D824CC">
              <w:rPr>
                <w:rFonts w:ascii="Arial" w:eastAsia="STZhongsong" w:hAnsi="Arial" w:cs="Arial"/>
                <w:lang w:eastAsia="zh-CN"/>
              </w:rPr>
              <w:t>1</w:t>
            </w:r>
            <w:r w:rsidR="00D824CC" w:rsidRPr="00D824CC">
              <w:rPr>
                <w:rFonts w:ascii="Arial" w:eastAsia="STZhongsong" w:hAnsi="Arial" w:cs="Arial"/>
                <w:vertAlign w:val="superscript"/>
                <w:lang w:eastAsia="zh-CN"/>
              </w:rPr>
              <w:t>st</w:t>
            </w:r>
            <w:r w:rsidR="00D824CC">
              <w:rPr>
                <w:rFonts w:ascii="Arial" w:eastAsia="STZhongsong" w:hAnsi="Arial" w:cs="Arial"/>
                <w:lang w:eastAsia="zh-CN"/>
              </w:rPr>
              <w:t xml:space="preserve"> June 2020</w:t>
            </w:r>
          </w:p>
          <w:p w:rsidR="004469F4" w:rsidRPr="00D824CC" w:rsidRDefault="004469F4" w:rsidP="0036679C">
            <w:pPr>
              <w:spacing w:after="0" w:line="240" w:lineRule="auto"/>
              <w:ind w:right="936"/>
              <w:rPr>
                <w:rFonts w:ascii="Arial" w:eastAsia="STZhongsong" w:hAnsi="Arial" w:cs="Arial"/>
                <w:b/>
                <w:lang w:eastAsia="zh-CN"/>
              </w:rPr>
            </w:pPr>
          </w:p>
        </w:tc>
      </w:tr>
      <w:tr w:rsidR="00D824CC" w:rsidRPr="0036679C" w:rsidTr="00D824CC">
        <w:tc>
          <w:tcPr>
            <w:tcW w:w="567" w:type="dxa"/>
          </w:tcPr>
          <w:p w:rsidR="00D824CC" w:rsidRPr="0036679C" w:rsidRDefault="00D824CC"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rsidR="00D824CC" w:rsidRPr="0036679C" w:rsidRDefault="00D824CC"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rsidR="00D824CC" w:rsidRPr="0036679C" w:rsidRDefault="00D824C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rsidR="00D824CC" w:rsidRPr="0036679C" w:rsidRDefault="00D824CC" w:rsidP="0036679C">
            <w:pPr>
              <w:numPr>
                <w:ilvl w:val="1"/>
                <w:numId w:val="0"/>
              </w:numPr>
              <w:adjustRightInd w:val="0"/>
              <w:spacing w:after="0" w:line="240" w:lineRule="auto"/>
              <w:rPr>
                <w:rFonts w:ascii="Arial" w:eastAsia="STZhongsong" w:hAnsi="Arial" w:cs="Arial"/>
                <w:lang w:eastAsia="zh-CN"/>
              </w:rPr>
            </w:pPr>
          </w:p>
          <w:p w:rsidR="00D824CC" w:rsidRPr="0036679C" w:rsidRDefault="00D824CC" w:rsidP="0036679C">
            <w:pPr>
              <w:adjustRightInd w:val="0"/>
              <w:spacing w:after="0" w:line="240" w:lineRule="auto"/>
              <w:rPr>
                <w:rFonts w:ascii="Arial" w:eastAsia="STZhongsong" w:hAnsi="Arial" w:cs="Arial"/>
                <w:lang w:eastAsia="zh-CN"/>
              </w:rPr>
            </w:pPr>
            <w:r>
              <w:rPr>
                <w:rFonts w:ascii="Arial" w:eastAsia="STZhongsong" w:hAnsi="Arial" w:cs="Arial"/>
                <w:lang w:eastAsia="zh-CN"/>
              </w:rPr>
              <w:t>End date of Period: 31</w:t>
            </w:r>
            <w:r w:rsidRPr="00D824CC">
              <w:rPr>
                <w:rFonts w:ascii="Arial" w:eastAsia="STZhongsong" w:hAnsi="Arial" w:cs="Arial"/>
                <w:vertAlign w:val="superscript"/>
                <w:lang w:eastAsia="zh-CN"/>
              </w:rPr>
              <w:t>st</w:t>
            </w:r>
            <w:r>
              <w:rPr>
                <w:rFonts w:ascii="Arial" w:eastAsia="STZhongsong" w:hAnsi="Arial" w:cs="Arial"/>
                <w:lang w:eastAsia="zh-CN"/>
              </w:rPr>
              <w:t xml:space="preserve"> July 2020</w:t>
            </w:r>
          </w:p>
          <w:p w:rsidR="00D824CC" w:rsidRPr="0036679C" w:rsidRDefault="00D824CC" w:rsidP="00D824CC">
            <w:pPr>
              <w:adjustRightInd w:val="0"/>
              <w:spacing w:after="0" w:line="240" w:lineRule="auto"/>
              <w:rPr>
                <w:rFonts w:ascii="Arial" w:eastAsia="STZhongsong" w:hAnsi="Arial" w:cs="Arial"/>
                <w:lang w:eastAsia="zh-CN"/>
              </w:rPr>
            </w:pPr>
          </w:p>
        </w:tc>
      </w:tr>
    </w:tbl>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D824CC" w:rsidRPr="0036679C" w:rsidTr="00A329EB">
        <w:trPr>
          <w:trHeight w:val="699"/>
        </w:trPr>
        <w:tc>
          <w:tcPr>
            <w:tcW w:w="553" w:type="dxa"/>
          </w:tcPr>
          <w:p w:rsidR="00D824CC" w:rsidRPr="0036679C" w:rsidRDefault="00D824CC"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rsidR="00D824CC" w:rsidRPr="0036679C" w:rsidRDefault="00D824CC"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rsidR="00D824CC" w:rsidRPr="0036679C" w:rsidRDefault="00D824CC" w:rsidP="0036679C">
            <w:pPr>
              <w:numPr>
                <w:ilvl w:val="1"/>
                <w:numId w:val="0"/>
              </w:numPr>
              <w:adjustRightInd w:val="0"/>
              <w:spacing w:after="0" w:line="240" w:lineRule="auto"/>
              <w:rPr>
                <w:rFonts w:ascii="Arial" w:eastAsia="STZhongsong" w:hAnsi="Arial" w:cs="Arial"/>
                <w:lang w:eastAsia="zh-CN"/>
              </w:rPr>
            </w:pPr>
          </w:p>
          <w:p w:rsidR="00A329EB" w:rsidRPr="00A329EB" w:rsidRDefault="00A329EB" w:rsidP="00A329EB">
            <w:pPr>
              <w:rPr>
                <w:rFonts w:ascii="Arial" w:hAnsi="Arial" w:cs="Arial"/>
              </w:rPr>
            </w:pPr>
            <w:r w:rsidRPr="00A329EB">
              <w:rPr>
                <w:rFonts w:ascii="Arial" w:hAnsi="Arial" w:cs="Arial"/>
              </w:rPr>
              <w:t>The objectives of the engagement:</w:t>
            </w:r>
          </w:p>
          <w:p w:rsidR="00A329EB" w:rsidRPr="00A329EB" w:rsidRDefault="00A329EB" w:rsidP="00A329EB">
            <w:pPr>
              <w:pStyle w:val="ListParagraph"/>
              <w:numPr>
                <w:ilvl w:val="0"/>
                <w:numId w:val="3"/>
              </w:numPr>
              <w:spacing w:line="240" w:lineRule="auto"/>
              <w:rPr>
                <w:sz w:val="22"/>
                <w:szCs w:val="22"/>
              </w:rPr>
            </w:pPr>
            <w:r w:rsidRPr="00A329EB">
              <w:rPr>
                <w:sz w:val="22"/>
                <w:szCs w:val="22"/>
              </w:rPr>
              <w:t>Embed the assessment frameworks for key steps of the process, specifically initial triage, verification of the basic financial viability of the company, detailed credit assessment of cases which reach the credit committee</w:t>
            </w:r>
          </w:p>
          <w:p w:rsidR="00A329EB" w:rsidRPr="00A329EB" w:rsidRDefault="00A329EB" w:rsidP="00A329EB">
            <w:pPr>
              <w:pStyle w:val="ListParagraph"/>
              <w:numPr>
                <w:ilvl w:val="0"/>
                <w:numId w:val="3"/>
              </w:numPr>
              <w:spacing w:line="240" w:lineRule="auto"/>
              <w:rPr>
                <w:sz w:val="22"/>
                <w:szCs w:val="22"/>
              </w:rPr>
            </w:pPr>
            <w:r w:rsidRPr="00A329EB">
              <w:rPr>
                <w:sz w:val="22"/>
                <w:szCs w:val="22"/>
              </w:rPr>
              <w:t>Share best practices associated with detailed credit assessments (for the purpose of eligibility or limit increase assessments) with HMG colleagues in order to build ongoing capability to complete such assessments independently</w:t>
            </w:r>
          </w:p>
          <w:p w:rsidR="00A329EB" w:rsidRPr="00A329EB" w:rsidRDefault="00A329EB" w:rsidP="00A329EB">
            <w:pPr>
              <w:rPr>
                <w:rFonts w:ascii="Arial" w:hAnsi="Arial" w:cs="Arial"/>
              </w:rPr>
            </w:pPr>
            <w:r w:rsidRPr="00A329EB">
              <w:rPr>
                <w:rFonts w:ascii="Arial" w:hAnsi="Arial" w:cs="Arial"/>
              </w:rPr>
              <w:t>The outcomes of the engagement:</w:t>
            </w:r>
          </w:p>
          <w:p w:rsidR="00D824CC" w:rsidRPr="00A329EB" w:rsidRDefault="00A329EB" w:rsidP="00A329EB">
            <w:pPr>
              <w:pStyle w:val="ListParagraph"/>
              <w:numPr>
                <w:ilvl w:val="0"/>
                <w:numId w:val="4"/>
              </w:numPr>
              <w:spacing w:line="240" w:lineRule="auto"/>
              <w:rPr>
                <w:sz w:val="22"/>
                <w:szCs w:val="22"/>
              </w:rPr>
            </w:pPr>
            <w:r w:rsidRPr="00A329EB">
              <w:rPr>
                <w:sz w:val="22"/>
                <w:szCs w:val="22"/>
              </w:rPr>
              <w:t xml:space="preserve">Successfully guide a small number (~3 cases per week) of CCFF cases through the end to end process and facilitate rapid (~5 working days) </w:t>
            </w:r>
            <w:r w:rsidRPr="00A329EB">
              <w:rPr>
                <w:sz w:val="22"/>
                <w:szCs w:val="22"/>
              </w:rPr>
              <w:lastRenderedPageBreak/>
              <w:t>turnaround of decisions from initial referral to outcome (credit committee decision)</w:t>
            </w:r>
          </w:p>
        </w:tc>
      </w:tr>
    </w:tbl>
    <w:p w:rsidR="00D824CC" w:rsidRPr="0036679C" w:rsidRDefault="00D824C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9279"/>
      </w:tblGrid>
      <w:tr w:rsidR="00D824CC" w:rsidRPr="0036679C" w:rsidTr="00D824CC">
        <w:trPr>
          <w:trHeight w:val="493"/>
        </w:trPr>
        <w:tc>
          <w:tcPr>
            <w:tcW w:w="843" w:type="dxa"/>
            <w:vMerge w:val="restart"/>
          </w:tcPr>
          <w:p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258" w:type="dxa"/>
            <w:vMerge w:val="restart"/>
            <w:shd w:val="clear" w:color="auto" w:fill="auto"/>
          </w:tcPr>
          <w:p w:rsidR="00D824CC" w:rsidRDefault="00D824CC" w:rsidP="00D824CC">
            <w:pPr>
              <w:overflowPunct w:val="0"/>
              <w:autoSpaceDE w:val="0"/>
              <w:autoSpaceDN w:val="0"/>
              <w:adjustRightInd w:val="0"/>
              <w:spacing w:after="240" w:line="240" w:lineRule="auto"/>
              <w:jc w:val="both"/>
              <w:textAlignment w:val="baseline"/>
              <w:rPr>
                <w:rFonts w:ascii="Arial" w:eastAsia="Times New Roman" w:hAnsi="Arial" w:cs="Arial"/>
                <w:b/>
                <w:highlight w:val="yellow"/>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p>
          <w:tbl>
            <w:tblPr>
              <w:tblW w:w="90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52"/>
              <w:gridCol w:w="2409"/>
              <w:gridCol w:w="1687"/>
            </w:tblGrid>
            <w:tr w:rsidR="00A329EB" w:rsidTr="00D2305E">
              <w:trPr>
                <w:trHeight w:val="261"/>
                <w:tblHeader/>
              </w:trPr>
              <w:tc>
                <w:tcPr>
                  <w:tcW w:w="4952" w:type="dxa"/>
                  <w:shd w:val="clear" w:color="auto" w:fill="FFD966" w:themeFill="accent4" w:themeFillTint="99"/>
                </w:tcPr>
                <w:p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Deliverable</w:t>
                  </w:r>
                </w:p>
              </w:tc>
              <w:tc>
                <w:tcPr>
                  <w:tcW w:w="2409" w:type="dxa"/>
                  <w:shd w:val="clear" w:color="auto" w:fill="FFD966" w:themeFill="accent4" w:themeFillTint="99"/>
                </w:tcPr>
                <w:p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Milestone / Date</w:t>
                  </w:r>
                </w:p>
              </w:tc>
              <w:tc>
                <w:tcPr>
                  <w:tcW w:w="1687" w:type="dxa"/>
                  <w:shd w:val="clear" w:color="auto" w:fill="FFD966" w:themeFill="accent4" w:themeFillTint="99"/>
                </w:tcPr>
                <w:p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center"/>
                    <w:rPr>
                      <w:b/>
                    </w:rPr>
                  </w:pPr>
                  <w:r>
                    <w:rPr>
                      <w:b/>
                    </w:rPr>
                    <w:t xml:space="preserve">Owner </w:t>
                  </w:r>
                  <w:r w:rsidRPr="006422F0">
                    <w:rPr>
                      <w:sz w:val="16"/>
                      <w:szCs w:val="16"/>
                    </w:rPr>
                    <w:t>(</w:t>
                  </w:r>
                  <w:r>
                    <w:rPr>
                      <w:sz w:val="16"/>
                      <w:szCs w:val="16"/>
                    </w:rPr>
                    <w:t xml:space="preserve">who in the </w:t>
                  </w:r>
                  <w:r w:rsidRPr="006422F0">
                    <w:rPr>
                      <w:sz w:val="16"/>
                      <w:szCs w:val="16"/>
                    </w:rPr>
                    <w:t>delivery team</w:t>
                  </w:r>
                  <w:r>
                    <w:rPr>
                      <w:sz w:val="16"/>
                      <w:szCs w:val="16"/>
                    </w:rPr>
                    <w:t>?</w:t>
                  </w:r>
                  <w:r w:rsidRPr="006422F0">
                    <w:rPr>
                      <w:sz w:val="16"/>
                      <w:szCs w:val="16"/>
                    </w:rPr>
                    <w:t>)</w:t>
                  </w:r>
                </w:p>
              </w:tc>
            </w:tr>
            <w:tr w:rsidR="00A329EB" w:rsidTr="00D2305E">
              <w:trPr>
                <w:trHeight w:val="280"/>
              </w:trPr>
              <w:tc>
                <w:tcPr>
                  <w:tcW w:w="9048" w:type="dxa"/>
                  <w:gridSpan w:val="3"/>
                  <w:shd w:val="clear" w:color="auto" w:fill="FFD966" w:themeFill="accent4" w:themeFillTint="99"/>
                </w:tcPr>
                <w:p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both"/>
                    <w:rPr>
                      <w:b/>
                    </w:rPr>
                  </w:pPr>
                  <w:r>
                    <w:rPr>
                      <w:b/>
                    </w:rPr>
                    <w:t>CCFF support</w:t>
                  </w:r>
                </w:p>
              </w:tc>
            </w:tr>
            <w:tr w:rsidR="00A329EB" w:rsidTr="00D2305E">
              <w:trPr>
                <w:trHeight w:val="261"/>
              </w:trPr>
              <w:tc>
                <w:tcPr>
                  <w:tcW w:w="4952" w:type="dxa"/>
                </w:tcPr>
                <w:p w:rsidR="00A329EB" w:rsidRDefault="00A329EB" w:rsidP="00A329EB">
                  <w:pPr>
                    <w:spacing w:before="100" w:beforeAutospacing="1" w:after="100" w:afterAutospacing="1"/>
                  </w:pPr>
                  <w:r>
                    <w:t>Daily Status updates: Ongoing daily meetings with HMT and UKGI providing status updates on live case load (i.e. cases with credit committee date) as well as managing pipeline of incoming cases. Everyday McKinsey will provide: status update on current cases, overview of analysis completed to date, clear articulation of further input required including e.g. data request to be shared with companies</w:t>
                  </w:r>
                </w:p>
                <w:p w:rsidR="00A329EB" w:rsidRDefault="00A329EB" w:rsidP="00A329EB">
                  <w:pPr>
                    <w:spacing w:before="100" w:beforeAutospacing="1" w:after="100" w:afterAutospacing="1"/>
                  </w:pPr>
                  <w:r>
                    <w:t xml:space="preserve">Credit committee papers: template and assessment framework. McKinsey will provide dedicated expert Risk analyst capacity to support the preparation of credit committee papers for cases that proceed through the CCFF process to the point of being reviewed by the committee. Specifically McKinsey will: develop the standard template and assessment frameworks; conduct company specific assessment across all relevant dimensions required for the committee to make an informed decision. McKinsey will support up to 3 cases per week (dependent on number of cases in pipeline)   </w:t>
                  </w:r>
                </w:p>
                <w:p w:rsidR="00A329EB" w:rsidRDefault="00A329EB" w:rsidP="00A329EB">
                  <w:pPr>
                    <w:spacing w:before="100" w:beforeAutospacing="1" w:after="100" w:afterAutospacing="1"/>
                  </w:pPr>
                </w:p>
              </w:tc>
              <w:tc>
                <w:tcPr>
                  <w:tcW w:w="2409" w:type="dxa"/>
                </w:tcPr>
                <w:p w:rsidR="00A329EB" w:rsidRDefault="00A329EB" w:rsidP="00A329EB">
                  <w:pPr>
                    <w:pBdr>
                      <w:top w:val="none" w:sz="0" w:space="0" w:color="000000"/>
                      <w:left w:val="none" w:sz="0" w:space="0" w:color="000000"/>
                      <w:bottom w:val="none" w:sz="0" w:space="0" w:color="000000"/>
                      <w:right w:val="none" w:sz="0" w:space="0" w:color="000000"/>
                      <w:between w:val="none" w:sz="0" w:space="0" w:color="000000"/>
                    </w:pBdr>
                    <w:spacing w:before="60" w:after="60"/>
                    <w:jc w:val="both"/>
                  </w:pPr>
                  <w:r>
                    <w:t>31</w:t>
                  </w:r>
                  <w:r w:rsidRPr="00776CFD">
                    <w:rPr>
                      <w:vertAlign w:val="superscript"/>
                    </w:rPr>
                    <w:t>st</w:t>
                  </w:r>
                  <w:r>
                    <w:t xml:space="preserve"> July 2020</w:t>
                  </w:r>
                </w:p>
              </w:tc>
              <w:tc>
                <w:tcPr>
                  <w:tcW w:w="1687" w:type="dxa"/>
                </w:tcPr>
                <w:p w:rsidR="00A329EB" w:rsidRPr="001A201D" w:rsidRDefault="001A201D" w:rsidP="00A329EB">
                  <w:pPr>
                    <w:pBdr>
                      <w:top w:val="none" w:sz="0" w:space="0" w:color="000000"/>
                      <w:left w:val="none" w:sz="0" w:space="0" w:color="000000"/>
                      <w:bottom w:val="none" w:sz="0" w:space="0" w:color="000000"/>
                      <w:right w:val="none" w:sz="0" w:space="0" w:color="000000"/>
                      <w:between w:val="none" w:sz="0" w:space="0" w:color="000000"/>
                    </w:pBdr>
                    <w:spacing w:before="60" w:after="60"/>
                    <w:jc w:val="both"/>
                    <w:rPr>
                      <w:rFonts w:ascii="Arial" w:hAnsi="Arial" w:cs="Arial"/>
                      <w:b/>
                    </w:rPr>
                  </w:pPr>
                  <w:r w:rsidRPr="001A201D">
                    <w:rPr>
                      <w:rFonts w:ascii="Arial" w:hAnsi="Arial" w:cs="Arial"/>
                      <w:b/>
                    </w:rPr>
                    <w:t>Redacted</w:t>
                  </w:r>
                </w:p>
              </w:tc>
            </w:tr>
          </w:tbl>
          <w:p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rPr>
            </w:pPr>
          </w:p>
        </w:tc>
      </w:tr>
      <w:tr w:rsidR="00D824CC" w:rsidRPr="0036679C" w:rsidTr="00D824CC">
        <w:trPr>
          <w:trHeight w:val="493"/>
        </w:trPr>
        <w:tc>
          <w:tcPr>
            <w:tcW w:w="843" w:type="dxa"/>
            <w:vMerge/>
          </w:tcPr>
          <w:p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258" w:type="dxa"/>
            <w:vMerge/>
            <w:shd w:val="clear" w:color="auto" w:fill="auto"/>
          </w:tcPr>
          <w:p w:rsidR="00D824CC" w:rsidRPr="0036679C" w:rsidRDefault="00D824CC"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517"/>
      </w:tblGrid>
      <w:tr w:rsidR="00361823" w:rsidRPr="0036679C" w:rsidTr="00361823">
        <w:tc>
          <w:tcPr>
            <w:tcW w:w="584" w:type="dxa"/>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517" w:type="dxa"/>
            <w:shd w:val="clear" w:color="auto" w:fill="auto"/>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361823" w:rsidRPr="00361823" w:rsidRDefault="00361823" w:rsidP="0036679C">
            <w:pPr>
              <w:numPr>
                <w:ilvl w:val="1"/>
                <w:numId w:val="0"/>
              </w:numPr>
              <w:adjustRightInd w:val="0"/>
              <w:spacing w:after="120" w:line="240" w:lineRule="auto"/>
              <w:rPr>
                <w:rFonts w:ascii="Arial" w:eastAsia="STZhongsong" w:hAnsi="Arial" w:cs="Arial"/>
                <w:lang w:eastAsia="zh-CN"/>
              </w:rPr>
            </w:pPr>
            <w:r w:rsidRPr="00361823">
              <w:rPr>
                <w:rFonts w:ascii="Arial" w:eastAsia="STZhongsong" w:hAnsi="Arial" w:cs="Arial"/>
                <w:lang w:eastAsia="zh-CN"/>
              </w:rPr>
              <w:t>Not Applied</w:t>
            </w:r>
          </w:p>
        </w:tc>
      </w:tr>
      <w:tr w:rsidR="00361823" w:rsidRPr="0036679C" w:rsidTr="00361823">
        <w:tc>
          <w:tcPr>
            <w:tcW w:w="584" w:type="dxa"/>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517" w:type="dxa"/>
            <w:shd w:val="clear" w:color="auto" w:fill="auto"/>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rsidR="00361823" w:rsidRPr="0036679C" w:rsidRDefault="00361823"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361823" w:rsidRPr="0036679C" w:rsidTr="00361823">
        <w:trPr>
          <w:trHeight w:val="971"/>
        </w:trPr>
        <w:tc>
          <w:tcPr>
            <w:tcW w:w="584" w:type="dxa"/>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517" w:type="dxa"/>
            <w:shd w:val="clear" w:color="auto" w:fill="auto"/>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rsidR="00361823" w:rsidRPr="00361823" w:rsidRDefault="00361823" w:rsidP="00361823">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361823" w:rsidRPr="0036679C" w:rsidTr="00361823">
        <w:tc>
          <w:tcPr>
            <w:tcW w:w="584" w:type="dxa"/>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4.4</w:t>
            </w:r>
          </w:p>
        </w:tc>
        <w:tc>
          <w:tcPr>
            <w:tcW w:w="8517" w:type="dxa"/>
            <w:shd w:val="clear" w:color="auto" w:fill="auto"/>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applied</w:t>
            </w:r>
          </w:p>
        </w:tc>
      </w:tr>
      <w:tr w:rsidR="00361823" w:rsidRPr="0036679C" w:rsidTr="00361823">
        <w:tc>
          <w:tcPr>
            <w:tcW w:w="584" w:type="dxa"/>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517" w:type="dxa"/>
            <w:shd w:val="clear" w:color="auto" w:fill="auto"/>
          </w:tcPr>
          <w:p w:rsidR="00361823" w:rsidRPr="0036679C" w:rsidRDefault="0036182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rsidR="00361823" w:rsidRPr="0036679C" w:rsidRDefault="00361823" w:rsidP="00361823">
            <w:pPr>
              <w:numPr>
                <w:ilvl w:val="1"/>
                <w:numId w:val="0"/>
              </w:numPr>
              <w:adjustRightInd w:val="0"/>
              <w:spacing w:after="120" w:line="240" w:lineRule="auto"/>
              <w:rPr>
                <w:rFonts w:ascii="Arial" w:eastAsia="STZhongsong" w:hAnsi="Arial" w:cs="Arial"/>
                <w:b/>
                <w:lang w:eastAsia="zh-CN"/>
              </w:rPr>
            </w:pPr>
            <w:r w:rsidRPr="00361823">
              <w:rPr>
                <w:rFonts w:ascii="Arial" w:eastAsia="Times New Roman" w:hAnsi="Arial" w:cs="Arial"/>
              </w:rPr>
              <w:t xml:space="preserve">In Clause </w:t>
            </w:r>
            <w:r w:rsidRPr="00361823">
              <w:rPr>
                <w:rFonts w:ascii="Arial" w:eastAsia="Times New Roman" w:hAnsi="Arial" w:cs="Arial"/>
              </w:rPr>
              <w:fldChar w:fldCharType="begin" w:fldLock="1"/>
            </w:r>
            <w:r w:rsidRPr="00361823">
              <w:rPr>
                <w:rFonts w:ascii="Arial" w:eastAsia="Times New Roman" w:hAnsi="Arial" w:cs="Arial"/>
              </w:rPr>
              <w:instrText xml:space="preserve"> REF _Ref364356451 \r \h  \* MERGEFORMAT </w:instrText>
            </w:r>
            <w:r w:rsidRPr="00361823">
              <w:rPr>
                <w:rFonts w:ascii="Arial" w:eastAsia="Times New Roman" w:hAnsi="Arial" w:cs="Arial"/>
              </w:rPr>
            </w:r>
            <w:r w:rsidRPr="00361823">
              <w:rPr>
                <w:rFonts w:ascii="Arial" w:eastAsia="Times New Roman" w:hAnsi="Arial" w:cs="Arial"/>
              </w:rPr>
              <w:fldChar w:fldCharType="separate"/>
            </w:r>
            <w:r w:rsidRPr="00361823">
              <w:rPr>
                <w:rFonts w:ascii="Arial" w:eastAsia="Times New Roman" w:hAnsi="Arial" w:cs="Arial"/>
              </w:rPr>
              <w:t>39.2.1(a)</w:t>
            </w:r>
            <w:r w:rsidRPr="00361823">
              <w:rPr>
                <w:rFonts w:ascii="Arial" w:eastAsia="Times New Roman" w:hAnsi="Arial" w:cs="Arial"/>
              </w:rPr>
              <w:fldChar w:fldCharType="end"/>
            </w:r>
            <w:r w:rsidRPr="00361823">
              <w:rPr>
                <w:rFonts w:ascii="Arial" w:eastAsia="Times New Roman" w:hAnsi="Arial" w:cs="Arial"/>
              </w:rPr>
              <w:t xml:space="preserve"> of the Call Off Terms</w:t>
            </w:r>
            <w:r w:rsidRPr="0036679C">
              <w:rPr>
                <w:rFonts w:ascii="Arial" w:eastAsia="Times New Roman" w:hAnsi="Arial" w:cs="Arial"/>
              </w:rPr>
              <w:t xml:space="preserve"> </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336A57" w:rsidRPr="0036679C" w:rsidTr="00336A57">
        <w:tc>
          <w:tcPr>
            <w:tcW w:w="565" w:type="dxa"/>
          </w:tcPr>
          <w:p w:rsidR="00336A57" w:rsidRPr="0036679C" w:rsidRDefault="00336A57"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536" w:type="dxa"/>
            <w:shd w:val="clear" w:color="auto" w:fill="auto"/>
          </w:tcPr>
          <w:p w:rsidR="00336A57" w:rsidRDefault="00336A5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rsidR="00336A57" w:rsidRDefault="00336A57"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Customer- </w:t>
            </w:r>
            <w:r w:rsidR="001A201D" w:rsidRPr="001A201D">
              <w:rPr>
                <w:rFonts w:ascii="Arial" w:eastAsia="STZhongsong" w:hAnsi="Arial" w:cs="Arial"/>
                <w:b/>
                <w:lang w:eastAsia="zh-CN"/>
              </w:rPr>
              <w:t>Redacted</w:t>
            </w:r>
          </w:p>
          <w:p w:rsidR="00336A57" w:rsidRPr="00361823" w:rsidRDefault="00336A57" w:rsidP="001A201D">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Supplier- </w:t>
            </w:r>
            <w:r w:rsidR="001A201D" w:rsidRPr="001A201D">
              <w:rPr>
                <w:rFonts w:ascii="Arial" w:eastAsia="STZhongsong" w:hAnsi="Arial" w:cs="Arial"/>
                <w:b/>
                <w:lang w:eastAsia="zh-CN"/>
              </w:rPr>
              <w:t>Redacted</w:t>
            </w:r>
          </w:p>
        </w:tc>
      </w:tr>
      <w:tr w:rsidR="00336A57" w:rsidRPr="0036679C" w:rsidTr="00336A57">
        <w:tc>
          <w:tcPr>
            <w:tcW w:w="565" w:type="dxa"/>
            <w:tcBorders>
              <w:top w:val="single" w:sz="4" w:space="0" w:color="auto"/>
              <w:left w:val="single" w:sz="4" w:space="0" w:color="auto"/>
              <w:bottom w:val="single" w:sz="4" w:space="0" w:color="auto"/>
              <w:right w:val="single" w:sz="4" w:space="0" w:color="auto"/>
            </w:tcBorders>
          </w:tcPr>
          <w:p w:rsidR="00336A57" w:rsidRPr="0036679C" w:rsidRDefault="00336A57"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536" w:type="dxa"/>
            <w:tcBorders>
              <w:top w:val="single" w:sz="4" w:space="0" w:color="auto"/>
              <w:left w:val="single" w:sz="4" w:space="0" w:color="auto"/>
              <w:bottom w:val="single" w:sz="4" w:space="0" w:color="auto"/>
              <w:right w:val="single" w:sz="4" w:space="0" w:color="auto"/>
            </w:tcBorders>
            <w:shd w:val="clear" w:color="auto" w:fill="auto"/>
          </w:tcPr>
          <w:p w:rsidR="00336A57" w:rsidRPr="0036679C" w:rsidRDefault="00336A57"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336A57" w:rsidRPr="00336A57" w:rsidRDefault="00336A57" w:rsidP="0036679C">
            <w:pPr>
              <w:numPr>
                <w:ilvl w:val="1"/>
                <w:numId w:val="0"/>
              </w:numPr>
              <w:adjustRightInd w:val="0"/>
              <w:spacing w:after="120" w:line="240" w:lineRule="auto"/>
              <w:rPr>
                <w:rFonts w:ascii="Arial" w:eastAsia="STZhongsong" w:hAnsi="Arial" w:cs="Arial"/>
                <w:lang w:eastAsia="zh-CN"/>
              </w:rPr>
            </w:pPr>
            <w:r w:rsidRPr="00336A57">
              <w:rPr>
                <w:rFonts w:ascii="Arial" w:eastAsia="STZhongsong" w:hAnsi="Arial" w:cs="Arial"/>
                <w:lang w:eastAsia="zh-CN"/>
              </w:rPr>
              <w:t>In Clause 28.2 of the Call Off Terms</w:t>
            </w:r>
          </w:p>
        </w:tc>
      </w:tr>
    </w:tbl>
    <w:p w:rsidR="0036679C" w:rsidRPr="0036679C" w:rsidRDefault="0036679C" w:rsidP="0036679C">
      <w:pPr>
        <w:adjustRightInd w:val="0"/>
        <w:spacing w:after="0" w:line="240" w:lineRule="auto"/>
        <w:jc w:val="both"/>
        <w:rPr>
          <w:rFonts w:ascii="Arial" w:eastAsia="STZhongsong" w:hAnsi="Arial" w:cs="Arial"/>
          <w:b/>
          <w:caps/>
          <w:lang w:eastAsia="zh-CN"/>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AB0679" w:rsidRPr="0036679C" w:rsidTr="00AB0679">
        <w:tc>
          <w:tcPr>
            <w:tcW w:w="565" w:type="dxa"/>
          </w:tcPr>
          <w:p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536" w:type="dxa"/>
            <w:shd w:val="clear" w:color="auto" w:fill="auto"/>
          </w:tcPr>
          <w:p w:rsidR="00AB0679" w:rsidRDefault="00AB067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rsidR="000735F3" w:rsidRPr="000735F3" w:rsidRDefault="000735F3" w:rsidP="0036679C">
            <w:pPr>
              <w:numPr>
                <w:ilvl w:val="1"/>
                <w:numId w:val="0"/>
              </w:numPr>
              <w:adjustRightInd w:val="0"/>
              <w:spacing w:after="120" w:line="240" w:lineRule="auto"/>
              <w:rPr>
                <w:rFonts w:ascii="Arial" w:eastAsia="STZhongsong" w:hAnsi="Arial" w:cs="Arial"/>
                <w:b/>
                <w:lang w:eastAsia="zh-CN"/>
              </w:rPr>
            </w:pPr>
            <w:r w:rsidRPr="000735F3">
              <w:rPr>
                <w:rFonts w:ascii="Arial" w:eastAsia="STZhongsong" w:hAnsi="Arial" w:cs="Arial"/>
                <w:b/>
                <w:lang w:eastAsia="zh-CN"/>
              </w:rPr>
              <w:t>Redacted</w:t>
            </w:r>
          </w:p>
          <w:p w:rsidR="00162FF0" w:rsidRPr="0036679C" w:rsidRDefault="00162FF0" w:rsidP="00162FF0">
            <w:pPr>
              <w:numPr>
                <w:ilvl w:val="1"/>
                <w:numId w:val="0"/>
              </w:numPr>
              <w:spacing w:after="120"/>
              <w:rPr>
                <w:rFonts w:ascii="Arial" w:eastAsia="STZhongsong" w:hAnsi="Arial" w:cs="Arial"/>
                <w:lang w:eastAsia="zh-CN"/>
              </w:rPr>
            </w:pPr>
            <w:r w:rsidRPr="00E7035C">
              <w:rPr>
                <w:rFonts w:ascii="Arial" w:eastAsia="STZhongsong" w:hAnsi="Arial" w:cs="Arial"/>
                <w:lang w:eastAsia="zh-CN"/>
              </w:rPr>
              <w:t>This Call Off Contract shall be treated in accordance with the ‘Tier 1’ principles of the Crown Commercial Service Open Book Contract Management Guidance.</w:t>
            </w:r>
          </w:p>
          <w:p w:rsidR="00AB0679" w:rsidRPr="0036679C" w:rsidRDefault="00162FF0" w:rsidP="00845252">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For the avoidance of doubt, the total</w:t>
            </w:r>
            <w:r w:rsidR="00845252">
              <w:rPr>
                <w:rFonts w:ascii="Arial" w:eastAsia="STZhongsong" w:hAnsi="Arial" w:cs="Arial"/>
                <w:lang w:eastAsia="zh-CN"/>
              </w:rPr>
              <w:t xml:space="preserve"> contract value will not exceed £612,900.00 </w:t>
            </w:r>
            <w:r>
              <w:rPr>
                <w:rFonts w:ascii="Arial" w:eastAsia="STZhongsong" w:hAnsi="Arial" w:cs="Arial"/>
                <w:lang w:eastAsia="zh-CN"/>
              </w:rPr>
              <w:t>exc. VAT.</w:t>
            </w:r>
            <w:r w:rsidR="00845252">
              <w:rPr>
                <w:rFonts w:ascii="Arial" w:eastAsia="STZhongsong" w:hAnsi="Arial" w:cs="Arial"/>
                <w:lang w:eastAsia="zh-CN"/>
              </w:rPr>
              <w:t xml:space="preserve"> </w:t>
            </w:r>
          </w:p>
        </w:tc>
      </w:tr>
      <w:tr w:rsidR="00AB0679" w:rsidRPr="0036679C" w:rsidTr="00AB0679">
        <w:tc>
          <w:tcPr>
            <w:tcW w:w="565" w:type="dxa"/>
          </w:tcPr>
          <w:p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536" w:type="dxa"/>
            <w:shd w:val="clear" w:color="auto" w:fill="auto"/>
          </w:tcPr>
          <w:p w:rsidR="00AB0679" w:rsidRPr="0036679C" w:rsidRDefault="00AB0679"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In Annex 2 of Call Off Schedule 3 (Call Off Contract Charges, Payment and Invoicing)</w:t>
            </w:r>
          </w:p>
        </w:tc>
      </w:tr>
      <w:tr w:rsidR="00AB0679" w:rsidRPr="0036679C" w:rsidTr="00AB0679">
        <w:tc>
          <w:tcPr>
            <w:tcW w:w="565" w:type="dxa"/>
          </w:tcPr>
          <w:p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536" w:type="dxa"/>
            <w:shd w:val="clear" w:color="auto" w:fill="auto"/>
          </w:tcPr>
          <w:p w:rsidR="00AB0679" w:rsidRPr="00AB0679" w:rsidRDefault="00AB0679" w:rsidP="0036679C">
            <w:pPr>
              <w:numPr>
                <w:ilvl w:val="1"/>
                <w:numId w:val="0"/>
              </w:numPr>
              <w:adjustRightInd w:val="0"/>
              <w:spacing w:after="120" w:line="240" w:lineRule="auto"/>
              <w:rPr>
                <w:rFonts w:ascii="Arial" w:eastAsia="STZhongsong" w:hAnsi="Arial" w:cs="Arial"/>
                <w:lang w:eastAsia="zh-CN"/>
              </w:rPr>
            </w:pPr>
            <w:r w:rsidRPr="00AB0679">
              <w:rPr>
                <w:rFonts w:ascii="Arial" w:eastAsia="STZhongsong" w:hAnsi="Arial" w:cs="Arial"/>
                <w:b/>
                <w:lang w:eastAsia="zh-CN"/>
              </w:rPr>
              <w:t>Reimbursable Expenses</w:t>
            </w:r>
            <w:r w:rsidRPr="00AB0679">
              <w:rPr>
                <w:rFonts w:ascii="Arial" w:eastAsia="STZhongsong" w:hAnsi="Arial" w:cs="Arial"/>
                <w:lang w:eastAsia="zh-CN"/>
              </w:rPr>
              <w:t xml:space="preserve">: </w:t>
            </w:r>
          </w:p>
          <w:p w:rsidR="00AB0679" w:rsidRPr="0036679C" w:rsidRDefault="00AB0679" w:rsidP="00AB0679">
            <w:pPr>
              <w:numPr>
                <w:ilvl w:val="1"/>
                <w:numId w:val="0"/>
              </w:numPr>
              <w:adjustRightInd w:val="0"/>
              <w:spacing w:after="120" w:line="240" w:lineRule="auto"/>
              <w:rPr>
                <w:rFonts w:ascii="Arial" w:eastAsia="STZhongsong" w:hAnsi="Arial" w:cs="Arial"/>
                <w:lang w:eastAsia="zh-CN"/>
              </w:rPr>
            </w:pPr>
            <w:r w:rsidRPr="00AB0679">
              <w:rPr>
                <w:rFonts w:ascii="Arial" w:eastAsia="STZhongsong" w:hAnsi="Arial" w:cs="Arial"/>
                <w:lang w:eastAsia="zh-CN"/>
              </w:rPr>
              <w:t>Not permitted</w:t>
            </w:r>
          </w:p>
        </w:tc>
      </w:tr>
      <w:tr w:rsidR="00AB0679" w:rsidRPr="0036679C" w:rsidTr="00AB0679">
        <w:tc>
          <w:tcPr>
            <w:tcW w:w="565" w:type="dxa"/>
          </w:tcPr>
          <w:p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6.4</w:t>
            </w:r>
          </w:p>
        </w:tc>
        <w:tc>
          <w:tcPr>
            <w:tcW w:w="8536" w:type="dxa"/>
            <w:shd w:val="clear" w:color="auto" w:fill="auto"/>
          </w:tcPr>
          <w:p w:rsidR="00AB0679" w:rsidRPr="00504D47" w:rsidRDefault="00AB0679" w:rsidP="0036679C">
            <w:pPr>
              <w:numPr>
                <w:ilvl w:val="1"/>
                <w:numId w:val="0"/>
              </w:numPr>
              <w:adjustRightInd w:val="0"/>
              <w:spacing w:after="120" w:line="240" w:lineRule="auto"/>
              <w:rPr>
                <w:rFonts w:ascii="Arial" w:eastAsia="STZhongsong" w:hAnsi="Arial" w:cs="Arial"/>
                <w:lang w:eastAsia="zh-CN"/>
              </w:rPr>
            </w:pPr>
            <w:r w:rsidRPr="00504D47">
              <w:rPr>
                <w:rFonts w:ascii="Arial" w:eastAsia="STZhongsong" w:hAnsi="Arial" w:cs="Arial"/>
                <w:b/>
                <w:lang w:eastAsia="zh-CN"/>
              </w:rPr>
              <w:t>Customer billing address</w:t>
            </w:r>
            <w:r w:rsidRPr="00504D47">
              <w:rPr>
                <w:rFonts w:ascii="Arial" w:eastAsia="STZhongsong" w:hAnsi="Arial" w:cs="Arial"/>
                <w:lang w:eastAsia="zh-CN"/>
              </w:rPr>
              <w:t xml:space="preserve"> (</w:t>
            </w:r>
            <w:r w:rsidRPr="00504D47">
              <w:rPr>
                <w:rFonts w:ascii="Arial" w:eastAsia="Times New Roman" w:hAnsi="Arial" w:cs="Arial"/>
              </w:rPr>
              <w:t>paragraph 7.6 of Call Off Schedule 3 (Call Off Contract Charges, Payment and Invoicing))</w:t>
            </w:r>
            <w:r w:rsidRPr="00504D47">
              <w:rPr>
                <w:rFonts w:ascii="Arial" w:eastAsia="STZhongsong" w:hAnsi="Arial" w:cs="Arial"/>
                <w:lang w:eastAsia="zh-CN"/>
              </w:rPr>
              <w:t>:</w:t>
            </w:r>
          </w:p>
          <w:p w:rsidR="00AB0679" w:rsidRPr="00504D47" w:rsidRDefault="00504D47" w:rsidP="0036679C">
            <w:pPr>
              <w:numPr>
                <w:ilvl w:val="1"/>
                <w:numId w:val="0"/>
              </w:numPr>
              <w:adjustRightInd w:val="0"/>
              <w:spacing w:after="120" w:line="240" w:lineRule="auto"/>
              <w:rPr>
                <w:rFonts w:ascii="Arial" w:eastAsia="STZhongsong" w:hAnsi="Arial" w:cs="Arial"/>
                <w:lang w:eastAsia="zh-CN"/>
              </w:rPr>
            </w:pPr>
            <w:r w:rsidRPr="00504D47">
              <w:rPr>
                <w:rFonts w:ascii="Arial" w:eastAsia="Times New Roman" w:hAnsi="Arial" w:cs="Arial"/>
              </w:rPr>
              <w:t>HM Treasury, 1 Horse Guards Road, London, SW1A 2HQ</w:t>
            </w:r>
          </w:p>
        </w:tc>
      </w:tr>
      <w:tr w:rsidR="00AB0679" w:rsidRPr="0036679C" w:rsidTr="00AB0679">
        <w:tc>
          <w:tcPr>
            <w:tcW w:w="565" w:type="dxa"/>
          </w:tcPr>
          <w:p w:rsidR="00AB0679" w:rsidRPr="0036679C" w:rsidRDefault="00AB0679"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536" w:type="dxa"/>
            <w:shd w:val="clear" w:color="auto" w:fill="auto"/>
          </w:tcPr>
          <w:p w:rsidR="00AB0679" w:rsidRPr="00504D47" w:rsidRDefault="00AB0679" w:rsidP="0036679C">
            <w:pPr>
              <w:numPr>
                <w:ilvl w:val="1"/>
                <w:numId w:val="0"/>
              </w:numPr>
              <w:adjustRightInd w:val="0"/>
              <w:spacing w:after="120" w:line="240" w:lineRule="auto"/>
              <w:rPr>
                <w:rFonts w:ascii="Arial" w:eastAsia="STZhongsong" w:hAnsi="Arial" w:cs="Arial"/>
                <w:lang w:eastAsia="zh-CN"/>
              </w:rPr>
            </w:pPr>
            <w:r w:rsidRPr="00504D47">
              <w:rPr>
                <w:rFonts w:ascii="Arial" w:eastAsia="STZhongsong" w:hAnsi="Arial" w:cs="Arial"/>
                <w:lang w:eastAsia="zh-CN"/>
              </w:rPr>
              <w:t>Call Off Contract Charges fixed for (</w:t>
            </w:r>
            <w:r w:rsidRPr="00504D47">
              <w:rPr>
                <w:rFonts w:ascii="Arial" w:eastAsia="Times New Roman" w:hAnsi="Arial" w:cs="Arial"/>
              </w:rPr>
              <w:t xml:space="preserve">paragraph </w:t>
            </w:r>
            <w:r w:rsidRPr="00504D47">
              <w:rPr>
                <w:rFonts w:ascii="Arial" w:eastAsia="Times New Roman" w:hAnsi="Arial" w:cs="Arial"/>
              </w:rPr>
              <w:fldChar w:fldCharType="begin" w:fldLock="1"/>
            </w:r>
            <w:r w:rsidRPr="00504D47">
              <w:rPr>
                <w:rFonts w:ascii="Arial" w:eastAsia="Times New Roman" w:hAnsi="Arial" w:cs="Arial"/>
              </w:rPr>
              <w:instrText xml:space="preserve"> REF _Ref426108548 \r \h  \* MERGEFORMAT </w:instrText>
            </w:r>
            <w:r w:rsidRPr="00504D47">
              <w:rPr>
                <w:rFonts w:ascii="Arial" w:eastAsia="Times New Roman" w:hAnsi="Arial" w:cs="Arial"/>
              </w:rPr>
            </w:r>
            <w:r w:rsidRPr="00504D47">
              <w:rPr>
                <w:rFonts w:ascii="Arial" w:eastAsia="Times New Roman" w:hAnsi="Arial" w:cs="Arial"/>
              </w:rPr>
              <w:fldChar w:fldCharType="separate"/>
            </w:r>
            <w:r w:rsidRPr="00504D47">
              <w:rPr>
                <w:rFonts w:ascii="Arial" w:eastAsia="Times New Roman" w:hAnsi="Arial" w:cs="Arial"/>
              </w:rPr>
              <w:t>8.2</w:t>
            </w:r>
            <w:r w:rsidRPr="00504D47">
              <w:rPr>
                <w:rFonts w:ascii="Arial" w:eastAsia="Times New Roman" w:hAnsi="Arial" w:cs="Arial"/>
              </w:rPr>
              <w:fldChar w:fldCharType="end"/>
            </w:r>
            <w:r w:rsidRPr="00504D47">
              <w:rPr>
                <w:rFonts w:ascii="Arial" w:eastAsia="Times New Roman" w:hAnsi="Arial" w:cs="Arial"/>
              </w:rPr>
              <w:t xml:space="preserve"> of Schedule 3 (</w:t>
            </w:r>
            <w:r w:rsidRPr="00504D47">
              <w:rPr>
                <w:rFonts w:ascii="Arial" w:eastAsia="STZhongsong" w:hAnsi="Arial" w:cs="Arial"/>
                <w:lang w:eastAsia="zh-CN"/>
              </w:rPr>
              <w:t xml:space="preserve">Call Off </w:t>
            </w:r>
            <w:r w:rsidRPr="00504D47">
              <w:rPr>
                <w:rFonts w:ascii="Arial" w:eastAsia="Times New Roman" w:hAnsi="Arial" w:cs="Arial"/>
              </w:rPr>
              <w:t>Contract Charges, Payment and Invoicing))</w:t>
            </w:r>
            <w:r w:rsidRPr="00504D47">
              <w:rPr>
                <w:rFonts w:ascii="Arial" w:eastAsia="STZhongsong" w:hAnsi="Arial" w:cs="Arial"/>
                <w:lang w:eastAsia="zh-CN"/>
              </w:rPr>
              <w:t>:</w:t>
            </w:r>
          </w:p>
          <w:p w:rsidR="00AB0679" w:rsidRPr="00504D47" w:rsidRDefault="00AB0679" w:rsidP="0036679C">
            <w:pPr>
              <w:numPr>
                <w:ilvl w:val="1"/>
                <w:numId w:val="0"/>
              </w:numPr>
              <w:adjustRightInd w:val="0"/>
              <w:spacing w:after="120" w:line="240" w:lineRule="auto"/>
              <w:rPr>
                <w:rFonts w:ascii="Arial" w:eastAsia="STZhongsong" w:hAnsi="Arial" w:cs="Arial"/>
                <w:lang w:eastAsia="zh-CN"/>
              </w:rPr>
            </w:pPr>
            <w:r w:rsidRPr="00504D47">
              <w:rPr>
                <w:rFonts w:ascii="Arial" w:hAnsi="Arial" w:cs="Arial"/>
              </w:rPr>
              <w:t>For the life of the Call Off Contract from the Call Off Commencement Date.</w:t>
            </w:r>
          </w:p>
        </w:tc>
      </w:tr>
      <w:tr w:rsidR="00AB0679" w:rsidRPr="0036679C" w:rsidTr="00AB0679">
        <w:tc>
          <w:tcPr>
            <w:tcW w:w="565" w:type="dxa"/>
          </w:tcPr>
          <w:p w:rsidR="00AB0679" w:rsidRPr="0036679C" w:rsidRDefault="00AB067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536" w:type="dxa"/>
            <w:shd w:val="clear" w:color="auto" w:fill="auto"/>
          </w:tcPr>
          <w:p w:rsidR="00AB0679" w:rsidRDefault="00AB0679" w:rsidP="00AB0679">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rsidR="00AB0679" w:rsidRPr="0036679C" w:rsidRDefault="00AB0679" w:rsidP="00AB0679">
            <w:pPr>
              <w:numPr>
                <w:ilvl w:val="1"/>
                <w:numId w:val="0"/>
              </w:numPr>
              <w:tabs>
                <w:tab w:val="left" w:pos="2783"/>
              </w:tabs>
              <w:adjustRightInd w:val="0"/>
              <w:spacing w:after="120" w:line="240" w:lineRule="auto"/>
              <w:rPr>
                <w:rFonts w:ascii="Arial" w:eastAsia="STZhongsong" w:hAnsi="Arial" w:cs="Arial"/>
                <w:lang w:eastAsia="zh-CN"/>
              </w:rPr>
            </w:pPr>
            <w:r>
              <w:rPr>
                <w:rFonts w:ascii="Arial" w:eastAsia="STZhongsong" w:hAnsi="Arial" w:cs="Arial"/>
                <w:lang w:eastAsia="zh-CN"/>
              </w:rPr>
              <w:t>Not Applied</w:t>
            </w:r>
          </w:p>
        </w:tc>
      </w:tr>
      <w:tr w:rsidR="00AB0679" w:rsidRPr="0036679C" w:rsidTr="00AB0679">
        <w:tc>
          <w:tcPr>
            <w:tcW w:w="565" w:type="dxa"/>
          </w:tcPr>
          <w:p w:rsidR="00AB0679" w:rsidRPr="0036679C" w:rsidRDefault="00AB0679"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536" w:type="dxa"/>
            <w:shd w:val="clear" w:color="auto" w:fill="auto"/>
          </w:tcPr>
          <w:p w:rsidR="00AB0679" w:rsidRPr="00AB0679" w:rsidRDefault="00AB0679"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AB0679">
              <w:rPr>
                <w:rFonts w:ascii="Arial" w:eastAsia="Times New Roman" w:hAnsi="Arial" w:cs="Arial"/>
              </w:rPr>
              <w:t>))</w:t>
            </w:r>
            <w:r w:rsidRPr="00AB0679">
              <w:rPr>
                <w:rFonts w:ascii="Arial" w:eastAsia="STZhongsong" w:hAnsi="Arial" w:cs="Arial"/>
                <w:lang w:eastAsia="zh-CN"/>
              </w:rPr>
              <w:t>:</w:t>
            </w:r>
          </w:p>
          <w:p w:rsidR="00AB0679" w:rsidRPr="0036679C" w:rsidRDefault="00AB0679" w:rsidP="00AB0679">
            <w:pPr>
              <w:numPr>
                <w:ilvl w:val="1"/>
                <w:numId w:val="0"/>
              </w:numPr>
              <w:tabs>
                <w:tab w:val="left" w:pos="2783"/>
              </w:tabs>
              <w:adjustRightInd w:val="0"/>
              <w:spacing w:after="120" w:line="240" w:lineRule="auto"/>
              <w:rPr>
                <w:rFonts w:ascii="Arial" w:eastAsia="STZhongsong" w:hAnsi="Arial" w:cs="Arial"/>
                <w:lang w:eastAsia="zh-CN"/>
              </w:rPr>
            </w:pPr>
            <w:r w:rsidRPr="00AB0679">
              <w:rPr>
                <w:rFonts w:ascii="Arial" w:eastAsia="STZhongsong" w:hAnsi="Arial" w:cs="Arial"/>
                <w:lang w:eastAsia="zh-CN"/>
              </w:rPr>
              <w:t>Not Permitted</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AB0679" w:rsidRPr="0036679C" w:rsidTr="00AB0679">
        <w:tc>
          <w:tcPr>
            <w:tcW w:w="565" w:type="dxa"/>
          </w:tcPr>
          <w:p w:rsidR="00AB0679" w:rsidRPr="0036679C" w:rsidRDefault="00AB0679"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536" w:type="dxa"/>
            <w:shd w:val="clear" w:color="auto" w:fill="auto"/>
          </w:tcPr>
          <w:p w:rsidR="00AB0679" w:rsidRPr="0036679C" w:rsidRDefault="00AB0679"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rsidR="00AB0679" w:rsidRPr="0036679C" w:rsidRDefault="00AB0679" w:rsidP="0036679C">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The sum of up to £612,900.00 (</w:t>
            </w:r>
            <w:proofErr w:type="spellStart"/>
            <w:r>
              <w:rPr>
                <w:rFonts w:ascii="Arial" w:eastAsia="Times New Roman" w:hAnsi="Arial" w:cs="Arial"/>
              </w:rPr>
              <w:t>exc</w:t>
            </w:r>
            <w:proofErr w:type="spellEnd"/>
            <w:r>
              <w:rPr>
                <w:rFonts w:ascii="Arial" w:eastAsia="Times New Roman" w:hAnsi="Arial" w:cs="Arial"/>
              </w:rPr>
              <w:t xml:space="preserve"> VAT)</w:t>
            </w:r>
          </w:p>
        </w:tc>
      </w:tr>
      <w:tr w:rsidR="00AB0679" w:rsidRPr="0036679C" w:rsidTr="00AB0679">
        <w:tc>
          <w:tcPr>
            <w:tcW w:w="565" w:type="dxa"/>
          </w:tcPr>
          <w:p w:rsidR="00AB0679" w:rsidRPr="0036679C" w:rsidRDefault="00AB0679"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536" w:type="dxa"/>
            <w:shd w:val="clear" w:color="auto" w:fill="auto"/>
          </w:tcPr>
          <w:p w:rsidR="00AB0679" w:rsidRPr="0036679C" w:rsidRDefault="00AB0679"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AB0679" w:rsidRPr="0036679C" w:rsidRDefault="00AB0679"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p w:rsidR="00AB0679" w:rsidRPr="0036679C" w:rsidRDefault="00AB0679" w:rsidP="0036679C">
            <w:pPr>
              <w:numPr>
                <w:ilvl w:val="1"/>
                <w:numId w:val="0"/>
              </w:numPr>
              <w:adjustRightInd w:val="0"/>
              <w:spacing w:after="120" w:line="240" w:lineRule="auto"/>
              <w:jc w:val="both"/>
              <w:rPr>
                <w:rFonts w:ascii="Arial" w:eastAsia="STZhongsong" w:hAnsi="Arial" w:cs="Arial"/>
                <w:lang w:eastAsia="zh-CN"/>
              </w:rPr>
            </w:pPr>
          </w:p>
        </w:tc>
      </w:tr>
      <w:tr w:rsidR="00AB0679" w:rsidRPr="0036679C" w:rsidTr="00AB0679">
        <w:tc>
          <w:tcPr>
            <w:tcW w:w="565" w:type="dxa"/>
          </w:tcPr>
          <w:p w:rsidR="00AB0679" w:rsidRPr="0036679C" w:rsidRDefault="00AB0679"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536" w:type="dxa"/>
            <w:shd w:val="clear" w:color="auto" w:fill="auto"/>
          </w:tcPr>
          <w:p w:rsidR="00AB0679" w:rsidRPr="0036679C" w:rsidRDefault="00AB0679"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rsidR="00AB0679" w:rsidRPr="00AB0679" w:rsidRDefault="00AB0679" w:rsidP="0036679C">
            <w:pPr>
              <w:numPr>
                <w:ilvl w:val="1"/>
                <w:numId w:val="0"/>
              </w:numPr>
              <w:adjustRightInd w:val="0"/>
              <w:spacing w:after="120" w:line="240" w:lineRule="auto"/>
              <w:jc w:val="both"/>
              <w:rPr>
                <w:rFonts w:ascii="Arial" w:eastAsia="STZhongsong" w:hAnsi="Arial" w:cs="Arial"/>
                <w:b/>
                <w:lang w:eastAsia="zh-CN"/>
              </w:rPr>
            </w:pPr>
            <w:r w:rsidRPr="00AB0679">
              <w:rPr>
                <w:rFonts w:ascii="Arial" w:hAnsi="Arial" w:cs="Arial"/>
              </w:rPr>
              <w:t>In Clause 38.3 of the Call Off Terms</w:t>
            </w:r>
          </w:p>
        </w:tc>
      </w:tr>
    </w:tbl>
    <w:p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12259E" w:rsidRPr="0036679C" w:rsidTr="0012259E">
        <w:tc>
          <w:tcPr>
            <w:tcW w:w="565" w:type="dxa"/>
          </w:tcPr>
          <w:p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536" w:type="dxa"/>
            <w:shd w:val="clear" w:color="auto" w:fill="auto"/>
          </w:tcPr>
          <w:p w:rsidR="0012259E" w:rsidRPr="0012259E" w:rsidRDefault="0012259E"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w:t>
            </w:r>
            <w:r w:rsidRPr="0012259E">
              <w:rPr>
                <w:rFonts w:ascii="Arial" w:eastAsia="STZhongsong" w:hAnsi="Arial" w:cs="Arial"/>
                <w:lang w:eastAsia="zh-CN"/>
              </w:rPr>
              <w:t>Off Terms)):</w:t>
            </w:r>
          </w:p>
          <w:p w:rsidR="0012259E" w:rsidRPr="0012259E" w:rsidRDefault="0012259E" w:rsidP="0036679C">
            <w:pPr>
              <w:keepNext/>
              <w:keepLines/>
              <w:adjustRightInd w:val="0"/>
              <w:spacing w:before="240" w:after="240" w:line="240" w:lineRule="auto"/>
              <w:jc w:val="both"/>
              <w:rPr>
                <w:rFonts w:ascii="Arial" w:eastAsia="Times New Roman" w:hAnsi="Arial" w:cs="Arial"/>
              </w:rPr>
            </w:pPr>
            <w:r w:rsidRPr="0012259E">
              <w:rPr>
                <w:rFonts w:ascii="Arial" w:eastAsia="STZhongsong" w:hAnsi="Arial" w:cs="Arial"/>
                <w:lang w:eastAsia="zh-CN"/>
              </w:rPr>
              <w:t xml:space="preserve">In Clause </w:t>
            </w:r>
            <w:r w:rsidRPr="0012259E">
              <w:rPr>
                <w:rFonts w:ascii="Arial" w:eastAsia="Times New Roman" w:hAnsi="Arial" w:cs="Arial"/>
              </w:rPr>
              <w:fldChar w:fldCharType="begin" w:fldLock="1"/>
            </w:r>
            <w:r w:rsidRPr="0012259E">
              <w:rPr>
                <w:rFonts w:ascii="Arial" w:eastAsia="STZhongsong" w:hAnsi="Arial" w:cs="Arial"/>
                <w:lang w:eastAsia="zh-CN"/>
              </w:rPr>
              <w:instrText xml:space="preserve"> REF _Ref426110026 \r \h </w:instrText>
            </w:r>
            <w:r w:rsidRPr="0012259E">
              <w:rPr>
                <w:rFonts w:ascii="Arial" w:eastAsia="Times New Roman" w:hAnsi="Arial" w:cs="Arial"/>
              </w:rPr>
              <w:instrText xml:space="preserve"> \* MERGEFORMAT </w:instrText>
            </w:r>
            <w:r w:rsidRPr="0012259E">
              <w:rPr>
                <w:rFonts w:ascii="Arial" w:eastAsia="Times New Roman" w:hAnsi="Arial" w:cs="Arial"/>
              </w:rPr>
            </w:r>
            <w:r w:rsidRPr="0012259E">
              <w:rPr>
                <w:rFonts w:ascii="Arial" w:eastAsia="Times New Roman" w:hAnsi="Arial" w:cs="Arial"/>
              </w:rPr>
              <w:fldChar w:fldCharType="separate"/>
            </w:r>
            <w:r w:rsidRPr="0012259E">
              <w:rPr>
                <w:rFonts w:ascii="Arial" w:eastAsia="STZhongsong" w:hAnsi="Arial" w:cs="Arial"/>
                <w:lang w:eastAsia="zh-CN"/>
              </w:rPr>
              <w:t>42.2.1(c)</w:t>
            </w:r>
            <w:r w:rsidRPr="0012259E">
              <w:rPr>
                <w:rFonts w:ascii="Arial" w:eastAsia="Times New Roman" w:hAnsi="Arial" w:cs="Arial"/>
              </w:rPr>
              <w:fldChar w:fldCharType="end"/>
            </w:r>
            <w:r w:rsidRPr="0012259E">
              <w:rPr>
                <w:rFonts w:ascii="Arial" w:eastAsia="Times New Roman" w:hAnsi="Arial" w:cs="Arial"/>
              </w:rPr>
              <w:t xml:space="preserve"> of the Call Off Terms</w:t>
            </w:r>
          </w:p>
        </w:tc>
      </w:tr>
      <w:tr w:rsidR="0012259E" w:rsidRPr="0036679C" w:rsidTr="0012259E">
        <w:tc>
          <w:tcPr>
            <w:tcW w:w="565" w:type="dxa"/>
          </w:tcPr>
          <w:p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536" w:type="dxa"/>
            <w:shd w:val="clear" w:color="auto" w:fill="auto"/>
          </w:tcPr>
          <w:p w:rsidR="0012259E" w:rsidRPr="0036679C" w:rsidRDefault="0012259E"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12259E" w:rsidRPr="0036679C" w:rsidRDefault="0012259E" w:rsidP="0012259E">
            <w:pPr>
              <w:numPr>
                <w:ilvl w:val="1"/>
                <w:numId w:val="0"/>
              </w:numPr>
              <w:adjustRightInd w:val="0"/>
              <w:spacing w:after="120" w:line="240" w:lineRule="auto"/>
              <w:jc w:val="both"/>
              <w:rPr>
                <w:rFonts w:ascii="Arial" w:eastAsia="STZhongsong" w:hAnsi="Arial" w:cs="Arial"/>
                <w:lang w:eastAsia="zh-CN"/>
              </w:rPr>
            </w:pPr>
            <w:r w:rsidRPr="0012259E">
              <w:rPr>
                <w:rFonts w:ascii="Arial" w:eastAsia="Times New Roman" w:hAnsi="Arial" w:cs="Arial"/>
              </w:rPr>
              <w:t xml:space="preserve">In Clause </w:t>
            </w:r>
            <w:r w:rsidRPr="0012259E">
              <w:rPr>
                <w:rFonts w:ascii="Arial" w:eastAsia="STZhongsong" w:hAnsi="Arial" w:cs="Arial"/>
                <w:lang w:eastAsia="zh-CN"/>
              </w:rPr>
              <w:fldChar w:fldCharType="begin" w:fldLock="1"/>
            </w:r>
            <w:r w:rsidRPr="0012259E">
              <w:rPr>
                <w:rFonts w:ascii="Arial" w:eastAsia="STZhongsong" w:hAnsi="Arial" w:cs="Arial"/>
                <w:lang w:eastAsia="zh-CN"/>
              </w:rPr>
              <w:instrText xml:space="preserve"> REF _Ref379468054 \r \h  \* MERGEFORMAT </w:instrText>
            </w:r>
            <w:r w:rsidRPr="0012259E">
              <w:rPr>
                <w:rFonts w:ascii="Arial" w:eastAsia="STZhongsong" w:hAnsi="Arial" w:cs="Arial"/>
                <w:lang w:eastAsia="zh-CN"/>
              </w:rPr>
            </w:r>
            <w:r w:rsidRPr="0012259E">
              <w:rPr>
                <w:rFonts w:ascii="Arial" w:eastAsia="STZhongsong" w:hAnsi="Arial" w:cs="Arial"/>
                <w:lang w:eastAsia="zh-CN"/>
              </w:rPr>
              <w:fldChar w:fldCharType="separate"/>
            </w:r>
            <w:r w:rsidRPr="0012259E">
              <w:rPr>
                <w:rFonts w:ascii="Arial" w:eastAsia="STZhongsong" w:hAnsi="Arial" w:cs="Arial"/>
                <w:lang w:eastAsia="zh-CN"/>
              </w:rPr>
              <w:t>42.7.1</w:t>
            </w:r>
            <w:r w:rsidRPr="0012259E">
              <w:rPr>
                <w:rFonts w:ascii="Arial" w:eastAsia="STZhongsong" w:hAnsi="Arial" w:cs="Arial"/>
                <w:lang w:eastAsia="zh-CN"/>
              </w:rPr>
              <w:fldChar w:fldCharType="end"/>
            </w:r>
            <w:r w:rsidRPr="0012259E">
              <w:rPr>
                <w:rFonts w:ascii="Arial" w:eastAsia="STZhongsong" w:hAnsi="Arial" w:cs="Arial"/>
                <w:lang w:eastAsia="zh-CN"/>
              </w:rPr>
              <w:t xml:space="preserve"> of the Call Off Terms</w:t>
            </w:r>
          </w:p>
          <w:p w:rsidR="0012259E" w:rsidRPr="0036679C" w:rsidRDefault="0012259E" w:rsidP="0036679C">
            <w:pPr>
              <w:numPr>
                <w:ilvl w:val="1"/>
                <w:numId w:val="0"/>
              </w:numPr>
              <w:adjustRightInd w:val="0"/>
              <w:spacing w:after="120" w:line="240" w:lineRule="auto"/>
              <w:jc w:val="both"/>
              <w:rPr>
                <w:rFonts w:ascii="Arial" w:eastAsia="STZhongsong" w:hAnsi="Arial" w:cs="Arial"/>
                <w:lang w:eastAsia="zh-CN"/>
              </w:rPr>
            </w:pPr>
          </w:p>
        </w:tc>
      </w:tr>
      <w:tr w:rsidR="0012259E" w:rsidRPr="0036679C" w:rsidTr="0012259E">
        <w:tc>
          <w:tcPr>
            <w:tcW w:w="565" w:type="dxa"/>
          </w:tcPr>
          <w:p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536" w:type="dxa"/>
            <w:shd w:val="clear" w:color="auto" w:fill="auto"/>
          </w:tcPr>
          <w:p w:rsidR="0012259E" w:rsidRPr="0036679C" w:rsidRDefault="0012259E"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rsidR="0012259E" w:rsidRPr="0012259E" w:rsidRDefault="0012259E" w:rsidP="0036679C">
            <w:pPr>
              <w:keepNext/>
              <w:keepLines/>
              <w:adjustRightInd w:val="0"/>
              <w:spacing w:before="240" w:after="240" w:line="240" w:lineRule="auto"/>
              <w:jc w:val="both"/>
              <w:rPr>
                <w:rFonts w:ascii="Arial" w:eastAsia="Times New Roman" w:hAnsi="Arial" w:cs="Arial"/>
              </w:rPr>
            </w:pPr>
            <w:r w:rsidRPr="0012259E">
              <w:rPr>
                <w:rFonts w:ascii="Arial" w:eastAsia="STZhongsong" w:hAnsi="Arial" w:cs="Arial"/>
                <w:lang w:eastAsia="zh-CN"/>
              </w:rPr>
              <w:t xml:space="preserve">In Clause </w:t>
            </w:r>
            <w:r w:rsidRPr="0012259E">
              <w:rPr>
                <w:rFonts w:ascii="Arial" w:eastAsia="Times New Roman" w:hAnsi="Arial" w:cs="Arial"/>
              </w:rPr>
              <w:fldChar w:fldCharType="begin" w:fldLock="1"/>
            </w:r>
            <w:r w:rsidRPr="0012259E">
              <w:rPr>
                <w:rFonts w:ascii="Arial" w:eastAsia="Times New Roman" w:hAnsi="Arial" w:cs="Arial"/>
              </w:rPr>
              <w:instrText xml:space="preserve"> REF _Ref363735542 \r \h  \* MERGEFORMAT </w:instrText>
            </w:r>
            <w:r w:rsidRPr="0012259E">
              <w:rPr>
                <w:rFonts w:ascii="Arial" w:eastAsia="Times New Roman" w:hAnsi="Arial" w:cs="Arial"/>
              </w:rPr>
            </w:r>
            <w:r w:rsidRPr="0012259E">
              <w:rPr>
                <w:rFonts w:ascii="Arial" w:eastAsia="Times New Roman" w:hAnsi="Arial" w:cs="Arial"/>
              </w:rPr>
              <w:fldChar w:fldCharType="separate"/>
            </w:r>
            <w:r w:rsidRPr="0012259E">
              <w:rPr>
                <w:rFonts w:ascii="Arial" w:eastAsia="Times New Roman" w:hAnsi="Arial" w:cs="Arial"/>
              </w:rPr>
              <w:t>43.1.1</w:t>
            </w:r>
            <w:r w:rsidRPr="0012259E">
              <w:rPr>
                <w:rFonts w:ascii="Arial" w:eastAsia="Times New Roman" w:hAnsi="Arial" w:cs="Arial"/>
              </w:rPr>
              <w:fldChar w:fldCharType="end"/>
            </w:r>
            <w:r w:rsidRPr="0012259E">
              <w:rPr>
                <w:rFonts w:ascii="Arial" w:eastAsia="Times New Roman" w:hAnsi="Arial" w:cs="Arial"/>
              </w:rPr>
              <w:t xml:space="preserve"> of the Call Off Terms</w:t>
            </w:r>
          </w:p>
        </w:tc>
      </w:tr>
      <w:tr w:rsidR="0012259E" w:rsidRPr="0036679C" w:rsidTr="0012259E">
        <w:tc>
          <w:tcPr>
            <w:tcW w:w="565" w:type="dxa"/>
            <w:tcBorders>
              <w:top w:val="single" w:sz="4" w:space="0" w:color="auto"/>
              <w:left w:val="single" w:sz="4" w:space="0" w:color="auto"/>
              <w:bottom w:val="single" w:sz="4" w:space="0" w:color="auto"/>
              <w:right w:val="single" w:sz="4" w:space="0" w:color="auto"/>
            </w:tcBorders>
          </w:tcPr>
          <w:p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536" w:type="dxa"/>
            <w:tcBorders>
              <w:top w:val="single" w:sz="4" w:space="0" w:color="auto"/>
              <w:left w:val="single" w:sz="4" w:space="0" w:color="auto"/>
              <w:bottom w:val="single" w:sz="4" w:space="0" w:color="auto"/>
              <w:right w:val="single" w:sz="4" w:space="0" w:color="auto"/>
            </w:tcBorders>
            <w:shd w:val="clear" w:color="auto" w:fill="auto"/>
          </w:tcPr>
          <w:p w:rsidR="0012259E" w:rsidRPr="0012259E" w:rsidRDefault="0012259E"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w:t>
            </w:r>
            <w:r w:rsidRPr="0012259E">
              <w:rPr>
                <w:rFonts w:ascii="Arial" w:eastAsia="STZhongsong" w:hAnsi="Arial" w:cs="Arial"/>
                <w:b/>
                <w:lang w:eastAsia="zh-CN"/>
              </w:rPr>
              <w:t xml:space="preserve">Management: </w:t>
            </w:r>
          </w:p>
          <w:p w:rsidR="0012259E" w:rsidRPr="0036679C" w:rsidRDefault="0012259E" w:rsidP="0036679C">
            <w:pPr>
              <w:numPr>
                <w:ilvl w:val="1"/>
                <w:numId w:val="0"/>
              </w:numPr>
              <w:adjustRightInd w:val="0"/>
              <w:spacing w:after="120" w:line="240" w:lineRule="auto"/>
              <w:jc w:val="both"/>
              <w:rPr>
                <w:rFonts w:ascii="Arial" w:eastAsia="STZhongsong" w:hAnsi="Arial" w:cs="Arial"/>
                <w:b/>
                <w:lang w:eastAsia="zh-CN"/>
              </w:rPr>
            </w:pPr>
            <w:r w:rsidRPr="0012259E">
              <w:rPr>
                <w:rFonts w:ascii="Arial" w:eastAsia="STZhongsong" w:hAnsi="Arial" w:cs="Arial"/>
                <w:lang w:eastAsia="zh-CN"/>
              </w:rPr>
              <w:t>Not applied</w:t>
            </w: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110834" w:rsidRPr="0036679C" w:rsidTr="00110834">
        <w:tc>
          <w:tcPr>
            <w:tcW w:w="565" w:type="dxa"/>
            <w:tcBorders>
              <w:top w:val="single" w:sz="4" w:space="0" w:color="auto"/>
              <w:left w:val="single" w:sz="4" w:space="0" w:color="auto"/>
              <w:bottom w:val="single" w:sz="4" w:space="0" w:color="auto"/>
              <w:right w:val="single" w:sz="4" w:space="0" w:color="auto"/>
            </w:tcBorders>
          </w:tcPr>
          <w:p w:rsidR="00110834" w:rsidRPr="0036679C" w:rsidRDefault="0011083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536" w:type="dxa"/>
            <w:tcBorders>
              <w:top w:val="single" w:sz="4" w:space="0" w:color="auto"/>
              <w:left w:val="single" w:sz="4" w:space="0" w:color="auto"/>
              <w:bottom w:val="single" w:sz="4" w:space="0" w:color="auto"/>
              <w:right w:val="single" w:sz="4" w:space="0" w:color="auto"/>
            </w:tcBorders>
            <w:shd w:val="clear" w:color="auto" w:fill="auto"/>
          </w:tcPr>
          <w:p w:rsidR="00110834" w:rsidRPr="0036679C" w:rsidRDefault="0011083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rsidR="00110834" w:rsidRPr="00110834" w:rsidRDefault="00110834" w:rsidP="0036679C">
            <w:pPr>
              <w:numPr>
                <w:ilvl w:val="1"/>
                <w:numId w:val="0"/>
              </w:numPr>
              <w:adjustRightInd w:val="0"/>
              <w:spacing w:after="120" w:line="240" w:lineRule="auto"/>
              <w:rPr>
                <w:rFonts w:ascii="Arial" w:eastAsia="STZhongsong" w:hAnsi="Arial" w:cs="Arial"/>
                <w:lang w:eastAsia="zh-CN"/>
              </w:rPr>
            </w:pPr>
            <w:r w:rsidRPr="00110834">
              <w:rPr>
                <w:rFonts w:ascii="Arial" w:eastAsia="Times New Roman" w:hAnsi="Arial" w:cs="Arial"/>
              </w:rPr>
              <w:t>Not Applied</w:t>
            </w:r>
          </w:p>
        </w:tc>
      </w:tr>
      <w:tr w:rsidR="00110834" w:rsidRPr="0036679C" w:rsidTr="00110834">
        <w:tc>
          <w:tcPr>
            <w:tcW w:w="565" w:type="dxa"/>
            <w:tcBorders>
              <w:top w:val="single" w:sz="4" w:space="0" w:color="auto"/>
              <w:left w:val="single" w:sz="4" w:space="0" w:color="auto"/>
              <w:bottom w:val="single" w:sz="4" w:space="0" w:color="auto"/>
              <w:right w:val="single" w:sz="4" w:space="0" w:color="auto"/>
            </w:tcBorders>
          </w:tcPr>
          <w:p w:rsidR="00110834" w:rsidRPr="0036679C" w:rsidRDefault="0011083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536" w:type="dxa"/>
            <w:tcBorders>
              <w:top w:val="single" w:sz="4" w:space="0" w:color="auto"/>
              <w:left w:val="single" w:sz="4" w:space="0" w:color="auto"/>
              <w:bottom w:val="single" w:sz="4" w:space="0" w:color="auto"/>
              <w:right w:val="single" w:sz="4" w:space="0" w:color="auto"/>
            </w:tcBorders>
            <w:shd w:val="clear" w:color="auto" w:fill="auto"/>
          </w:tcPr>
          <w:p w:rsidR="00110834" w:rsidRPr="0036679C" w:rsidRDefault="0011083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rsidR="00A945AE" w:rsidRPr="005A60E6" w:rsidRDefault="00A945AE" w:rsidP="005A60E6">
            <w:pPr>
              <w:numPr>
                <w:ilvl w:val="1"/>
                <w:numId w:val="0"/>
              </w:numPr>
              <w:adjustRightInd w:val="0"/>
              <w:spacing w:after="120" w:line="240" w:lineRule="auto"/>
              <w:jc w:val="both"/>
              <w:rPr>
                <w:rFonts w:ascii="Arial" w:eastAsia="STZhongsong" w:hAnsi="Arial" w:cs="Arial"/>
                <w:lang w:eastAsia="zh-CN"/>
              </w:rPr>
            </w:pPr>
            <w:bookmarkStart w:id="0" w:name="_Hlk49342932"/>
            <w:r w:rsidRPr="005A60E6">
              <w:rPr>
                <w:rFonts w:ascii="Arial" w:eastAsia="STZhongsong" w:hAnsi="Arial" w:cs="Arial"/>
                <w:lang w:eastAsia="zh-CN"/>
              </w:rPr>
              <w:t>The Supplier’s Tender</w:t>
            </w:r>
            <w:r>
              <w:rPr>
                <w:rFonts w:ascii="Arial" w:eastAsia="STZhongsong" w:hAnsi="Arial" w:cs="Arial"/>
                <w:lang w:eastAsia="zh-CN"/>
              </w:rPr>
              <w:t xml:space="preserve">, any </w:t>
            </w:r>
            <w:r w:rsidRPr="005A60E6">
              <w:rPr>
                <w:rFonts w:ascii="Arial" w:eastAsia="STZhongsong" w:hAnsi="Arial" w:cs="Arial"/>
                <w:lang w:eastAsia="zh-CN"/>
              </w:rPr>
              <w:t>Supplier</w:t>
            </w:r>
            <w:r>
              <w:rPr>
                <w:rFonts w:ascii="Arial" w:eastAsia="STZhongsong" w:hAnsi="Arial" w:cs="Arial"/>
                <w:lang w:eastAsia="zh-CN"/>
              </w:rPr>
              <w:t xml:space="preserve"> P</w:t>
            </w:r>
            <w:r w:rsidRPr="005A60E6">
              <w:rPr>
                <w:rFonts w:ascii="Arial" w:eastAsia="STZhongsong" w:hAnsi="Arial" w:cs="Arial"/>
                <w:lang w:eastAsia="zh-CN"/>
              </w:rPr>
              <w:t xml:space="preserve">ersonal </w:t>
            </w:r>
            <w:r>
              <w:rPr>
                <w:rFonts w:ascii="Arial" w:eastAsia="STZhongsong" w:hAnsi="Arial" w:cs="Arial"/>
                <w:lang w:eastAsia="zh-CN"/>
              </w:rPr>
              <w:t>D</w:t>
            </w:r>
            <w:r w:rsidRPr="005A60E6">
              <w:rPr>
                <w:rFonts w:ascii="Arial" w:eastAsia="STZhongsong" w:hAnsi="Arial" w:cs="Arial"/>
                <w:lang w:eastAsia="zh-CN"/>
              </w:rPr>
              <w:t xml:space="preserve">ata, </w:t>
            </w:r>
            <w:r>
              <w:rPr>
                <w:rFonts w:ascii="Arial" w:eastAsia="STZhongsong" w:hAnsi="Arial" w:cs="Arial"/>
                <w:lang w:eastAsia="zh-CN"/>
              </w:rPr>
              <w:t xml:space="preserve">any </w:t>
            </w:r>
            <w:r w:rsidRPr="005A60E6">
              <w:rPr>
                <w:rFonts w:ascii="Arial" w:eastAsia="STZhongsong" w:hAnsi="Arial" w:cs="Arial"/>
                <w:lang w:eastAsia="zh-CN"/>
              </w:rPr>
              <w:t xml:space="preserve">Supplier Background IPR and any </w:t>
            </w:r>
            <w:r>
              <w:rPr>
                <w:rFonts w:ascii="Arial" w:eastAsia="STZhongsong" w:hAnsi="Arial" w:cs="Arial"/>
                <w:lang w:eastAsia="zh-CN"/>
              </w:rPr>
              <w:t xml:space="preserve">Supplier </w:t>
            </w:r>
            <w:r w:rsidRPr="005A60E6">
              <w:rPr>
                <w:rFonts w:ascii="Arial" w:eastAsia="STZhongsong" w:hAnsi="Arial" w:cs="Arial"/>
                <w:lang w:eastAsia="zh-CN"/>
              </w:rPr>
              <w:t>pricing breakdowns</w:t>
            </w:r>
          </w:p>
          <w:bookmarkEnd w:id="0"/>
          <w:p w:rsidR="00110834" w:rsidRPr="00110834" w:rsidRDefault="00110834" w:rsidP="0036679C">
            <w:pPr>
              <w:numPr>
                <w:ilvl w:val="1"/>
                <w:numId w:val="0"/>
              </w:numPr>
              <w:adjustRightInd w:val="0"/>
              <w:spacing w:after="120" w:line="240" w:lineRule="auto"/>
              <w:rPr>
                <w:rFonts w:ascii="Arial" w:eastAsia="STZhongsong" w:hAnsi="Arial" w:cs="Arial"/>
                <w:lang w:eastAsia="zh-CN"/>
              </w:rPr>
            </w:pPr>
          </w:p>
        </w:tc>
      </w:tr>
    </w:tbl>
    <w:p w:rsidR="0036679C" w:rsidRPr="0036679C" w:rsidRDefault="0036679C" w:rsidP="0036679C">
      <w:pPr>
        <w:adjustRightInd w:val="0"/>
        <w:spacing w:after="0" w:line="240" w:lineRule="auto"/>
        <w:ind w:left="426"/>
        <w:jc w:val="both"/>
        <w:rPr>
          <w:rFonts w:ascii="Arial" w:eastAsia="STZhongsong" w:hAnsi="Arial" w:cs="Arial"/>
          <w:b/>
          <w:caps/>
          <w:lang w:eastAsia="zh-CN"/>
        </w:rPr>
      </w:pPr>
    </w:p>
    <w:p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4001E3" w:rsidRPr="0036679C" w:rsidTr="004001E3">
        <w:tc>
          <w:tcPr>
            <w:tcW w:w="767" w:type="dxa"/>
          </w:tcPr>
          <w:p w:rsidR="004001E3" w:rsidRPr="0036679C" w:rsidRDefault="004001E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300" w:type="dxa"/>
            <w:shd w:val="clear" w:color="auto" w:fill="auto"/>
          </w:tcPr>
          <w:p w:rsidR="004001E3" w:rsidRPr="0036679C"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rsidR="004001E3" w:rsidRPr="004001E3" w:rsidRDefault="004001E3" w:rsidP="004001E3">
            <w:pPr>
              <w:numPr>
                <w:ilvl w:val="1"/>
                <w:numId w:val="0"/>
              </w:numPr>
              <w:adjustRightInd w:val="0"/>
              <w:spacing w:after="120" w:line="240" w:lineRule="auto"/>
              <w:rPr>
                <w:rFonts w:ascii="Arial" w:eastAsia="STZhongsong" w:hAnsi="Arial" w:cs="Arial"/>
                <w:lang w:eastAsia="zh-CN"/>
              </w:rPr>
            </w:pPr>
            <w:r w:rsidRPr="004001E3">
              <w:rPr>
                <w:rFonts w:ascii="Arial" w:eastAsia="STZhongsong" w:hAnsi="Arial" w:cs="Arial"/>
                <w:lang w:eastAsia="zh-CN"/>
              </w:rPr>
              <w:t>Recital A</w:t>
            </w:r>
          </w:p>
          <w:p w:rsidR="004001E3" w:rsidRPr="004001E3" w:rsidRDefault="004001E3" w:rsidP="0036679C">
            <w:pPr>
              <w:numPr>
                <w:ilvl w:val="1"/>
                <w:numId w:val="0"/>
              </w:numPr>
              <w:adjustRightInd w:val="0"/>
              <w:spacing w:after="120" w:line="240" w:lineRule="auto"/>
              <w:rPr>
                <w:rFonts w:ascii="Arial" w:eastAsia="STZhongsong" w:hAnsi="Arial" w:cs="Arial"/>
                <w:lang w:eastAsia="zh-CN"/>
              </w:rPr>
            </w:pPr>
            <w:r w:rsidRPr="004001E3">
              <w:rPr>
                <w:rFonts w:ascii="Arial" w:eastAsia="STZhongsong" w:hAnsi="Arial" w:cs="Arial"/>
                <w:lang w:eastAsia="zh-CN"/>
              </w:rPr>
              <w:t>Recital C - date of issue of the Statement of Requirements: Not Applicable</w:t>
            </w:r>
          </w:p>
          <w:p w:rsidR="004001E3" w:rsidRPr="004001E3" w:rsidRDefault="004001E3" w:rsidP="0036679C">
            <w:pPr>
              <w:numPr>
                <w:ilvl w:val="1"/>
                <w:numId w:val="0"/>
              </w:numPr>
              <w:adjustRightInd w:val="0"/>
              <w:spacing w:after="120" w:line="240" w:lineRule="auto"/>
              <w:rPr>
                <w:rFonts w:ascii="Arial" w:eastAsia="STZhongsong" w:hAnsi="Arial" w:cs="Arial"/>
                <w:b/>
                <w:highlight w:val="yellow"/>
                <w:lang w:eastAsia="zh-CN"/>
              </w:rPr>
            </w:pPr>
            <w:r w:rsidRPr="004001E3">
              <w:rPr>
                <w:rFonts w:ascii="Arial" w:eastAsia="STZhongsong" w:hAnsi="Arial" w:cs="Arial"/>
                <w:lang w:eastAsia="zh-CN"/>
              </w:rPr>
              <w:t>Recital D - date of receipt of Call Off Tender: Not Applicable</w:t>
            </w:r>
          </w:p>
        </w:tc>
      </w:tr>
      <w:tr w:rsidR="004001E3" w:rsidRPr="0036679C" w:rsidTr="004001E3">
        <w:tc>
          <w:tcPr>
            <w:tcW w:w="767" w:type="dxa"/>
          </w:tcPr>
          <w:p w:rsidR="004001E3" w:rsidRPr="0036679C" w:rsidRDefault="004001E3"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lastRenderedPageBreak/>
              <w:t>10.2</w:t>
            </w:r>
          </w:p>
        </w:tc>
        <w:tc>
          <w:tcPr>
            <w:tcW w:w="8300" w:type="dxa"/>
            <w:shd w:val="clear" w:color="auto" w:fill="auto"/>
          </w:tcPr>
          <w:p w:rsidR="004001E3" w:rsidRPr="004001E3" w:rsidRDefault="004001E3"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w:t>
            </w:r>
            <w:r w:rsidRPr="004001E3">
              <w:rPr>
                <w:rFonts w:ascii="Arial" w:eastAsia="Times New Roman" w:hAnsi="Arial" w:cs="Arial"/>
                <w:b/>
              </w:rPr>
              <w:t>ms):</w:t>
            </w:r>
          </w:p>
          <w:p w:rsidR="004001E3" w:rsidRPr="004001E3" w:rsidRDefault="004001E3" w:rsidP="004001E3">
            <w:pPr>
              <w:numPr>
                <w:ilvl w:val="1"/>
                <w:numId w:val="0"/>
              </w:numPr>
              <w:adjustRightInd w:val="0"/>
              <w:spacing w:after="120" w:line="240" w:lineRule="auto"/>
              <w:jc w:val="both"/>
              <w:rPr>
                <w:rFonts w:ascii="Arial" w:eastAsia="Times New Roman" w:hAnsi="Arial" w:cs="Arial"/>
                <w:b/>
              </w:rPr>
            </w:pPr>
            <w:r w:rsidRPr="004001E3">
              <w:rPr>
                <w:rFonts w:ascii="Arial" w:eastAsia="Times New Roman" w:hAnsi="Arial" w:cs="Arial"/>
              </w:rPr>
              <w:t>Not required</w:t>
            </w:r>
          </w:p>
          <w:p w:rsidR="004001E3" w:rsidRPr="0036679C" w:rsidRDefault="004001E3" w:rsidP="0036679C">
            <w:pPr>
              <w:numPr>
                <w:ilvl w:val="1"/>
                <w:numId w:val="0"/>
              </w:numPr>
              <w:adjustRightInd w:val="0"/>
              <w:spacing w:after="120" w:line="240" w:lineRule="auto"/>
              <w:jc w:val="both"/>
              <w:rPr>
                <w:rFonts w:ascii="Arial" w:eastAsia="Times New Roman" w:hAnsi="Arial" w:cs="Arial"/>
              </w:rPr>
            </w:pPr>
          </w:p>
        </w:tc>
      </w:tr>
      <w:tr w:rsidR="004001E3" w:rsidRPr="0036679C" w:rsidTr="004001E3">
        <w:tc>
          <w:tcPr>
            <w:tcW w:w="767" w:type="dxa"/>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300" w:type="dxa"/>
            <w:shd w:val="clear" w:color="auto" w:fill="auto"/>
          </w:tcPr>
          <w:p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4001E3">
              <w:rPr>
                <w:rFonts w:ascii="Arial" w:eastAsia="STZhongsong" w:hAnsi="Arial" w:cs="Arial"/>
                <w:lang w:eastAsia="zh-CN"/>
              </w:rPr>
              <w:t>Short form security requirements</w:t>
            </w:r>
          </w:p>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p>
        </w:tc>
      </w:tr>
      <w:tr w:rsidR="004001E3" w:rsidRPr="0036679C" w:rsidTr="004001E3">
        <w:tc>
          <w:tcPr>
            <w:tcW w:w="767" w:type="dxa"/>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300" w:type="dxa"/>
            <w:shd w:val="clear" w:color="auto" w:fill="auto"/>
          </w:tcPr>
          <w:p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w:t>
            </w:r>
            <w:r w:rsidRPr="004001E3">
              <w:rPr>
                <w:rFonts w:ascii="Arial" w:eastAsia="STZhongsong" w:hAnsi="Arial" w:cs="Arial"/>
                <w:b/>
                <w:lang w:eastAsia="zh-CN"/>
              </w:rPr>
              <w:t>y:</w:t>
            </w:r>
          </w:p>
          <w:p w:rsidR="004001E3" w:rsidRPr="004001E3" w:rsidRDefault="004001E3" w:rsidP="004001E3">
            <w:pPr>
              <w:numPr>
                <w:ilvl w:val="1"/>
                <w:numId w:val="0"/>
              </w:numPr>
              <w:adjustRightInd w:val="0"/>
              <w:spacing w:after="120" w:line="240" w:lineRule="auto"/>
              <w:rPr>
                <w:rFonts w:ascii="Arial" w:eastAsia="STZhongsong" w:hAnsi="Arial" w:cs="Arial"/>
                <w:b/>
                <w:highlight w:val="yellow"/>
                <w:lang w:eastAsia="zh-CN"/>
              </w:rPr>
            </w:pPr>
            <w:r w:rsidRPr="004001E3">
              <w:rPr>
                <w:rFonts w:ascii="Arial" w:eastAsia="STZhongsong" w:hAnsi="Arial" w:cs="Arial"/>
                <w:lang w:eastAsia="zh-CN"/>
              </w:rPr>
              <w:t>Not applied</w:t>
            </w:r>
          </w:p>
        </w:tc>
      </w:tr>
      <w:tr w:rsidR="004001E3" w:rsidRPr="0036679C" w:rsidTr="004001E3">
        <w:tc>
          <w:tcPr>
            <w:tcW w:w="767" w:type="dxa"/>
          </w:tcPr>
          <w:p w:rsidR="004001E3" w:rsidRPr="0036679C" w:rsidRDefault="004001E3"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300" w:type="dxa"/>
            <w:shd w:val="clear" w:color="auto" w:fill="auto"/>
          </w:tcPr>
          <w:p w:rsidR="004001E3" w:rsidRPr="0036679C" w:rsidRDefault="004001E3"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4001E3" w:rsidRPr="0036679C" w:rsidTr="004001E3">
        <w:tc>
          <w:tcPr>
            <w:tcW w:w="767" w:type="dxa"/>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300" w:type="dxa"/>
            <w:shd w:val="clear" w:color="auto" w:fill="auto"/>
          </w:tcPr>
          <w:p w:rsidR="004001E3" w:rsidRPr="004001E3" w:rsidRDefault="004001E3"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Business Continuity &amp; Disaster </w:t>
            </w:r>
            <w:r w:rsidRPr="004001E3">
              <w:rPr>
                <w:rFonts w:ascii="Arial" w:eastAsia="STZhongsong" w:hAnsi="Arial" w:cs="Arial"/>
                <w:b/>
                <w:lang w:eastAsia="zh-CN"/>
              </w:rPr>
              <w:t>Recovery</w:t>
            </w:r>
            <w:r w:rsidRPr="004001E3">
              <w:rPr>
                <w:rFonts w:ascii="Arial" w:eastAsia="STZhongsong" w:hAnsi="Arial" w:cs="Arial"/>
                <w:lang w:eastAsia="zh-CN"/>
              </w:rPr>
              <w:t xml:space="preserve">: </w:t>
            </w:r>
          </w:p>
          <w:p w:rsidR="004001E3" w:rsidRPr="004001E3" w:rsidRDefault="004001E3" w:rsidP="004001E3">
            <w:pPr>
              <w:numPr>
                <w:ilvl w:val="1"/>
                <w:numId w:val="0"/>
              </w:numPr>
              <w:adjustRightInd w:val="0"/>
              <w:spacing w:after="120" w:line="240" w:lineRule="auto"/>
              <w:rPr>
                <w:rFonts w:ascii="Arial" w:eastAsia="Times New Roman" w:hAnsi="Arial" w:cs="Arial"/>
                <w:b/>
              </w:rPr>
            </w:pPr>
            <w:r w:rsidRPr="004001E3">
              <w:rPr>
                <w:rFonts w:ascii="Arial" w:eastAsia="Times New Roman" w:hAnsi="Arial" w:cs="Arial"/>
              </w:rPr>
              <w:t>Not applied</w:t>
            </w:r>
          </w:p>
          <w:p w:rsidR="004001E3" w:rsidRPr="0036679C" w:rsidRDefault="004001E3" w:rsidP="0036679C">
            <w:pPr>
              <w:numPr>
                <w:ilvl w:val="1"/>
                <w:numId w:val="0"/>
              </w:numPr>
              <w:adjustRightInd w:val="0"/>
              <w:spacing w:after="0" w:line="240" w:lineRule="auto"/>
              <w:rPr>
                <w:rFonts w:ascii="Arial" w:eastAsia="Times New Roman" w:hAnsi="Arial" w:cs="Arial"/>
                <w:b/>
              </w:rPr>
            </w:pPr>
          </w:p>
          <w:p w:rsidR="004001E3" w:rsidRPr="0036679C" w:rsidRDefault="004001E3"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rsidR="004001E3" w:rsidRPr="0036679C" w:rsidRDefault="004001E3" w:rsidP="004001E3">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For the purpose of the definition of “Disaster” in Call Off Schedule 1 (Definitions)</w:t>
            </w:r>
            <w:r>
              <w:rPr>
                <w:rFonts w:ascii="Arial" w:eastAsia="Times New Roman" w:hAnsi="Arial" w:cs="Arial"/>
              </w:rPr>
              <w:t xml:space="preserve"> the “Disaster Period” shall be Not Applied.</w:t>
            </w:r>
          </w:p>
        </w:tc>
      </w:tr>
      <w:tr w:rsidR="004001E3" w:rsidRPr="0036679C" w:rsidTr="004001E3">
        <w:tc>
          <w:tcPr>
            <w:tcW w:w="767" w:type="dxa"/>
            <w:tcBorders>
              <w:top w:val="single" w:sz="4" w:space="0" w:color="auto"/>
              <w:left w:val="single" w:sz="4" w:space="0" w:color="auto"/>
              <w:bottom w:val="single" w:sz="4" w:space="0" w:color="auto"/>
              <w:right w:val="single" w:sz="4" w:space="0" w:color="auto"/>
            </w:tcBorders>
          </w:tcPr>
          <w:p w:rsidR="004001E3" w:rsidRPr="0036679C" w:rsidRDefault="004001E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4001E3" w:rsidRPr="0036679C"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4001E3" w:rsidRPr="004001E3" w:rsidRDefault="004001E3" w:rsidP="0036679C">
            <w:pPr>
              <w:numPr>
                <w:ilvl w:val="1"/>
                <w:numId w:val="0"/>
              </w:numPr>
              <w:adjustRightInd w:val="0"/>
              <w:spacing w:after="120" w:line="240" w:lineRule="auto"/>
              <w:jc w:val="both"/>
              <w:rPr>
                <w:rFonts w:ascii="Arial" w:eastAsia="STZhongsong" w:hAnsi="Arial" w:cs="Arial"/>
                <w:lang w:eastAsia="zh-CN"/>
              </w:rPr>
            </w:pPr>
            <w:r w:rsidRPr="004001E3">
              <w:rPr>
                <w:rFonts w:ascii="Arial" w:eastAsia="STZhongsong" w:hAnsi="Arial" w:cs="Arial"/>
                <w:lang w:eastAsia="zh-CN"/>
              </w:rPr>
              <w:t>Not Applied</w:t>
            </w:r>
          </w:p>
        </w:tc>
      </w:tr>
      <w:tr w:rsidR="004001E3" w:rsidRPr="0036679C" w:rsidTr="004001E3">
        <w:tc>
          <w:tcPr>
            <w:tcW w:w="767" w:type="dxa"/>
            <w:tcBorders>
              <w:top w:val="single" w:sz="4" w:space="0" w:color="auto"/>
              <w:left w:val="single" w:sz="4" w:space="0" w:color="auto"/>
              <w:bottom w:val="single" w:sz="4" w:space="0" w:color="auto"/>
              <w:right w:val="single" w:sz="4" w:space="0" w:color="auto"/>
            </w:tcBorders>
          </w:tcPr>
          <w:p w:rsidR="004001E3" w:rsidRPr="0036679C" w:rsidRDefault="004001E3"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4001E3" w:rsidRPr="0036679C"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rsidR="004001E3" w:rsidRDefault="004001E3"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Customer’s po</w:t>
            </w:r>
            <w:r w:rsidR="00D52925">
              <w:rPr>
                <w:rFonts w:ascii="Arial" w:eastAsia="STZhongsong" w:hAnsi="Arial" w:cs="Arial"/>
                <w:lang w:eastAsia="zh-CN"/>
              </w:rPr>
              <w:t>stal address and email address: HM Treasury, 2 Orange, 1 Horse Guards Road, London, SW1A 2HQ</w:t>
            </w:r>
          </w:p>
          <w:p w:rsidR="00D52925" w:rsidRPr="000735F3" w:rsidRDefault="000735F3" w:rsidP="0036679C">
            <w:pPr>
              <w:numPr>
                <w:ilvl w:val="1"/>
                <w:numId w:val="0"/>
              </w:numPr>
              <w:adjustRightInd w:val="0"/>
              <w:spacing w:after="120" w:line="240" w:lineRule="auto"/>
              <w:jc w:val="both"/>
              <w:rPr>
                <w:rFonts w:ascii="Arial" w:eastAsia="STZhongsong" w:hAnsi="Arial" w:cs="Arial"/>
                <w:b/>
                <w:lang w:eastAsia="zh-CN"/>
              </w:rPr>
            </w:pPr>
            <w:r w:rsidRPr="000735F3">
              <w:rPr>
                <w:rFonts w:ascii="Arial" w:eastAsia="STZhongsong" w:hAnsi="Arial" w:cs="Arial"/>
                <w:b/>
                <w:lang w:eastAsia="zh-CN"/>
              </w:rPr>
              <w:t>Redacted</w:t>
            </w:r>
          </w:p>
          <w:p w:rsidR="003C2BA6" w:rsidRDefault="004001E3" w:rsidP="003C2BA6">
            <w:pPr>
              <w:tabs>
                <w:tab w:val="center" w:pos="4153"/>
                <w:tab w:val="right" w:pos="8306"/>
              </w:tabs>
              <w:spacing w:after="120" w:line="240" w:lineRule="auto"/>
              <w:rPr>
                <w:rFonts w:ascii="Arial" w:eastAsia="Times New Roman" w:hAnsi="Arial" w:cs="Arial"/>
                <w:lang w:eastAsia="en-GB"/>
              </w:rPr>
            </w:pPr>
            <w:r w:rsidRPr="0036679C">
              <w:rPr>
                <w:rFonts w:ascii="Arial" w:eastAsia="STZhongsong" w:hAnsi="Arial" w:cs="Arial"/>
                <w:lang w:eastAsia="zh-CN"/>
              </w:rPr>
              <w:t xml:space="preserve">Supplier’s postal address and email address: </w:t>
            </w:r>
            <w:r w:rsidR="003C2BA6">
              <w:rPr>
                <w:rFonts w:ascii="Arial" w:eastAsia="Times New Roman" w:hAnsi="Arial" w:cs="Arial"/>
                <w:lang w:eastAsia="en-GB"/>
              </w:rPr>
              <w:t>McKinsey &amp; Company</w:t>
            </w:r>
            <w:r w:rsidR="00FB1BB1">
              <w:rPr>
                <w:rFonts w:ascii="Arial" w:eastAsia="Times New Roman" w:hAnsi="Arial" w:cs="Arial"/>
                <w:lang w:eastAsia="en-GB"/>
              </w:rPr>
              <w:t>,</w:t>
            </w:r>
            <w:r w:rsidR="003C2BA6">
              <w:rPr>
                <w:rFonts w:ascii="Arial" w:eastAsia="Times New Roman" w:hAnsi="Arial" w:cs="Arial"/>
                <w:lang w:eastAsia="en-GB"/>
              </w:rPr>
              <w:t xml:space="preserve"> Inc</w:t>
            </w:r>
            <w:r w:rsidR="00FB1BB1">
              <w:rPr>
                <w:rFonts w:ascii="Arial" w:eastAsia="Times New Roman" w:hAnsi="Arial" w:cs="Arial"/>
                <w:lang w:eastAsia="en-GB"/>
              </w:rPr>
              <w:t>.</w:t>
            </w:r>
            <w:r w:rsidR="003C2BA6">
              <w:rPr>
                <w:rFonts w:ascii="Arial" w:eastAsia="Times New Roman" w:hAnsi="Arial" w:cs="Arial"/>
                <w:lang w:eastAsia="en-GB"/>
              </w:rPr>
              <w:t xml:space="preserve"> UK</w:t>
            </w:r>
          </w:p>
          <w:p w:rsidR="003C2BA6" w:rsidRPr="000420A3" w:rsidRDefault="00FB1BB1" w:rsidP="003C2BA6">
            <w:pPr>
              <w:tabs>
                <w:tab w:val="center" w:pos="4153"/>
                <w:tab w:val="right" w:pos="8306"/>
              </w:tabs>
              <w:spacing w:after="120" w:line="240" w:lineRule="auto"/>
              <w:rPr>
                <w:rFonts w:ascii="Arial" w:eastAsia="Times New Roman" w:hAnsi="Arial" w:cs="Arial"/>
                <w:lang w:eastAsia="en-GB"/>
              </w:rPr>
            </w:pPr>
            <w:r>
              <w:rPr>
                <w:rFonts w:ascii="Arial" w:hAnsi="Arial" w:cs="Arial"/>
                <w:color w:val="000000"/>
              </w:rPr>
              <w:t>The Post Building, 100 Museum Street, London WC1A 1PB</w:t>
            </w:r>
          </w:p>
          <w:p w:rsidR="004001E3" w:rsidRPr="000735F3" w:rsidRDefault="000735F3" w:rsidP="0036679C">
            <w:pPr>
              <w:numPr>
                <w:ilvl w:val="1"/>
                <w:numId w:val="0"/>
              </w:numPr>
              <w:adjustRightInd w:val="0"/>
              <w:spacing w:after="120" w:line="240" w:lineRule="auto"/>
              <w:jc w:val="both"/>
              <w:rPr>
                <w:rFonts w:ascii="Arial" w:eastAsia="STZhongsong" w:hAnsi="Arial" w:cs="Arial"/>
                <w:b/>
                <w:lang w:eastAsia="zh-CN"/>
              </w:rPr>
            </w:pPr>
            <w:r w:rsidRPr="000735F3">
              <w:rPr>
                <w:rFonts w:ascii="Arial" w:eastAsia="STZhongsong" w:hAnsi="Arial" w:cs="Arial"/>
                <w:b/>
                <w:lang w:eastAsia="zh-CN"/>
              </w:rPr>
              <w:t>Redacted</w:t>
            </w:r>
          </w:p>
        </w:tc>
      </w:tr>
      <w:tr w:rsidR="004001E3" w:rsidRPr="00B91478" w:rsidTr="004001E3">
        <w:tc>
          <w:tcPr>
            <w:tcW w:w="767" w:type="dxa"/>
            <w:tcBorders>
              <w:top w:val="single" w:sz="4" w:space="0" w:color="auto"/>
              <w:left w:val="single" w:sz="4" w:space="0" w:color="auto"/>
              <w:bottom w:val="single" w:sz="4" w:space="0" w:color="auto"/>
              <w:right w:val="single" w:sz="4" w:space="0" w:color="auto"/>
            </w:tcBorders>
          </w:tcPr>
          <w:p w:rsidR="004001E3" w:rsidRPr="00AA61A7" w:rsidRDefault="004001E3"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4001E3" w:rsidRPr="00AA61A7" w:rsidRDefault="004001E3"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rsidR="004001E3" w:rsidRPr="00AA61A7" w:rsidRDefault="004001E3"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4001E3" w:rsidRPr="0036679C" w:rsidTr="004001E3">
        <w:tc>
          <w:tcPr>
            <w:tcW w:w="767" w:type="dxa"/>
            <w:tcBorders>
              <w:top w:val="single" w:sz="4" w:space="0" w:color="auto"/>
              <w:left w:val="single" w:sz="4" w:space="0" w:color="auto"/>
              <w:bottom w:val="single" w:sz="4" w:space="0" w:color="auto"/>
              <w:right w:val="single" w:sz="4" w:space="0" w:color="auto"/>
            </w:tcBorders>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rsidR="004001E3" w:rsidRPr="004001E3" w:rsidRDefault="004001E3" w:rsidP="0036679C">
            <w:pPr>
              <w:numPr>
                <w:ilvl w:val="1"/>
                <w:numId w:val="0"/>
              </w:numPr>
              <w:adjustRightInd w:val="0"/>
              <w:spacing w:after="120" w:line="240" w:lineRule="auto"/>
              <w:rPr>
                <w:rFonts w:ascii="Arial" w:eastAsia="STZhongsong" w:hAnsi="Arial" w:cs="Arial"/>
                <w:lang w:eastAsia="zh-CN"/>
              </w:rPr>
            </w:pPr>
            <w:r w:rsidRPr="004001E3">
              <w:rPr>
                <w:rFonts w:ascii="Arial" w:eastAsia="STZhongsong" w:hAnsi="Arial" w:cs="Arial"/>
                <w:lang w:eastAsia="zh-CN"/>
              </w:rPr>
              <w:t>Not Applicable</w:t>
            </w:r>
          </w:p>
        </w:tc>
      </w:tr>
      <w:tr w:rsidR="004001E3" w:rsidRPr="0036679C" w:rsidTr="004001E3">
        <w:tc>
          <w:tcPr>
            <w:tcW w:w="767" w:type="dxa"/>
            <w:tcBorders>
              <w:top w:val="single" w:sz="4" w:space="0" w:color="auto"/>
              <w:left w:val="single" w:sz="4" w:space="0" w:color="auto"/>
              <w:bottom w:val="single" w:sz="4" w:space="0" w:color="auto"/>
              <w:right w:val="single" w:sz="4" w:space="0" w:color="auto"/>
            </w:tcBorders>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rsidR="004001E3" w:rsidRPr="002653C4" w:rsidRDefault="004001E3" w:rsidP="0036679C">
            <w:pPr>
              <w:numPr>
                <w:ilvl w:val="1"/>
                <w:numId w:val="0"/>
              </w:numPr>
              <w:adjustRightInd w:val="0"/>
              <w:spacing w:after="120" w:line="240" w:lineRule="auto"/>
              <w:rPr>
                <w:rFonts w:ascii="Arial" w:eastAsia="STZhongsong" w:hAnsi="Arial" w:cs="Arial"/>
                <w:lang w:eastAsia="zh-CN"/>
              </w:rPr>
            </w:pPr>
            <w:r w:rsidRPr="002653C4">
              <w:rPr>
                <w:rFonts w:ascii="Arial" w:eastAsia="STZhongsong" w:hAnsi="Arial" w:cs="Arial"/>
                <w:b/>
                <w:lang w:eastAsia="zh-CN"/>
              </w:rPr>
              <w:t>Call Off Tender</w:t>
            </w:r>
            <w:r w:rsidRPr="002653C4">
              <w:rPr>
                <w:rFonts w:ascii="Arial" w:eastAsia="STZhongsong" w:hAnsi="Arial" w:cs="Arial"/>
                <w:lang w:eastAsia="zh-CN"/>
              </w:rPr>
              <w:t>:</w:t>
            </w:r>
          </w:p>
          <w:p w:rsidR="002653C4" w:rsidRPr="002653C4" w:rsidRDefault="002653C4" w:rsidP="002653C4">
            <w:pPr>
              <w:rPr>
                <w:rFonts w:ascii="Arial" w:hAnsi="Arial" w:cs="Arial"/>
                <w:b/>
              </w:rPr>
            </w:pPr>
            <w:r w:rsidRPr="002653C4">
              <w:rPr>
                <w:rFonts w:ascii="Arial" w:hAnsi="Arial" w:cs="Arial"/>
                <w:b/>
              </w:rPr>
              <w:t>CCFF support</w:t>
            </w:r>
          </w:p>
          <w:p w:rsidR="002653C4" w:rsidRPr="002653C4" w:rsidRDefault="002653C4" w:rsidP="002653C4">
            <w:pPr>
              <w:rPr>
                <w:rFonts w:ascii="Arial" w:hAnsi="Arial" w:cs="Arial"/>
              </w:rPr>
            </w:pPr>
            <w:r w:rsidRPr="002653C4">
              <w:rPr>
                <w:rFonts w:ascii="Arial" w:hAnsi="Arial" w:cs="Arial"/>
              </w:rPr>
              <w:t>Work with McKinsey Risk experts, CCFF credit committee, and select HMT and UKGI colleagues to prepare all necessary credit committee papers for incoming exceptional support cases</w:t>
            </w:r>
          </w:p>
          <w:p w:rsidR="002653C4" w:rsidRPr="002653C4" w:rsidRDefault="002653C4" w:rsidP="002653C4">
            <w:pPr>
              <w:pStyle w:val="ListParagraph"/>
              <w:numPr>
                <w:ilvl w:val="0"/>
                <w:numId w:val="5"/>
              </w:numPr>
              <w:spacing w:line="240" w:lineRule="auto"/>
              <w:rPr>
                <w:sz w:val="22"/>
                <w:szCs w:val="22"/>
              </w:rPr>
            </w:pPr>
            <w:r w:rsidRPr="002653C4">
              <w:rPr>
                <w:sz w:val="22"/>
                <w:szCs w:val="22"/>
              </w:rPr>
              <w:t>Set up standing weekly sessions with HMT and UKGI colleagues to manage workflow on a continuous basis</w:t>
            </w:r>
          </w:p>
          <w:p w:rsidR="002653C4" w:rsidRPr="002653C4" w:rsidRDefault="002653C4" w:rsidP="002653C4">
            <w:pPr>
              <w:pStyle w:val="ListParagraph"/>
              <w:numPr>
                <w:ilvl w:val="0"/>
                <w:numId w:val="5"/>
              </w:numPr>
              <w:spacing w:line="240" w:lineRule="auto"/>
              <w:rPr>
                <w:sz w:val="22"/>
                <w:szCs w:val="22"/>
              </w:rPr>
            </w:pPr>
            <w:r w:rsidRPr="002653C4">
              <w:rPr>
                <w:sz w:val="22"/>
                <w:szCs w:val="22"/>
              </w:rPr>
              <w:lastRenderedPageBreak/>
              <w:t>Ongoing weekly meetings with HMT and UKGI providing status updates on live case load (i.e. cases with credit committee date) as well as managing pipeline of incoming cases. McKinsey will provide: status update on current cases, overview of analysis completed to date, clear articulation of further input required including e.g. data request to be shared with companies</w:t>
            </w:r>
          </w:p>
          <w:p w:rsidR="002653C4" w:rsidRPr="002653C4" w:rsidRDefault="002653C4" w:rsidP="002653C4">
            <w:pPr>
              <w:pStyle w:val="ListParagraph"/>
              <w:numPr>
                <w:ilvl w:val="0"/>
                <w:numId w:val="5"/>
              </w:numPr>
              <w:spacing w:line="240" w:lineRule="auto"/>
              <w:rPr>
                <w:sz w:val="22"/>
                <w:szCs w:val="22"/>
              </w:rPr>
            </w:pPr>
            <w:r w:rsidRPr="002653C4">
              <w:rPr>
                <w:sz w:val="22"/>
                <w:szCs w:val="22"/>
              </w:rPr>
              <w:t>McKinsey will provide dedicated expert Risk analyst capacity to support the preparation of credit committee papers for the CCFF process to the point of being reviewed by the committee. Specifically McKinsey will: develop the standard template and assessment frameworks; conduct relevant analysis.</w:t>
            </w:r>
          </w:p>
          <w:p w:rsidR="002653C4" w:rsidRPr="002653C4" w:rsidRDefault="002653C4" w:rsidP="002653C4">
            <w:pPr>
              <w:pStyle w:val="ListParagraph"/>
              <w:numPr>
                <w:ilvl w:val="0"/>
                <w:numId w:val="5"/>
              </w:numPr>
              <w:spacing w:line="240" w:lineRule="auto"/>
              <w:rPr>
                <w:sz w:val="22"/>
                <w:szCs w:val="22"/>
              </w:rPr>
            </w:pPr>
            <w:r w:rsidRPr="002653C4">
              <w:rPr>
                <w:sz w:val="22"/>
                <w:szCs w:val="22"/>
              </w:rPr>
              <w:t>Build capability within the HMT team in order to embed skill set required to adequately prepare and process credit committee papers and assessment, across 2 dimensions: skill transfer from McKinsey Risk experts to HMG colleagues through co-working sessions throughout process of developing, refining, and reviewing the necessary material for each of the cases McKinsey assists with; developing a set of assets (frameworks, templates, and assessment model) which streamline the process of preparing a case. HMG colleagues can be taught how to use these assets, and these assets will be left behind after the completion of the study for ongoing use</w:t>
            </w:r>
          </w:p>
          <w:p w:rsidR="004001E3" w:rsidRPr="002653C4" w:rsidRDefault="004001E3" w:rsidP="0036679C">
            <w:pPr>
              <w:numPr>
                <w:ilvl w:val="1"/>
                <w:numId w:val="0"/>
              </w:numPr>
              <w:adjustRightInd w:val="0"/>
              <w:spacing w:after="120" w:line="240" w:lineRule="auto"/>
              <w:rPr>
                <w:rFonts w:ascii="Arial" w:eastAsia="STZhongsong" w:hAnsi="Arial" w:cs="Arial"/>
                <w:b/>
                <w:lang w:eastAsia="zh-CN"/>
              </w:rPr>
            </w:pPr>
          </w:p>
        </w:tc>
      </w:tr>
      <w:tr w:rsidR="004001E3" w:rsidRPr="0036679C" w:rsidTr="004001E3">
        <w:tc>
          <w:tcPr>
            <w:tcW w:w="767" w:type="dxa"/>
            <w:tcBorders>
              <w:top w:val="single" w:sz="4" w:space="0" w:color="auto"/>
              <w:left w:val="single" w:sz="4" w:space="0" w:color="auto"/>
              <w:bottom w:val="single" w:sz="4" w:space="0" w:color="auto"/>
              <w:right w:val="single" w:sz="4" w:space="0" w:color="auto"/>
            </w:tcBorders>
            <w:shd w:val="clear" w:color="auto" w:fill="FFFFFF"/>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10.13</w:t>
            </w:r>
          </w:p>
        </w:tc>
        <w:tc>
          <w:tcPr>
            <w:tcW w:w="8300" w:type="dxa"/>
            <w:tcBorders>
              <w:top w:val="single" w:sz="4" w:space="0" w:color="auto"/>
              <w:left w:val="single" w:sz="4" w:space="0" w:color="auto"/>
              <w:bottom w:val="single" w:sz="4" w:space="0" w:color="auto"/>
              <w:right w:val="single" w:sz="4" w:space="0" w:color="auto"/>
            </w:tcBorders>
            <w:shd w:val="clear" w:color="auto" w:fill="FFFFFF"/>
          </w:tcPr>
          <w:p w:rsidR="004001E3" w:rsidRPr="0036679C" w:rsidRDefault="004001E3"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rsidR="004001E3" w:rsidRPr="004001E3" w:rsidRDefault="004001E3" w:rsidP="0036679C">
            <w:pPr>
              <w:numPr>
                <w:ilvl w:val="1"/>
                <w:numId w:val="0"/>
              </w:numPr>
              <w:adjustRightInd w:val="0"/>
              <w:spacing w:after="120" w:line="240" w:lineRule="auto"/>
              <w:rPr>
                <w:rFonts w:ascii="Arial" w:eastAsia="STZhongsong" w:hAnsi="Arial" w:cs="Arial"/>
                <w:b/>
                <w:lang w:eastAsia="zh-CN"/>
              </w:rPr>
            </w:pPr>
            <w:r w:rsidRPr="004001E3">
              <w:rPr>
                <w:rFonts w:ascii="Arial" w:eastAsia="STZhongsong" w:hAnsi="Arial" w:cs="Arial"/>
                <w:lang w:eastAsia="zh-CN"/>
              </w:rPr>
              <w:t>In Clause 36.3.2 of the Call Off Terms</w:t>
            </w:r>
          </w:p>
        </w:tc>
      </w:tr>
      <w:tr w:rsidR="004001E3" w:rsidRPr="0036679C" w:rsidTr="004001E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001E3" w:rsidRPr="00AA61A7" w:rsidRDefault="004001E3"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4001E3" w:rsidRPr="00AA61A7" w:rsidRDefault="004001E3"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rsidR="004001E3" w:rsidRPr="00AA61A7" w:rsidRDefault="004001E3"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4873C7" w:rsidRPr="0036679C" w:rsidTr="004001E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873C7" w:rsidRPr="00AA61A7" w:rsidRDefault="004873C7" w:rsidP="00AA61A7">
            <w:pPr>
              <w:numPr>
                <w:ilvl w:val="1"/>
                <w:numId w:val="0"/>
              </w:numPr>
              <w:spacing w:after="120"/>
              <w:rPr>
                <w:rFonts w:ascii="Arial" w:eastAsia="STZhongsong" w:hAnsi="Arial" w:cs="Arial"/>
                <w:b/>
                <w:lang w:eastAsia="zh-CN"/>
              </w:rPr>
            </w:pPr>
            <w:r>
              <w:rPr>
                <w:rFonts w:ascii="Arial" w:eastAsia="STZhongsong" w:hAnsi="Arial" w:cs="Arial"/>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Customer Data Protection Officer is:</w:t>
            </w:r>
          </w:p>
          <w:p w:rsidR="003C2BA6" w:rsidRPr="000735F3" w:rsidRDefault="000735F3"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b/>
                <w:lang w:val="en-US"/>
              </w:rPr>
            </w:pPr>
            <w:r w:rsidRPr="000735F3">
              <w:rPr>
                <w:rFonts w:ascii="Arial" w:eastAsia="Calibri" w:hAnsi="Arial" w:cs="Arial"/>
                <w:b/>
                <w:lang w:val="en-US"/>
              </w:rPr>
              <w:t>Redacted</w:t>
            </w:r>
          </w:p>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Suppliers Data Protection Officer is:</w:t>
            </w:r>
          </w:p>
          <w:p w:rsidR="00FB1BB1" w:rsidRPr="000735F3" w:rsidRDefault="000735F3" w:rsidP="00FB1BB1">
            <w:pPr>
              <w:ind w:left="1440" w:hanging="720"/>
              <w:rPr>
                <w:rFonts w:ascii="Arial" w:eastAsia="Calibri" w:hAnsi="Arial" w:cs="Arial"/>
                <w:b/>
                <w:lang w:val="en-US"/>
              </w:rPr>
            </w:pPr>
            <w:r w:rsidRPr="000735F3">
              <w:rPr>
                <w:rFonts w:ascii="Arial" w:eastAsia="Calibri" w:hAnsi="Arial" w:cs="Arial"/>
                <w:b/>
                <w:lang w:val="en-US"/>
              </w:rPr>
              <w:t>Redacted</w:t>
            </w:r>
          </w:p>
          <w:p w:rsidR="004873C7" w:rsidRPr="004873C7" w:rsidRDefault="004873C7" w:rsidP="004873C7">
            <w:pPr>
              <w:keepNext/>
              <w:overflowPunct w:val="0"/>
              <w:autoSpaceDE w:val="0"/>
              <w:autoSpaceDN w:val="0"/>
              <w:adjustRightInd w:val="0"/>
              <w:spacing w:before="240" w:after="240" w:line="312" w:lineRule="auto"/>
              <w:ind w:left="720"/>
              <w:jc w:val="both"/>
              <w:textAlignment w:val="baseline"/>
              <w:rPr>
                <w:rFonts w:ascii="Arial" w:eastAsia="Calibri" w:hAnsi="Arial" w:cs="Arial"/>
                <w:lang w:val="en-US"/>
              </w:rPr>
            </w:pPr>
          </w:p>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rsidR="004873C7" w:rsidRPr="004873C7" w:rsidRDefault="004873C7" w:rsidP="004873C7">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r w:rsidR="00FB1BB1">
              <w:rPr>
                <w:rFonts w:ascii="Arial" w:eastAsia="Calibri" w:hAnsi="Arial" w:cs="Arial"/>
                <w:lang w:val="en-US"/>
              </w:rPr>
              <w:t xml:space="preserve"> For the avoidance of doubt the Parties agree and acknowledge that it is not necessary for the Supplier to receive or gain access to any Personal Data from the Customer in relation to this Call-Off Contract.</w:t>
            </w:r>
          </w:p>
          <w:p w:rsidR="004873C7" w:rsidRPr="004873C7" w:rsidRDefault="004873C7" w:rsidP="004873C7">
            <w:pPr>
              <w:keepNext/>
              <w:overflowPunct w:val="0"/>
              <w:autoSpaceDE w:val="0"/>
              <w:autoSpaceDN w:val="0"/>
              <w:adjustRightInd w:val="0"/>
              <w:spacing w:after="240" w:line="312" w:lineRule="auto"/>
              <w:ind w:left="1418"/>
              <w:textAlignment w:val="baseline"/>
              <w:outlineLvl w:val="0"/>
              <w:rPr>
                <w:rFonts w:ascii="Arial" w:eastAsia="STZhongsong" w:hAnsi="Arial"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456"/>
            </w:tblGrid>
            <w:tr w:rsidR="004873C7" w:rsidRPr="004873C7" w:rsidTr="00873C87">
              <w:trPr>
                <w:trHeight w:val="716"/>
              </w:trPr>
              <w:tc>
                <w:tcPr>
                  <w:tcW w:w="2605"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rsidR="004873C7" w:rsidRPr="004873C7" w:rsidRDefault="004001E3" w:rsidP="004001E3">
                  <w:pPr>
                    <w:overflowPunct w:val="0"/>
                    <w:autoSpaceDE w:val="0"/>
                    <w:autoSpaceDN w:val="0"/>
                    <w:adjustRightInd w:val="0"/>
                    <w:spacing w:after="240" w:line="312" w:lineRule="auto"/>
                    <w:ind w:left="1418"/>
                    <w:jc w:val="center"/>
                    <w:textAlignment w:val="baseline"/>
                    <w:rPr>
                      <w:rFonts w:ascii="Arial" w:eastAsia="Calibri" w:hAnsi="Arial" w:cs="Arial"/>
                      <w:lang w:val="en-US"/>
                    </w:rPr>
                  </w:pPr>
                  <w:r>
                    <w:rPr>
                      <w:rFonts w:ascii="Arial" w:eastAsia="Calibri" w:hAnsi="Arial" w:cs="Arial"/>
                      <w:b/>
                      <w:lang w:val="en-US"/>
                    </w:rPr>
                    <w:t>CCCC20A84</w:t>
                  </w:r>
                </w:p>
              </w:tc>
            </w:tr>
            <w:tr w:rsidR="004873C7" w:rsidRPr="004873C7" w:rsidTr="00873C87">
              <w:trPr>
                <w:trHeight w:val="716"/>
              </w:trPr>
              <w:tc>
                <w:tcPr>
                  <w:tcW w:w="2605"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lastRenderedPageBreak/>
                    <w:t xml:space="preserve">Date: </w:t>
                  </w:r>
                </w:p>
              </w:tc>
              <w:tc>
                <w:tcPr>
                  <w:tcW w:w="6456" w:type="dxa"/>
                  <w:shd w:val="clear" w:color="auto" w:fill="BFBFBF"/>
                  <w:vAlign w:val="center"/>
                </w:tcPr>
                <w:p w:rsidR="004873C7" w:rsidRPr="004873C7" w:rsidRDefault="00504D47" w:rsidP="004873C7">
                  <w:pPr>
                    <w:overflowPunct w:val="0"/>
                    <w:autoSpaceDE w:val="0"/>
                    <w:autoSpaceDN w:val="0"/>
                    <w:adjustRightInd w:val="0"/>
                    <w:spacing w:after="240" w:line="312" w:lineRule="auto"/>
                    <w:ind w:left="1418"/>
                    <w:jc w:val="center"/>
                    <w:textAlignment w:val="baseline"/>
                    <w:rPr>
                      <w:rFonts w:ascii="Arial" w:eastAsia="Calibri" w:hAnsi="Arial" w:cs="Arial"/>
                      <w:b/>
                      <w:highlight w:val="yellow"/>
                      <w:lang w:val="en-US"/>
                    </w:rPr>
                  </w:pPr>
                  <w:r w:rsidRPr="00504D47">
                    <w:rPr>
                      <w:rFonts w:ascii="Arial" w:eastAsia="Calibri" w:hAnsi="Arial" w:cs="Arial"/>
                      <w:b/>
                      <w:lang w:val="en-US"/>
                    </w:rPr>
                    <w:t>2</w:t>
                  </w:r>
                  <w:r w:rsidRPr="00504D47">
                    <w:rPr>
                      <w:rFonts w:ascii="Arial" w:eastAsia="Calibri" w:hAnsi="Arial" w:cs="Arial"/>
                      <w:b/>
                      <w:vertAlign w:val="superscript"/>
                      <w:lang w:val="en-US"/>
                    </w:rPr>
                    <w:t xml:space="preserve">nd </w:t>
                  </w:r>
                  <w:r w:rsidRPr="00504D47">
                    <w:rPr>
                      <w:rFonts w:ascii="Arial" w:eastAsia="Calibri" w:hAnsi="Arial" w:cs="Arial"/>
                      <w:b/>
                      <w:lang w:val="en-US"/>
                    </w:rPr>
                    <w:t>July 2020</w:t>
                  </w:r>
                </w:p>
              </w:tc>
            </w:tr>
            <w:tr w:rsidR="004873C7" w:rsidRPr="004873C7" w:rsidTr="00873C87">
              <w:trPr>
                <w:trHeight w:val="716"/>
              </w:trPr>
              <w:tc>
                <w:tcPr>
                  <w:tcW w:w="2605"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rsidR="004873C7" w:rsidRPr="004873C7" w:rsidRDefault="004873C7" w:rsidP="004873C7">
                  <w:pPr>
                    <w:overflowPunct w:val="0"/>
                    <w:autoSpaceDE w:val="0"/>
                    <w:autoSpaceDN w:val="0"/>
                    <w:adjustRightInd w:val="0"/>
                    <w:spacing w:after="240" w:line="312" w:lineRule="auto"/>
                    <w:ind w:left="1418"/>
                    <w:jc w:val="center"/>
                    <w:textAlignment w:val="baseline"/>
                    <w:rPr>
                      <w:rFonts w:ascii="Arial" w:eastAsia="Calibri" w:hAnsi="Arial" w:cs="Arial"/>
                      <w:b/>
                      <w:lang w:val="en-US"/>
                    </w:rPr>
                  </w:pPr>
                  <w:r w:rsidRPr="004873C7">
                    <w:rPr>
                      <w:rFonts w:ascii="Arial" w:eastAsia="Calibri" w:hAnsi="Arial" w:cs="Arial"/>
                      <w:b/>
                      <w:lang w:val="en-US"/>
                    </w:rPr>
                    <w:t>Details</w:t>
                  </w:r>
                </w:p>
              </w:tc>
            </w:tr>
            <w:tr w:rsidR="004873C7" w:rsidRPr="004873C7" w:rsidTr="00873C87">
              <w:trPr>
                <w:trHeight w:val="1630"/>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4873C7" w:rsidRPr="004873C7" w:rsidTr="00873C87">
              <w:trPr>
                <w:trHeight w:val="1630"/>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rsidR="004873C7" w:rsidRPr="004873C7" w:rsidRDefault="00256214" w:rsidP="004873C7">
                  <w:pPr>
                    <w:overflowPunct w:val="0"/>
                    <w:autoSpaceDE w:val="0"/>
                    <w:autoSpaceDN w:val="0"/>
                    <w:adjustRightInd w:val="0"/>
                    <w:spacing w:after="240" w:line="312" w:lineRule="auto"/>
                    <w:ind w:left="138"/>
                    <w:textAlignment w:val="baseline"/>
                    <w:rPr>
                      <w:rFonts w:ascii="Arial" w:eastAsia="Calibri" w:hAnsi="Arial" w:cs="Arial"/>
                      <w:lang w:val="en-US"/>
                    </w:rPr>
                  </w:pPr>
                  <w:r>
                    <w:rPr>
                      <w:rFonts w:ascii="Arial" w:eastAsia="Calibri" w:hAnsi="Arial" w:cs="Arial"/>
                      <w:lang w:val="en-US"/>
                    </w:rPr>
                    <w:t>Managing</w:t>
                  </w:r>
                  <w:r w:rsidR="004873C7" w:rsidRPr="004873C7">
                    <w:rPr>
                      <w:rFonts w:ascii="Arial" w:eastAsia="Calibri" w:hAnsi="Arial" w:cs="Arial"/>
                      <w:lang w:val="en-US"/>
                    </w:rPr>
                    <w:t xml:space="preserve"> the obligations under the Call Off Contract Agreement, including exit management, and other associated activities.</w:t>
                  </w:r>
                </w:p>
              </w:tc>
            </w:tr>
            <w:tr w:rsidR="004873C7" w:rsidRPr="004873C7" w:rsidTr="00873C87">
              <w:trPr>
                <w:trHeight w:val="1462"/>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rsidR="004873C7" w:rsidRPr="004873C7" w:rsidRDefault="004873C7" w:rsidP="00CF17AD">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sidR="00CF17AD">
                    <w:rPr>
                      <w:rFonts w:ascii="Arial" w:eastAsia="Calibri" w:hAnsi="Arial" w:cs="Arial"/>
                      <w:lang w:val="en-US"/>
                    </w:rPr>
                    <w:t>Award</w:t>
                  </w:r>
                  <w:r w:rsidRPr="004873C7">
                    <w:rPr>
                      <w:rFonts w:ascii="Arial" w:eastAsia="Calibri" w:hAnsi="Arial" w:cs="Arial"/>
                      <w:lang w:val="en-US"/>
                    </w:rPr>
                    <w:t xml:space="preserve"> plus 7 years. </w:t>
                  </w:r>
                </w:p>
              </w:tc>
            </w:tr>
            <w:tr w:rsidR="004873C7" w:rsidRPr="004873C7" w:rsidTr="00873C87">
              <w:trPr>
                <w:trHeight w:val="1536"/>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rsidTr="00873C87">
              <w:trPr>
                <w:trHeight w:val="1412"/>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t>Type of Personal Data</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Full name</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Workplace address</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Calibri" w:hAnsi="Arial" w:cs="Arial"/>
                            <w:lang w:val="en-US"/>
                          </w:rPr>
                          <w:t>Tenure Information</w:t>
                        </w:r>
                        <w:r w:rsidR="00CF17AD">
                          <w:rPr>
                            <w:rFonts w:ascii="Arial" w:eastAsia="Calibri" w:hAnsi="Arial" w:cs="Arial"/>
                            <w:lang w:val="en-US"/>
                          </w:rPr>
                          <w:t xml:space="preserve"> </w:t>
                        </w:r>
                        <w:r w:rsidRPr="004873C7">
                          <w:rPr>
                            <w:rFonts w:ascii="Arial" w:eastAsia="Times New Roman" w:hAnsi="Arial" w:cs="Arial"/>
                          </w:rPr>
                          <w:t>Quali</w:t>
                        </w:r>
                        <w:r w:rsidR="00F625E7">
                          <w:rPr>
                            <w:rFonts w:ascii="Arial" w:eastAsia="Times New Roman" w:hAnsi="Arial" w:cs="Arial"/>
                          </w:rPr>
                          <w:t>fications or c</w:t>
                        </w:r>
                        <w:r w:rsidRPr="004873C7">
                          <w:rPr>
                            <w:rFonts w:ascii="Arial" w:eastAsia="Times New Roman" w:hAnsi="Arial" w:cs="Arial"/>
                          </w:rPr>
                          <w:t>ertifications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lastRenderedPageBreak/>
                          <w:t>Nationality</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Personal Interests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Bank statements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Utility bills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title or role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Start date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Contract type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Compensation data</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Photographic f</w:t>
                        </w:r>
                        <w:r w:rsidR="004873C7" w:rsidRPr="004873C7">
                          <w:rPr>
                            <w:rFonts w:ascii="Arial" w:eastAsia="Times New Roman" w:hAnsi="Arial" w:cs="Arial"/>
                          </w:rPr>
                          <w:t>acial Image</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Biometric data</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Birth certificates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F625E7" w:rsidP="004873C7">
                        <w:pPr>
                          <w:overflowPunct w:val="0"/>
                          <w:autoSpaceDE w:val="0"/>
                          <w:autoSpaceDN w:val="0"/>
                          <w:adjustRightInd w:val="0"/>
                          <w:spacing w:after="240" w:line="312" w:lineRule="auto"/>
                          <w:textAlignment w:val="baseline"/>
                          <w:rPr>
                            <w:rFonts w:ascii="Arial" w:eastAsia="Times New Roman" w:hAnsi="Arial" w:cs="Arial"/>
                          </w:rPr>
                        </w:pPr>
                        <w:r>
                          <w:rPr>
                            <w:rFonts w:ascii="Arial" w:eastAsia="Times New Roman" w:hAnsi="Arial" w:cs="Arial"/>
                          </w:rPr>
                          <w:t>IP a</w:t>
                        </w:r>
                        <w:r w:rsidR="004873C7" w:rsidRPr="004873C7">
                          <w:rPr>
                            <w:rFonts w:ascii="Arial" w:eastAsia="Times New Roman" w:hAnsi="Arial" w:cs="Arial"/>
                          </w:rPr>
                          <w:t>ddress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4873C7" w:rsidRPr="004873C7" w:rsidTr="00873C87">
                    <w:trPr>
                      <w:trHeight w:val="300"/>
                    </w:trPr>
                    <w:tc>
                      <w:tcPr>
                        <w:tcW w:w="6240" w:type="dxa"/>
                        <w:tcBorders>
                          <w:top w:val="nil"/>
                          <w:left w:val="nil"/>
                          <w:bottom w:val="nil"/>
                          <w:right w:val="nil"/>
                        </w:tcBorders>
                        <w:shd w:val="clear" w:color="auto" w:fill="auto"/>
                        <w:noWrap/>
                        <w:vAlign w:val="bottom"/>
                        <w:hideMark/>
                      </w:tcPr>
                      <w:p w:rsidR="004873C7" w:rsidRPr="004873C7" w:rsidRDefault="004873C7" w:rsidP="004873C7">
                        <w:pPr>
                          <w:overflowPunct w:val="0"/>
                          <w:autoSpaceDE w:val="0"/>
                          <w:autoSpaceDN w:val="0"/>
                          <w:adjustRightInd w:val="0"/>
                          <w:spacing w:after="24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r w:rsidR="004873C7" w:rsidRPr="004873C7" w:rsidTr="00873C87">
              <w:trPr>
                <w:trHeight w:val="1560"/>
              </w:trPr>
              <w:tc>
                <w:tcPr>
                  <w:tcW w:w="2605" w:type="dxa"/>
                  <w:shd w:val="clear" w:color="auto" w:fill="auto"/>
                </w:tcPr>
                <w:p w:rsidR="004873C7" w:rsidRPr="004873C7" w:rsidRDefault="004873C7" w:rsidP="004873C7">
                  <w:pPr>
                    <w:overflowPunct w:val="0"/>
                    <w:autoSpaceDE w:val="0"/>
                    <w:autoSpaceDN w:val="0"/>
                    <w:adjustRightInd w:val="0"/>
                    <w:spacing w:after="24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Categories of Data Subject</w:t>
                  </w:r>
                </w:p>
              </w:tc>
              <w:tc>
                <w:tcPr>
                  <w:tcW w:w="6456" w:type="dxa"/>
                  <w:shd w:val="clear" w:color="auto" w:fill="auto"/>
                </w:tcPr>
                <w:p w:rsidR="004873C7" w:rsidRPr="004873C7" w:rsidRDefault="004873C7" w:rsidP="004873C7">
                  <w:pPr>
                    <w:overflowPunct w:val="0"/>
                    <w:autoSpaceDE w:val="0"/>
                    <w:autoSpaceDN w:val="0"/>
                    <w:adjustRightInd w:val="0"/>
                    <w:spacing w:after="240" w:line="312" w:lineRule="auto"/>
                    <w:ind w:left="138"/>
                    <w:textAlignment w:val="baseline"/>
                    <w:rPr>
                      <w:rFonts w:ascii="Arial" w:eastAsia="Calibri" w:hAnsi="Arial" w:cs="Arial"/>
                      <w:lang w:val="en-US"/>
                    </w:rPr>
                  </w:pPr>
                </w:p>
              </w:tc>
            </w:tr>
          </w:tbl>
          <w:p w:rsidR="004873C7" w:rsidRPr="004873C7" w:rsidRDefault="004873C7" w:rsidP="004873C7">
            <w:pPr>
              <w:overflowPunct w:val="0"/>
              <w:autoSpaceDE w:val="0"/>
              <w:autoSpaceDN w:val="0"/>
              <w:adjustRightInd w:val="0"/>
              <w:spacing w:after="240" w:line="240" w:lineRule="auto"/>
              <w:ind w:left="1418"/>
              <w:jc w:val="center"/>
              <w:textAlignment w:val="baseline"/>
              <w:rPr>
                <w:rFonts w:ascii="Arial" w:eastAsia="Times New Roman" w:hAnsi="Arial" w:cs="Arial"/>
                <w:b/>
              </w:rPr>
            </w:pPr>
          </w:p>
          <w:p w:rsidR="004873C7" w:rsidRPr="00AA61A7" w:rsidRDefault="004873C7" w:rsidP="00AA61A7">
            <w:pPr>
              <w:numPr>
                <w:ilvl w:val="1"/>
                <w:numId w:val="0"/>
              </w:numPr>
              <w:spacing w:after="120"/>
              <w:rPr>
                <w:rFonts w:ascii="Arial" w:hAnsi="Arial" w:cs="Arial"/>
                <w:i/>
                <w:highlight w:val="yellow"/>
              </w:rPr>
            </w:pPr>
          </w:p>
        </w:tc>
      </w:tr>
      <w:tr w:rsidR="004001E3" w:rsidRPr="00CB44F1" w:rsidTr="004001E3">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001E3" w:rsidRPr="004873C7" w:rsidRDefault="004001E3" w:rsidP="004873C7">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lastRenderedPageBreak/>
              <w:t>10.16</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rsidR="004001E3" w:rsidRPr="004873C7" w:rsidRDefault="004001E3" w:rsidP="004873C7">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MOD DEFCONs and DEFFORM</w:t>
            </w:r>
          </w:p>
          <w:p w:rsidR="004001E3" w:rsidRPr="006F5B80" w:rsidRDefault="004001E3" w:rsidP="002D072A">
            <w:pPr>
              <w:numPr>
                <w:ilvl w:val="1"/>
                <w:numId w:val="0"/>
              </w:numPr>
              <w:spacing w:after="120"/>
              <w:rPr>
                <w:rFonts w:ascii="Arial" w:eastAsia="STZhongsong" w:hAnsi="Arial" w:cs="Arial"/>
                <w:lang w:eastAsia="zh-CN"/>
              </w:rPr>
            </w:pPr>
            <w:r>
              <w:rPr>
                <w:rFonts w:ascii="Arial" w:eastAsia="STZhongsong" w:hAnsi="Arial" w:cs="Arial"/>
                <w:lang w:eastAsia="zh-CN"/>
              </w:rPr>
              <w:t xml:space="preserve">Not Applied </w:t>
            </w:r>
          </w:p>
        </w:tc>
      </w:tr>
    </w:tbl>
    <w:p w:rsidR="004001E3" w:rsidRDefault="004001E3" w:rsidP="0036679C">
      <w:pPr>
        <w:overflowPunct w:val="0"/>
        <w:autoSpaceDE w:val="0"/>
        <w:autoSpaceDN w:val="0"/>
        <w:adjustRightInd w:val="0"/>
        <w:spacing w:after="240" w:line="240" w:lineRule="auto"/>
        <w:jc w:val="both"/>
        <w:textAlignment w:val="baseline"/>
        <w:rPr>
          <w:rFonts w:ascii="Arial" w:eastAsia="Times New Roman" w:hAnsi="Arial" w:cs="Arial"/>
        </w:rPr>
      </w:pP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FORMATION OF CALL OFF CONTRACT</w:t>
      </w: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rsidR="004001E3"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rsidTr="0036679C">
        <w:tc>
          <w:tcPr>
            <w:tcW w:w="9198" w:type="dxa"/>
            <w:gridSpan w:val="2"/>
            <w:tcBorders>
              <w:top w:val="nil"/>
              <w:left w:val="nil"/>
              <w:bottom w:val="single" w:sz="4" w:space="0" w:color="auto"/>
              <w:right w:val="nil"/>
            </w:tcBorders>
          </w:tcPr>
          <w:p w:rsidR="0036679C" w:rsidRPr="0036679C" w:rsidRDefault="0036679C" w:rsidP="004001E3">
            <w:pPr>
              <w:keepNext/>
              <w:adjustRightInd w:val="0"/>
              <w:spacing w:before="240" w:after="120" w:line="240" w:lineRule="auto"/>
              <w:jc w:val="both"/>
              <w:rPr>
                <w:rFonts w:ascii="Arial" w:eastAsia="STZhongsong" w:hAnsi="Arial" w:cs="Arial"/>
                <w:b/>
                <w:lang w:eastAsia="zh-CN"/>
              </w:rPr>
            </w:pPr>
            <w:r w:rsidRPr="0036679C">
              <w:rPr>
                <w:rFonts w:ascii="Arial" w:eastAsia="STZhongsong" w:hAnsi="Arial" w:cs="Arial"/>
                <w:b/>
                <w:lang w:eastAsia="zh-CN"/>
              </w:rPr>
              <w:lastRenderedPageBreak/>
              <w:t>For and on behalf of the Supplier:</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36679C" w:rsidRPr="00BE7CEA" w:rsidRDefault="00BE7CEA" w:rsidP="0036679C">
            <w:pPr>
              <w:keepNext/>
              <w:adjustRightInd w:val="0"/>
              <w:spacing w:before="240" w:after="120" w:line="240" w:lineRule="auto"/>
              <w:ind w:left="142"/>
              <w:jc w:val="both"/>
              <w:rPr>
                <w:rFonts w:ascii="Arial" w:eastAsia="STZhongsong" w:hAnsi="Arial" w:cs="Arial"/>
                <w:b/>
                <w:lang w:eastAsia="zh-CN"/>
              </w:rPr>
            </w:pPr>
            <w:r w:rsidRPr="00BE7CEA">
              <w:rPr>
                <w:rFonts w:ascii="Arial" w:eastAsia="STZhongsong" w:hAnsi="Arial" w:cs="Arial"/>
                <w:b/>
                <w:lang w:eastAsia="zh-CN"/>
              </w:rPr>
              <w:t>Redacted</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bookmarkStart w:id="1" w:name="_GoBack"/>
            <w:bookmarkEnd w:id="1"/>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9198" w:type="dxa"/>
            <w:gridSpan w:val="2"/>
            <w:tcBorders>
              <w:top w:val="nil"/>
              <w:left w:val="nil"/>
              <w:bottom w:val="single" w:sz="4" w:space="0" w:color="auto"/>
              <w:right w:val="nil"/>
            </w:tcBorders>
          </w:tcPr>
          <w:p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rsidR="0036679C" w:rsidRPr="00BE7CEA" w:rsidRDefault="00BE7CEA" w:rsidP="0036679C">
            <w:pPr>
              <w:keepNext/>
              <w:adjustRightInd w:val="0"/>
              <w:spacing w:before="240" w:after="120" w:line="240" w:lineRule="auto"/>
              <w:ind w:left="142"/>
              <w:jc w:val="both"/>
              <w:rPr>
                <w:rFonts w:ascii="Arial" w:eastAsia="STZhongsong" w:hAnsi="Arial" w:cs="Arial"/>
                <w:b/>
                <w:lang w:eastAsia="zh-CN"/>
              </w:rPr>
            </w:pPr>
            <w:r w:rsidRPr="00BE7CEA">
              <w:rPr>
                <w:rFonts w:ascii="Arial" w:eastAsia="STZhongsong" w:hAnsi="Arial" w:cs="Arial"/>
                <w:b/>
                <w:lang w:eastAsia="zh-CN"/>
              </w:rPr>
              <w:t>Redacted</w:t>
            </w: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rsidTr="0036679C">
        <w:tc>
          <w:tcPr>
            <w:tcW w:w="2655"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p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bl>
    <w:p w:rsidR="00BA2888" w:rsidRDefault="00BA2888"/>
    <w:sectPr w:rsidR="00BA288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6B0" w:rsidRDefault="003926B0" w:rsidP="00873C87">
      <w:pPr>
        <w:spacing w:after="0" w:line="240" w:lineRule="auto"/>
      </w:pPr>
      <w:r>
        <w:separator/>
      </w:r>
    </w:p>
  </w:endnote>
  <w:endnote w:type="continuationSeparator" w:id="0">
    <w:p w:rsidR="003926B0" w:rsidRDefault="003926B0"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B1" w:rsidRDefault="00FB1B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823" w:rsidRPr="00873C87" w:rsidRDefault="00361823"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rsidR="00361823" w:rsidRPr="00873C87" w:rsidRDefault="00361823"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 –</w:t>
    </w:r>
    <w:r w:rsidRPr="00873C87">
      <w:rPr>
        <w:rFonts w:ascii="Arial" w:eastAsia="Times New Roman" w:hAnsi="Arial" w:cs="Arial"/>
        <w:sz w:val="16"/>
        <w:szCs w:val="16"/>
      </w:rPr>
      <w:t xml:space="preserve"> Call Off Order Form </w:t>
    </w:r>
  </w:p>
  <w:p w:rsidR="00361823" w:rsidRPr="00873C87" w:rsidRDefault="00361823"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rsidR="00361823" w:rsidRDefault="00361823">
    <w:pPr>
      <w:pStyle w:val="Footer"/>
    </w:pPr>
  </w:p>
  <w:p w:rsidR="00361823" w:rsidRDefault="00361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B1" w:rsidRDefault="00FB1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6B0" w:rsidRDefault="003926B0" w:rsidP="00873C87">
      <w:pPr>
        <w:spacing w:after="0" w:line="240" w:lineRule="auto"/>
      </w:pPr>
      <w:r>
        <w:separator/>
      </w:r>
    </w:p>
  </w:footnote>
  <w:footnote w:type="continuationSeparator" w:id="0">
    <w:p w:rsidR="003926B0" w:rsidRDefault="003926B0" w:rsidP="0087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B1" w:rsidRDefault="00FB1B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B1" w:rsidRDefault="00FB1B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BB1" w:rsidRDefault="00FB1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2D3332"/>
    <w:multiLevelType w:val="hybridMultilevel"/>
    <w:tmpl w:val="9326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27283E"/>
    <w:multiLevelType w:val="hybridMultilevel"/>
    <w:tmpl w:val="FA92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3662C"/>
    <w:multiLevelType w:val="hybridMultilevel"/>
    <w:tmpl w:val="B4E6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735F3"/>
    <w:rsid w:val="00110834"/>
    <w:rsid w:val="0012259E"/>
    <w:rsid w:val="00162FF0"/>
    <w:rsid w:val="001A201D"/>
    <w:rsid w:val="001D57D1"/>
    <w:rsid w:val="001E1574"/>
    <w:rsid w:val="001E60C1"/>
    <w:rsid w:val="0020016B"/>
    <w:rsid w:val="00256214"/>
    <w:rsid w:val="002653C4"/>
    <w:rsid w:val="002D072A"/>
    <w:rsid w:val="002E4870"/>
    <w:rsid w:val="00336A57"/>
    <w:rsid w:val="00361823"/>
    <w:rsid w:val="0036679C"/>
    <w:rsid w:val="003821E9"/>
    <w:rsid w:val="003926B0"/>
    <w:rsid w:val="003C2BA6"/>
    <w:rsid w:val="003D1C3A"/>
    <w:rsid w:val="004001E3"/>
    <w:rsid w:val="0042205D"/>
    <w:rsid w:val="004469F4"/>
    <w:rsid w:val="004873C7"/>
    <w:rsid w:val="004F72F0"/>
    <w:rsid w:val="00504D47"/>
    <w:rsid w:val="00544E3D"/>
    <w:rsid w:val="00595188"/>
    <w:rsid w:val="005A3FEF"/>
    <w:rsid w:val="005A60E6"/>
    <w:rsid w:val="005C094A"/>
    <w:rsid w:val="0068501B"/>
    <w:rsid w:val="006F5B80"/>
    <w:rsid w:val="007B3A75"/>
    <w:rsid w:val="007B61FC"/>
    <w:rsid w:val="0082354C"/>
    <w:rsid w:val="00845252"/>
    <w:rsid w:val="00873C87"/>
    <w:rsid w:val="008E3150"/>
    <w:rsid w:val="008E40FA"/>
    <w:rsid w:val="0091537B"/>
    <w:rsid w:val="009C4890"/>
    <w:rsid w:val="00A070E0"/>
    <w:rsid w:val="00A329EB"/>
    <w:rsid w:val="00A814A2"/>
    <w:rsid w:val="00A945AE"/>
    <w:rsid w:val="00AA61A7"/>
    <w:rsid w:val="00AB0679"/>
    <w:rsid w:val="00B32627"/>
    <w:rsid w:val="00B6125C"/>
    <w:rsid w:val="00BA2888"/>
    <w:rsid w:val="00BE64B2"/>
    <w:rsid w:val="00BE7CEA"/>
    <w:rsid w:val="00C37389"/>
    <w:rsid w:val="00C65592"/>
    <w:rsid w:val="00C83C85"/>
    <w:rsid w:val="00CF17AD"/>
    <w:rsid w:val="00D1532C"/>
    <w:rsid w:val="00D52925"/>
    <w:rsid w:val="00D824CC"/>
    <w:rsid w:val="00D9099E"/>
    <w:rsid w:val="00DC2D5A"/>
    <w:rsid w:val="00EC4D63"/>
    <w:rsid w:val="00F4275A"/>
    <w:rsid w:val="00F46BCB"/>
    <w:rsid w:val="00F625E7"/>
    <w:rsid w:val="00F73E34"/>
    <w:rsid w:val="00FB1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16204"/>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A329EB"/>
    <w:pPr>
      <w:spacing w:after="0" w:line="276" w:lineRule="auto"/>
      <w:ind w:left="720"/>
      <w:contextualSpacing/>
    </w:pPr>
    <w:rPr>
      <w:rFonts w:ascii="Arial" w:eastAsia="Arial" w:hAnsi="Arial" w:cs="Arial"/>
      <w:sz w:val="20"/>
      <w:szCs w:val="20"/>
      <w:lang w:val="en" w:eastAsia="en-GB"/>
    </w:rPr>
  </w:style>
  <w:style w:type="character" w:styleId="Hyperlink">
    <w:name w:val="Hyperlink"/>
    <w:basedOn w:val="DefaultParagraphFont"/>
    <w:uiPriority w:val="99"/>
    <w:unhideWhenUsed/>
    <w:rsid w:val="00FB1BB1"/>
    <w:rPr>
      <w:color w:val="0563C1" w:themeColor="hyperlink"/>
      <w:u w:val="single"/>
    </w:rPr>
  </w:style>
  <w:style w:type="character" w:customStyle="1" w:styleId="UnresolvedMention">
    <w:name w:val="Unresolved Mention"/>
    <w:basedOn w:val="DefaultParagraphFont"/>
    <w:uiPriority w:val="99"/>
    <w:semiHidden/>
    <w:unhideWhenUsed/>
    <w:rsid w:val="00FB1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Nick Williams</cp:lastModifiedBy>
  <cp:revision>4</cp:revision>
  <cp:lastPrinted>2019-06-25T15:05:00Z</cp:lastPrinted>
  <dcterms:created xsi:type="dcterms:W3CDTF">2020-08-27T07:16:00Z</dcterms:created>
  <dcterms:modified xsi:type="dcterms:W3CDTF">2020-09-01T12:21:00Z</dcterms:modified>
</cp:coreProperties>
</file>