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D03" w:rsidRPr="00020BC6" w:rsidRDefault="00F96F92" w:rsidP="00A12888">
      <w:pPr>
        <w:pStyle w:val="CommentText"/>
        <w:jc w:val="right"/>
        <w:rPr>
          <w:rFonts w:cs="Arial"/>
          <w:kern w:val="2"/>
        </w:rPr>
      </w:pPr>
      <w:r>
        <w:rPr>
          <w:rFonts w:cs="Arial"/>
          <w:noProof/>
          <w:kern w:val="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05pt;margin-top:79.45pt;width:80.3pt;height:81pt;z-index:-251658752">
            <v:imagedata r:id="rId9" o:title=""/>
          </v:shape>
          <o:OLEObject Type="Embed" ProgID="MSPhotoEd.3" ShapeID="_x0000_s1026" DrawAspect="Content" ObjectID="_1639546125" r:id="rId10"/>
        </w:pict>
      </w:r>
    </w:p>
    <w:p w:rsidR="00C33231" w:rsidRDefault="00C33231" w:rsidP="006B5E99">
      <w:pPr>
        <w:pStyle w:val="CoversheetTitle2"/>
        <w:jc w:val="left"/>
        <w:rPr>
          <w:rFonts w:cs="Arial"/>
          <w:smallCaps w:val="0"/>
          <w:kern w:val="2"/>
          <w:sz w:val="44"/>
          <w:szCs w:val="44"/>
        </w:rPr>
      </w:pPr>
    </w:p>
    <w:p w:rsidR="009E1E81" w:rsidRDefault="009E1E81" w:rsidP="006B5E99">
      <w:pPr>
        <w:pStyle w:val="CoversheetTitle2"/>
        <w:jc w:val="left"/>
        <w:rPr>
          <w:rFonts w:cs="Arial"/>
          <w:smallCaps w:val="0"/>
          <w:kern w:val="2"/>
          <w:sz w:val="44"/>
          <w:szCs w:val="44"/>
        </w:rPr>
      </w:pPr>
    </w:p>
    <w:p w:rsidR="00A03C3A" w:rsidRDefault="00A03C3A" w:rsidP="006B5E99">
      <w:pPr>
        <w:pStyle w:val="CoversheetTitle2"/>
        <w:jc w:val="left"/>
        <w:rPr>
          <w:rFonts w:cs="Arial"/>
          <w:smallCaps w:val="0"/>
          <w:color w:val="482A87"/>
          <w:kern w:val="2"/>
          <w:sz w:val="72"/>
          <w:szCs w:val="72"/>
        </w:rPr>
      </w:pPr>
    </w:p>
    <w:p w:rsidR="00673B18" w:rsidRDefault="00723059" w:rsidP="00723059">
      <w:pPr>
        <w:pStyle w:val="CoversheetTitle2"/>
        <w:spacing w:before="0" w:after="0"/>
        <w:rPr>
          <w:rFonts w:cs="Arial"/>
          <w:smallCaps w:val="0"/>
          <w:kern w:val="2"/>
          <w:sz w:val="48"/>
          <w:szCs w:val="48"/>
        </w:rPr>
      </w:pPr>
      <w:r w:rsidRPr="00723059">
        <w:rPr>
          <w:rFonts w:cs="Arial"/>
          <w:smallCaps w:val="0"/>
          <w:kern w:val="2"/>
          <w:sz w:val="48"/>
          <w:szCs w:val="48"/>
        </w:rPr>
        <w:t>Call for C</w:t>
      </w:r>
      <w:r w:rsidR="00834F45" w:rsidRPr="00723059">
        <w:rPr>
          <w:rFonts w:cs="Arial"/>
          <w:smallCaps w:val="0"/>
          <w:kern w:val="2"/>
          <w:sz w:val="48"/>
          <w:szCs w:val="48"/>
        </w:rPr>
        <w:t>ompetition</w:t>
      </w:r>
      <w:r w:rsidR="000F046F">
        <w:rPr>
          <w:rFonts w:cs="Arial"/>
          <w:smallCaps w:val="0"/>
          <w:kern w:val="2"/>
          <w:sz w:val="48"/>
          <w:szCs w:val="48"/>
        </w:rPr>
        <w:t xml:space="preserve"> </w:t>
      </w:r>
      <w:r w:rsidR="0097052D">
        <w:rPr>
          <w:rFonts w:cs="Arial"/>
          <w:smallCaps w:val="0"/>
          <w:kern w:val="2"/>
          <w:sz w:val="48"/>
          <w:szCs w:val="48"/>
        </w:rPr>
        <w:t>against</w:t>
      </w:r>
    </w:p>
    <w:p w:rsidR="0097052D" w:rsidRPr="00723059" w:rsidRDefault="0097052D" w:rsidP="0097052D">
      <w:pPr>
        <w:pStyle w:val="CoversheetTitle2"/>
        <w:spacing w:before="0" w:after="0"/>
        <w:rPr>
          <w:rFonts w:cs="Arial"/>
          <w:smallCaps w:val="0"/>
          <w:kern w:val="2"/>
          <w:sz w:val="48"/>
          <w:szCs w:val="48"/>
        </w:rPr>
      </w:pPr>
      <w:r w:rsidRPr="00723059">
        <w:rPr>
          <w:rFonts w:cs="Arial"/>
          <w:smallCaps w:val="0"/>
          <w:kern w:val="2"/>
          <w:sz w:val="48"/>
          <w:szCs w:val="48"/>
        </w:rPr>
        <w:t>RM6018 Market Research</w:t>
      </w:r>
      <w:r>
        <w:rPr>
          <w:rFonts w:cs="Arial"/>
          <w:smallCaps w:val="0"/>
          <w:kern w:val="2"/>
          <w:sz w:val="48"/>
          <w:szCs w:val="48"/>
        </w:rPr>
        <w:t xml:space="preserve"> for</w:t>
      </w:r>
    </w:p>
    <w:p w:rsidR="0097052D" w:rsidRPr="00723059" w:rsidRDefault="0097052D" w:rsidP="00723059">
      <w:pPr>
        <w:pStyle w:val="CoversheetTitle2"/>
        <w:spacing w:before="0" w:after="0"/>
        <w:rPr>
          <w:rFonts w:cs="Arial"/>
          <w:b w:val="0"/>
          <w:smallCaps w:val="0"/>
          <w:kern w:val="2"/>
          <w:sz w:val="72"/>
          <w:szCs w:val="72"/>
        </w:rPr>
      </w:pPr>
    </w:p>
    <w:p w:rsidR="00D26102" w:rsidRDefault="00D26102" w:rsidP="007A485D">
      <w:pPr>
        <w:pStyle w:val="CoversheetTitle"/>
        <w:spacing w:before="0" w:after="0"/>
        <w:jc w:val="left"/>
        <w:rPr>
          <w:rFonts w:cs="Arial"/>
          <w:smallCaps w:val="0"/>
          <w:kern w:val="2"/>
          <w:sz w:val="24"/>
          <w:szCs w:val="24"/>
        </w:rPr>
      </w:pPr>
    </w:p>
    <w:p w:rsidR="00476E9B" w:rsidRDefault="00476E9B" w:rsidP="006B5E99">
      <w:pPr>
        <w:tabs>
          <w:tab w:val="right" w:leader="dot" w:pos="10206"/>
        </w:tabs>
        <w:spacing w:line="360" w:lineRule="auto"/>
        <w:rPr>
          <w:rFonts w:cs="Arial"/>
          <w:kern w:val="2"/>
          <w:szCs w:val="22"/>
        </w:rPr>
      </w:pPr>
    </w:p>
    <w:p w:rsidR="00063B55" w:rsidRPr="006D1416" w:rsidRDefault="006D1416" w:rsidP="00723059">
      <w:pPr>
        <w:jc w:val="center"/>
        <w:rPr>
          <w:b/>
          <w:bCs/>
          <w:sz w:val="48"/>
          <w:szCs w:val="48"/>
        </w:rPr>
      </w:pPr>
      <w:r w:rsidRPr="006D1416">
        <w:rPr>
          <w:b/>
          <w:sz w:val="48"/>
          <w:szCs w:val="48"/>
        </w:rPr>
        <w:t xml:space="preserve">Cost Estimating Software Market, </w:t>
      </w:r>
      <w:r>
        <w:rPr>
          <w:b/>
          <w:sz w:val="48"/>
          <w:szCs w:val="48"/>
        </w:rPr>
        <w:t>Understanding</w:t>
      </w:r>
      <w:r w:rsidRPr="006D1416">
        <w:rPr>
          <w:b/>
          <w:sz w:val="48"/>
          <w:szCs w:val="48"/>
        </w:rPr>
        <w:t xml:space="preserve"> the Opportunity</w:t>
      </w:r>
    </w:p>
    <w:p w:rsidR="00DE4B98" w:rsidRDefault="00DE4B98" w:rsidP="00723059">
      <w:pPr>
        <w:jc w:val="center"/>
        <w:rPr>
          <w:b/>
          <w:bCs/>
          <w:sz w:val="48"/>
          <w:szCs w:val="48"/>
        </w:rPr>
      </w:pPr>
    </w:p>
    <w:p w:rsidR="00723059" w:rsidRPr="00723059" w:rsidRDefault="000F046F" w:rsidP="00723059">
      <w:pPr>
        <w:jc w:val="center"/>
        <w:rPr>
          <w:b/>
          <w:bCs/>
          <w:sz w:val="48"/>
          <w:szCs w:val="48"/>
        </w:rPr>
      </w:pPr>
      <w:r>
        <w:rPr>
          <w:b/>
          <w:bCs/>
          <w:sz w:val="48"/>
          <w:szCs w:val="48"/>
        </w:rPr>
        <w:t xml:space="preserve">Tender </w:t>
      </w:r>
      <w:proofErr w:type="gramStart"/>
      <w:r>
        <w:rPr>
          <w:b/>
          <w:bCs/>
          <w:sz w:val="48"/>
          <w:szCs w:val="48"/>
        </w:rPr>
        <w:t>Ref :</w:t>
      </w:r>
      <w:proofErr w:type="gramEnd"/>
      <w:r>
        <w:rPr>
          <w:b/>
          <w:bCs/>
          <w:sz w:val="48"/>
          <w:szCs w:val="48"/>
        </w:rPr>
        <w:t xml:space="preserve"> </w:t>
      </w:r>
      <w:r w:rsidR="00723059" w:rsidRPr="00723059">
        <w:rPr>
          <w:b/>
          <w:bCs/>
          <w:sz w:val="48"/>
          <w:szCs w:val="48"/>
        </w:rPr>
        <w:t>HSE/T</w:t>
      </w:r>
      <w:r w:rsidR="00332B37">
        <w:rPr>
          <w:b/>
          <w:bCs/>
          <w:sz w:val="48"/>
          <w:szCs w:val="48"/>
        </w:rPr>
        <w:t>3520</w:t>
      </w:r>
    </w:p>
    <w:p w:rsidR="00BB62A8" w:rsidRDefault="00476E9B" w:rsidP="006B5E99">
      <w:pPr>
        <w:tabs>
          <w:tab w:val="right" w:leader="dot" w:pos="10206"/>
        </w:tabs>
        <w:spacing w:line="360" w:lineRule="auto"/>
        <w:rPr>
          <w:rFonts w:cs="Arial"/>
          <w:kern w:val="2"/>
          <w:szCs w:val="22"/>
        </w:rPr>
      </w:pPr>
      <w:r>
        <w:rPr>
          <w:rFonts w:cs="Arial"/>
          <w:kern w:val="2"/>
          <w:szCs w:val="22"/>
        </w:rPr>
        <w:br w:type="page"/>
      </w:r>
    </w:p>
    <w:p w:rsidR="00DA6C67" w:rsidRPr="009543D7" w:rsidRDefault="00063B55" w:rsidP="00DA6C67">
      <w:pPr>
        <w:pStyle w:val="Heading1"/>
        <w:numPr>
          <w:ilvl w:val="0"/>
          <w:numId w:val="0"/>
        </w:numPr>
        <w:spacing w:before="0"/>
        <w:ind w:left="720" w:hanging="720"/>
        <w:rPr>
          <w:color w:val="auto"/>
          <w:sz w:val="22"/>
          <w:szCs w:val="22"/>
        </w:rPr>
      </w:pPr>
      <w:bookmarkStart w:id="0" w:name="_Toc461551485"/>
      <w:bookmarkStart w:id="1" w:name="a1033551"/>
      <w:bookmarkStart w:id="2" w:name="_Toc448841784"/>
      <w:bookmarkStart w:id="3" w:name="_Toc523410825"/>
      <w:bookmarkStart w:id="4" w:name="main"/>
      <w:r w:rsidRPr="009543D7">
        <w:rPr>
          <w:color w:val="auto"/>
          <w:sz w:val="22"/>
          <w:szCs w:val="22"/>
        </w:rPr>
        <w:lastRenderedPageBreak/>
        <w:t>1</w:t>
      </w:r>
      <w:r w:rsidRPr="009543D7">
        <w:rPr>
          <w:color w:val="auto"/>
          <w:sz w:val="22"/>
          <w:szCs w:val="22"/>
        </w:rPr>
        <w:tab/>
      </w:r>
      <w:r w:rsidR="002C3850" w:rsidRPr="009543D7">
        <w:rPr>
          <w:color w:val="auto"/>
          <w:sz w:val="22"/>
          <w:szCs w:val="22"/>
        </w:rPr>
        <w:t>Introduction and background</w:t>
      </w:r>
      <w:bookmarkEnd w:id="0"/>
      <w:bookmarkEnd w:id="1"/>
      <w:bookmarkEnd w:id="2"/>
      <w:bookmarkEnd w:id="3"/>
    </w:p>
    <w:p w:rsidR="00DA6C67" w:rsidRPr="00063B55" w:rsidRDefault="00DA6C67" w:rsidP="00DA6C67">
      <w:pPr>
        <w:pStyle w:val="Heading1"/>
        <w:numPr>
          <w:ilvl w:val="0"/>
          <w:numId w:val="0"/>
        </w:numPr>
        <w:spacing w:before="0"/>
        <w:ind w:left="720" w:hanging="720"/>
        <w:rPr>
          <w:color w:val="auto"/>
          <w:szCs w:val="28"/>
        </w:rPr>
      </w:pPr>
    </w:p>
    <w:p w:rsidR="004B4D03" w:rsidRPr="009543D7" w:rsidRDefault="00063B55" w:rsidP="00DA6C67">
      <w:pPr>
        <w:pStyle w:val="Heading2"/>
        <w:numPr>
          <w:ilvl w:val="0"/>
          <w:numId w:val="0"/>
        </w:numPr>
        <w:spacing w:before="0" w:after="0"/>
        <w:ind w:left="720" w:hanging="720"/>
        <w:rPr>
          <w:color w:val="auto"/>
          <w:sz w:val="22"/>
          <w:szCs w:val="22"/>
        </w:rPr>
      </w:pPr>
      <w:bookmarkStart w:id="5" w:name="_Toc461530589"/>
      <w:bookmarkStart w:id="6" w:name="_Toc523410826"/>
      <w:r w:rsidRPr="009543D7">
        <w:rPr>
          <w:b w:val="0"/>
          <w:color w:val="auto"/>
          <w:sz w:val="22"/>
          <w:szCs w:val="22"/>
        </w:rPr>
        <w:t>1.1</w:t>
      </w:r>
      <w:r w:rsidRPr="009543D7">
        <w:rPr>
          <w:color w:val="auto"/>
          <w:sz w:val="22"/>
          <w:szCs w:val="22"/>
        </w:rPr>
        <w:tab/>
      </w:r>
      <w:bookmarkEnd w:id="5"/>
      <w:r w:rsidR="00834F45" w:rsidRPr="009543D7">
        <w:rPr>
          <w:color w:val="auto"/>
          <w:sz w:val="22"/>
          <w:szCs w:val="22"/>
        </w:rPr>
        <w:t>Call for Competition</w:t>
      </w:r>
      <w:bookmarkEnd w:id="6"/>
    </w:p>
    <w:p w:rsidR="00DA6C67" w:rsidRPr="00E270D2" w:rsidRDefault="00DA6C67" w:rsidP="00DA6C67">
      <w:pPr>
        <w:pStyle w:val="Heading2"/>
        <w:numPr>
          <w:ilvl w:val="0"/>
          <w:numId w:val="0"/>
        </w:numPr>
        <w:spacing w:before="0" w:after="0"/>
        <w:ind w:left="720" w:hanging="720"/>
        <w:rPr>
          <w:color w:val="auto"/>
        </w:rPr>
      </w:pPr>
    </w:p>
    <w:p w:rsidR="004B4D03" w:rsidRPr="00D11ECC" w:rsidRDefault="00342FAE" w:rsidP="00B33B58">
      <w:pPr>
        <w:pStyle w:val="Bodysubclause"/>
        <w:spacing w:before="0" w:after="0"/>
        <w:ind w:left="709" w:firstLine="11"/>
        <w:jc w:val="both"/>
        <w:rPr>
          <w:rFonts w:cs="Arial"/>
          <w:kern w:val="2"/>
        </w:rPr>
      </w:pPr>
      <w:r w:rsidRPr="00D11ECC">
        <w:rPr>
          <w:lang w:val="en-US"/>
        </w:rPr>
        <w:t xml:space="preserve">This </w:t>
      </w:r>
      <w:r w:rsidRPr="00D11ECC">
        <w:rPr>
          <w:rStyle w:val="Heading9Char"/>
        </w:rPr>
        <w:t>Call for Competition (</w:t>
      </w:r>
      <w:r w:rsidRPr="00D11ECC">
        <w:rPr>
          <w:lang w:val="en-US"/>
        </w:rPr>
        <w:t xml:space="preserve">CFC) is issued in accordance with the provisions of </w:t>
      </w:r>
      <w:r w:rsidRPr="00D11ECC">
        <w:t xml:space="preserve">CCS Research Marketplace Dynamic Purchasing System (DPS) Agreement </w:t>
      </w:r>
      <w:r w:rsidRPr="00D11ECC">
        <w:rPr>
          <w:rFonts w:cs="Calibri"/>
        </w:rPr>
        <w:t>(RM6018).</w:t>
      </w:r>
      <w:r w:rsidR="00DA6C67" w:rsidRPr="00D11ECC">
        <w:rPr>
          <w:rFonts w:cs="Calibri"/>
        </w:rPr>
        <w:t xml:space="preserve"> </w:t>
      </w:r>
      <w:r w:rsidRPr="00D11ECC">
        <w:rPr>
          <w:rStyle w:val="Heading9Char"/>
        </w:rPr>
        <w:t xml:space="preserve">The </w:t>
      </w:r>
      <w:r w:rsidR="00834F45" w:rsidRPr="00D11ECC">
        <w:rPr>
          <w:rStyle w:val="Heading9Char"/>
        </w:rPr>
        <w:t>CFC</w:t>
      </w:r>
      <w:r w:rsidR="002C3850" w:rsidRPr="00D11ECC">
        <w:rPr>
          <w:rStyle w:val="Heading9Char"/>
        </w:rPr>
        <w:t xml:space="preserve"> comprises</w:t>
      </w:r>
      <w:r w:rsidR="002C3850" w:rsidRPr="00D11ECC">
        <w:rPr>
          <w:rFonts w:cs="Arial"/>
          <w:kern w:val="2"/>
        </w:rPr>
        <w:t>:</w:t>
      </w:r>
    </w:p>
    <w:p w:rsidR="00DA6C67" w:rsidRPr="00D11ECC" w:rsidRDefault="00DA6C67" w:rsidP="00DA6C67">
      <w:pPr>
        <w:pStyle w:val="Bodysubclause"/>
        <w:spacing w:before="0" w:after="0"/>
        <w:ind w:left="0"/>
        <w:jc w:val="both"/>
        <w:rPr>
          <w:rFonts w:cs="Arial"/>
          <w:kern w:val="2"/>
        </w:rPr>
      </w:pPr>
    </w:p>
    <w:p w:rsidR="00D74DEE" w:rsidRPr="00D11ECC" w:rsidRDefault="00D74DEE" w:rsidP="00DA6C67">
      <w:pPr>
        <w:pStyle w:val="ListParagraph"/>
        <w:numPr>
          <w:ilvl w:val="0"/>
          <w:numId w:val="23"/>
        </w:numPr>
        <w:tabs>
          <w:tab w:val="left" w:pos="426"/>
        </w:tabs>
        <w:spacing w:before="0" w:after="0"/>
        <w:ind w:left="0" w:firstLine="709"/>
        <w:jc w:val="both"/>
        <w:rPr>
          <w:kern w:val="2"/>
        </w:rPr>
      </w:pPr>
      <w:r w:rsidRPr="00D11ECC">
        <w:rPr>
          <w:kern w:val="2"/>
        </w:rPr>
        <w:t>a detailed Specification of the service requirements,</w:t>
      </w:r>
    </w:p>
    <w:p w:rsidR="00063B55" w:rsidRPr="00D11ECC" w:rsidRDefault="00D74DEE" w:rsidP="00DA6C67">
      <w:pPr>
        <w:pStyle w:val="ListParagraph"/>
        <w:numPr>
          <w:ilvl w:val="0"/>
          <w:numId w:val="23"/>
        </w:numPr>
        <w:tabs>
          <w:tab w:val="left" w:pos="426"/>
        </w:tabs>
        <w:spacing w:before="0" w:after="0"/>
        <w:ind w:left="0" w:firstLine="709"/>
        <w:jc w:val="both"/>
        <w:rPr>
          <w:kern w:val="2"/>
        </w:rPr>
      </w:pPr>
      <w:r w:rsidRPr="00D11ECC">
        <w:rPr>
          <w:kern w:val="2"/>
        </w:rPr>
        <w:t xml:space="preserve">Instructions on how to complete and submit a compliant </w:t>
      </w:r>
      <w:r w:rsidR="00BD1A60" w:rsidRPr="00D11ECC">
        <w:rPr>
          <w:kern w:val="2"/>
        </w:rPr>
        <w:t>t</w:t>
      </w:r>
      <w:r w:rsidR="002C3850" w:rsidRPr="00D11ECC">
        <w:rPr>
          <w:kern w:val="2"/>
        </w:rPr>
        <w:t xml:space="preserve">ender, </w:t>
      </w:r>
    </w:p>
    <w:p w:rsidR="00D74DEE" w:rsidRPr="00D11ECC" w:rsidRDefault="00D74DEE" w:rsidP="00DA6C67">
      <w:pPr>
        <w:pStyle w:val="ListParagraph"/>
        <w:numPr>
          <w:ilvl w:val="0"/>
          <w:numId w:val="23"/>
        </w:numPr>
        <w:tabs>
          <w:tab w:val="left" w:pos="426"/>
        </w:tabs>
        <w:spacing w:before="0" w:after="0"/>
        <w:ind w:left="0" w:firstLine="709"/>
        <w:jc w:val="both"/>
        <w:rPr>
          <w:kern w:val="2"/>
        </w:rPr>
      </w:pPr>
      <w:r w:rsidRPr="00D11ECC">
        <w:rPr>
          <w:kern w:val="2"/>
        </w:rPr>
        <w:t>procurement timetable</w:t>
      </w:r>
    </w:p>
    <w:p w:rsidR="00063B55" w:rsidRPr="00D11ECC" w:rsidRDefault="002C3850" w:rsidP="00D74DEE">
      <w:pPr>
        <w:pStyle w:val="ListParagraph"/>
        <w:numPr>
          <w:ilvl w:val="0"/>
          <w:numId w:val="23"/>
        </w:numPr>
        <w:tabs>
          <w:tab w:val="left" w:pos="426"/>
        </w:tabs>
        <w:spacing w:before="0" w:after="0"/>
        <w:ind w:left="0" w:firstLine="709"/>
        <w:jc w:val="both"/>
        <w:rPr>
          <w:kern w:val="2"/>
        </w:rPr>
      </w:pPr>
      <w:r w:rsidRPr="00D11ECC">
        <w:rPr>
          <w:kern w:val="2"/>
        </w:rPr>
        <w:t xml:space="preserve">evaluation </w:t>
      </w:r>
      <w:r w:rsidR="00D74DEE" w:rsidRPr="00D11ECC">
        <w:rPr>
          <w:kern w:val="2"/>
        </w:rPr>
        <w:t>and award criteria</w:t>
      </w:r>
      <w:r w:rsidR="00936C10" w:rsidRPr="00D11ECC">
        <w:rPr>
          <w:kern w:val="2"/>
        </w:rPr>
        <w:t xml:space="preserve">, </w:t>
      </w:r>
    </w:p>
    <w:p w:rsidR="004B4D03" w:rsidRPr="00D11ECC" w:rsidRDefault="0077038E" w:rsidP="00DA6C67">
      <w:pPr>
        <w:pStyle w:val="ListParagraph"/>
        <w:numPr>
          <w:ilvl w:val="0"/>
          <w:numId w:val="23"/>
        </w:numPr>
        <w:tabs>
          <w:tab w:val="left" w:pos="426"/>
        </w:tabs>
        <w:spacing w:before="0" w:after="0"/>
        <w:ind w:left="0" w:firstLine="709"/>
        <w:jc w:val="both"/>
        <w:rPr>
          <w:kern w:val="2"/>
        </w:rPr>
      </w:pPr>
      <w:proofErr w:type="gramStart"/>
      <w:r w:rsidRPr="00D11ECC">
        <w:rPr>
          <w:kern w:val="2"/>
        </w:rPr>
        <w:t>a</w:t>
      </w:r>
      <w:proofErr w:type="gramEnd"/>
      <w:r w:rsidRPr="00D11ECC">
        <w:rPr>
          <w:kern w:val="2"/>
        </w:rPr>
        <w:t xml:space="preserve"> d</w:t>
      </w:r>
      <w:r w:rsidR="00443B8F" w:rsidRPr="00D11ECC">
        <w:rPr>
          <w:kern w:val="2"/>
        </w:rPr>
        <w:t xml:space="preserve">raft </w:t>
      </w:r>
      <w:r w:rsidR="00EF536A" w:rsidRPr="00D11ECC">
        <w:rPr>
          <w:kern w:val="2"/>
        </w:rPr>
        <w:t>L</w:t>
      </w:r>
      <w:r w:rsidR="00443B8F" w:rsidRPr="00D11ECC">
        <w:rPr>
          <w:kern w:val="2"/>
        </w:rPr>
        <w:t>etter of Appointment</w:t>
      </w:r>
      <w:r w:rsidR="001029DF" w:rsidRPr="00D11ECC">
        <w:rPr>
          <w:kern w:val="2"/>
        </w:rPr>
        <w:t>.</w:t>
      </w:r>
    </w:p>
    <w:p w:rsidR="00DA6C67" w:rsidRPr="00D11ECC" w:rsidRDefault="00DA6C67" w:rsidP="00DA6C67">
      <w:pPr>
        <w:pStyle w:val="ListParagraph"/>
        <w:numPr>
          <w:ilvl w:val="0"/>
          <w:numId w:val="0"/>
        </w:numPr>
        <w:tabs>
          <w:tab w:val="left" w:pos="426"/>
        </w:tabs>
        <w:spacing w:before="0" w:after="0"/>
        <w:ind w:left="720" w:hanging="360"/>
        <w:jc w:val="both"/>
        <w:rPr>
          <w:kern w:val="2"/>
        </w:rPr>
      </w:pPr>
    </w:p>
    <w:p w:rsidR="00DA6C67" w:rsidRPr="00D11ECC" w:rsidRDefault="00DA6C67" w:rsidP="00B33B58">
      <w:pPr>
        <w:pStyle w:val="Heading9"/>
      </w:pPr>
      <w:r w:rsidRPr="00D11ECC">
        <w:tab/>
        <w:t>This CFC contains further information about the procurement process, the services, and assessment questions for Bidders to complete. Each Bidder's response (</w:t>
      </w:r>
      <w:r w:rsidRPr="00D11ECC">
        <w:rPr>
          <w:rStyle w:val="Defterm"/>
          <w:b w:val="0"/>
          <w:color w:val="auto"/>
          <w:kern w:val="2"/>
        </w:rPr>
        <w:t>Tender</w:t>
      </w:r>
      <w:r w:rsidRPr="00D11ECC">
        <w:t>) should be detailed enough to allow The Health &amp; Safety Executive (HSE) to make an informed selection of the most appropriate bid.</w:t>
      </w:r>
    </w:p>
    <w:p w:rsidR="00D74DEE" w:rsidRDefault="00D74DEE" w:rsidP="00D74DEE"/>
    <w:p w:rsidR="004B4D03" w:rsidRPr="009543D7" w:rsidRDefault="00063B55" w:rsidP="00DA6C67">
      <w:pPr>
        <w:pStyle w:val="Heading2"/>
        <w:numPr>
          <w:ilvl w:val="0"/>
          <w:numId w:val="0"/>
        </w:numPr>
        <w:spacing w:before="0" w:after="0"/>
        <w:ind w:left="720" w:hanging="720"/>
        <w:rPr>
          <w:rFonts w:cs="Arial"/>
          <w:color w:val="auto"/>
          <w:kern w:val="2"/>
          <w:sz w:val="22"/>
          <w:szCs w:val="22"/>
        </w:rPr>
      </w:pPr>
      <w:bookmarkStart w:id="7" w:name="_Toc461530590"/>
      <w:bookmarkStart w:id="8" w:name="_Toc523410827"/>
      <w:r w:rsidRPr="009543D7">
        <w:rPr>
          <w:b w:val="0"/>
          <w:color w:val="auto"/>
          <w:sz w:val="22"/>
          <w:szCs w:val="22"/>
        </w:rPr>
        <w:t>1.2</w:t>
      </w:r>
      <w:r w:rsidRPr="009543D7">
        <w:rPr>
          <w:b w:val="0"/>
          <w:color w:val="auto"/>
          <w:sz w:val="22"/>
          <w:szCs w:val="22"/>
        </w:rPr>
        <w:tab/>
      </w:r>
      <w:r w:rsidR="002C3850" w:rsidRPr="009543D7">
        <w:rPr>
          <w:color w:val="auto"/>
          <w:sz w:val="22"/>
          <w:szCs w:val="22"/>
        </w:rPr>
        <w:t>Introduction to</w:t>
      </w:r>
      <w:r w:rsidR="00562159" w:rsidRPr="009543D7">
        <w:rPr>
          <w:color w:val="auto"/>
          <w:sz w:val="22"/>
          <w:szCs w:val="22"/>
        </w:rPr>
        <w:t xml:space="preserve"> </w:t>
      </w:r>
      <w:bookmarkEnd w:id="7"/>
      <w:bookmarkEnd w:id="8"/>
      <w:r w:rsidR="008032CF" w:rsidRPr="009543D7">
        <w:rPr>
          <w:rFonts w:cs="Arial"/>
          <w:color w:val="auto"/>
          <w:kern w:val="2"/>
          <w:sz w:val="22"/>
          <w:szCs w:val="22"/>
        </w:rPr>
        <w:t>Health &amp; Safety Executive (HSE)</w:t>
      </w:r>
    </w:p>
    <w:p w:rsidR="00DA6C67" w:rsidRPr="00E270D2" w:rsidRDefault="00DA6C67" w:rsidP="00DA6C67">
      <w:pPr>
        <w:pStyle w:val="Heading2"/>
        <w:numPr>
          <w:ilvl w:val="0"/>
          <w:numId w:val="0"/>
        </w:numPr>
        <w:spacing w:before="0" w:after="0"/>
        <w:ind w:left="720" w:hanging="720"/>
        <w:rPr>
          <w:color w:val="auto"/>
        </w:rPr>
      </w:pPr>
    </w:p>
    <w:p w:rsidR="0033471A" w:rsidRPr="00063B55" w:rsidRDefault="0033471A" w:rsidP="00B33B58">
      <w:pPr>
        <w:spacing w:line="276" w:lineRule="auto"/>
        <w:ind w:left="720"/>
        <w:jc w:val="both"/>
        <w:rPr>
          <w:rFonts w:cs="Arial"/>
          <w:szCs w:val="22"/>
          <w:lang w:val="en"/>
        </w:rPr>
      </w:pPr>
      <w:r w:rsidRPr="00063B55">
        <w:rPr>
          <w:rFonts w:cs="Arial"/>
          <w:szCs w:val="22"/>
          <w:lang w:val="en"/>
        </w:rPr>
        <w:t xml:space="preserve">The Health and Safety Executive (HSE) is a Crown non-departmental public body with specific </w:t>
      </w:r>
      <w:r w:rsidR="00063B55">
        <w:rPr>
          <w:rFonts w:cs="Arial"/>
          <w:szCs w:val="22"/>
          <w:lang w:val="en"/>
        </w:rPr>
        <w:tab/>
      </w:r>
      <w:r w:rsidRPr="00063B55">
        <w:rPr>
          <w:rFonts w:cs="Arial"/>
          <w:szCs w:val="22"/>
          <w:lang w:val="en"/>
        </w:rPr>
        <w:t>statutory functions in relation to occupational health and safety. It is appointed by the Secretary of State for Work and Pensions and employs around 2,600 staff including policy advisers, inspectors, technologists and scientific and medical advisers. HSE’s job is to prevent people being killed, injured or made ill by work.</w:t>
      </w:r>
    </w:p>
    <w:p w:rsidR="0033471A" w:rsidRPr="00063B55" w:rsidRDefault="0033471A" w:rsidP="00063B55">
      <w:pPr>
        <w:spacing w:line="276" w:lineRule="auto"/>
        <w:jc w:val="both"/>
        <w:rPr>
          <w:rFonts w:cs="Arial"/>
          <w:szCs w:val="22"/>
          <w:lang w:val="en"/>
        </w:rPr>
      </w:pPr>
    </w:p>
    <w:p w:rsidR="0033471A" w:rsidRPr="00063B55" w:rsidRDefault="0033471A" w:rsidP="00B33B58">
      <w:pPr>
        <w:spacing w:line="276" w:lineRule="auto"/>
        <w:ind w:left="709" w:firstLine="11"/>
        <w:jc w:val="both"/>
        <w:rPr>
          <w:rFonts w:cs="Arial"/>
          <w:szCs w:val="22"/>
          <w:lang w:val="en"/>
        </w:rPr>
      </w:pPr>
      <w:r w:rsidRPr="00063B55">
        <w:rPr>
          <w:rFonts w:cs="Arial"/>
          <w:szCs w:val="22"/>
          <w:lang w:val="en"/>
        </w:rPr>
        <w:t>HSE works from 30 locations throughout Great Britain, and is responsible for advising ministers on policy, setting regulations and enforcing the integrity of the health and safety system through inspections and, if necessary, prosecuting those who deliberately or negligently break the rules.</w:t>
      </w:r>
    </w:p>
    <w:p w:rsidR="000E2B51" w:rsidRPr="00D11ECC" w:rsidRDefault="00063B55" w:rsidP="00B33B58">
      <w:pPr>
        <w:pStyle w:val="Heading9"/>
        <w:rPr>
          <w:lang w:val="en"/>
        </w:rPr>
      </w:pPr>
      <w:r>
        <w:tab/>
      </w:r>
      <w:r w:rsidR="000E2B51" w:rsidRPr="00D11ECC">
        <w:t xml:space="preserve">The Health &amp; Safety Executive (HSE) </w:t>
      </w:r>
      <w:r w:rsidR="000E2B51" w:rsidRPr="00D11ECC">
        <w:rPr>
          <w:lang w:val="en"/>
        </w:rPr>
        <w:t>was established by the Health and Safety at Work Act 1974 (HSWA), which sits alongside other legislation, including European Directives, to create the regulatory framework in which HSE operates.</w:t>
      </w:r>
    </w:p>
    <w:p w:rsidR="00367FBE" w:rsidRPr="00063B55" w:rsidRDefault="00367FBE" w:rsidP="00B33B58">
      <w:pPr>
        <w:spacing w:line="276" w:lineRule="auto"/>
        <w:ind w:left="709" w:firstLine="11"/>
        <w:jc w:val="both"/>
        <w:rPr>
          <w:lang w:val="en"/>
        </w:rPr>
      </w:pPr>
      <w:r w:rsidRPr="00063B55">
        <w:rPr>
          <w:lang w:val="en"/>
        </w:rPr>
        <w:t>Great Britain has developed one of the best workplace health and safety systems in the world. Fatalities, injuries and ill health have all substantially reduced since HSE was formed in 1974:</w:t>
      </w:r>
    </w:p>
    <w:p w:rsidR="00367FBE" w:rsidRPr="00063B55" w:rsidRDefault="00367FBE" w:rsidP="00063B55">
      <w:pPr>
        <w:spacing w:line="276" w:lineRule="auto"/>
        <w:ind w:left="720"/>
        <w:jc w:val="both"/>
        <w:rPr>
          <w:lang w:val="en"/>
        </w:rPr>
      </w:pPr>
    </w:p>
    <w:p w:rsidR="00367FBE" w:rsidRPr="00063B55" w:rsidRDefault="00367FBE" w:rsidP="00063B55">
      <w:pPr>
        <w:numPr>
          <w:ilvl w:val="0"/>
          <w:numId w:val="39"/>
        </w:numPr>
        <w:spacing w:line="276" w:lineRule="auto"/>
        <w:ind w:hanging="11"/>
        <w:jc w:val="both"/>
        <w:rPr>
          <w:lang w:val="en"/>
        </w:rPr>
      </w:pPr>
      <w:r w:rsidRPr="00063B55">
        <w:t>Between 1974 and 2011/12, r</w:t>
      </w:r>
      <w:r w:rsidRPr="00063B55">
        <w:rPr>
          <w:rFonts w:cs="Arial"/>
        </w:rPr>
        <w:t xml:space="preserve">eported non-fatal injuries have fallen by 77%. Due to recent </w:t>
      </w:r>
      <w:r w:rsidR="00063B55">
        <w:rPr>
          <w:rFonts w:cs="Arial"/>
        </w:rPr>
        <w:tab/>
      </w:r>
      <w:r w:rsidRPr="00063B55">
        <w:rPr>
          <w:rFonts w:cs="Arial"/>
        </w:rPr>
        <w:t>changes in reporting legislation more recent comparisons are not available.</w:t>
      </w:r>
    </w:p>
    <w:p w:rsidR="00367FBE" w:rsidRPr="00063B55" w:rsidRDefault="00367FBE" w:rsidP="00063B55">
      <w:pPr>
        <w:numPr>
          <w:ilvl w:val="0"/>
          <w:numId w:val="39"/>
        </w:numPr>
        <w:spacing w:line="276" w:lineRule="auto"/>
        <w:ind w:hanging="11"/>
        <w:jc w:val="both"/>
        <w:rPr>
          <w:lang w:val="en"/>
        </w:rPr>
      </w:pPr>
      <w:r w:rsidRPr="00063B55">
        <w:rPr>
          <w:lang w:val="en"/>
        </w:rPr>
        <w:t>Since the early 1990s, the rate of self-reported work-related ill health has fallen by around a third.</w:t>
      </w:r>
    </w:p>
    <w:p w:rsidR="00367FBE" w:rsidRPr="00063B55" w:rsidRDefault="00367FBE" w:rsidP="00063B55">
      <w:pPr>
        <w:numPr>
          <w:ilvl w:val="0"/>
          <w:numId w:val="39"/>
        </w:numPr>
        <w:spacing w:line="276" w:lineRule="auto"/>
        <w:ind w:hanging="11"/>
        <w:jc w:val="both"/>
        <w:rPr>
          <w:lang w:val="en"/>
        </w:rPr>
      </w:pPr>
      <w:r w:rsidRPr="00063B55">
        <w:rPr>
          <w:lang w:val="en"/>
        </w:rPr>
        <w:t>In 2017/18 there were 144 fatal injuries</w:t>
      </w:r>
      <w:r w:rsidRPr="00063B55">
        <w:rPr>
          <w:rStyle w:val="FootnoteReference"/>
          <w:lang w:val="en"/>
        </w:rPr>
        <w:t xml:space="preserve"> </w:t>
      </w:r>
      <w:r w:rsidRPr="00063B55">
        <w:rPr>
          <w:lang w:val="en"/>
        </w:rPr>
        <w:t>to workers (including the self-employed).</w:t>
      </w:r>
    </w:p>
    <w:p w:rsidR="00367FBE" w:rsidRPr="00063B55" w:rsidRDefault="00367FBE" w:rsidP="00063B55">
      <w:pPr>
        <w:jc w:val="both"/>
        <w:rPr>
          <w:lang w:val="en"/>
        </w:rPr>
      </w:pPr>
    </w:p>
    <w:p w:rsidR="001D21A3" w:rsidRPr="00063B55" w:rsidRDefault="00367FBE" w:rsidP="00951510">
      <w:pPr>
        <w:spacing w:line="276" w:lineRule="auto"/>
        <w:ind w:left="709" w:firstLine="11"/>
        <w:jc w:val="both"/>
        <w:rPr>
          <w:rFonts w:cs="Arial"/>
          <w:color w:val="000000"/>
          <w:szCs w:val="22"/>
          <w:lang w:val="en"/>
        </w:rPr>
      </w:pPr>
      <w:r w:rsidRPr="00063B55">
        <w:rPr>
          <w:rFonts w:cs="Arial"/>
          <w:color w:val="000000"/>
          <w:szCs w:val="22"/>
          <w:lang w:val="en"/>
        </w:rPr>
        <w:lastRenderedPageBreak/>
        <w:t xml:space="preserve">The benefits of good health and safety to business, the UK economy and national reputation are </w:t>
      </w:r>
      <w:r w:rsidR="00063B55">
        <w:rPr>
          <w:rFonts w:cs="Arial"/>
          <w:color w:val="000000"/>
          <w:szCs w:val="22"/>
          <w:lang w:val="en"/>
        </w:rPr>
        <w:tab/>
      </w:r>
      <w:r w:rsidRPr="00063B55">
        <w:rPr>
          <w:rFonts w:cs="Arial"/>
          <w:color w:val="000000"/>
          <w:szCs w:val="22"/>
          <w:lang w:val="en"/>
        </w:rPr>
        <w:t>clear. It translates into reduced sickness absence, lower healthcare and welfare costs and improved productivity.</w:t>
      </w:r>
    </w:p>
    <w:p w:rsidR="00063B55" w:rsidRDefault="00063B55" w:rsidP="00063B55">
      <w:pPr>
        <w:pStyle w:val="NoSpacing"/>
        <w:jc w:val="both"/>
        <w:rPr>
          <w:rFonts w:ascii="Arial" w:hAnsi="Arial" w:cs="Arial"/>
          <w:color w:val="000000"/>
          <w:highlight w:val="cyan"/>
        </w:rPr>
      </w:pPr>
    </w:p>
    <w:p w:rsidR="00367FBE" w:rsidRPr="00225197" w:rsidRDefault="001D21A3" w:rsidP="00951510">
      <w:pPr>
        <w:pStyle w:val="NoSpacing"/>
        <w:ind w:left="709" w:firstLine="11"/>
        <w:jc w:val="both"/>
        <w:rPr>
          <w:rFonts w:cs="Arial"/>
          <w:color w:val="000000"/>
          <w:highlight w:val="cyan"/>
          <w:lang w:val="en"/>
        </w:rPr>
      </w:pPr>
      <w:r w:rsidRPr="00063B55">
        <w:rPr>
          <w:rFonts w:ascii="Arial" w:hAnsi="Arial" w:cs="Arial"/>
          <w:color w:val="000000"/>
        </w:rPr>
        <w:t>It supports growth and helps make the UK a more attractive place to do business for international investors.</w:t>
      </w:r>
      <w:r w:rsidR="00367FBE" w:rsidRPr="00225197">
        <w:rPr>
          <w:rFonts w:cs="Arial"/>
          <w:color w:val="000000"/>
          <w:highlight w:val="cyan"/>
          <w:lang w:val="en"/>
        </w:rPr>
        <w:t xml:space="preserve"> </w:t>
      </w:r>
    </w:p>
    <w:p w:rsidR="00367FBE" w:rsidRPr="00951510" w:rsidRDefault="00951510" w:rsidP="00951510">
      <w:pPr>
        <w:pStyle w:val="ListParagraph"/>
        <w:numPr>
          <w:ilvl w:val="0"/>
          <w:numId w:val="0"/>
        </w:numPr>
        <w:tabs>
          <w:tab w:val="left" w:pos="426"/>
        </w:tabs>
        <w:ind w:left="709"/>
        <w:rPr>
          <w:rFonts w:cs="Arial"/>
          <w:color w:val="000000"/>
          <w:szCs w:val="22"/>
          <w:lang w:val="en"/>
        </w:rPr>
      </w:pPr>
      <w:r>
        <w:rPr>
          <w:rFonts w:cs="Arial"/>
          <w:color w:val="000000"/>
          <w:szCs w:val="22"/>
          <w:lang w:val="en"/>
        </w:rPr>
        <w:tab/>
      </w:r>
      <w:r w:rsidR="00367FBE" w:rsidRPr="00063B55">
        <w:rPr>
          <w:rFonts w:cs="Arial"/>
          <w:color w:val="000000"/>
          <w:szCs w:val="22"/>
          <w:lang w:val="en"/>
        </w:rPr>
        <w:t xml:space="preserve">Our work operates at a number of levels, and across a broad range of </w:t>
      </w:r>
      <w:r>
        <w:rPr>
          <w:rFonts w:cs="Arial"/>
          <w:color w:val="000000"/>
          <w:szCs w:val="22"/>
          <w:lang w:val="en"/>
        </w:rPr>
        <w:t xml:space="preserve">interventions. </w:t>
      </w:r>
      <w:r w:rsidR="00367FBE" w:rsidRPr="00951510">
        <w:rPr>
          <w:rFonts w:cs="Arial"/>
          <w:color w:val="000000"/>
          <w:szCs w:val="22"/>
          <w:lang w:val="en"/>
        </w:rPr>
        <w:t xml:space="preserve">Our </w:t>
      </w:r>
      <w:hyperlink r:id="rId11" w:history="1">
        <w:r w:rsidR="00367FBE" w:rsidRPr="00951510">
          <w:rPr>
            <w:rStyle w:val="Hyperlink"/>
            <w:rFonts w:cs="Arial"/>
            <w:color w:val="000000"/>
            <w:szCs w:val="22"/>
            <w:u w:val="none"/>
            <w:lang w:val="en"/>
          </w:rPr>
          <w:t>sector strategies</w:t>
        </w:r>
      </w:hyperlink>
      <w:r w:rsidR="00367FBE" w:rsidRPr="00951510">
        <w:rPr>
          <w:rFonts w:cs="Arial"/>
          <w:color w:val="000000"/>
          <w:szCs w:val="22"/>
          <w:lang w:val="en"/>
        </w:rPr>
        <w:t xml:space="preserve"> outline the approach we take in each area, working with partners at all levels to ensure the best outcomes.</w:t>
      </w:r>
    </w:p>
    <w:p w:rsidR="00E06A12" w:rsidRDefault="00063B55" w:rsidP="00DE4B98">
      <w:pPr>
        <w:pStyle w:val="ListParagraph"/>
        <w:numPr>
          <w:ilvl w:val="0"/>
          <w:numId w:val="0"/>
        </w:numPr>
        <w:tabs>
          <w:tab w:val="left" w:pos="426"/>
        </w:tabs>
        <w:rPr>
          <w:kern w:val="2"/>
        </w:rPr>
      </w:pPr>
      <w:r>
        <w:rPr>
          <w:kern w:val="2"/>
          <w:lang w:val="en-GB"/>
        </w:rPr>
        <w:tab/>
      </w:r>
      <w:r w:rsidR="00DA6C67">
        <w:rPr>
          <w:kern w:val="2"/>
          <w:lang w:val="en-GB"/>
        </w:rPr>
        <w:tab/>
      </w:r>
      <w:r w:rsidR="00FC4262" w:rsidRPr="00063B55">
        <w:rPr>
          <w:kern w:val="2"/>
          <w:lang w:val="en-GB"/>
        </w:rPr>
        <w:t>For more info</w:t>
      </w:r>
      <w:bookmarkStart w:id="9" w:name="OLE_LINK1"/>
      <w:bookmarkStart w:id="10" w:name="OLE_LINK2"/>
      <w:r w:rsidR="0031616D" w:rsidRPr="00063B55">
        <w:rPr>
          <w:kern w:val="2"/>
          <w:lang w:val="en-GB"/>
        </w:rPr>
        <w:t>rmation about</w:t>
      </w:r>
      <w:r w:rsidR="0033471A" w:rsidRPr="00063B55">
        <w:rPr>
          <w:kern w:val="2"/>
          <w:lang w:val="en-GB"/>
        </w:rPr>
        <w:t xml:space="preserve"> </w:t>
      </w:r>
      <w:r w:rsidR="0033471A" w:rsidRPr="00063B55">
        <w:rPr>
          <w:rFonts w:cs="Arial"/>
          <w:szCs w:val="22"/>
          <w:lang w:val="en"/>
        </w:rPr>
        <w:t>The Health and Safety Executive (HSE)</w:t>
      </w:r>
      <w:r w:rsidR="0031616D" w:rsidRPr="00063B55">
        <w:rPr>
          <w:kern w:val="2"/>
          <w:lang w:val="en-GB"/>
        </w:rPr>
        <w:t xml:space="preserve">, please visit: </w:t>
      </w:r>
      <w:bookmarkEnd w:id="9"/>
      <w:bookmarkEnd w:id="10"/>
      <w:r>
        <w:rPr>
          <w:kern w:val="2"/>
          <w:lang w:val="en-GB"/>
        </w:rPr>
        <w:tab/>
      </w:r>
      <w:r w:rsidR="00DE4B98">
        <w:rPr>
          <w:kern w:val="2"/>
          <w:lang w:val="en-GB"/>
        </w:rPr>
        <w:tab/>
      </w:r>
      <w:r w:rsidR="00DE4B98">
        <w:rPr>
          <w:kern w:val="2"/>
          <w:lang w:val="en-GB"/>
        </w:rPr>
        <w:tab/>
      </w:r>
      <w:hyperlink r:id="rId12" w:history="1">
        <w:r w:rsidR="0033471A" w:rsidRPr="00063B55">
          <w:rPr>
            <w:rStyle w:val="Hyperlink"/>
            <w:kern w:val="2"/>
            <w:lang w:val="en-GB"/>
          </w:rPr>
          <w:t>http://www.hse.gov.uk/</w:t>
        </w:r>
      </w:hyperlink>
      <w:r w:rsidR="0033471A">
        <w:rPr>
          <w:kern w:val="2"/>
          <w:lang w:val="en-GB"/>
        </w:rPr>
        <w:t xml:space="preserve"> </w:t>
      </w:r>
    </w:p>
    <w:p w:rsidR="004B4D03" w:rsidRPr="009543D7" w:rsidRDefault="00DA6C67" w:rsidP="00DA6C67">
      <w:pPr>
        <w:pStyle w:val="Heading1"/>
        <w:numPr>
          <w:ilvl w:val="0"/>
          <w:numId w:val="0"/>
        </w:numPr>
        <w:jc w:val="both"/>
        <w:rPr>
          <w:color w:val="auto"/>
          <w:kern w:val="2"/>
          <w:sz w:val="22"/>
          <w:szCs w:val="22"/>
        </w:rPr>
      </w:pPr>
      <w:bookmarkStart w:id="11" w:name="_Toc523410828"/>
      <w:r w:rsidRPr="009543D7">
        <w:rPr>
          <w:color w:val="auto"/>
          <w:kern w:val="2"/>
          <w:sz w:val="22"/>
          <w:szCs w:val="22"/>
        </w:rPr>
        <w:t>2</w:t>
      </w:r>
      <w:r w:rsidRPr="009543D7">
        <w:rPr>
          <w:color w:val="auto"/>
          <w:kern w:val="2"/>
          <w:sz w:val="22"/>
          <w:szCs w:val="22"/>
        </w:rPr>
        <w:tab/>
      </w:r>
      <w:r w:rsidR="00E85C36" w:rsidRPr="009543D7">
        <w:rPr>
          <w:color w:val="auto"/>
          <w:kern w:val="2"/>
          <w:sz w:val="22"/>
          <w:szCs w:val="22"/>
        </w:rPr>
        <w:t>Overview of requirement</w:t>
      </w:r>
      <w:bookmarkEnd w:id="11"/>
    </w:p>
    <w:p w:rsidR="00420639" w:rsidRPr="00420639" w:rsidRDefault="00C567A5" w:rsidP="00420639">
      <w:pPr>
        <w:pStyle w:val="Bodysubclause"/>
        <w:jc w:val="both"/>
        <w:rPr>
          <w:rFonts w:cs="Arial"/>
          <w:kern w:val="2"/>
        </w:rPr>
      </w:pPr>
      <w:r w:rsidRPr="00C567A5">
        <w:rPr>
          <w:rFonts w:cs="Arial"/>
          <w:kern w:val="2"/>
        </w:rPr>
        <w:t xml:space="preserve">The Specification in Appendix </w:t>
      </w:r>
      <w:r w:rsidR="00950EB1">
        <w:rPr>
          <w:rFonts w:cs="Arial"/>
          <w:kern w:val="2"/>
        </w:rPr>
        <w:t>1</w:t>
      </w:r>
      <w:r w:rsidRPr="00C567A5">
        <w:rPr>
          <w:rFonts w:cs="Arial"/>
          <w:kern w:val="2"/>
        </w:rPr>
        <w:t xml:space="preserve"> provides details of objectives and requirements of the contract for tender. An overview of the requirement is as follows. </w:t>
      </w:r>
    </w:p>
    <w:p w:rsidR="009C2AB6" w:rsidRPr="009C2AB6" w:rsidRDefault="00951510" w:rsidP="00332B37">
      <w:pPr>
        <w:tabs>
          <w:tab w:val="num" w:pos="1004"/>
        </w:tabs>
        <w:spacing w:line="276" w:lineRule="auto"/>
        <w:ind w:left="720"/>
        <w:jc w:val="both"/>
        <w:rPr>
          <w:szCs w:val="22"/>
        </w:rPr>
      </w:pPr>
      <w:r w:rsidRPr="00332B37">
        <w:rPr>
          <w:szCs w:val="22"/>
        </w:rPr>
        <w:t xml:space="preserve">HSE is seeking to commission a research agency to </w:t>
      </w:r>
      <w:r w:rsidR="00DE4B98" w:rsidRPr="00332B37">
        <w:t>carry out an analysis of the current construction cost estimating software market in the UK in order to understand the overall scale, who</w:t>
      </w:r>
      <w:r w:rsidR="00485C98" w:rsidRPr="00332B37">
        <w:t xml:space="preserve"> </w:t>
      </w:r>
      <w:r w:rsidR="00DE4B98" w:rsidRPr="00332B37">
        <w:t xml:space="preserve">the main players </w:t>
      </w:r>
      <w:r w:rsidR="00485C98" w:rsidRPr="00332B37">
        <w:t>are,</w:t>
      </w:r>
      <w:r w:rsidR="00DE4B98" w:rsidRPr="00332B37">
        <w:t xml:space="preserve"> and what their market share is, who the main users are and why and whether an opportunity exists for a new product.</w:t>
      </w:r>
    </w:p>
    <w:p w:rsidR="004B4D03" w:rsidRPr="00951510" w:rsidRDefault="004B4D03" w:rsidP="009C2AB6"/>
    <w:p w:rsidR="00DD2E74" w:rsidRPr="009543D7" w:rsidRDefault="00DA6C67" w:rsidP="00DA6C67">
      <w:pPr>
        <w:pStyle w:val="Heading2"/>
        <w:numPr>
          <w:ilvl w:val="0"/>
          <w:numId w:val="0"/>
        </w:numPr>
        <w:jc w:val="both"/>
        <w:rPr>
          <w:color w:val="auto"/>
          <w:kern w:val="2"/>
          <w:sz w:val="22"/>
          <w:szCs w:val="22"/>
        </w:rPr>
      </w:pPr>
      <w:bookmarkStart w:id="12" w:name="_Toc461530592"/>
      <w:bookmarkStart w:id="13" w:name="_Toc523410829"/>
      <w:r w:rsidRPr="009543D7">
        <w:rPr>
          <w:color w:val="auto"/>
          <w:kern w:val="2"/>
          <w:sz w:val="22"/>
          <w:szCs w:val="22"/>
        </w:rPr>
        <w:t>2.1</w:t>
      </w:r>
      <w:r w:rsidRPr="009543D7">
        <w:rPr>
          <w:b w:val="0"/>
          <w:color w:val="auto"/>
          <w:kern w:val="2"/>
          <w:sz w:val="22"/>
          <w:szCs w:val="22"/>
        </w:rPr>
        <w:tab/>
      </w:r>
      <w:r w:rsidR="00E63D5B" w:rsidRPr="009543D7">
        <w:rPr>
          <w:color w:val="auto"/>
          <w:kern w:val="2"/>
          <w:sz w:val="22"/>
          <w:szCs w:val="22"/>
        </w:rPr>
        <w:t>V</w:t>
      </w:r>
      <w:r w:rsidRPr="009543D7">
        <w:rPr>
          <w:color w:val="auto"/>
          <w:kern w:val="2"/>
          <w:sz w:val="22"/>
          <w:szCs w:val="22"/>
        </w:rPr>
        <w:t>alue of the C</w:t>
      </w:r>
      <w:r w:rsidR="002C3850" w:rsidRPr="009543D7">
        <w:rPr>
          <w:color w:val="auto"/>
          <w:kern w:val="2"/>
          <w:sz w:val="22"/>
          <w:szCs w:val="22"/>
        </w:rPr>
        <w:t>ontract</w:t>
      </w:r>
      <w:bookmarkEnd w:id="12"/>
      <w:bookmarkEnd w:id="13"/>
      <w:r w:rsidR="00BD1A60" w:rsidRPr="009543D7">
        <w:rPr>
          <w:color w:val="auto"/>
          <w:kern w:val="2"/>
          <w:sz w:val="22"/>
          <w:szCs w:val="22"/>
        </w:rPr>
        <w:t xml:space="preserve"> </w:t>
      </w:r>
    </w:p>
    <w:p w:rsidR="00DA6C67" w:rsidRPr="00F40885" w:rsidRDefault="00DA6C67" w:rsidP="00B33B58">
      <w:pPr>
        <w:pStyle w:val="Heading9"/>
      </w:pPr>
      <w:bookmarkStart w:id="14" w:name="_Toc461530594"/>
      <w:r>
        <w:tab/>
      </w:r>
      <w:r w:rsidR="00834F45" w:rsidRPr="00F40885">
        <w:t xml:space="preserve">The anticipated value of the services is approximately </w:t>
      </w:r>
      <w:r w:rsidR="000F24A5">
        <w:t xml:space="preserve">up to </w:t>
      </w:r>
      <w:r w:rsidR="00BD36FF" w:rsidRPr="00332B37">
        <w:t>£</w:t>
      </w:r>
      <w:bookmarkStart w:id="15" w:name="_Toc523410830"/>
      <w:r w:rsidR="00DE4B98" w:rsidRPr="00332B37">
        <w:t>20,000.</w:t>
      </w:r>
    </w:p>
    <w:p w:rsidR="009543D7" w:rsidRDefault="009543D7" w:rsidP="00B33B58">
      <w:pPr>
        <w:pStyle w:val="Heading9"/>
      </w:pPr>
    </w:p>
    <w:p w:rsidR="004B4D03" w:rsidRPr="009543D7" w:rsidRDefault="00DA6C67" w:rsidP="00B33B58">
      <w:pPr>
        <w:pStyle w:val="Heading9"/>
        <w:rPr>
          <w:b/>
          <w:highlight w:val="green"/>
        </w:rPr>
      </w:pPr>
      <w:r w:rsidRPr="009543D7">
        <w:rPr>
          <w:b/>
        </w:rPr>
        <w:t>2.2</w:t>
      </w:r>
      <w:r w:rsidRPr="009543D7">
        <w:rPr>
          <w:b/>
        </w:rPr>
        <w:tab/>
        <w:t>Contract T</w:t>
      </w:r>
      <w:r w:rsidR="002C3850" w:rsidRPr="009543D7">
        <w:rPr>
          <w:b/>
        </w:rPr>
        <w:t>erm</w:t>
      </w:r>
      <w:bookmarkEnd w:id="14"/>
      <w:bookmarkEnd w:id="15"/>
    </w:p>
    <w:p w:rsidR="009543D7" w:rsidRDefault="009543D7" w:rsidP="009543D7">
      <w:pPr>
        <w:pStyle w:val="Heading9"/>
        <w:ind w:firstLine="0"/>
      </w:pPr>
    </w:p>
    <w:p w:rsidR="00C83CDB" w:rsidRPr="00F40885" w:rsidRDefault="00BE795F" w:rsidP="009543D7">
      <w:pPr>
        <w:pStyle w:val="Heading9"/>
        <w:ind w:firstLine="0"/>
      </w:pPr>
      <w:r w:rsidRPr="00F40885">
        <w:t xml:space="preserve">The </w:t>
      </w:r>
      <w:r w:rsidR="006D5172" w:rsidRPr="00F40885">
        <w:t xml:space="preserve">Health &amp; Safety Executive (HSE) </w:t>
      </w:r>
      <w:r w:rsidR="00DA6C67" w:rsidRPr="00F40885">
        <w:t>is proposing</w:t>
      </w:r>
      <w:r w:rsidR="002C3850" w:rsidRPr="00F40885">
        <w:t xml:space="preserve"> </w:t>
      </w:r>
      <w:r w:rsidR="00957D4B" w:rsidRPr="00F40885">
        <w:t>a</w:t>
      </w:r>
      <w:r w:rsidR="002C3850" w:rsidRPr="00F40885">
        <w:t xml:space="preserve"> </w:t>
      </w:r>
      <w:r w:rsidR="0086122D" w:rsidRPr="00F40885">
        <w:t>c</w:t>
      </w:r>
      <w:r w:rsidR="002C3850" w:rsidRPr="00F40885">
        <w:t xml:space="preserve">ontract for </w:t>
      </w:r>
      <w:r w:rsidR="00B33B58" w:rsidRPr="00B33B58">
        <w:t>3</w:t>
      </w:r>
      <w:r w:rsidR="00334F4F" w:rsidRPr="00B33B58">
        <w:t xml:space="preserve"> </w:t>
      </w:r>
      <w:r w:rsidR="00332B37" w:rsidRPr="00B33B58">
        <w:t>months</w:t>
      </w:r>
      <w:r w:rsidR="00334F4F" w:rsidRPr="00F40885">
        <w:t xml:space="preserve"> </w:t>
      </w:r>
      <w:r w:rsidR="002C3850" w:rsidRPr="00F40885">
        <w:t xml:space="preserve">with the successful </w:t>
      </w:r>
      <w:r w:rsidR="00A17F46" w:rsidRPr="00F40885">
        <w:t>Bidder</w:t>
      </w:r>
      <w:r w:rsidR="002C3850" w:rsidRPr="00F40885">
        <w:t xml:space="preserve"> </w:t>
      </w:r>
      <w:r w:rsidR="002C3850" w:rsidRPr="00D11ECC">
        <w:t>(</w:t>
      </w:r>
      <w:r w:rsidR="00427D3E" w:rsidRPr="00D11ECC">
        <w:rPr>
          <w:rStyle w:val="Defterm"/>
          <w:b w:val="0"/>
          <w:color w:val="auto"/>
          <w:kern w:val="2"/>
        </w:rPr>
        <w:t>S</w:t>
      </w:r>
      <w:r w:rsidR="002C3850" w:rsidRPr="00D11ECC">
        <w:rPr>
          <w:rStyle w:val="Defterm"/>
          <w:b w:val="0"/>
          <w:color w:val="auto"/>
          <w:kern w:val="2"/>
        </w:rPr>
        <w:t xml:space="preserve">ervice </w:t>
      </w:r>
      <w:r w:rsidR="00427D3E" w:rsidRPr="00D11ECC">
        <w:rPr>
          <w:rStyle w:val="Defterm"/>
          <w:b w:val="0"/>
          <w:color w:val="auto"/>
          <w:kern w:val="2"/>
        </w:rPr>
        <w:t>P</w:t>
      </w:r>
      <w:r w:rsidR="002C3850" w:rsidRPr="00D11ECC">
        <w:rPr>
          <w:rStyle w:val="Defterm"/>
          <w:b w:val="0"/>
          <w:color w:val="auto"/>
          <w:kern w:val="2"/>
        </w:rPr>
        <w:t>rovider</w:t>
      </w:r>
      <w:r w:rsidR="002C3850" w:rsidRPr="00D11ECC">
        <w:t>)</w:t>
      </w:r>
      <w:r w:rsidR="001B6EE1" w:rsidRPr="00D11ECC">
        <w:t xml:space="preserve"> </w:t>
      </w:r>
      <w:r w:rsidR="00C83CDB" w:rsidRPr="00F40885">
        <w:rPr>
          <w:lang w:eastAsia="en-GB"/>
        </w:rPr>
        <w:t xml:space="preserve">HSE reserves the right to </w:t>
      </w:r>
      <w:r w:rsidR="00DA6C67" w:rsidRPr="00F40885">
        <w:rPr>
          <w:lang w:eastAsia="en-GB"/>
        </w:rPr>
        <w:t>terminate</w:t>
      </w:r>
      <w:r w:rsidR="00C83CDB" w:rsidRPr="00F40885">
        <w:rPr>
          <w:lang w:eastAsia="en-GB"/>
        </w:rPr>
        <w:t xml:space="preserve"> the contract at the end of </w:t>
      </w:r>
      <w:r w:rsidR="00DA6C67" w:rsidRPr="00F40885">
        <w:rPr>
          <w:lang w:eastAsia="en-GB"/>
        </w:rPr>
        <w:t>the initial term</w:t>
      </w:r>
      <w:r w:rsidR="00C83CDB" w:rsidRPr="00F40885">
        <w:rPr>
          <w:lang w:eastAsia="en-GB"/>
        </w:rPr>
        <w:t xml:space="preserve"> for whatever reason, without penalty.</w:t>
      </w:r>
    </w:p>
    <w:p w:rsidR="009543D7" w:rsidRDefault="00DA6C67" w:rsidP="00B33B58">
      <w:pPr>
        <w:pStyle w:val="Heading9"/>
      </w:pPr>
      <w:r w:rsidRPr="00F40885">
        <w:tab/>
      </w:r>
    </w:p>
    <w:p w:rsidR="004B4D03" w:rsidRPr="00F40885" w:rsidRDefault="002C3850" w:rsidP="009543D7">
      <w:pPr>
        <w:pStyle w:val="Heading9"/>
        <w:ind w:firstLine="0"/>
      </w:pPr>
      <w:r w:rsidRPr="00F40885">
        <w:t xml:space="preserve">The anticipated service commencement </w:t>
      </w:r>
      <w:r w:rsidR="00C33231" w:rsidRPr="00F40885">
        <w:t>date</w:t>
      </w:r>
      <w:r w:rsidRPr="00F40885">
        <w:t xml:space="preserve"> is </w:t>
      </w:r>
      <w:r w:rsidR="00485C98" w:rsidRPr="00332B37">
        <w:t>6</w:t>
      </w:r>
      <w:r w:rsidR="000F24A5" w:rsidRPr="00332B37">
        <w:rPr>
          <w:vertAlign w:val="superscript"/>
        </w:rPr>
        <w:t>th</w:t>
      </w:r>
      <w:r w:rsidR="000F24A5" w:rsidRPr="00332B37">
        <w:t xml:space="preserve"> January 20</w:t>
      </w:r>
      <w:r w:rsidR="00485C98" w:rsidRPr="00332B37">
        <w:t>20</w:t>
      </w:r>
      <w:r w:rsidR="000F24A5" w:rsidRPr="00332B37">
        <w:t>.</w:t>
      </w:r>
    </w:p>
    <w:p w:rsidR="00831A9F" w:rsidRPr="009543D7" w:rsidRDefault="0077038E" w:rsidP="0077038E">
      <w:pPr>
        <w:pStyle w:val="Heading1"/>
        <w:numPr>
          <w:ilvl w:val="0"/>
          <w:numId w:val="0"/>
        </w:numPr>
        <w:spacing w:before="0"/>
        <w:ind w:left="720" w:hanging="720"/>
        <w:jc w:val="both"/>
        <w:rPr>
          <w:color w:val="auto"/>
          <w:kern w:val="2"/>
          <w:sz w:val="22"/>
          <w:szCs w:val="22"/>
        </w:rPr>
      </w:pPr>
      <w:bookmarkStart w:id="16" w:name="_Toc523410832"/>
      <w:bookmarkStart w:id="17" w:name="a817202"/>
      <w:bookmarkStart w:id="18" w:name="_Toc461530597"/>
      <w:r>
        <w:rPr>
          <w:color w:val="auto"/>
          <w:kern w:val="2"/>
        </w:rPr>
        <w:br w:type="page"/>
      </w:r>
      <w:r w:rsidR="00D74DEE" w:rsidRPr="009543D7">
        <w:rPr>
          <w:color w:val="auto"/>
          <w:kern w:val="2"/>
          <w:sz w:val="22"/>
          <w:szCs w:val="22"/>
        </w:rPr>
        <w:lastRenderedPageBreak/>
        <w:t>3</w:t>
      </w:r>
      <w:r w:rsidR="00D74DEE" w:rsidRPr="009543D7">
        <w:rPr>
          <w:color w:val="auto"/>
          <w:kern w:val="2"/>
          <w:sz w:val="22"/>
          <w:szCs w:val="22"/>
        </w:rPr>
        <w:tab/>
      </w:r>
      <w:r w:rsidR="00831A9F" w:rsidRPr="009543D7">
        <w:rPr>
          <w:color w:val="auto"/>
          <w:kern w:val="2"/>
          <w:sz w:val="22"/>
          <w:szCs w:val="22"/>
        </w:rPr>
        <w:t>Competition process</w:t>
      </w:r>
      <w:r w:rsidR="00EA2C48" w:rsidRPr="009543D7">
        <w:rPr>
          <w:color w:val="auto"/>
          <w:kern w:val="2"/>
          <w:sz w:val="22"/>
          <w:szCs w:val="22"/>
        </w:rPr>
        <w:t xml:space="preserve"> and overview of evaluation method</w:t>
      </w:r>
      <w:bookmarkEnd w:id="16"/>
    </w:p>
    <w:p w:rsidR="00831A9F" w:rsidRDefault="00831A9F" w:rsidP="0077038E">
      <w:pPr>
        <w:jc w:val="both"/>
        <w:rPr>
          <w:lang w:val="en-US"/>
        </w:rPr>
      </w:pPr>
    </w:p>
    <w:p w:rsidR="00D74DEE" w:rsidRDefault="00D74DEE" w:rsidP="00332B37">
      <w:pPr>
        <w:ind w:left="720" w:hanging="720"/>
      </w:pPr>
      <w:r>
        <w:rPr>
          <w:lang w:val="en-US"/>
        </w:rPr>
        <w:t>3.1</w:t>
      </w:r>
      <w:r>
        <w:rPr>
          <w:lang w:val="en-US"/>
        </w:rPr>
        <w:tab/>
      </w:r>
      <w:r w:rsidR="00DE41EE">
        <w:rPr>
          <w:lang w:val="en-US"/>
        </w:rPr>
        <w:t>HSE</w:t>
      </w:r>
      <w:r w:rsidR="00831A9F">
        <w:rPr>
          <w:lang w:val="en-US"/>
        </w:rPr>
        <w:t xml:space="preserve"> shall obtain a list of suppliers from the Research Marketplace in accordance with the provisions of CCS Framework RM6018. Each supplier on this list shall receive an invitation to respond to the CFC via </w:t>
      </w:r>
      <w:r w:rsidR="0077038E">
        <w:rPr>
          <w:lang w:val="en-US"/>
        </w:rPr>
        <w:t>the HSE</w:t>
      </w:r>
      <w:r w:rsidR="00831A9F">
        <w:rPr>
          <w:lang w:val="en-US"/>
        </w:rPr>
        <w:t xml:space="preserve"> </w:t>
      </w:r>
      <w:r w:rsidR="00831A9F" w:rsidRPr="003815E0">
        <w:rPr>
          <w:kern w:val="2"/>
        </w:rPr>
        <w:t>e</w:t>
      </w:r>
      <w:r w:rsidR="00831A9F">
        <w:rPr>
          <w:kern w:val="2"/>
        </w:rPr>
        <w:t>-</w:t>
      </w:r>
      <w:r>
        <w:rPr>
          <w:kern w:val="2"/>
        </w:rPr>
        <w:t>Sourcing portal</w:t>
      </w:r>
      <w:r w:rsidR="0077038E">
        <w:rPr>
          <w:kern w:val="2"/>
        </w:rPr>
        <w:t xml:space="preserve"> Intend by accessing the following </w:t>
      </w:r>
      <w:proofErr w:type="gramStart"/>
      <w:r w:rsidR="0077038E">
        <w:rPr>
          <w:kern w:val="2"/>
        </w:rPr>
        <w:t>link :</w:t>
      </w:r>
      <w:proofErr w:type="gramEnd"/>
      <w:r>
        <w:rPr>
          <w:kern w:val="2"/>
        </w:rPr>
        <w:t xml:space="preserve"> </w:t>
      </w:r>
      <w:hyperlink r:id="rId13" w:history="1">
        <w:r>
          <w:rPr>
            <w:rStyle w:val="Hyperlink"/>
          </w:rPr>
          <w:t>https://in-tendhost.co.uk/hse/aspx/Home</w:t>
        </w:r>
      </w:hyperlink>
    </w:p>
    <w:p w:rsidR="00831A9F" w:rsidRDefault="00831A9F" w:rsidP="0077038E">
      <w:pPr>
        <w:jc w:val="both"/>
        <w:rPr>
          <w:kern w:val="2"/>
        </w:rPr>
      </w:pPr>
    </w:p>
    <w:p w:rsidR="00053BBE" w:rsidRDefault="00D74DEE" w:rsidP="0077038E">
      <w:pPr>
        <w:jc w:val="both"/>
        <w:rPr>
          <w:lang w:val="en-US"/>
        </w:rPr>
      </w:pPr>
      <w:r>
        <w:rPr>
          <w:lang w:val="en-US"/>
        </w:rPr>
        <w:t>3.2</w:t>
      </w:r>
      <w:r>
        <w:rPr>
          <w:lang w:val="en-US"/>
        </w:rPr>
        <w:tab/>
      </w:r>
      <w:r w:rsidR="00053BBE" w:rsidRPr="00EA1387">
        <w:rPr>
          <w:lang w:val="en-US"/>
        </w:rPr>
        <w:t xml:space="preserve">The CFC process </w:t>
      </w:r>
      <w:r w:rsidR="00080539" w:rsidRPr="00EA1387">
        <w:rPr>
          <w:lang w:val="en-US"/>
        </w:rPr>
        <w:t xml:space="preserve">will </w:t>
      </w:r>
      <w:r w:rsidR="00053BBE" w:rsidRPr="00EA1387">
        <w:rPr>
          <w:lang w:val="en-US"/>
        </w:rPr>
        <w:t>comprise the following stage</w:t>
      </w:r>
      <w:r w:rsidR="00047226">
        <w:rPr>
          <w:lang w:val="en-US"/>
        </w:rPr>
        <w:t>s</w:t>
      </w:r>
      <w:r w:rsidR="00053BBE" w:rsidRPr="00EA1387">
        <w:rPr>
          <w:lang w:val="en-US"/>
        </w:rPr>
        <w:t>:</w:t>
      </w:r>
    </w:p>
    <w:p w:rsidR="00053BBE" w:rsidRDefault="00053BBE" w:rsidP="0077038E">
      <w:pPr>
        <w:jc w:val="both"/>
        <w:rPr>
          <w:lang w:val="en-US"/>
        </w:rPr>
      </w:pPr>
    </w:p>
    <w:p w:rsidR="0077038E" w:rsidRDefault="00080539" w:rsidP="0077038E">
      <w:pPr>
        <w:pStyle w:val="ListParagraph"/>
        <w:numPr>
          <w:ilvl w:val="0"/>
          <w:numId w:val="0"/>
        </w:numPr>
        <w:spacing w:before="0" w:after="0"/>
        <w:ind w:left="720"/>
        <w:jc w:val="both"/>
        <w:rPr>
          <w:b/>
        </w:rPr>
      </w:pPr>
      <w:r w:rsidRPr="0077038E">
        <w:rPr>
          <w:b/>
        </w:rPr>
        <w:t xml:space="preserve">Stage </w:t>
      </w:r>
      <w:r w:rsidR="00332B37">
        <w:rPr>
          <w:b/>
        </w:rPr>
        <w:t>1</w:t>
      </w:r>
      <w:r w:rsidRPr="0077038E">
        <w:rPr>
          <w:b/>
        </w:rPr>
        <w:t xml:space="preserve">: </w:t>
      </w:r>
    </w:p>
    <w:p w:rsidR="0077038E" w:rsidRDefault="0077038E" w:rsidP="0077038E">
      <w:pPr>
        <w:pStyle w:val="ListParagraph"/>
        <w:numPr>
          <w:ilvl w:val="0"/>
          <w:numId w:val="0"/>
        </w:numPr>
        <w:spacing w:before="0" w:after="0"/>
        <w:ind w:left="720"/>
        <w:jc w:val="both"/>
        <w:rPr>
          <w:b/>
        </w:rPr>
      </w:pPr>
    </w:p>
    <w:p w:rsidR="0077038E" w:rsidRDefault="00CC6500" w:rsidP="0077038E">
      <w:pPr>
        <w:pStyle w:val="ListParagraph"/>
        <w:numPr>
          <w:ilvl w:val="0"/>
          <w:numId w:val="0"/>
        </w:numPr>
        <w:spacing w:before="0" w:after="0"/>
        <w:ind w:left="720"/>
        <w:jc w:val="both"/>
      </w:pPr>
      <w:r w:rsidRPr="00332B37">
        <w:t>All</w:t>
      </w:r>
      <w:r w:rsidR="0077038E" w:rsidRPr="00332B37">
        <w:t xml:space="preserve"> </w:t>
      </w:r>
      <w:r w:rsidRPr="00332B37">
        <w:t>b</w:t>
      </w:r>
      <w:r w:rsidR="00080539" w:rsidRPr="00332B37">
        <w:t xml:space="preserve">idders shall be invited to submit a written proposal, comprising a </w:t>
      </w:r>
      <w:r w:rsidR="00F40885" w:rsidRPr="00332B37">
        <w:t xml:space="preserve">Technical </w:t>
      </w:r>
      <w:r w:rsidR="00080539" w:rsidRPr="00332B37">
        <w:t>Quality and Price response</w:t>
      </w:r>
      <w:r w:rsidR="0077038E" w:rsidRPr="00332B37">
        <w:t xml:space="preserve"> </w:t>
      </w:r>
      <w:r w:rsidR="00332B37">
        <w:t>to the research brief</w:t>
      </w:r>
    </w:p>
    <w:p w:rsidR="0077038E" w:rsidRDefault="0077038E" w:rsidP="0077038E">
      <w:pPr>
        <w:pStyle w:val="ListParagraph"/>
        <w:numPr>
          <w:ilvl w:val="0"/>
          <w:numId w:val="0"/>
        </w:numPr>
        <w:spacing w:before="0" w:after="0"/>
        <w:ind w:left="720"/>
        <w:jc w:val="both"/>
      </w:pPr>
    </w:p>
    <w:p w:rsidR="00C970D2" w:rsidRDefault="001F62DA" w:rsidP="00C970D2">
      <w:pPr>
        <w:pStyle w:val="ListParagraph"/>
        <w:numPr>
          <w:ilvl w:val="0"/>
          <w:numId w:val="0"/>
        </w:numPr>
        <w:spacing w:before="0" w:after="0"/>
        <w:ind w:left="720"/>
        <w:jc w:val="both"/>
      </w:pPr>
      <w:r w:rsidRPr="00332B37">
        <w:t xml:space="preserve">A page limit of </w:t>
      </w:r>
      <w:r w:rsidRPr="00332B37">
        <w:rPr>
          <w:rFonts w:cs="Arial"/>
        </w:rPr>
        <w:t xml:space="preserve">10 sides of A4 </w:t>
      </w:r>
      <w:r w:rsidR="00C970D2">
        <w:t>will apply to the written proposal.</w:t>
      </w:r>
    </w:p>
    <w:p w:rsidR="00C970D2" w:rsidRDefault="00C970D2" w:rsidP="0077038E">
      <w:pPr>
        <w:pStyle w:val="ListParagraph"/>
        <w:numPr>
          <w:ilvl w:val="0"/>
          <w:numId w:val="0"/>
        </w:numPr>
        <w:spacing w:before="0" w:after="0"/>
        <w:ind w:left="720"/>
        <w:jc w:val="both"/>
      </w:pPr>
    </w:p>
    <w:p w:rsidR="0077038E" w:rsidRDefault="00080539" w:rsidP="0077038E">
      <w:pPr>
        <w:pStyle w:val="ListParagraph"/>
        <w:numPr>
          <w:ilvl w:val="0"/>
          <w:numId w:val="0"/>
        </w:numPr>
        <w:spacing w:before="0" w:after="0"/>
        <w:ind w:left="720"/>
        <w:jc w:val="both"/>
      </w:pPr>
      <w:r>
        <w:t xml:space="preserve">The evaluation of this stage shall comprise </w:t>
      </w:r>
      <w:r w:rsidR="0077038E">
        <w:t xml:space="preserve">the following </w:t>
      </w:r>
      <w:r>
        <w:t xml:space="preserve">scored criteria. </w:t>
      </w:r>
    </w:p>
    <w:p w:rsidR="0077038E" w:rsidRDefault="0077038E" w:rsidP="0077038E">
      <w:pPr>
        <w:pStyle w:val="ListParagraph"/>
        <w:numPr>
          <w:ilvl w:val="0"/>
          <w:numId w:val="0"/>
        </w:numPr>
        <w:spacing w:before="0" w:after="0"/>
        <w:ind w:left="720"/>
        <w:jc w:val="both"/>
      </w:pPr>
    </w:p>
    <w:tbl>
      <w:tblPr>
        <w:tblW w:w="96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253"/>
        <w:gridCol w:w="2268"/>
      </w:tblGrid>
      <w:tr w:rsidR="00733B50" w:rsidTr="00733B50">
        <w:tc>
          <w:tcPr>
            <w:tcW w:w="3085" w:type="dxa"/>
          </w:tcPr>
          <w:p w:rsidR="00733B50" w:rsidRPr="00733B50" w:rsidRDefault="00733B50" w:rsidP="00332B37">
            <w:pPr>
              <w:pStyle w:val="ListParagraph"/>
              <w:numPr>
                <w:ilvl w:val="0"/>
                <w:numId w:val="0"/>
              </w:numPr>
              <w:jc w:val="center"/>
            </w:pPr>
            <w:r w:rsidRPr="00733B50">
              <w:t xml:space="preserve">Stage </w:t>
            </w:r>
            <w:r w:rsidR="00332B37">
              <w:t>1</w:t>
            </w:r>
          </w:p>
        </w:tc>
        <w:tc>
          <w:tcPr>
            <w:tcW w:w="4253" w:type="dxa"/>
          </w:tcPr>
          <w:p w:rsidR="00733B50" w:rsidRPr="00733B50" w:rsidRDefault="00733B50" w:rsidP="00187BFB">
            <w:pPr>
              <w:pStyle w:val="ListParagraph"/>
              <w:numPr>
                <w:ilvl w:val="0"/>
                <w:numId w:val="0"/>
              </w:numPr>
              <w:jc w:val="center"/>
            </w:pPr>
            <w:r w:rsidRPr="00733B50">
              <w:t>Response from Bidders</w:t>
            </w:r>
          </w:p>
        </w:tc>
        <w:tc>
          <w:tcPr>
            <w:tcW w:w="2268" w:type="dxa"/>
          </w:tcPr>
          <w:p w:rsidR="00733B50" w:rsidRPr="00733B50" w:rsidRDefault="00733B50" w:rsidP="00187BFB">
            <w:pPr>
              <w:pStyle w:val="ListParagraph"/>
              <w:numPr>
                <w:ilvl w:val="0"/>
                <w:numId w:val="0"/>
              </w:numPr>
              <w:jc w:val="center"/>
            </w:pPr>
            <w:r w:rsidRPr="00733B50">
              <w:t>Evaluation</w:t>
            </w:r>
          </w:p>
        </w:tc>
      </w:tr>
      <w:tr w:rsidR="00733B50" w:rsidTr="00733B50">
        <w:tc>
          <w:tcPr>
            <w:tcW w:w="3085" w:type="dxa"/>
          </w:tcPr>
          <w:p w:rsidR="002D415F" w:rsidRPr="00F40885" w:rsidRDefault="00733B50" w:rsidP="002D415F">
            <w:pPr>
              <w:pStyle w:val="ListParagraph"/>
              <w:numPr>
                <w:ilvl w:val="0"/>
                <w:numId w:val="33"/>
              </w:numPr>
              <w:jc w:val="both"/>
            </w:pPr>
            <w:r w:rsidRPr="00F40885">
              <w:t xml:space="preserve">Technical </w:t>
            </w:r>
          </w:p>
        </w:tc>
        <w:tc>
          <w:tcPr>
            <w:tcW w:w="4253" w:type="dxa"/>
          </w:tcPr>
          <w:p w:rsidR="00733B50" w:rsidRPr="00F40885" w:rsidRDefault="00733B50" w:rsidP="00D74DEE">
            <w:pPr>
              <w:pStyle w:val="ListParagraph"/>
              <w:numPr>
                <w:ilvl w:val="0"/>
                <w:numId w:val="0"/>
              </w:numPr>
              <w:jc w:val="both"/>
            </w:pPr>
            <w:r w:rsidRPr="00F40885">
              <w:t>Technical proposal of sub-criterion or sub-criteria set out in section 7.1</w:t>
            </w:r>
          </w:p>
        </w:tc>
        <w:tc>
          <w:tcPr>
            <w:tcW w:w="2268" w:type="dxa"/>
          </w:tcPr>
          <w:p w:rsidR="00733B50" w:rsidRPr="00F40885" w:rsidRDefault="00733B50" w:rsidP="00D74DEE">
            <w:pPr>
              <w:pStyle w:val="ListParagraph"/>
              <w:numPr>
                <w:ilvl w:val="0"/>
                <w:numId w:val="0"/>
              </w:numPr>
              <w:jc w:val="both"/>
            </w:pPr>
            <w:r w:rsidRPr="00F40885">
              <w:t xml:space="preserve">Scored </w:t>
            </w:r>
          </w:p>
        </w:tc>
      </w:tr>
      <w:tr w:rsidR="00733B50" w:rsidTr="00733B50">
        <w:tc>
          <w:tcPr>
            <w:tcW w:w="3085" w:type="dxa"/>
          </w:tcPr>
          <w:p w:rsidR="00733B50" w:rsidRDefault="00733B50" w:rsidP="00D74DEE">
            <w:pPr>
              <w:pStyle w:val="ListParagraph"/>
              <w:numPr>
                <w:ilvl w:val="0"/>
                <w:numId w:val="33"/>
              </w:numPr>
              <w:jc w:val="both"/>
            </w:pPr>
            <w:r>
              <w:t>Quality</w:t>
            </w:r>
          </w:p>
        </w:tc>
        <w:tc>
          <w:tcPr>
            <w:tcW w:w="4253" w:type="dxa"/>
          </w:tcPr>
          <w:p w:rsidR="00733B50" w:rsidRDefault="00733B50" w:rsidP="00D74DEE">
            <w:pPr>
              <w:pStyle w:val="ListParagraph"/>
              <w:numPr>
                <w:ilvl w:val="0"/>
                <w:numId w:val="0"/>
              </w:numPr>
              <w:jc w:val="both"/>
            </w:pPr>
            <w:r>
              <w:t>Quality proposal of sub-criterion or sub-criteria set out in section 7.1</w:t>
            </w:r>
          </w:p>
        </w:tc>
        <w:tc>
          <w:tcPr>
            <w:tcW w:w="2268" w:type="dxa"/>
          </w:tcPr>
          <w:p w:rsidR="00733B50" w:rsidRDefault="00733B50" w:rsidP="00D74DEE">
            <w:pPr>
              <w:pStyle w:val="ListParagraph"/>
              <w:numPr>
                <w:ilvl w:val="0"/>
                <w:numId w:val="0"/>
              </w:numPr>
              <w:jc w:val="both"/>
            </w:pPr>
            <w:r>
              <w:t>Scored</w:t>
            </w:r>
          </w:p>
        </w:tc>
      </w:tr>
      <w:tr w:rsidR="00733B50" w:rsidTr="00733B50">
        <w:tc>
          <w:tcPr>
            <w:tcW w:w="3085" w:type="dxa"/>
          </w:tcPr>
          <w:p w:rsidR="00733B50" w:rsidRDefault="00733B50" w:rsidP="00D74DEE">
            <w:pPr>
              <w:pStyle w:val="ListParagraph"/>
              <w:numPr>
                <w:ilvl w:val="0"/>
                <w:numId w:val="33"/>
              </w:numPr>
              <w:jc w:val="both"/>
            </w:pPr>
            <w:r>
              <w:t>Price</w:t>
            </w:r>
          </w:p>
        </w:tc>
        <w:tc>
          <w:tcPr>
            <w:tcW w:w="4253" w:type="dxa"/>
          </w:tcPr>
          <w:p w:rsidR="00733B50" w:rsidRDefault="00733B50" w:rsidP="00D74DEE">
            <w:pPr>
              <w:pStyle w:val="ListParagraph"/>
              <w:numPr>
                <w:ilvl w:val="0"/>
                <w:numId w:val="0"/>
              </w:numPr>
              <w:jc w:val="both"/>
            </w:pPr>
            <w:r>
              <w:t>Price proposal</w:t>
            </w:r>
          </w:p>
        </w:tc>
        <w:tc>
          <w:tcPr>
            <w:tcW w:w="2268" w:type="dxa"/>
          </w:tcPr>
          <w:p w:rsidR="00733B50" w:rsidRDefault="00733B50" w:rsidP="00D74DEE">
            <w:pPr>
              <w:pStyle w:val="ListParagraph"/>
              <w:numPr>
                <w:ilvl w:val="0"/>
                <w:numId w:val="0"/>
              </w:numPr>
              <w:jc w:val="both"/>
            </w:pPr>
            <w:r>
              <w:t>Scored</w:t>
            </w:r>
          </w:p>
        </w:tc>
      </w:tr>
    </w:tbl>
    <w:p w:rsidR="00047226" w:rsidRDefault="00047226" w:rsidP="00047226">
      <w:pPr>
        <w:pStyle w:val="ListParagraph"/>
        <w:numPr>
          <w:ilvl w:val="0"/>
          <w:numId w:val="0"/>
        </w:numPr>
        <w:spacing w:before="0" w:after="0"/>
        <w:ind w:left="720"/>
        <w:jc w:val="both"/>
        <w:rPr>
          <w:b/>
        </w:rPr>
      </w:pPr>
      <w:bookmarkStart w:id="19" w:name="_Toc523410833"/>
    </w:p>
    <w:p w:rsidR="00047226" w:rsidRDefault="00047226" w:rsidP="00047226">
      <w:pPr>
        <w:pStyle w:val="ListParagraph"/>
        <w:numPr>
          <w:ilvl w:val="0"/>
          <w:numId w:val="0"/>
        </w:numPr>
        <w:spacing w:before="0" w:after="0"/>
        <w:ind w:left="720"/>
        <w:jc w:val="both"/>
        <w:rPr>
          <w:b/>
        </w:rPr>
      </w:pPr>
    </w:p>
    <w:p w:rsidR="00047226" w:rsidRDefault="00047226" w:rsidP="00047226">
      <w:pPr>
        <w:pStyle w:val="ListParagraph"/>
        <w:numPr>
          <w:ilvl w:val="0"/>
          <w:numId w:val="0"/>
        </w:numPr>
        <w:spacing w:before="0" w:after="0"/>
        <w:ind w:left="720"/>
        <w:jc w:val="both"/>
        <w:rPr>
          <w:b/>
        </w:rPr>
      </w:pPr>
      <w:r w:rsidRPr="0077038E">
        <w:rPr>
          <w:b/>
        </w:rPr>
        <w:t xml:space="preserve">Stage </w:t>
      </w:r>
      <w:r>
        <w:rPr>
          <w:b/>
        </w:rPr>
        <w:t>2</w:t>
      </w:r>
      <w:r w:rsidRPr="0077038E">
        <w:rPr>
          <w:b/>
        </w:rPr>
        <w:t xml:space="preserve">: </w:t>
      </w:r>
    </w:p>
    <w:p w:rsidR="00047226" w:rsidRDefault="00047226" w:rsidP="00047226">
      <w:pPr>
        <w:pStyle w:val="ListParagraph"/>
        <w:numPr>
          <w:ilvl w:val="0"/>
          <w:numId w:val="0"/>
        </w:numPr>
        <w:spacing w:before="0" w:after="0"/>
        <w:ind w:left="720"/>
        <w:jc w:val="both"/>
        <w:rPr>
          <w:b/>
        </w:rPr>
      </w:pPr>
    </w:p>
    <w:p w:rsidR="00047226" w:rsidRDefault="00047226" w:rsidP="00047226">
      <w:pPr>
        <w:pStyle w:val="ListParagraph"/>
        <w:numPr>
          <w:ilvl w:val="0"/>
          <w:numId w:val="0"/>
        </w:numPr>
        <w:spacing w:before="0" w:after="0"/>
        <w:ind w:left="720"/>
        <w:jc w:val="both"/>
      </w:pPr>
      <w:r>
        <w:t>Pitch presentations (only if required)</w:t>
      </w:r>
    </w:p>
    <w:p w:rsidR="004B4D03" w:rsidRPr="009543D7" w:rsidRDefault="00332B37" w:rsidP="00332B37">
      <w:pPr>
        <w:pStyle w:val="Heading1"/>
        <w:numPr>
          <w:ilvl w:val="0"/>
          <w:numId w:val="0"/>
        </w:numPr>
        <w:rPr>
          <w:color w:val="auto"/>
          <w:sz w:val="22"/>
          <w:szCs w:val="22"/>
        </w:rPr>
      </w:pPr>
      <w:r w:rsidRPr="009543D7">
        <w:rPr>
          <w:color w:val="auto"/>
          <w:sz w:val="22"/>
          <w:szCs w:val="22"/>
        </w:rPr>
        <w:t>4</w:t>
      </w:r>
      <w:r w:rsidR="004C4FF4" w:rsidRPr="009543D7">
        <w:rPr>
          <w:color w:val="auto"/>
          <w:sz w:val="22"/>
          <w:szCs w:val="22"/>
        </w:rPr>
        <w:tab/>
      </w:r>
      <w:r w:rsidR="002C3850" w:rsidRPr="009543D7">
        <w:rPr>
          <w:color w:val="auto"/>
          <w:sz w:val="22"/>
          <w:szCs w:val="22"/>
        </w:rPr>
        <w:t xml:space="preserve">Clarifications about the </w:t>
      </w:r>
      <w:r w:rsidR="005A4FF0" w:rsidRPr="009543D7">
        <w:rPr>
          <w:color w:val="auto"/>
          <w:sz w:val="22"/>
          <w:szCs w:val="22"/>
        </w:rPr>
        <w:t>s</w:t>
      </w:r>
      <w:r w:rsidR="002C3850" w:rsidRPr="009543D7">
        <w:rPr>
          <w:color w:val="auto"/>
          <w:sz w:val="22"/>
          <w:szCs w:val="22"/>
        </w:rPr>
        <w:t xml:space="preserve">ervices </w:t>
      </w:r>
      <w:bookmarkEnd w:id="17"/>
      <w:bookmarkEnd w:id="18"/>
      <w:r w:rsidR="00861082" w:rsidRPr="009543D7">
        <w:rPr>
          <w:color w:val="auto"/>
          <w:sz w:val="22"/>
          <w:szCs w:val="22"/>
        </w:rPr>
        <w:t>or CFC</w:t>
      </w:r>
      <w:bookmarkEnd w:id="19"/>
    </w:p>
    <w:p w:rsidR="009543D7" w:rsidRDefault="009543D7" w:rsidP="00B33B58">
      <w:pPr>
        <w:pStyle w:val="Heading9"/>
      </w:pPr>
    </w:p>
    <w:p w:rsidR="004C4FF4" w:rsidRPr="00F40885" w:rsidRDefault="004C4FF4" w:rsidP="00B33B58">
      <w:pPr>
        <w:pStyle w:val="Heading9"/>
      </w:pPr>
      <w:r w:rsidRPr="00F40885">
        <w:t>4.1</w:t>
      </w:r>
      <w:r w:rsidRPr="00F40885">
        <w:tab/>
        <w:t xml:space="preserve">All requests for clarification or further information and any questions about the procurement </w:t>
      </w:r>
      <w:r w:rsidRPr="00F40885">
        <w:tab/>
        <w:t>should be submitted through the HSE In-Tend Portal   No approach of any kind in connection with this CFC should be made to any other person within, or associated with, the HSE.</w:t>
      </w:r>
    </w:p>
    <w:p w:rsidR="004C4FF4" w:rsidRPr="001F2150" w:rsidRDefault="004C4FF4" w:rsidP="004C4FF4">
      <w:pPr>
        <w:jc w:val="both"/>
      </w:pPr>
    </w:p>
    <w:p w:rsidR="004C4FF4" w:rsidRDefault="004C4FF4" w:rsidP="004C4FF4">
      <w:pPr>
        <w:ind w:left="720" w:hanging="720"/>
        <w:jc w:val="both"/>
      </w:pPr>
      <w:r>
        <w:t>4.2</w:t>
      </w:r>
      <w:r>
        <w:tab/>
      </w:r>
      <w:r w:rsidRPr="001F2150">
        <w:t xml:space="preserve">If </w:t>
      </w:r>
      <w:r>
        <w:t>HSE</w:t>
      </w:r>
      <w:r w:rsidRPr="001F2150">
        <w:t xml:space="preserve"> considers any question or request for clarification to be of material significance, both the question and the response will be communicated</w:t>
      </w:r>
      <w:r>
        <w:t xml:space="preserve"> via the In-Tend portal</w:t>
      </w:r>
      <w:r w:rsidRPr="001F2150">
        <w:t xml:space="preserve"> to all before the closing date for </w:t>
      </w:r>
      <w:r>
        <w:t xml:space="preserve">responses. </w:t>
      </w:r>
      <w:r w:rsidRPr="001F2150">
        <w:t xml:space="preserve">All responses received and any communication from </w:t>
      </w:r>
      <w:r>
        <w:t>Bidders</w:t>
      </w:r>
      <w:r w:rsidRPr="001F2150">
        <w:t xml:space="preserve"> will be treated in confidence but will be subject to this paragraph.</w:t>
      </w:r>
    </w:p>
    <w:p w:rsidR="00E06A12" w:rsidRDefault="004C4FF4" w:rsidP="00B33B58">
      <w:pPr>
        <w:pStyle w:val="Heading9"/>
      </w:pPr>
      <w:r>
        <w:t>4.3</w:t>
      </w:r>
      <w:r>
        <w:tab/>
      </w:r>
      <w:r w:rsidR="002C3850" w:rsidRPr="00020BC6">
        <w:t xml:space="preserve">The deadline for receipt of clarifications relating to the </w:t>
      </w:r>
      <w:r w:rsidR="005A4FF0" w:rsidRPr="00020BC6">
        <w:t>s</w:t>
      </w:r>
      <w:r w:rsidR="002C3850" w:rsidRPr="00020BC6">
        <w:t xml:space="preserve">ervices or this </w:t>
      </w:r>
      <w:r w:rsidR="00834F45">
        <w:t>CFC</w:t>
      </w:r>
      <w:r w:rsidR="002C3850" w:rsidRPr="00020BC6">
        <w:t xml:space="preserve"> is set out in the </w:t>
      </w:r>
      <w:r>
        <w:t xml:space="preserve">procurement </w:t>
      </w:r>
      <w:r w:rsidR="005A4FF0" w:rsidRPr="00020BC6">
        <w:t>t</w:t>
      </w:r>
      <w:r w:rsidR="002C3850" w:rsidRPr="00020BC6">
        <w:t>imetable.</w:t>
      </w:r>
    </w:p>
    <w:p w:rsidR="004B4D03" w:rsidRPr="004C4FF4" w:rsidRDefault="004C4FF4" w:rsidP="004C4FF4">
      <w:pPr>
        <w:pStyle w:val="Heading2"/>
        <w:numPr>
          <w:ilvl w:val="0"/>
          <w:numId w:val="0"/>
        </w:numPr>
        <w:ind w:left="720" w:hanging="720"/>
        <w:jc w:val="both"/>
        <w:rPr>
          <w:b w:val="0"/>
          <w:color w:val="auto"/>
          <w:sz w:val="22"/>
          <w:szCs w:val="22"/>
        </w:rPr>
      </w:pPr>
      <w:bookmarkStart w:id="20" w:name="_Toc461530598"/>
      <w:bookmarkStart w:id="21" w:name="_Toc523410834"/>
      <w:r w:rsidRPr="004C4FF4">
        <w:rPr>
          <w:b w:val="0"/>
          <w:color w:val="auto"/>
        </w:rPr>
        <w:t>4.4</w:t>
      </w:r>
      <w:r w:rsidRPr="004C4FF4">
        <w:rPr>
          <w:b w:val="0"/>
          <w:color w:val="auto"/>
        </w:rPr>
        <w:tab/>
      </w:r>
      <w:bookmarkEnd w:id="20"/>
      <w:bookmarkEnd w:id="21"/>
      <w:r w:rsidR="00BE795F" w:rsidRPr="004C4FF4">
        <w:rPr>
          <w:b w:val="0"/>
          <w:color w:val="auto"/>
          <w:sz w:val="22"/>
          <w:szCs w:val="22"/>
        </w:rPr>
        <w:t xml:space="preserve">The </w:t>
      </w:r>
      <w:r w:rsidR="00F67558" w:rsidRPr="004C4FF4">
        <w:rPr>
          <w:b w:val="0"/>
          <w:color w:val="auto"/>
          <w:kern w:val="2"/>
          <w:sz w:val="22"/>
          <w:szCs w:val="22"/>
        </w:rPr>
        <w:t>Health &amp; Safety Executive (HSE</w:t>
      </w:r>
      <w:r w:rsidR="00F67558" w:rsidRPr="004C4FF4">
        <w:rPr>
          <w:b w:val="0"/>
          <w:color w:val="auto"/>
          <w:sz w:val="22"/>
          <w:szCs w:val="22"/>
        </w:rPr>
        <w:t xml:space="preserve">) </w:t>
      </w:r>
      <w:r w:rsidR="002C3850" w:rsidRPr="004C4FF4">
        <w:rPr>
          <w:b w:val="0"/>
          <w:color w:val="auto"/>
          <w:sz w:val="22"/>
          <w:szCs w:val="22"/>
        </w:rPr>
        <w:t xml:space="preserve">reserves the right (but shall not be obliged) to seek clarification of any aspect of a </w:t>
      </w:r>
      <w:r w:rsidR="00753953" w:rsidRPr="004C4FF4">
        <w:rPr>
          <w:b w:val="0"/>
          <w:color w:val="auto"/>
          <w:sz w:val="22"/>
          <w:szCs w:val="22"/>
        </w:rPr>
        <w:t>T</w:t>
      </w:r>
      <w:r w:rsidR="002C3850" w:rsidRPr="004C4FF4">
        <w:rPr>
          <w:b w:val="0"/>
          <w:color w:val="auto"/>
          <w:sz w:val="22"/>
          <w:szCs w:val="22"/>
        </w:rPr>
        <w:t xml:space="preserve">ender during the evaluation phase where </w:t>
      </w:r>
      <w:r w:rsidR="002C3850" w:rsidRPr="004C4FF4">
        <w:rPr>
          <w:b w:val="0"/>
          <w:color w:val="auto"/>
          <w:sz w:val="22"/>
          <w:szCs w:val="22"/>
        </w:rPr>
        <w:lastRenderedPageBreak/>
        <w:t xml:space="preserve">necessary for the purposes of carrying out a fair evaluation. </w:t>
      </w:r>
      <w:r w:rsidR="00A17F46" w:rsidRPr="004C4FF4">
        <w:rPr>
          <w:b w:val="0"/>
          <w:color w:val="auto"/>
          <w:sz w:val="22"/>
          <w:szCs w:val="22"/>
        </w:rPr>
        <w:t>Bidder</w:t>
      </w:r>
      <w:r w:rsidR="002C3850" w:rsidRPr="004C4FF4">
        <w:rPr>
          <w:b w:val="0"/>
          <w:color w:val="auto"/>
          <w:sz w:val="22"/>
          <w:szCs w:val="22"/>
        </w:rPr>
        <w:t xml:space="preserve">s are asked to respond to such requests promptly. Vague or ambiguous answers are likely to score poorly or render the </w:t>
      </w:r>
      <w:r w:rsidR="00753953" w:rsidRPr="004C4FF4">
        <w:rPr>
          <w:b w:val="0"/>
          <w:color w:val="auto"/>
          <w:sz w:val="22"/>
          <w:szCs w:val="22"/>
        </w:rPr>
        <w:t>T</w:t>
      </w:r>
      <w:r w:rsidR="002C3850" w:rsidRPr="004C4FF4">
        <w:rPr>
          <w:b w:val="0"/>
          <w:color w:val="auto"/>
          <w:sz w:val="22"/>
          <w:szCs w:val="22"/>
        </w:rPr>
        <w:t>ender non-compliant.</w:t>
      </w:r>
    </w:p>
    <w:p w:rsidR="004C4FF4" w:rsidRPr="009543D7" w:rsidRDefault="004C4FF4" w:rsidP="004C4FF4">
      <w:pPr>
        <w:pStyle w:val="Heading1"/>
        <w:numPr>
          <w:ilvl w:val="0"/>
          <w:numId w:val="0"/>
        </w:numPr>
        <w:ind w:left="720" w:hanging="720"/>
        <w:rPr>
          <w:color w:val="auto"/>
          <w:sz w:val="22"/>
          <w:szCs w:val="22"/>
        </w:rPr>
      </w:pPr>
      <w:bookmarkStart w:id="22" w:name="a257729"/>
      <w:bookmarkStart w:id="23" w:name="_Toc448841785"/>
      <w:bookmarkStart w:id="24" w:name="_Toc461530599"/>
      <w:bookmarkStart w:id="25" w:name="_Toc461551486"/>
      <w:bookmarkStart w:id="26" w:name="_Toc523410835"/>
      <w:r w:rsidRPr="009543D7">
        <w:rPr>
          <w:color w:val="auto"/>
          <w:sz w:val="22"/>
          <w:szCs w:val="22"/>
        </w:rPr>
        <w:t>5</w:t>
      </w:r>
      <w:r w:rsidRPr="009543D7">
        <w:rPr>
          <w:color w:val="auto"/>
          <w:sz w:val="22"/>
          <w:szCs w:val="22"/>
        </w:rPr>
        <w:tab/>
        <w:t>Procurement</w:t>
      </w:r>
      <w:r w:rsidR="002C3850" w:rsidRPr="009543D7">
        <w:rPr>
          <w:color w:val="auto"/>
          <w:sz w:val="22"/>
          <w:szCs w:val="22"/>
        </w:rPr>
        <w:t xml:space="preserve"> </w:t>
      </w:r>
      <w:r w:rsidR="005A4FF0" w:rsidRPr="009543D7">
        <w:rPr>
          <w:color w:val="auto"/>
          <w:sz w:val="22"/>
          <w:szCs w:val="22"/>
        </w:rPr>
        <w:t>t</w:t>
      </w:r>
      <w:r w:rsidR="002C3850" w:rsidRPr="009543D7">
        <w:rPr>
          <w:color w:val="auto"/>
          <w:sz w:val="22"/>
          <w:szCs w:val="22"/>
        </w:rPr>
        <w:t>imetable</w:t>
      </w:r>
      <w:bookmarkStart w:id="27" w:name="_Toc461530149"/>
      <w:bookmarkStart w:id="28" w:name="_Toc461530347"/>
      <w:bookmarkStart w:id="29" w:name="_Toc523410836"/>
      <w:bookmarkEnd w:id="22"/>
      <w:bookmarkEnd w:id="23"/>
      <w:bookmarkEnd w:id="24"/>
      <w:bookmarkEnd w:id="25"/>
      <w:bookmarkEnd w:id="26"/>
    </w:p>
    <w:p w:rsidR="009543D7" w:rsidRDefault="009543D7" w:rsidP="00B33B58">
      <w:pPr>
        <w:pStyle w:val="Heading9"/>
      </w:pPr>
    </w:p>
    <w:p w:rsidR="00936B99" w:rsidRDefault="004C4FF4" w:rsidP="00B33B58">
      <w:pPr>
        <w:pStyle w:val="Heading9"/>
        <w:rPr>
          <w:kern w:val="2"/>
        </w:rPr>
      </w:pPr>
      <w:r w:rsidRPr="004C4FF4">
        <w:t>5.1</w:t>
      </w:r>
      <w:r>
        <w:rPr>
          <w:b/>
        </w:rPr>
        <w:tab/>
      </w:r>
      <w:r w:rsidRPr="00356AEA">
        <w:t xml:space="preserve">This procurement will follow a clear, structured and transparent process to ensure a fair and level </w:t>
      </w:r>
      <w:r>
        <w:tab/>
      </w:r>
      <w:r w:rsidRPr="00356AEA">
        <w:t xml:space="preserve">playing field is maintained at all times, and that all </w:t>
      </w:r>
      <w:r>
        <w:t>Bidders</w:t>
      </w:r>
      <w:r w:rsidRPr="00356AEA">
        <w:t xml:space="preserve"> are treated equally.</w:t>
      </w:r>
      <w:r>
        <w:t xml:space="preserve"> </w:t>
      </w:r>
      <w:r w:rsidRPr="00356AEA">
        <w:t xml:space="preserve">The key dates for this </w:t>
      </w:r>
      <w:r>
        <w:t xml:space="preserve">procurement </w:t>
      </w:r>
      <w:r>
        <w:rPr>
          <w:rStyle w:val="Defterm"/>
          <w:b w:val="0"/>
          <w:color w:val="auto"/>
        </w:rPr>
        <w:t>t</w:t>
      </w:r>
      <w:r w:rsidRPr="00356AEA">
        <w:rPr>
          <w:rStyle w:val="Defterm"/>
          <w:b w:val="0"/>
          <w:color w:val="auto"/>
        </w:rPr>
        <w:t>imetable</w:t>
      </w:r>
      <w:r>
        <w:t xml:space="preserve"> and for the key milestones of the project </w:t>
      </w:r>
      <w:r w:rsidRPr="00356AEA">
        <w:t xml:space="preserve">are </w:t>
      </w:r>
      <w:r w:rsidR="00480E79">
        <w:t xml:space="preserve">shown below. These are </w:t>
      </w:r>
      <w:r w:rsidR="00D45972">
        <w:t>provided as a guide and whilst HSE does not intend to depart fro</w:t>
      </w:r>
      <w:r w:rsidR="00480E79">
        <w:t xml:space="preserve">m them, HSE reserves the right </w:t>
      </w:r>
      <w:r w:rsidR="00D45972">
        <w:t xml:space="preserve">to do so at any time. </w:t>
      </w:r>
      <w:r w:rsidR="00D45972" w:rsidRPr="00020BC6">
        <w:rPr>
          <w:kern w:val="2"/>
        </w:rPr>
        <w:t xml:space="preserve">Any changes to the procurement </w:t>
      </w:r>
      <w:r w:rsidR="00D45972">
        <w:rPr>
          <w:kern w:val="2"/>
        </w:rPr>
        <w:t>and/or project t</w:t>
      </w:r>
      <w:r w:rsidR="00D45972" w:rsidRPr="00020BC6">
        <w:rPr>
          <w:kern w:val="2"/>
        </w:rPr>
        <w:t xml:space="preserve">imetable shall be notified to all </w:t>
      </w:r>
      <w:r w:rsidR="00D45972">
        <w:rPr>
          <w:kern w:val="2"/>
        </w:rPr>
        <w:t>Bidder</w:t>
      </w:r>
      <w:r w:rsidR="00D45972" w:rsidRPr="00020BC6">
        <w:rPr>
          <w:kern w:val="2"/>
        </w:rPr>
        <w:t>s as soon as practicable</w:t>
      </w:r>
      <w:bookmarkEnd w:id="27"/>
      <w:bookmarkEnd w:id="28"/>
      <w:bookmarkEnd w:id="29"/>
      <w:r w:rsidR="00A45EF9">
        <w:rPr>
          <w:kern w:val="2"/>
        </w:rPr>
        <w:t>.</w:t>
      </w:r>
    </w:p>
    <w:p w:rsidR="00A45EF9" w:rsidRPr="00A45EF9" w:rsidRDefault="00A45EF9" w:rsidP="00A45EF9">
      <w:pPr>
        <w:rPr>
          <w:rFonts w:eastAsia="Calibri"/>
        </w:rPr>
      </w:pPr>
    </w:p>
    <w:tbl>
      <w:tblPr>
        <w:tblW w:w="9214" w:type="dxa"/>
        <w:tblInd w:w="108" w:type="dxa"/>
        <w:tblCellMar>
          <w:left w:w="10" w:type="dxa"/>
          <w:right w:w="10" w:type="dxa"/>
        </w:tblCellMar>
        <w:tblLook w:val="0000" w:firstRow="0" w:lastRow="0" w:firstColumn="0" w:lastColumn="0" w:noHBand="0" w:noVBand="0"/>
      </w:tblPr>
      <w:tblGrid>
        <w:gridCol w:w="5529"/>
        <w:gridCol w:w="3685"/>
      </w:tblGrid>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b/>
                <w:color w:val="000000"/>
                <w:lang w:eastAsia="en-GB"/>
              </w:rPr>
            </w:pPr>
            <w:bookmarkStart w:id="30" w:name="_Toc461530151"/>
            <w:bookmarkStart w:id="31" w:name="_Toc461530349"/>
            <w:bookmarkStart w:id="32" w:name="_Toc461551488"/>
            <w:bookmarkStart w:id="33" w:name="_Toc523410837"/>
            <w:r w:rsidRPr="00F308BB">
              <w:rPr>
                <w:rFonts w:eastAsia="Calibri" w:cs="Arial"/>
                <w:b/>
                <w:color w:val="000000"/>
                <w:lang w:eastAsia="en-GB"/>
              </w:rPr>
              <w:t>Process Milestone</w:t>
            </w:r>
          </w:p>
        </w:tc>
        <w:tc>
          <w:tcPr>
            <w:tcW w:w="36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b/>
                <w:color w:val="000000"/>
                <w:lang w:eastAsia="en-GB"/>
              </w:rPr>
            </w:pPr>
            <w:r w:rsidRPr="00F308BB">
              <w:rPr>
                <w:rFonts w:eastAsia="Calibri" w:cs="Arial"/>
                <w:b/>
                <w:color w:val="000000"/>
                <w:lang w:eastAsia="en-GB"/>
              </w:rPr>
              <w:t>Date</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A035F0" w:rsidRDefault="001F62DA" w:rsidP="004A2A31">
            <w:pPr>
              <w:tabs>
                <w:tab w:val="left" w:pos="1024"/>
              </w:tabs>
              <w:spacing w:before="60" w:after="160" w:line="259" w:lineRule="auto"/>
              <w:jc w:val="both"/>
              <w:rPr>
                <w:rFonts w:eastAsia="Calibri" w:cs="Arial"/>
                <w:b/>
                <w:color w:val="000000"/>
                <w:lang w:eastAsia="en-GB"/>
              </w:rPr>
            </w:pPr>
            <w:r w:rsidRPr="00A035F0">
              <w:rPr>
                <w:rFonts w:eastAsia="Calibri" w:cs="Arial"/>
                <w:b/>
                <w:color w:val="000000"/>
                <w:lang w:eastAsia="en-GB"/>
              </w:rPr>
              <w:t xml:space="preserve">Call for Competition Tender published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A035F0" w:rsidRDefault="001F62DA" w:rsidP="004A2A31">
            <w:pPr>
              <w:tabs>
                <w:tab w:val="left" w:pos="1024"/>
              </w:tabs>
              <w:spacing w:before="60" w:after="160" w:line="259" w:lineRule="auto"/>
              <w:rPr>
                <w:rFonts w:eastAsia="Calibri" w:cs="Arial"/>
                <w:b/>
                <w:color w:val="FF0000"/>
                <w:lang w:eastAsia="en-GB"/>
              </w:rPr>
            </w:pPr>
            <w:r w:rsidRPr="00A035F0">
              <w:rPr>
                <w:rFonts w:eastAsia="Calibri" w:cs="Arial"/>
                <w:b/>
                <w:lang w:eastAsia="en-GB"/>
              </w:rPr>
              <w:t>Thursday 21</w:t>
            </w:r>
            <w:r w:rsidRPr="00A035F0">
              <w:rPr>
                <w:rFonts w:eastAsia="Calibri" w:cs="Arial"/>
                <w:b/>
                <w:vertAlign w:val="superscript"/>
                <w:lang w:eastAsia="en-GB"/>
              </w:rPr>
              <w:t>st</w:t>
            </w:r>
            <w:r w:rsidRPr="00A035F0">
              <w:rPr>
                <w:rFonts w:eastAsia="Calibri" w:cs="Arial"/>
                <w:b/>
                <w:lang w:eastAsia="en-GB"/>
              </w:rPr>
              <w:t xml:space="preserve"> November 2019</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Deadline for receipt of clarification questions from Bidders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spacing w:before="60" w:after="160" w:line="259" w:lineRule="auto"/>
              <w:rPr>
                <w:rFonts w:eastAsia="Calibri" w:cs="Arial"/>
                <w:color w:val="FF0000"/>
                <w:lang w:eastAsia="en-GB"/>
              </w:rPr>
            </w:pPr>
            <w:r w:rsidRPr="00F308BB">
              <w:rPr>
                <w:rFonts w:eastAsia="Calibri" w:cs="Arial"/>
                <w:lang w:eastAsia="en-GB"/>
              </w:rPr>
              <w:t>Tuesday 26</w:t>
            </w:r>
            <w:r w:rsidRPr="00F308BB">
              <w:rPr>
                <w:rFonts w:eastAsia="Calibri" w:cs="Arial"/>
                <w:vertAlign w:val="superscript"/>
                <w:lang w:eastAsia="en-GB"/>
              </w:rPr>
              <w:t>th</w:t>
            </w:r>
            <w:r w:rsidRPr="00F308BB">
              <w:rPr>
                <w:rFonts w:eastAsia="Calibri" w:cs="Arial"/>
                <w:lang w:eastAsia="en-GB"/>
              </w:rPr>
              <w:t xml:space="preserve"> November 2019</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Responses to clarification questions provided to all Bidders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spacing w:before="60" w:after="160" w:line="259" w:lineRule="auto"/>
              <w:rPr>
                <w:rFonts w:eastAsia="Calibri" w:cs="Arial"/>
                <w:color w:val="FF0000"/>
                <w:lang w:eastAsia="en-GB"/>
              </w:rPr>
            </w:pPr>
            <w:r w:rsidRPr="00F308BB">
              <w:rPr>
                <w:rFonts w:eastAsia="Calibri" w:cs="Arial"/>
                <w:lang w:eastAsia="en-GB"/>
              </w:rPr>
              <w:t>Thursday 28</w:t>
            </w:r>
            <w:r w:rsidRPr="00F308BB">
              <w:rPr>
                <w:rFonts w:eastAsia="Calibri" w:cs="Arial"/>
                <w:vertAlign w:val="superscript"/>
                <w:lang w:eastAsia="en-GB"/>
              </w:rPr>
              <w:t>th</w:t>
            </w:r>
            <w:r w:rsidRPr="00F308BB">
              <w:rPr>
                <w:rFonts w:eastAsia="Calibri" w:cs="Arial"/>
                <w:lang w:eastAsia="en-GB"/>
              </w:rPr>
              <w:t xml:space="preserve"> November 2019</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8E1270" w:rsidRDefault="001F62DA" w:rsidP="00332B37">
            <w:pPr>
              <w:tabs>
                <w:tab w:val="left" w:pos="1024"/>
              </w:tabs>
              <w:spacing w:before="60" w:after="160" w:line="259" w:lineRule="auto"/>
              <w:jc w:val="both"/>
              <w:rPr>
                <w:rFonts w:eastAsia="Calibri" w:cs="Arial"/>
                <w:b/>
                <w:color w:val="000000"/>
                <w:lang w:eastAsia="en-GB"/>
              </w:rPr>
            </w:pPr>
            <w:r w:rsidRPr="008E1270">
              <w:rPr>
                <w:rFonts w:eastAsia="Calibri" w:cs="Arial"/>
                <w:b/>
                <w:color w:val="000000"/>
                <w:lang w:eastAsia="en-GB"/>
              </w:rPr>
              <w:t xml:space="preserve">Deadline for CFC Stage </w:t>
            </w:r>
            <w:r w:rsidR="00332B37">
              <w:rPr>
                <w:rFonts w:eastAsia="Calibri" w:cs="Arial"/>
                <w:b/>
                <w:color w:val="000000"/>
                <w:lang w:eastAsia="en-GB"/>
              </w:rPr>
              <w:t>1</w:t>
            </w:r>
            <w:r w:rsidRPr="008E1270">
              <w:rPr>
                <w:rFonts w:eastAsia="Calibri" w:cs="Arial"/>
                <w:b/>
                <w:color w:val="000000"/>
                <w:lang w:eastAsia="en-GB"/>
              </w:rPr>
              <w:t xml:space="preserve"> responses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8E1270" w:rsidRDefault="001F62DA" w:rsidP="004A2A31">
            <w:pPr>
              <w:spacing w:before="60" w:after="160" w:line="259" w:lineRule="auto"/>
              <w:rPr>
                <w:rFonts w:eastAsia="Calibri" w:cs="Arial"/>
                <w:b/>
                <w:lang w:eastAsia="en-GB"/>
              </w:rPr>
            </w:pPr>
            <w:r w:rsidRPr="008E1270">
              <w:rPr>
                <w:rFonts w:eastAsia="Calibri" w:cs="Arial"/>
                <w:b/>
                <w:lang w:eastAsia="en-GB"/>
              </w:rPr>
              <w:t>13.00 on Thursday 12</w:t>
            </w:r>
            <w:r w:rsidRPr="008E1270">
              <w:rPr>
                <w:rFonts w:eastAsia="Calibri" w:cs="Arial"/>
                <w:b/>
                <w:vertAlign w:val="superscript"/>
                <w:lang w:eastAsia="en-GB"/>
              </w:rPr>
              <w:t xml:space="preserve">th </w:t>
            </w:r>
            <w:r w:rsidRPr="008E1270">
              <w:rPr>
                <w:rFonts w:eastAsia="Calibri" w:cs="Arial"/>
                <w:b/>
                <w:lang w:eastAsia="en-GB"/>
              </w:rPr>
              <w:t>December 2019</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332B37">
            <w:pPr>
              <w:tabs>
                <w:tab w:val="left" w:pos="1024"/>
              </w:tabs>
              <w:spacing w:before="60" w:after="160" w:line="259" w:lineRule="auto"/>
              <w:jc w:val="both"/>
              <w:rPr>
                <w:rFonts w:eastAsia="Calibri" w:cs="Arial"/>
                <w:b/>
                <w:color w:val="000000"/>
                <w:lang w:eastAsia="en-GB"/>
              </w:rPr>
            </w:pPr>
            <w:r w:rsidRPr="00F308BB">
              <w:rPr>
                <w:rFonts w:eastAsia="Calibri" w:cs="Arial"/>
                <w:color w:val="000000"/>
                <w:lang w:eastAsia="en-GB"/>
              </w:rPr>
              <w:t xml:space="preserve">Evaluation of CFC Stage </w:t>
            </w:r>
            <w:r w:rsidR="00332B37">
              <w:rPr>
                <w:rFonts w:eastAsia="Calibri" w:cs="Arial"/>
                <w:color w:val="000000"/>
                <w:lang w:eastAsia="en-GB"/>
              </w:rPr>
              <w:t>1</w:t>
            </w:r>
            <w:r w:rsidRPr="00F308BB">
              <w:rPr>
                <w:rFonts w:eastAsia="Calibri" w:cs="Arial"/>
                <w:color w:val="000000"/>
                <w:lang w:eastAsia="en-GB"/>
              </w:rPr>
              <w:t xml:space="preserve"> responses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spacing w:before="60" w:after="160" w:line="259" w:lineRule="auto"/>
              <w:rPr>
                <w:rFonts w:eastAsia="Calibri" w:cs="Arial"/>
                <w:color w:val="FF0000"/>
                <w:lang w:eastAsia="en-GB"/>
              </w:rPr>
            </w:pPr>
            <w:r w:rsidRPr="00F308BB">
              <w:rPr>
                <w:rFonts w:eastAsia="Calibri" w:cs="Arial"/>
                <w:lang w:eastAsia="en-GB"/>
              </w:rPr>
              <w:t>Thursday 12</w:t>
            </w:r>
            <w:r w:rsidRPr="00F308BB">
              <w:rPr>
                <w:rFonts w:eastAsia="Calibri" w:cs="Arial"/>
                <w:vertAlign w:val="superscript"/>
                <w:lang w:eastAsia="en-GB"/>
              </w:rPr>
              <w:t>th</w:t>
            </w:r>
            <w:r w:rsidRPr="00F308BB">
              <w:rPr>
                <w:rFonts w:eastAsia="Calibri" w:cs="Arial"/>
                <w:lang w:eastAsia="en-GB"/>
              </w:rPr>
              <w:t xml:space="preserve"> </w:t>
            </w:r>
            <w:r>
              <w:rPr>
                <w:rFonts w:eastAsia="Calibri" w:cs="Arial"/>
                <w:lang w:eastAsia="en-GB"/>
              </w:rPr>
              <w:t>to Monday 16</w:t>
            </w:r>
            <w:r w:rsidRPr="0007140A">
              <w:rPr>
                <w:rFonts w:eastAsia="Calibri" w:cs="Arial"/>
                <w:vertAlign w:val="superscript"/>
                <w:lang w:eastAsia="en-GB"/>
              </w:rPr>
              <w:t>th</w:t>
            </w:r>
            <w:r>
              <w:rPr>
                <w:rFonts w:eastAsia="Calibri" w:cs="Arial"/>
                <w:lang w:eastAsia="en-GB"/>
              </w:rPr>
              <w:t xml:space="preserve"> </w:t>
            </w:r>
            <w:r w:rsidRPr="00F308BB">
              <w:rPr>
                <w:rFonts w:eastAsia="Calibri" w:cs="Arial"/>
                <w:lang w:eastAsia="en-GB"/>
              </w:rPr>
              <w:t>December 2019</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332B37">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 xml:space="preserve">Pitch presentation/s </w:t>
            </w:r>
            <w:r w:rsidR="00332B37">
              <w:rPr>
                <w:rFonts w:eastAsia="Calibri" w:cs="Arial"/>
                <w:color w:val="000000"/>
                <w:lang w:eastAsia="en-GB"/>
              </w:rPr>
              <w:t xml:space="preserve">Stage 2 </w:t>
            </w:r>
            <w:r w:rsidRPr="00F308BB">
              <w:rPr>
                <w:rFonts w:eastAsia="Calibri" w:cs="Arial"/>
                <w:color w:val="000000"/>
                <w:lang w:eastAsia="en-GB"/>
              </w:rPr>
              <w:t>(</w:t>
            </w:r>
            <w:r>
              <w:rPr>
                <w:rFonts w:eastAsia="Calibri" w:cs="Arial"/>
                <w:color w:val="000000"/>
                <w:lang w:eastAsia="en-GB"/>
              </w:rPr>
              <w:t xml:space="preserve">only </w:t>
            </w:r>
            <w:r w:rsidRPr="00F308BB">
              <w:rPr>
                <w:rFonts w:eastAsia="Calibri" w:cs="Arial"/>
                <w:color w:val="000000"/>
                <w:lang w:eastAsia="en-GB"/>
              </w:rPr>
              <w:t>if required)</w:t>
            </w:r>
            <w:r w:rsidR="00332B37">
              <w:rPr>
                <w:rFonts w:eastAsia="Calibri" w:cs="Arial"/>
                <w:color w:val="000000"/>
                <w:lang w:eastAsia="en-GB"/>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rPr>
                <w:rFonts w:eastAsia="Calibri" w:cs="Arial"/>
                <w:color w:val="FF0000"/>
                <w:lang w:eastAsia="en-GB"/>
              </w:rPr>
            </w:pPr>
            <w:r w:rsidRPr="00F308BB">
              <w:rPr>
                <w:rFonts w:eastAsia="Calibri" w:cs="Arial"/>
                <w:lang w:eastAsia="en-GB"/>
              </w:rPr>
              <w:t>Tuesday 17</w:t>
            </w:r>
            <w:r w:rsidRPr="00F308BB">
              <w:rPr>
                <w:rFonts w:eastAsia="Calibri" w:cs="Arial"/>
                <w:vertAlign w:val="superscript"/>
                <w:lang w:eastAsia="en-GB"/>
              </w:rPr>
              <w:t>th</w:t>
            </w:r>
            <w:r w:rsidRPr="00F308BB">
              <w:rPr>
                <w:rFonts w:eastAsia="Calibri" w:cs="Arial"/>
                <w:lang w:eastAsia="en-GB"/>
              </w:rPr>
              <w:t xml:space="preserve"> or Wednesday 18</w:t>
            </w:r>
            <w:r w:rsidRPr="00F308BB">
              <w:rPr>
                <w:rFonts w:eastAsia="Calibri" w:cs="Arial"/>
                <w:vertAlign w:val="superscript"/>
                <w:lang w:eastAsia="en-GB"/>
              </w:rPr>
              <w:t>th</w:t>
            </w:r>
            <w:r w:rsidRPr="00F308BB">
              <w:rPr>
                <w:rFonts w:eastAsia="Calibri" w:cs="Arial"/>
                <w:lang w:eastAsia="en-GB"/>
              </w:rPr>
              <w:t xml:space="preserve"> December 2019</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Notification of contract award decision and feedback on bids to Bidders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rPr>
                <w:rFonts w:eastAsia="Calibri" w:cs="Arial"/>
                <w:lang w:eastAsia="en-GB"/>
              </w:rPr>
            </w:pPr>
            <w:r w:rsidRPr="00F308BB">
              <w:rPr>
                <w:rFonts w:eastAsia="Calibri" w:cs="Arial"/>
                <w:lang w:eastAsia="en-GB"/>
              </w:rPr>
              <w:t>Thursday 19</w:t>
            </w:r>
            <w:r w:rsidRPr="00F308BB">
              <w:rPr>
                <w:rFonts w:eastAsia="Calibri" w:cs="Arial"/>
                <w:vertAlign w:val="superscript"/>
                <w:lang w:eastAsia="en-GB"/>
              </w:rPr>
              <w:t>th</w:t>
            </w:r>
            <w:r w:rsidRPr="00F308BB">
              <w:rPr>
                <w:rFonts w:eastAsia="Calibri" w:cs="Arial"/>
                <w:lang w:eastAsia="en-GB"/>
              </w:rPr>
              <w:t xml:space="preserve"> December 2019</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b/>
                <w:color w:val="000000"/>
                <w:lang w:eastAsia="en-GB"/>
              </w:rPr>
            </w:pPr>
            <w:r w:rsidRPr="00F308BB">
              <w:rPr>
                <w:rFonts w:eastAsia="Calibri" w:cs="Arial"/>
                <w:b/>
                <w:color w:val="000000"/>
                <w:lang w:eastAsia="en-GB"/>
              </w:rPr>
              <w:t xml:space="preserve">Christmas &amp; New Year Period – Assume Closure  </w:t>
            </w:r>
          </w:p>
        </w:tc>
        <w:tc>
          <w:tcPr>
            <w:tcW w:w="368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rsidR="001F62DA" w:rsidRPr="00F308BB" w:rsidRDefault="001F62DA" w:rsidP="004A2A31">
            <w:pPr>
              <w:tabs>
                <w:tab w:val="left" w:pos="1024"/>
              </w:tabs>
              <w:spacing w:before="60" w:after="160" w:line="259" w:lineRule="auto"/>
              <w:rPr>
                <w:rFonts w:eastAsia="Calibri" w:cs="Arial"/>
                <w:b/>
                <w:color w:val="FF0000"/>
                <w:lang w:eastAsia="en-GB"/>
              </w:rPr>
            </w:pPr>
            <w:r w:rsidRPr="00F308BB">
              <w:rPr>
                <w:rFonts w:eastAsia="Calibri" w:cs="Arial"/>
                <w:b/>
                <w:lang w:eastAsia="en-GB"/>
              </w:rPr>
              <w:t>Monday 23</w:t>
            </w:r>
            <w:r w:rsidRPr="00F308BB">
              <w:rPr>
                <w:rFonts w:eastAsia="Calibri" w:cs="Arial"/>
                <w:b/>
                <w:vertAlign w:val="superscript"/>
                <w:lang w:eastAsia="en-GB"/>
              </w:rPr>
              <w:t>rd</w:t>
            </w:r>
            <w:r w:rsidRPr="00F308BB">
              <w:rPr>
                <w:rFonts w:eastAsia="Calibri" w:cs="Arial"/>
                <w:b/>
                <w:lang w:eastAsia="en-GB"/>
              </w:rPr>
              <w:t xml:space="preserve"> December – Friday 3</w:t>
            </w:r>
            <w:r w:rsidRPr="00F308BB">
              <w:rPr>
                <w:rFonts w:eastAsia="Calibri" w:cs="Arial"/>
                <w:b/>
                <w:vertAlign w:val="superscript"/>
                <w:lang w:eastAsia="en-GB"/>
              </w:rPr>
              <w:t>rd</w:t>
            </w:r>
            <w:r w:rsidRPr="00F308BB">
              <w:rPr>
                <w:rFonts w:eastAsia="Calibri" w:cs="Arial"/>
                <w:b/>
                <w:lang w:eastAsia="en-GB"/>
              </w:rPr>
              <w:t xml:space="preserve"> January </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color w:val="000000"/>
                <w:lang w:eastAsia="en-GB"/>
              </w:rPr>
            </w:pPr>
            <w:r w:rsidRPr="00F308BB">
              <w:rPr>
                <w:rFonts w:eastAsia="Calibri" w:cs="Arial"/>
                <w:lang w:eastAsia="en-GB"/>
              </w:rPr>
              <w:t>Commencement date for the provision of services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rPr>
                <w:rFonts w:eastAsia="Calibri" w:cs="Arial"/>
                <w:lang w:eastAsia="en-GB"/>
              </w:rPr>
            </w:pPr>
            <w:r w:rsidRPr="00F308BB">
              <w:rPr>
                <w:rFonts w:eastAsia="Calibri" w:cs="Arial"/>
                <w:lang w:eastAsia="en-GB"/>
              </w:rPr>
              <w:t>WC 6</w:t>
            </w:r>
            <w:r w:rsidRPr="00F308BB">
              <w:rPr>
                <w:rFonts w:eastAsia="Calibri" w:cs="Arial"/>
                <w:vertAlign w:val="superscript"/>
                <w:lang w:eastAsia="en-GB"/>
              </w:rPr>
              <w:t>th</w:t>
            </w:r>
            <w:r w:rsidRPr="00F308BB">
              <w:rPr>
                <w:rFonts w:eastAsia="Calibri" w:cs="Arial"/>
                <w:lang w:eastAsia="en-GB"/>
              </w:rPr>
              <w:t xml:space="preserve"> January 2020</w:t>
            </w:r>
          </w:p>
        </w:tc>
      </w:tr>
      <w:tr w:rsidR="001F62DA" w:rsidRPr="00F308BB" w:rsidTr="004A2A31">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jc w:val="both"/>
              <w:rPr>
                <w:rFonts w:eastAsia="Calibri" w:cs="Arial"/>
                <w:color w:val="000000"/>
                <w:lang w:eastAsia="en-GB"/>
              </w:rPr>
            </w:pPr>
            <w:r w:rsidRPr="00F308BB">
              <w:rPr>
                <w:rFonts w:eastAsia="Calibri" w:cs="Arial"/>
                <w:color w:val="000000"/>
                <w:lang w:eastAsia="en-GB"/>
              </w:rPr>
              <w:t>Project set-up meeting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62DA" w:rsidRPr="00F308BB" w:rsidRDefault="001F62DA" w:rsidP="004A2A31">
            <w:pPr>
              <w:tabs>
                <w:tab w:val="left" w:pos="1024"/>
              </w:tabs>
              <w:spacing w:before="60" w:after="160" w:line="259" w:lineRule="auto"/>
              <w:rPr>
                <w:rFonts w:eastAsia="Calibri" w:cs="Arial"/>
                <w:lang w:eastAsia="en-GB"/>
              </w:rPr>
            </w:pPr>
            <w:r w:rsidRPr="00F308BB">
              <w:rPr>
                <w:rFonts w:eastAsia="Calibri" w:cs="Arial"/>
                <w:lang w:eastAsia="en-GB"/>
              </w:rPr>
              <w:t>WC 6</w:t>
            </w:r>
            <w:r w:rsidRPr="00F308BB">
              <w:rPr>
                <w:rFonts w:eastAsia="Calibri" w:cs="Arial"/>
                <w:vertAlign w:val="superscript"/>
                <w:lang w:eastAsia="en-GB"/>
              </w:rPr>
              <w:t>th</w:t>
            </w:r>
            <w:r w:rsidRPr="00F308BB">
              <w:rPr>
                <w:rFonts w:eastAsia="Calibri" w:cs="Arial"/>
                <w:lang w:eastAsia="en-GB"/>
              </w:rPr>
              <w:t xml:space="preserve"> January 2020</w:t>
            </w:r>
          </w:p>
        </w:tc>
      </w:tr>
    </w:tbl>
    <w:p w:rsidR="005E027A" w:rsidRDefault="005E027A" w:rsidP="005E027A">
      <w:pPr>
        <w:pStyle w:val="Bodysubclause"/>
        <w:spacing w:before="0" w:after="0"/>
        <w:ind w:left="0"/>
        <w:jc w:val="both"/>
        <w:rPr>
          <w:rFonts w:cs="Arial"/>
          <w:kern w:val="2"/>
        </w:rPr>
      </w:pPr>
    </w:p>
    <w:p w:rsidR="006F1144" w:rsidRDefault="006F1144" w:rsidP="005E027A">
      <w:pPr>
        <w:pStyle w:val="Bodysubclause"/>
        <w:spacing w:before="0" w:after="0"/>
        <w:ind w:left="0"/>
        <w:jc w:val="both"/>
        <w:rPr>
          <w:rFonts w:cs="Arial"/>
          <w:kern w:val="2"/>
        </w:rPr>
      </w:pPr>
    </w:p>
    <w:p w:rsidR="004B4D03" w:rsidRPr="005E027A" w:rsidRDefault="005E027A" w:rsidP="005E027A">
      <w:pPr>
        <w:pStyle w:val="Bodysubclause"/>
        <w:spacing w:before="0" w:after="0"/>
        <w:ind w:left="0"/>
        <w:jc w:val="both"/>
        <w:rPr>
          <w:b/>
        </w:rPr>
      </w:pPr>
      <w:r w:rsidRPr="009543D7">
        <w:rPr>
          <w:rFonts w:cs="Arial"/>
          <w:b/>
          <w:kern w:val="2"/>
        </w:rPr>
        <w:t>5.2</w:t>
      </w:r>
      <w:r>
        <w:rPr>
          <w:rFonts w:cs="Arial"/>
          <w:kern w:val="2"/>
        </w:rPr>
        <w:tab/>
      </w:r>
      <w:r>
        <w:rPr>
          <w:b/>
        </w:rPr>
        <w:t>Deadline for R</w:t>
      </w:r>
      <w:r w:rsidR="002C3850" w:rsidRPr="005E027A">
        <w:rPr>
          <w:b/>
        </w:rPr>
        <w:t xml:space="preserve">eceipt of </w:t>
      </w:r>
      <w:r w:rsidR="00BD7DAB" w:rsidRPr="005E027A">
        <w:rPr>
          <w:b/>
        </w:rPr>
        <w:t>T</w:t>
      </w:r>
      <w:r w:rsidR="002C3850" w:rsidRPr="005E027A">
        <w:rPr>
          <w:b/>
        </w:rPr>
        <w:t>enders</w:t>
      </w:r>
      <w:bookmarkEnd w:id="30"/>
      <w:bookmarkEnd w:id="31"/>
      <w:bookmarkEnd w:id="32"/>
      <w:bookmarkEnd w:id="33"/>
    </w:p>
    <w:p w:rsidR="00B33B58" w:rsidRDefault="00B33B58" w:rsidP="00B33B58">
      <w:pPr>
        <w:pStyle w:val="Heading9"/>
      </w:pPr>
    </w:p>
    <w:p w:rsidR="000828B1" w:rsidRPr="00B33B58" w:rsidRDefault="005E027A" w:rsidP="00B33B58">
      <w:pPr>
        <w:pStyle w:val="Heading9"/>
      </w:pPr>
      <w:r w:rsidRPr="00B33B58">
        <w:t>5.2.1</w:t>
      </w:r>
      <w:r w:rsidRPr="00B33B58">
        <w:tab/>
      </w:r>
      <w:r w:rsidR="002C3850" w:rsidRPr="00B33B58">
        <w:t xml:space="preserve">Responses to this </w:t>
      </w:r>
      <w:r w:rsidR="00834F45" w:rsidRPr="00B33B58">
        <w:t>CFC</w:t>
      </w:r>
      <w:r w:rsidR="002C3850" w:rsidRPr="00B33B58">
        <w:t xml:space="preserve"> must arrive no later than the </w:t>
      </w:r>
      <w:r w:rsidR="00B848AF" w:rsidRPr="00B33B58">
        <w:t>d</w:t>
      </w:r>
      <w:r w:rsidR="002C3850" w:rsidRPr="00B33B58">
        <w:t>eadline</w:t>
      </w:r>
      <w:r w:rsidR="00F01D7C" w:rsidRPr="00B33B58">
        <w:t xml:space="preserve"> specified above</w:t>
      </w:r>
      <w:r w:rsidR="002C3850" w:rsidRPr="00B33B58">
        <w:t>.</w:t>
      </w:r>
      <w:r w:rsidRPr="00B33B58">
        <w:t xml:space="preserve"> </w:t>
      </w:r>
      <w:r w:rsidR="00480E79" w:rsidRPr="00B33B58">
        <w:t xml:space="preserve">The portal will </w:t>
      </w:r>
      <w:r w:rsidR="00F01D7C" w:rsidRPr="00B33B58">
        <w:t xml:space="preserve">block any attempt by a bidder to submit a response </w:t>
      </w:r>
      <w:r w:rsidR="002C3850" w:rsidRPr="00B33B58">
        <w:t>after th</w:t>
      </w:r>
      <w:r w:rsidR="00F01D7C" w:rsidRPr="00B33B58">
        <w:t xml:space="preserve">is </w:t>
      </w:r>
      <w:r w:rsidR="00B848AF" w:rsidRPr="00B33B58">
        <w:t>d</w:t>
      </w:r>
      <w:r w:rsidR="002C3850" w:rsidRPr="00B33B58">
        <w:t xml:space="preserve">eadline </w:t>
      </w:r>
      <w:r w:rsidR="00F01D7C" w:rsidRPr="00B33B58">
        <w:t xml:space="preserve">passes and HSE will not consider individual requests to accept a late </w:t>
      </w:r>
      <w:r w:rsidR="000828B1" w:rsidRPr="00B33B58">
        <w:t>submission</w:t>
      </w:r>
      <w:r w:rsidR="00F01D7C" w:rsidRPr="00B33B58">
        <w:t>.</w:t>
      </w:r>
      <w:r w:rsidR="00E74C1C" w:rsidRPr="00B33B58">
        <w:t xml:space="preserve"> </w:t>
      </w:r>
    </w:p>
    <w:p w:rsidR="00B33B58" w:rsidRDefault="00B33B58" w:rsidP="00B33B58">
      <w:pPr>
        <w:pStyle w:val="Heading9"/>
      </w:pPr>
    </w:p>
    <w:p w:rsidR="004B4D03" w:rsidRPr="00B33B58" w:rsidRDefault="000828B1" w:rsidP="00B33B58">
      <w:pPr>
        <w:pStyle w:val="Heading9"/>
      </w:pPr>
      <w:r w:rsidRPr="00B33B58">
        <w:t>5.2.2</w:t>
      </w:r>
      <w:r w:rsidRPr="00B33B58">
        <w:tab/>
      </w:r>
      <w:r w:rsidR="0055210D" w:rsidRPr="00B33B58">
        <w:t xml:space="preserve">The </w:t>
      </w:r>
      <w:r w:rsidR="003F2840" w:rsidRPr="00B33B58">
        <w:t xml:space="preserve">Health &amp; </w:t>
      </w:r>
      <w:r w:rsidR="005E027A" w:rsidRPr="00B33B58">
        <w:tab/>
      </w:r>
      <w:r w:rsidR="003F2840" w:rsidRPr="00B33B58">
        <w:t xml:space="preserve">Safety </w:t>
      </w:r>
      <w:r w:rsidR="005E027A" w:rsidRPr="00B33B58">
        <w:tab/>
      </w:r>
      <w:r w:rsidR="003F2840" w:rsidRPr="00B33B58">
        <w:t xml:space="preserve">Executive (HSE) </w:t>
      </w:r>
      <w:r w:rsidR="002C3850" w:rsidRPr="00B33B58">
        <w:t xml:space="preserve">may, however, extend the </w:t>
      </w:r>
      <w:r w:rsidRPr="00B33B58">
        <w:t xml:space="preserve">submission </w:t>
      </w:r>
      <w:r w:rsidR="00B848AF" w:rsidRPr="00B33B58">
        <w:t>d</w:t>
      </w:r>
      <w:r w:rsidR="002C3850" w:rsidRPr="00B33B58">
        <w:t xml:space="preserve">eadline </w:t>
      </w:r>
      <w:r w:rsidR="00B848AF" w:rsidRPr="00B33B58">
        <w:t>at our discretion. I</w:t>
      </w:r>
      <w:r w:rsidR="00A97E78" w:rsidRPr="00B33B58">
        <w:t xml:space="preserve">n </w:t>
      </w:r>
      <w:r w:rsidRPr="00B33B58">
        <w:tab/>
      </w:r>
      <w:r w:rsidR="00A97E78" w:rsidRPr="00B33B58">
        <w:t xml:space="preserve">such </w:t>
      </w:r>
      <w:r w:rsidR="005E027A" w:rsidRPr="00B33B58">
        <w:tab/>
      </w:r>
      <w:r w:rsidR="00A97E78" w:rsidRPr="00B33B58">
        <w:t xml:space="preserve">circumstances, </w:t>
      </w:r>
      <w:r w:rsidR="00B848AF" w:rsidRPr="00B33B58">
        <w:t>we will</w:t>
      </w:r>
      <w:r w:rsidR="002C3850" w:rsidRPr="00B33B58">
        <w:t xml:space="preserve"> notify all </w:t>
      </w:r>
      <w:r w:rsidR="00A17F46" w:rsidRPr="00B33B58">
        <w:t>Bidder</w:t>
      </w:r>
      <w:r w:rsidR="002C3850" w:rsidRPr="00B33B58">
        <w:t>s of any change</w:t>
      </w:r>
      <w:r w:rsidR="005E027A" w:rsidRPr="00B33B58">
        <w:t xml:space="preserve"> through the e-portal</w:t>
      </w:r>
      <w:r w:rsidR="00F01D7C" w:rsidRPr="00B33B58">
        <w:t xml:space="preserve"> and the system updated to accept submissions to the revised deadline</w:t>
      </w:r>
      <w:r w:rsidR="005E027A" w:rsidRPr="00B33B58">
        <w:t>.</w:t>
      </w:r>
    </w:p>
    <w:p w:rsidR="00B33B58" w:rsidRDefault="00B33B58" w:rsidP="00B33B58">
      <w:pPr>
        <w:pStyle w:val="Heading9"/>
      </w:pPr>
    </w:p>
    <w:p w:rsidR="00F6710C" w:rsidRPr="00B33B58" w:rsidRDefault="005E027A" w:rsidP="00B33B58">
      <w:pPr>
        <w:pStyle w:val="Heading9"/>
      </w:pPr>
      <w:r w:rsidRPr="00B33B58">
        <w:t>5.2.</w:t>
      </w:r>
      <w:r w:rsidR="000828B1" w:rsidRPr="00B33B58">
        <w:t>3</w:t>
      </w:r>
      <w:r w:rsidRPr="00B33B58">
        <w:tab/>
      </w:r>
      <w:r w:rsidR="00F769C6" w:rsidRPr="00B33B58">
        <w:t>Any Nil Responses to the invitation to Stage 1 of the will be treated as confirmation of your intention NOT to participate in this competition</w:t>
      </w:r>
      <w:r w:rsidR="00F6710C" w:rsidRPr="00B33B58">
        <w:t>.</w:t>
      </w:r>
      <w:r w:rsidR="00F769C6" w:rsidRPr="00B33B58">
        <w:t xml:space="preserve"> </w:t>
      </w:r>
      <w:bookmarkStart w:id="34" w:name="_Toc461530152"/>
      <w:bookmarkStart w:id="35" w:name="_Toc461530350"/>
      <w:bookmarkStart w:id="36" w:name="_Toc461551489"/>
    </w:p>
    <w:p w:rsidR="00B33B58" w:rsidRDefault="00B33B58" w:rsidP="00B33B58">
      <w:pPr>
        <w:pStyle w:val="Heading9"/>
      </w:pPr>
    </w:p>
    <w:p w:rsidR="0037531A" w:rsidRPr="00B33B58" w:rsidRDefault="005E027A" w:rsidP="00B33B58">
      <w:pPr>
        <w:pStyle w:val="Heading9"/>
      </w:pPr>
      <w:r w:rsidRPr="009543D7">
        <w:rPr>
          <w:b/>
        </w:rPr>
        <w:t>5.3</w:t>
      </w:r>
      <w:r w:rsidRPr="00B33B58">
        <w:tab/>
      </w:r>
      <w:r w:rsidR="00F40885" w:rsidRPr="00B33B58">
        <w:rPr>
          <w:b/>
        </w:rPr>
        <w:t>Bidder</w:t>
      </w:r>
      <w:r w:rsidRPr="00B33B58">
        <w:rPr>
          <w:b/>
        </w:rPr>
        <w:t xml:space="preserve"> P</w:t>
      </w:r>
      <w:r w:rsidR="0084703D" w:rsidRPr="00B33B58">
        <w:rPr>
          <w:b/>
        </w:rPr>
        <w:t>resentations</w:t>
      </w:r>
    </w:p>
    <w:p w:rsidR="00B33B58" w:rsidRDefault="00B33B58" w:rsidP="00B33B58">
      <w:pPr>
        <w:pStyle w:val="Heading9"/>
      </w:pPr>
    </w:p>
    <w:p w:rsidR="00B4580B" w:rsidRPr="006F1144" w:rsidRDefault="005E027A" w:rsidP="00B33B58">
      <w:pPr>
        <w:pStyle w:val="Heading9"/>
      </w:pPr>
      <w:r w:rsidRPr="006F1144">
        <w:t>5.3.1</w:t>
      </w:r>
      <w:r w:rsidRPr="006F1144">
        <w:tab/>
      </w:r>
      <w:r w:rsidR="007228D4" w:rsidRPr="006F1144">
        <w:t>The</w:t>
      </w:r>
      <w:r w:rsidR="00B4580B" w:rsidRPr="006F1144">
        <w:t xml:space="preserve"> </w:t>
      </w:r>
      <w:r w:rsidR="00A17F46" w:rsidRPr="006F1144">
        <w:t>Bidder</w:t>
      </w:r>
      <w:r w:rsidR="00B4580B" w:rsidRPr="006F1144">
        <w:t xml:space="preserve">s </w:t>
      </w:r>
      <w:r w:rsidR="007228D4" w:rsidRPr="006F1144">
        <w:t>participating in Stage 2</w:t>
      </w:r>
      <w:r w:rsidR="009543D7">
        <w:t xml:space="preserve"> (only if required)</w:t>
      </w:r>
      <w:r w:rsidR="007228D4" w:rsidRPr="006F1144">
        <w:t xml:space="preserve"> of the CFC </w:t>
      </w:r>
      <w:r w:rsidR="00DF0D1C" w:rsidRPr="006F1144">
        <w:t>may</w:t>
      </w:r>
      <w:r w:rsidR="00B4580B" w:rsidRPr="006F1144">
        <w:t xml:space="preserve"> be invited to deliver a presentation to representatives of The</w:t>
      </w:r>
      <w:r w:rsidR="00242038" w:rsidRPr="006F1144">
        <w:t xml:space="preserve"> Health &amp; Safety Executive (HSE)</w:t>
      </w:r>
      <w:r w:rsidR="00B4580B" w:rsidRPr="006F1144">
        <w:t xml:space="preserve"> in support of their Tenders, as set out in the</w:t>
      </w:r>
      <w:r w:rsidR="00803BDC" w:rsidRPr="006F1144">
        <w:t xml:space="preserve"> timetable. You should keep these</w:t>
      </w:r>
      <w:r w:rsidR="00B4580B" w:rsidRPr="006F1144">
        <w:t xml:space="preserve"> date</w:t>
      </w:r>
      <w:r w:rsidR="00803BDC" w:rsidRPr="006F1144">
        <w:t>s</w:t>
      </w:r>
      <w:r w:rsidR="00B4580B" w:rsidRPr="006F1144">
        <w:t xml:space="preserve"> free in case you are asked to attend.</w:t>
      </w:r>
    </w:p>
    <w:p w:rsidR="009543D7" w:rsidRDefault="009543D7" w:rsidP="00B33B58">
      <w:pPr>
        <w:pStyle w:val="Heading9"/>
      </w:pPr>
    </w:p>
    <w:p w:rsidR="00B4580B" w:rsidRPr="006F1144" w:rsidRDefault="005E027A" w:rsidP="00B33B58">
      <w:pPr>
        <w:pStyle w:val="Heading9"/>
      </w:pPr>
      <w:r w:rsidRPr="006F1144">
        <w:t>5.3.2</w:t>
      </w:r>
      <w:r w:rsidRPr="006F1144">
        <w:tab/>
      </w:r>
      <w:r w:rsidR="00B4580B" w:rsidRPr="006F1144">
        <w:t>The presentations will be used</w:t>
      </w:r>
      <w:r w:rsidR="007A6FC5" w:rsidRPr="006F1144">
        <w:t xml:space="preserve"> to </w:t>
      </w:r>
      <w:r w:rsidR="00B4580B" w:rsidRPr="006F1144">
        <w:t>moderate the wr</w:t>
      </w:r>
      <w:r w:rsidR="00A17F46" w:rsidRPr="006F1144">
        <w:t>itt</w:t>
      </w:r>
      <w:r w:rsidR="00B4580B" w:rsidRPr="006F1144">
        <w:t>en submission</w:t>
      </w:r>
      <w:r w:rsidR="007A6FC5" w:rsidRPr="006F1144">
        <w:t xml:space="preserve">s for the evaluation criteria </w:t>
      </w:r>
      <w:r w:rsidR="00B4580B" w:rsidRPr="006F1144">
        <w:t>specified in the Tender evaluation model.</w:t>
      </w:r>
    </w:p>
    <w:p w:rsidR="0084703D" w:rsidRPr="00B33B58" w:rsidRDefault="00F01D7C" w:rsidP="00F01D7C">
      <w:pPr>
        <w:pStyle w:val="Heading2"/>
        <w:numPr>
          <w:ilvl w:val="0"/>
          <w:numId w:val="0"/>
        </w:numPr>
        <w:ind w:left="720" w:hanging="720"/>
        <w:jc w:val="both"/>
        <w:rPr>
          <w:color w:val="auto"/>
          <w:sz w:val="22"/>
          <w:szCs w:val="22"/>
        </w:rPr>
      </w:pPr>
      <w:bookmarkStart w:id="37" w:name="_Toc523410838"/>
      <w:r w:rsidRPr="00B33B58">
        <w:rPr>
          <w:color w:val="auto"/>
          <w:sz w:val="22"/>
          <w:szCs w:val="22"/>
        </w:rPr>
        <w:t>5.4</w:t>
      </w:r>
      <w:r w:rsidRPr="00B33B58">
        <w:rPr>
          <w:b w:val="0"/>
          <w:color w:val="auto"/>
          <w:sz w:val="22"/>
          <w:szCs w:val="22"/>
        </w:rPr>
        <w:tab/>
      </w:r>
      <w:r w:rsidRPr="00B33B58">
        <w:rPr>
          <w:color w:val="auto"/>
          <w:sz w:val="22"/>
          <w:szCs w:val="22"/>
        </w:rPr>
        <w:t>Contract A</w:t>
      </w:r>
      <w:r w:rsidR="0084703D" w:rsidRPr="00B33B58">
        <w:rPr>
          <w:color w:val="auto"/>
          <w:sz w:val="22"/>
          <w:szCs w:val="22"/>
        </w:rPr>
        <w:t>ward</w:t>
      </w:r>
      <w:bookmarkEnd w:id="37"/>
    </w:p>
    <w:bookmarkEnd w:id="34"/>
    <w:bookmarkEnd w:id="35"/>
    <w:bookmarkEnd w:id="36"/>
    <w:p w:rsidR="004B4D03" w:rsidRPr="006F1144" w:rsidRDefault="00F01D7C" w:rsidP="00B33B58">
      <w:pPr>
        <w:pStyle w:val="Heading9"/>
      </w:pPr>
      <w:r w:rsidRPr="006F1144">
        <w:t>5.4.1</w:t>
      </w:r>
      <w:r w:rsidRPr="006F1144">
        <w:tab/>
      </w:r>
      <w:r w:rsidR="00603364" w:rsidRPr="006F1144">
        <w:t>C</w:t>
      </w:r>
      <w:r w:rsidR="002C3850" w:rsidRPr="006F1144">
        <w:t xml:space="preserve">ontract award </w:t>
      </w:r>
      <w:r w:rsidR="002C528A" w:rsidRPr="006F1144">
        <w:t xml:space="preserve">will be </w:t>
      </w:r>
      <w:r w:rsidR="002C3850" w:rsidRPr="006F1144">
        <w:t xml:space="preserve">subject to the formal </w:t>
      </w:r>
      <w:r w:rsidRPr="006F1144">
        <w:t xml:space="preserve">governance and </w:t>
      </w:r>
      <w:r w:rsidR="002C3850" w:rsidRPr="006F1144">
        <w:t xml:space="preserve">approval process of </w:t>
      </w:r>
      <w:r w:rsidR="00BE795F" w:rsidRPr="006F1144">
        <w:t>The</w:t>
      </w:r>
      <w:r w:rsidR="00E74C1C" w:rsidRPr="006F1144">
        <w:t xml:space="preserve"> Health &amp; Safety Executive (HSE)</w:t>
      </w:r>
      <w:r w:rsidR="002C3850" w:rsidRPr="006F1144">
        <w:t xml:space="preserve">. Until all necessary approvals </w:t>
      </w:r>
      <w:r w:rsidR="004770F4" w:rsidRPr="006F1144">
        <w:t xml:space="preserve">have been </w:t>
      </w:r>
      <w:r w:rsidR="002C3850" w:rsidRPr="006F1144">
        <w:t xml:space="preserve">obtained, no </w:t>
      </w:r>
      <w:r w:rsidR="004770F4" w:rsidRPr="006F1144">
        <w:t>c</w:t>
      </w:r>
      <w:r w:rsidR="002C3850" w:rsidRPr="006F1144">
        <w:t>ontract(s) will be entered into.</w:t>
      </w:r>
    </w:p>
    <w:p w:rsidR="009543D7" w:rsidRDefault="009543D7" w:rsidP="00F01D7C">
      <w:pPr>
        <w:ind w:left="720" w:hanging="720"/>
        <w:jc w:val="both"/>
      </w:pPr>
    </w:p>
    <w:p w:rsidR="00F01D7C" w:rsidRDefault="00F01D7C" w:rsidP="00F01D7C">
      <w:pPr>
        <w:ind w:left="720" w:hanging="720"/>
        <w:jc w:val="both"/>
        <w:rPr>
          <w:color w:val="000000"/>
        </w:rPr>
      </w:pPr>
      <w:r>
        <w:t>5.4.2</w:t>
      </w:r>
      <w:r>
        <w:tab/>
      </w:r>
      <w:r>
        <w:rPr>
          <w:color w:val="000000"/>
        </w:rPr>
        <w:t>Following the conclusion of the procurement process all bidders will be informed whether or not they have been successful.  Feedback will be provided on how you scored against the published evaluation criteria.</w:t>
      </w:r>
      <w:r w:rsidR="002C528A">
        <w:rPr>
          <w:color w:val="000000"/>
        </w:rPr>
        <w:t xml:space="preserve"> HSE will also inform those who are unsuccessful </w:t>
      </w:r>
      <w:r w:rsidR="009318CE">
        <w:rPr>
          <w:color w:val="000000"/>
        </w:rPr>
        <w:t xml:space="preserve">as to </w:t>
      </w:r>
      <w:r w:rsidR="002C528A">
        <w:rPr>
          <w:color w:val="000000"/>
        </w:rPr>
        <w:t>the identity of the winning bidder.</w:t>
      </w:r>
    </w:p>
    <w:p w:rsidR="006665DB" w:rsidRPr="00B33B58" w:rsidRDefault="002C528A" w:rsidP="009318CE">
      <w:pPr>
        <w:pStyle w:val="Heading1"/>
        <w:numPr>
          <w:ilvl w:val="0"/>
          <w:numId w:val="0"/>
        </w:numPr>
        <w:ind w:left="720" w:hanging="720"/>
        <w:jc w:val="both"/>
        <w:rPr>
          <w:color w:val="auto"/>
          <w:kern w:val="2"/>
          <w:sz w:val="24"/>
          <w:szCs w:val="24"/>
        </w:rPr>
      </w:pPr>
      <w:bookmarkStart w:id="38" w:name="a268968"/>
      <w:bookmarkStart w:id="39" w:name="_Toc448841786"/>
      <w:bookmarkStart w:id="40" w:name="_Toc461530356"/>
      <w:bookmarkStart w:id="41" w:name="_Toc461530600"/>
      <w:bookmarkStart w:id="42" w:name="_Toc461551495"/>
      <w:bookmarkStart w:id="43" w:name="_Toc523410840"/>
      <w:r w:rsidRPr="00B33B58">
        <w:rPr>
          <w:color w:val="auto"/>
          <w:kern w:val="2"/>
          <w:sz w:val="24"/>
          <w:szCs w:val="24"/>
        </w:rPr>
        <w:t>6</w:t>
      </w:r>
      <w:r w:rsidRPr="00B33B58">
        <w:rPr>
          <w:color w:val="auto"/>
          <w:kern w:val="2"/>
          <w:sz w:val="24"/>
          <w:szCs w:val="24"/>
        </w:rPr>
        <w:tab/>
      </w:r>
      <w:r w:rsidR="002C3850" w:rsidRPr="00B33B58">
        <w:rPr>
          <w:color w:val="auto"/>
          <w:kern w:val="2"/>
          <w:sz w:val="24"/>
          <w:szCs w:val="24"/>
        </w:rPr>
        <w:t>Tender completion information</w:t>
      </w:r>
      <w:bookmarkStart w:id="44" w:name="a71839"/>
      <w:bookmarkEnd w:id="38"/>
      <w:bookmarkEnd w:id="39"/>
      <w:bookmarkEnd w:id="40"/>
      <w:bookmarkEnd w:id="41"/>
      <w:bookmarkEnd w:id="42"/>
      <w:bookmarkEnd w:id="43"/>
    </w:p>
    <w:p w:rsidR="00F13F51" w:rsidRPr="00B33B58" w:rsidRDefault="002C528A" w:rsidP="009318CE">
      <w:pPr>
        <w:pStyle w:val="Heading2"/>
        <w:numPr>
          <w:ilvl w:val="0"/>
          <w:numId w:val="0"/>
        </w:numPr>
        <w:ind w:left="720" w:hanging="720"/>
        <w:jc w:val="both"/>
        <w:rPr>
          <w:color w:val="auto"/>
          <w:sz w:val="22"/>
          <w:szCs w:val="22"/>
        </w:rPr>
      </w:pPr>
      <w:bookmarkStart w:id="45" w:name="_Toc523410841"/>
      <w:bookmarkEnd w:id="44"/>
      <w:r w:rsidRPr="00B33B58">
        <w:rPr>
          <w:color w:val="auto"/>
          <w:sz w:val="22"/>
          <w:szCs w:val="22"/>
        </w:rPr>
        <w:t>6.1</w:t>
      </w:r>
      <w:r w:rsidRPr="00B33B58">
        <w:rPr>
          <w:color w:val="auto"/>
          <w:sz w:val="22"/>
          <w:szCs w:val="22"/>
        </w:rPr>
        <w:tab/>
      </w:r>
      <w:r w:rsidR="00F13F51" w:rsidRPr="00B33B58">
        <w:rPr>
          <w:color w:val="auto"/>
          <w:sz w:val="22"/>
          <w:szCs w:val="22"/>
        </w:rPr>
        <w:t>Formalities</w:t>
      </w:r>
      <w:bookmarkEnd w:id="45"/>
    </w:p>
    <w:p w:rsidR="00F13F51" w:rsidRPr="006F1144" w:rsidRDefault="00F13F51" w:rsidP="00B33B58">
      <w:pPr>
        <w:pStyle w:val="Heading9"/>
        <w:ind w:firstLine="0"/>
      </w:pPr>
      <w:r w:rsidRPr="006F1144">
        <w:t xml:space="preserve">All Tenders </w:t>
      </w:r>
      <w:r w:rsidR="009318CE" w:rsidRPr="006F1144">
        <w:t xml:space="preserve">are required to </w:t>
      </w:r>
      <w:r w:rsidRPr="006F1144">
        <w:t xml:space="preserve">remain valid and open for a minimum period of </w:t>
      </w:r>
      <w:r w:rsidR="00803ADE" w:rsidRPr="006F1144">
        <w:t>120</w:t>
      </w:r>
      <w:r w:rsidRPr="006F1144">
        <w:t xml:space="preserve"> days from the closing date of the Tender.</w:t>
      </w:r>
    </w:p>
    <w:p w:rsidR="007228D4" w:rsidRPr="00B33B58" w:rsidRDefault="009318CE" w:rsidP="009318CE">
      <w:pPr>
        <w:pStyle w:val="Heading2"/>
        <w:numPr>
          <w:ilvl w:val="0"/>
          <w:numId w:val="0"/>
        </w:numPr>
        <w:ind w:left="720" w:hanging="720"/>
        <w:jc w:val="both"/>
        <w:rPr>
          <w:color w:val="auto"/>
          <w:sz w:val="22"/>
          <w:szCs w:val="22"/>
        </w:rPr>
      </w:pPr>
      <w:bookmarkStart w:id="46" w:name="_Toc523410842"/>
      <w:r w:rsidRPr="00B33B58">
        <w:rPr>
          <w:color w:val="auto"/>
          <w:sz w:val="22"/>
          <w:szCs w:val="22"/>
        </w:rPr>
        <w:t>6.2</w:t>
      </w:r>
      <w:r w:rsidRPr="00B33B58">
        <w:rPr>
          <w:color w:val="auto"/>
          <w:sz w:val="22"/>
          <w:szCs w:val="22"/>
        </w:rPr>
        <w:tab/>
      </w:r>
      <w:r w:rsidR="00D0331E" w:rsidRPr="00B33B58">
        <w:rPr>
          <w:color w:val="auto"/>
          <w:sz w:val="22"/>
          <w:szCs w:val="22"/>
        </w:rPr>
        <w:t>Tender Response and F</w:t>
      </w:r>
      <w:r w:rsidR="007228D4" w:rsidRPr="00B33B58">
        <w:rPr>
          <w:color w:val="auto"/>
          <w:sz w:val="22"/>
          <w:szCs w:val="22"/>
        </w:rPr>
        <w:t>ormat</w:t>
      </w:r>
      <w:bookmarkEnd w:id="46"/>
    </w:p>
    <w:p w:rsidR="007228D4" w:rsidRDefault="00627E8F" w:rsidP="00B33B58">
      <w:pPr>
        <w:pStyle w:val="Heading9"/>
        <w:ind w:firstLine="0"/>
      </w:pPr>
      <w:bookmarkStart w:id="47" w:name="_Hlk511033448"/>
      <w:r w:rsidRPr="00627E8F">
        <w:t>It is recommended that you read the CFC in its entirety before starting to draft your Response.</w:t>
      </w:r>
      <w:r w:rsidR="00B33B58">
        <w:t xml:space="preserve">  </w:t>
      </w:r>
      <w:r w:rsidR="007228D4" w:rsidRPr="007228D4">
        <w:rPr>
          <w:lang w:val="en-US"/>
        </w:rPr>
        <w:t xml:space="preserve">Bidders are required to submit </w:t>
      </w:r>
      <w:r w:rsidR="007228D4" w:rsidRPr="007228D4">
        <w:t xml:space="preserve">one electronic copy of their response to (Stage 1 as appropriate) of this CFC in Microsoft Word or PDF format via </w:t>
      </w:r>
      <w:r w:rsidR="007228D4" w:rsidRPr="007228D4">
        <w:rPr>
          <w:kern w:val="2"/>
        </w:rPr>
        <w:t>our e-tendering portal</w:t>
      </w:r>
      <w:r w:rsidR="007228D4" w:rsidRPr="007228D4">
        <w:t xml:space="preserve"> by the time and date specified in section 5.1.</w:t>
      </w:r>
    </w:p>
    <w:p w:rsidR="00F13F51" w:rsidRDefault="00F13F51" w:rsidP="009318CE">
      <w:pPr>
        <w:jc w:val="both"/>
      </w:pPr>
    </w:p>
    <w:p w:rsidR="00F13F51" w:rsidRPr="0053572A" w:rsidRDefault="009318CE" w:rsidP="006F1144">
      <w:pPr>
        <w:ind w:left="720" w:hanging="720"/>
        <w:jc w:val="both"/>
      </w:pPr>
      <w:r>
        <w:t>6.3</w:t>
      </w:r>
      <w:r>
        <w:tab/>
      </w:r>
      <w:r w:rsidR="00F13F51" w:rsidRPr="0053572A">
        <w:t xml:space="preserve">Please </w:t>
      </w:r>
      <w:r>
        <w:t xml:space="preserve">ensure that you </w:t>
      </w:r>
      <w:r w:rsidR="00F13F51" w:rsidRPr="0053572A">
        <w:t xml:space="preserve">provide a named individual responsible for </w:t>
      </w:r>
      <w:r w:rsidR="00480E79">
        <w:t xml:space="preserve">addressing any queries in </w:t>
      </w:r>
      <w:r w:rsidR="000E7B4B">
        <w:t>relation to the submission</w:t>
      </w:r>
      <w:r w:rsidR="00F13F51" w:rsidRPr="0053572A">
        <w:t>.</w:t>
      </w:r>
    </w:p>
    <w:p w:rsidR="00F13F51" w:rsidRPr="007228D4" w:rsidRDefault="00F13F51" w:rsidP="009318CE">
      <w:pPr>
        <w:jc w:val="both"/>
      </w:pPr>
    </w:p>
    <w:p w:rsidR="007228D4" w:rsidRPr="006B6BE8" w:rsidRDefault="000E7B4B" w:rsidP="006F1144">
      <w:pPr>
        <w:ind w:left="720" w:hanging="720"/>
        <w:jc w:val="both"/>
        <w:rPr>
          <w:rFonts w:cs="Calibri"/>
        </w:rPr>
      </w:pPr>
      <w:bookmarkStart w:id="48" w:name="_Hlk505850988"/>
      <w:bookmarkEnd w:id="47"/>
      <w:r>
        <w:rPr>
          <w:rFonts w:cs="Calibri"/>
        </w:rPr>
        <w:t>6.4</w:t>
      </w:r>
      <w:r>
        <w:rPr>
          <w:rFonts w:cs="Calibri"/>
        </w:rPr>
        <w:tab/>
      </w:r>
      <w:r w:rsidR="007228D4" w:rsidRPr="003A2B5A">
        <w:rPr>
          <w:rFonts w:cs="Calibri"/>
        </w:rPr>
        <w:t xml:space="preserve">Proposals should be tailored specifically to the requirements as defined in the </w:t>
      </w:r>
      <w:r w:rsidR="007228D4" w:rsidRPr="000E7B4B">
        <w:rPr>
          <w:rFonts w:cs="Calibri"/>
        </w:rPr>
        <w:t xml:space="preserve">Specification </w:t>
      </w:r>
      <w:r w:rsidRPr="000E7B4B">
        <w:rPr>
          <w:rFonts w:cs="Calibri"/>
        </w:rPr>
        <w:tab/>
      </w:r>
      <w:r w:rsidR="007228D4" w:rsidRPr="000E7B4B">
        <w:rPr>
          <w:rFonts w:cs="Calibri"/>
        </w:rPr>
        <w:t>(Appendix 1)</w:t>
      </w:r>
      <w:r w:rsidR="00047226">
        <w:rPr>
          <w:rFonts w:cs="Calibri"/>
        </w:rPr>
        <w:t>.</w:t>
      </w:r>
      <w:bookmarkEnd w:id="48"/>
      <w:r w:rsidR="007228D4" w:rsidRPr="003A2B5A">
        <w:rPr>
          <w:rFonts w:cs="Calibri"/>
        </w:rPr>
        <w:t xml:space="preserve"> </w:t>
      </w:r>
    </w:p>
    <w:p w:rsidR="007228D4" w:rsidRDefault="007228D4" w:rsidP="009318CE">
      <w:pPr>
        <w:ind w:left="357" w:hanging="357"/>
        <w:jc w:val="both"/>
        <w:rPr>
          <w:rFonts w:cs="Calibri"/>
        </w:rPr>
      </w:pPr>
    </w:p>
    <w:p w:rsidR="007228D4" w:rsidRPr="004E36CF" w:rsidRDefault="000E7B4B" w:rsidP="006F1144">
      <w:pPr>
        <w:ind w:left="720" w:hanging="720"/>
        <w:jc w:val="both"/>
      </w:pPr>
      <w:r>
        <w:t>6.5</w:t>
      </w:r>
      <w:r>
        <w:tab/>
      </w:r>
      <w:r w:rsidR="007228D4" w:rsidRPr="0053572A">
        <w:t xml:space="preserve">In order to facilitate </w:t>
      </w:r>
      <w:r w:rsidR="00DE41EE">
        <w:t>HSE</w:t>
      </w:r>
      <w:r w:rsidR="007228D4" w:rsidRPr="0053572A">
        <w:t>’s review of submitted proposals, Bidders are required to provide information in the layout below.</w:t>
      </w:r>
      <w:r w:rsidR="007228D4" w:rsidRPr="0053572A">
        <w:rPr>
          <w:rFonts w:cs="Calibri"/>
        </w:rPr>
        <w:t xml:space="preserve"> Proposals that deviate from the requested format will increase the time required for review and evaluation, may be classified as "n</w:t>
      </w:r>
      <w:r w:rsidR="00617506">
        <w:rPr>
          <w:rFonts w:cs="Calibri"/>
        </w:rPr>
        <w:t xml:space="preserve">on-compliant”, and may lead to </w:t>
      </w:r>
      <w:r w:rsidR="007228D4" w:rsidRPr="0053572A">
        <w:rPr>
          <w:rFonts w:cs="Calibri"/>
        </w:rPr>
        <w:t>disqualification.</w:t>
      </w:r>
    </w:p>
    <w:p w:rsidR="0023130B" w:rsidRDefault="0023130B" w:rsidP="0023130B">
      <w:pPr>
        <w:pStyle w:val="ListParagraph"/>
        <w:numPr>
          <w:ilvl w:val="0"/>
          <w:numId w:val="0"/>
        </w:numPr>
        <w:spacing w:before="0" w:after="0"/>
      </w:pPr>
    </w:p>
    <w:tbl>
      <w:tblPr>
        <w:tblW w:w="949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559"/>
        <w:gridCol w:w="3686"/>
        <w:gridCol w:w="1701"/>
        <w:gridCol w:w="1525"/>
      </w:tblGrid>
      <w:tr w:rsidR="0023130B" w:rsidRPr="004C45C8" w:rsidTr="00D0331E">
        <w:tc>
          <w:tcPr>
            <w:tcW w:w="1023" w:type="dxa"/>
          </w:tcPr>
          <w:p w:rsidR="0023130B" w:rsidRPr="00AA1727" w:rsidRDefault="0023130B" w:rsidP="00AA1727">
            <w:pPr>
              <w:pStyle w:val="ListParagraph"/>
              <w:numPr>
                <w:ilvl w:val="0"/>
                <w:numId w:val="0"/>
              </w:numPr>
              <w:rPr>
                <w:b/>
              </w:rPr>
            </w:pPr>
            <w:r w:rsidRPr="00AA1727">
              <w:rPr>
                <w:b/>
              </w:rPr>
              <w:t>Section number</w:t>
            </w:r>
          </w:p>
        </w:tc>
        <w:tc>
          <w:tcPr>
            <w:tcW w:w="1559" w:type="dxa"/>
          </w:tcPr>
          <w:p w:rsidR="0023130B" w:rsidRPr="00AA1727" w:rsidRDefault="0023130B" w:rsidP="00AA1727">
            <w:pPr>
              <w:pStyle w:val="ListParagraph"/>
              <w:numPr>
                <w:ilvl w:val="0"/>
                <w:numId w:val="0"/>
              </w:numPr>
              <w:jc w:val="center"/>
              <w:rPr>
                <w:b/>
              </w:rPr>
            </w:pPr>
            <w:r w:rsidRPr="00AA1727">
              <w:rPr>
                <w:b/>
              </w:rPr>
              <w:t>Title</w:t>
            </w:r>
          </w:p>
        </w:tc>
        <w:tc>
          <w:tcPr>
            <w:tcW w:w="3686" w:type="dxa"/>
          </w:tcPr>
          <w:p w:rsidR="0023130B" w:rsidRPr="00AA1727" w:rsidRDefault="0023130B" w:rsidP="00AA1727">
            <w:pPr>
              <w:pStyle w:val="ListParagraph"/>
              <w:numPr>
                <w:ilvl w:val="0"/>
                <w:numId w:val="0"/>
              </w:numPr>
              <w:jc w:val="center"/>
              <w:rPr>
                <w:b/>
              </w:rPr>
            </w:pPr>
            <w:r w:rsidRPr="00AA1727">
              <w:rPr>
                <w:b/>
              </w:rPr>
              <w:t>Response required from Bidders</w:t>
            </w:r>
          </w:p>
        </w:tc>
        <w:tc>
          <w:tcPr>
            <w:tcW w:w="1701" w:type="dxa"/>
          </w:tcPr>
          <w:p w:rsidR="0023130B" w:rsidRPr="00AA1727" w:rsidRDefault="0023130B" w:rsidP="00AA1727">
            <w:pPr>
              <w:pStyle w:val="ListParagraph"/>
              <w:numPr>
                <w:ilvl w:val="0"/>
                <w:numId w:val="0"/>
              </w:numPr>
              <w:jc w:val="center"/>
              <w:rPr>
                <w:b/>
              </w:rPr>
            </w:pPr>
            <w:r w:rsidRPr="00AA1727">
              <w:rPr>
                <w:b/>
              </w:rPr>
              <w:t>Format con</w:t>
            </w:r>
            <w:r w:rsidR="00422507">
              <w:rPr>
                <w:b/>
              </w:rPr>
              <w:t>s</w:t>
            </w:r>
            <w:r w:rsidRPr="00AA1727">
              <w:rPr>
                <w:b/>
              </w:rPr>
              <w:t>traints</w:t>
            </w:r>
          </w:p>
        </w:tc>
        <w:tc>
          <w:tcPr>
            <w:tcW w:w="1525" w:type="dxa"/>
          </w:tcPr>
          <w:p w:rsidR="0023130B" w:rsidRPr="00AA1727" w:rsidRDefault="0023130B" w:rsidP="00AA1727">
            <w:pPr>
              <w:pStyle w:val="ListParagraph"/>
              <w:numPr>
                <w:ilvl w:val="0"/>
                <w:numId w:val="0"/>
              </w:numPr>
              <w:jc w:val="center"/>
              <w:rPr>
                <w:b/>
              </w:rPr>
            </w:pPr>
            <w:r w:rsidRPr="00AA1727">
              <w:rPr>
                <w:b/>
              </w:rPr>
              <w:t>Evaluation method</w:t>
            </w:r>
          </w:p>
        </w:tc>
      </w:tr>
      <w:tr w:rsidR="0023130B" w:rsidRPr="00AA1727" w:rsidTr="00D0331E">
        <w:tc>
          <w:tcPr>
            <w:tcW w:w="9494" w:type="dxa"/>
            <w:gridSpan w:val="5"/>
          </w:tcPr>
          <w:p w:rsidR="0023130B" w:rsidRPr="00AA1727" w:rsidRDefault="0023130B" w:rsidP="006F1144">
            <w:pPr>
              <w:pStyle w:val="ListParagraph"/>
              <w:numPr>
                <w:ilvl w:val="0"/>
                <w:numId w:val="0"/>
              </w:numPr>
              <w:rPr>
                <w:b/>
                <w:highlight w:val="cyan"/>
              </w:rPr>
            </w:pPr>
            <w:r w:rsidRPr="00AA1727">
              <w:rPr>
                <w:b/>
              </w:rPr>
              <w:t xml:space="preserve">Stage </w:t>
            </w:r>
            <w:r w:rsidR="006F1144">
              <w:rPr>
                <w:b/>
              </w:rPr>
              <w:t>1</w:t>
            </w:r>
            <w:r w:rsidRPr="00AA1727">
              <w:rPr>
                <w:b/>
              </w:rPr>
              <w:t>:</w:t>
            </w:r>
          </w:p>
        </w:tc>
      </w:tr>
      <w:tr w:rsidR="00A926F6" w:rsidRPr="004C45C8" w:rsidTr="00D0331E">
        <w:trPr>
          <w:trHeight w:val="1104"/>
        </w:trPr>
        <w:tc>
          <w:tcPr>
            <w:tcW w:w="1023" w:type="dxa"/>
          </w:tcPr>
          <w:p w:rsidR="00A926F6" w:rsidRPr="00A242DB" w:rsidRDefault="00A926F6" w:rsidP="00225197">
            <w:pPr>
              <w:pStyle w:val="ListParagraph"/>
              <w:numPr>
                <w:ilvl w:val="0"/>
                <w:numId w:val="36"/>
              </w:numPr>
            </w:pPr>
          </w:p>
        </w:tc>
        <w:tc>
          <w:tcPr>
            <w:tcW w:w="1559" w:type="dxa"/>
          </w:tcPr>
          <w:p w:rsidR="00A926F6" w:rsidRPr="00CF10CD" w:rsidRDefault="00A926F6" w:rsidP="00AA1727">
            <w:pPr>
              <w:pStyle w:val="ListParagraph"/>
              <w:numPr>
                <w:ilvl w:val="0"/>
                <w:numId w:val="0"/>
              </w:numPr>
              <w:rPr>
                <w:color w:val="FF0000"/>
              </w:rPr>
            </w:pPr>
            <w:r w:rsidRPr="00382678">
              <w:t>Technical</w:t>
            </w:r>
          </w:p>
        </w:tc>
        <w:tc>
          <w:tcPr>
            <w:tcW w:w="3686" w:type="dxa"/>
          </w:tcPr>
          <w:p w:rsidR="00A926F6" w:rsidRPr="00CF10CD" w:rsidRDefault="00A926F6" w:rsidP="00A926F6">
            <w:pPr>
              <w:pStyle w:val="ListParagraph"/>
              <w:numPr>
                <w:ilvl w:val="0"/>
                <w:numId w:val="0"/>
              </w:numPr>
              <w:rPr>
                <w:color w:val="FF0000"/>
              </w:rPr>
            </w:pPr>
            <w:r>
              <w:t>Technical</w:t>
            </w:r>
            <w:r w:rsidRPr="006818F6">
              <w:t xml:space="preserve"> proposal for the sub-criterion or sub-criteria set out in </w:t>
            </w:r>
            <w:r w:rsidRPr="00CF10CD">
              <w:t>section 7.1</w:t>
            </w:r>
          </w:p>
        </w:tc>
        <w:tc>
          <w:tcPr>
            <w:tcW w:w="1701" w:type="dxa"/>
            <w:vMerge w:val="restart"/>
          </w:tcPr>
          <w:p w:rsidR="00A926F6" w:rsidRPr="006F1144" w:rsidRDefault="00A926F6" w:rsidP="00AA1727">
            <w:pPr>
              <w:pStyle w:val="ListParagraph"/>
              <w:numPr>
                <w:ilvl w:val="0"/>
                <w:numId w:val="0"/>
              </w:numPr>
            </w:pPr>
            <w:r w:rsidRPr="006F1144">
              <w:t>Maximum</w:t>
            </w:r>
            <w:r w:rsidR="00480E79" w:rsidRPr="006F1144">
              <w:t xml:space="preserve"> page limit of</w:t>
            </w:r>
            <w:r w:rsidRPr="006F1144">
              <w:t xml:space="preserve"> </w:t>
            </w:r>
            <w:r w:rsidR="00480E79" w:rsidRPr="006F1144">
              <w:rPr>
                <w:rFonts w:cs="Arial"/>
              </w:rPr>
              <w:t xml:space="preserve">10 sides of A4 </w:t>
            </w:r>
            <w:r w:rsidRPr="006F1144">
              <w:t>including any appendices</w:t>
            </w:r>
          </w:p>
          <w:p w:rsidR="00A926F6" w:rsidRPr="006F1144" w:rsidRDefault="00A926F6" w:rsidP="00AA1727">
            <w:pPr>
              <w:pStyle w:val="ListParagraph"/>
              <w:ind w:left="0"/>
              <w:rPr>
                <w:color w:val="FF0000"/>
              </w:rPr>
            </w:pPr>
          </w:p>
        </w:tc>
        <w:tc>
          <w:tcPr>
            <w:tcW w:w="1525" w:type="dxa"/>
          </w:tcPr>
          <w:p w:rsidR="00A926F6" w:rsidRPr="00CF10CD" w:rsidRDefault="00A926F6" w:rsidP="00AA1727">
            <w:pPr>
              <w:pStyle w:val="ListParagraph"/>
              <w:numPr>
                <w:ilvl w:val="0"/>
                <w:numId w:val="0"/>
              </w:numPr>
              <w:rPr>
                <w:color w:val="FF0000"/>
              </w:rPr>
            </w:pPr>
            <w:r w:rsidRPr="006818F6">
              <w:t>Scored</w:t>
            </w:r>
          </w:p>
        </w:tc>
      </w:tr>
      <w:tr w:rsidR="00A926F6" w:rsidRPr="004C45C8" w:rsidTr="00D0331E">
        <w:tc>
          <w:tcPr>
            <w:tcW w:w="1023" w:type="dxa"/>
          </w:tcPr>
          <w:p w:rsidR="00A926F6" w:rsidRPr="006818F6" w:rsidRDefault="00A926F6" w:rsidP="00225197">
            <w:pPr>
              <w:pStyle w:val="ListParagraph"/>
              <w:numPr>
                <w:ilvl w:val="0"/>
                <w:numId w:val="36"/>
              </w:numPr>
            </w:pPr>
          </w:p>
        </w:tc>
        <w:tc>
          <w:tcPr>
            <w:tcW w:w="1559" w:type="dxa"/>
          </w:tcPr>
          <w:p w:rsidR="00A926F6" w:rsidRPr="006818F6" w:rsidRDefault="00A926F6" w:rsidP="00AA1727">
            <w:pPr>
              <w:pStyle w:val="ListParagraph"/>
              <w:numPr>
                <w:ilvl w:val="0"/>
                <w:numId w:val="0"/>
              </w:numPr>
            </w:pPr>
            <w:r w:rsidRPr="006818F6">
              <w:t>Quality</w:t>
            </w:r>
          </w:p>
        </w:tc>
        <w:tc>
          <w:tcPr>
            <w:tcW w:w="3686" w:type="dxa"/>
          </w:tcPr>
          <w:p w:rsidR="00A926F6" w:rsidRPr="006818F6" w:rsidRDefault="00A926F6" w:rsidP="00CF10CD">
            <w:pPr>
              <w:pStyle w:val="ListParagraph"/>
              <w:numPr>
                <w:ilvl w:val="0"/>
                <w:numId w:val="0"/>
              </w:numPr>
            </w:pPr>
            <w:r w:rsidRPr="006818F6">
              <w:t xml:space="preserve">Quality proposal for the sub-criterion or sub-criteria set out in </w:t>
            </w:r>
            <w:r w:rsidRPr="00CF10CD">
              <w:t>section 7.1</w:t>
            </w:r>
          </w:p>
        </w:tc>
        <w:tc>
          <w:tcPr>
            <w:tcW w:w="1701" w:type="dxa"/>
            <w:vMerge/>
          </w:tcPr>
          <w:p w:rsidR="00A926F6" w:rsidRPr="006818F6" w:rsidRDefault="00A926F6" w:rsidP="00AA1727">
            <w:pPr>
              <w:pStyle w:val="ListParagraph"/>
              <w:numPr>
                <w:ilvl w:val="0"/>
                <w:numId w:val="0"/>
              </w:numPr>
            </w:pPr>
          </w:p>
        </w:tc>
        <w:tc>
          <w:tcPr>
            <w:tcW w:w="1525" w:type="dxa"/>
          </w:tcPr>
          <w:p w:rsidR="00A926F6" w:rsidRPr="006818F6" w:rsidRDefault="00A926F6" w:rsidP="00AA1727">
            <w:pPr>
              <w:pStyle w:val="ListParagraph"/>
              <w:numPr>
                <w:ilvl w:val="0"/>
                <w:numId w:val="0"/>
              </w:numPr>
            </w:pPr>
            <w:r w:rsidRPr="006818F6">
              <w:t>Scored</w:t>
            </w:r>
          </w:p>
        </w:tc>
      </w:tr>
      <w:tr w:rsidR="00F13F51" w:rsidTr="00D0331E">
        <w:tc>
          <w:tcPr>
            <w:tcW w:w="1023" w:type="dxa"/>
          </w:tcPr>
          <w:p w:rsidR="00F13F51" w:rsidRPr="00F769C6" w:rsidRDefault="00F13F51" w:rsidP="00225197">
            <w:pPr>
              <w:pStyle w:val="ListParagraph"/>
              <w:numPr>
                <w:ilvl w:val="0"/>
                <w:numId w:val="36"/>
              </w:numPr>
            </w:pPr>
          </w:p>
        </w:tc>
        <w:tc>
          <w:tcPr>
            <w:tcW w:w="1559" w:type="dxa"/>
          </w:tcPr>
          <w:p w:rsidR="00AB73A9" w:rsidRPr="00AB73A9" w:rsidRDefault="00F13F51" w:rsidP="00AA1727">
            <w:pPr>
              <w:pStyle w:val="ListParagraph"/>
              <w:numPr>
                <w:ilvl w:val="0"/>
                <w:numId w:val="0"/>
              </w:numPr>
            </w:pPr>
            <w:r>
              <w:t xml:space="preserve">Personal data </w:t>
            </w:r>
            <w:r w:rsidRPr="004A6134">
              <w:t>processing</w:t>
            </w:r>
            <w:r w:rsidR="00AB73A9" w:rsidRPr="004A6134">
              <w:t xml:space="preserve"> [to include if the contract will involve the processing of personal data]</w:t>
            </w:r>
          </w:p>
          <w:p w:rsidR="00F13F51" w:rsidRPr="00F769C6" w:rsidRDefault="00F13F51" w:rsidP="00AA1727">
            <w:pPr>
              <w:pStyle w:val="ListParagraph"/>
              <w:numPr>
                <w:ilvl w:val="0"/>
                <w:numId w:val="0"/>
              </w:numPr>
              <w:ind w:left="720"/>
            </w:pPr>
          </w:p>
        </w:tc>
        <w:tc>
          <w:tcPr>
            <w:tcW w:w="3686" w:type="dxa"/>
          </w:tcPr>
          <w:p w:rsidR="00F13F51" w:rsidRPr="00F769C6" w:rsidRDefault="00F13F51" w:rsidP="009543D7">
            <w:pPr>
              <w:pStyle w:val="ListParagraph"/>
              <w:numPr>
                <w:ilvl w:val="0"/>
                <w:numId w:val="0"/>
              </w:numPr>
            </w:pPr>
            <w:r w:rsidRPr="004A6134">
              <w:t xml:space="preserve">Table provided in Appendix </w:t>
            </w:r>
            <w:r w:rsidR="009543D7">
              <w:t>2</w:t>
            </w:r>
          </w:p>
        </w:tc>
        <w:tc>
          <w:tcPr>
            <w:tcW w:w="1701" w:type="dxa"/>
          </w:tcPr>
          <w:p w:rsidR="00F13F51" w:rsidRPr="004F0F8C" w:rsidRDefault="00A926F6" w:rsidP="009543D7">
            <w:pPr>
              <w:pStyle w:val="ListParagraph"/>
              <w:numPr>
                <w:ilvl w:val="0"/>
                <w:numId w:val="0"/>
              </w:numPr>
              <w:rPr>
                <w:color w:val="FF0000"/>
              </w:rPr>
            </w:pPr>
            <w:r w:rsidRPr="00A926F6">
              <w:t xml:space="preserve">Copy and paste Appendix </w:t>
            </w:r>
            <w:r w:rsidR="009543D7">
              <w:t>2</w:t>
            </w:r>
            <w:r w:rsidR="00F13F51" w:rsidRPr="00A926F6">
              <w:t xml:space="preserve"> into Response document</w:t>
            </w:r>
            <w:r w:rsidR="00A337F4" w:rsidRPr="00A926F6">
              <w:t xml:space="preserve"> and confirm adherence</w:t>
            </w:r>
          </w:p>
        </w:tc>
        <w:tc>
          <w:tcPr>
            <w:tcW w:w="1525" w:type="dxa"/>
          </w:tcPr>
          <w:p w:rsidR="00F13F51" w:rsidRPr="00F769C6" w:rsidRDefault="00F13F51" w:rsidP="00AA1727">
            <w:pPr>
              <w:pStyle w:val="ListParagraph"/>
              <w:numPr>
                <w:ilvl w:val="0"/>
                <w:numId w:val="0"/>
              </w:numPr>
            </w:pPr>
            <w:r w:rsidRPr="00A242DB">
              <w:t>Not evaluated</w:t>
            </w:r>
          </w:p>
        </w:tc>
      </w:tr>
      <w:tr w:rsidR="004F683A" w:rsidTr="00D0331E">
        <w:tc>
          <w:tcPr>
            <w:tcW w:w="1023" w:type="dxa"/>
            <w:tcBorders>
              <w:top w:val="single" w:sz="4" w:space="0" w:color="auto"/>
              <w:left w:val="single" w:sz="4" w:space="0" w:color="auto"/>
              <w:bottom w:val="single" w:sz="4" w:space="0" w:color="auto"/>
              <w:right w:val="single" w:sz="4" w:space="0" w:color="auto"/>
            </w:tcBorders>
          </w:tcPr>
          <w:p w:rsidR="004F683A" w:rsidRPr="00F769C6" w:rsidRDefault="004F683A" w:rsidP="00225197">
            <w:pPr>
              <w:pStyle w:val="ListParagraph"/>
              <w:numPr>
                <w:ilvl w:val="0"/>
                <w:numId w:val="36"/>
              </w:numPr>
            </w:pPr>
          </w:p>
        </w:tc>
        <w:tc>
          <w:tcPr>
            <w:tcW w:w="1559" w:type="dxa"/>
            <w:tcBorders>
              <w:top w:val="single" w:sz="4" w:space="0" w:color="auto"/>
              <w:left w:val="single" w:sz="4" w:space="0" w:color="auto"/>
              <w:bottom w:val="single" w:sz="4" w:space="0" w:color="auto"/>
              <w:right w:val="single" w:sz="4" w:space="0" w:color="auto"/>
            </w:tcBorders>
          </w:tcPr>
          <w:p w:rsidR="004F683A" w:rsidRPr="00F769C6" w:rsidRDefault="004F683A" w:rsidP="00B74997">
            <w:pPr>
              <w:pStyle w:val="ListParagraph"/>
              <w:numPr>
                <w:ilvl w:val="0"/>
                <w:numId w:val="0"/>
              </w:numPr>
            </w:pPr>
            <w:r w:rsidRPr="00F769C6">
              <w:t>Price</w:t>
            </w:r>
          </w:p>
        </w:tc>
        <w:tc>
          <w:tcPr>
            <w:tcW w:w="3686" w:type="dxa"/>
            <w:tcBorders>
              <w:top w:val="single" w:sz="4" w:space="0" w:color="auto"/>
              <w:left w:val="single" w:sz="4" w:space="0" w:color="auto"/>
              <w:bottom w:val="single" w:sz="4" w:space="0" w:color="auto"/>
              <w:right w:val="single" w:sz="4" w:space="0" w:color="auto"/>
            </w:tcBorders>
          </w:tcPr>
          <w:p w:rsidR="004F683A" w:rsidRPr="00F769C6" w:rsidRDefault="004F683A" w:rsidP="00B74997">
            <w:pPr>
              <w:pStyle w:val="ListParagraph"/>
              <w:numPr>
                <w:ilvl w:val="0"/>
                <w:numId w:val="0"/>
              </w:numPr>
            </w:pPr>
            <w:r w:rsidRPr="00F769C6">
              <w:t>Price proposal</w:t>
            </w:r>
          </w:p>
        </w:tc>
        <w:tc>
          <w:tcPr>
            <w:tcW w:w="1701" w:type="dxa"/>
            <w:tcBorders>
              <w:top w:val="single" w:sz="4" w:space="0" w:color="auto"/>
              <w:left w:val="single" w:sz="4" w:space="0" w:color="auto"/>
              <w:bottom w:val="single" w:sz="4" w:space="0" w:color="auto"/>
              <w:right w:val="single" w:sz="4" w:space="0" w:color="auto"/>
            </w:tcBorders>
          </w:tcPr>
          <w:p w:rsidR="004F683A" w:rsidRPr="00F769C6" w:rsidRDefault="004F683A" w:rsidP="00B74997">
            <w:pPr>
              <w:pStyle w:val="ListParagraph"/>
              <w:numPr>
                <w:ilvl w:val="0"/>
                <w:numId w:val="0"/>
              </w:numPr>
            </w:pPr>
            <w:r w:rsidRPr="00F769C6">
              <w:t xml:space="preserve">As set out in section </w:t>
            </w:r>
            <w:r w:rsidRPr="00954215">
              <w:t>7.5</w:t>
            </w:r>
          </w:p>
        </w:tc>
        <w:tc>
          <w:tcPr>
            <w:tcW w:w="1525" w:type="dxa"/>
            <w:tcBorders>
              <w:top w:val="single" w:sz="4" w:space="0" w:color="auto"/>
              <w:left w:val="single" w:sz="4" w:space="0" w:color="auto"/>
              <w:bottom w:val="single" w:sz="4" w:space="0" w:color="auto"/>
              <w:right w:val="single" w:sz="4" w:space="0" w:color="auto"/>
            </w:tcBorders>
          </w:tcPr>
          <w:p w:rsidR="004F683A" w:rsidRPr="00F769C6" w:rsidRDefault="004F683A" w:rsidP="00B74997">
            <w:pPr>
              <w:pStyle w:val="ListParagraph"/>
              <w:numPr>
                <w:ilvl w:val="0"/>
                <w:numId w:val="0"/>
              </w:numPr>
            </w:pPr>
            <w:r w:rsidRPr="00F769C6">
              <w:t>Scored</w:t>
            </w:r>
          </w:p>
        </w:tc>
      </w:tr>
    </w:tbl>
    <w:p w:rsidR="00694C45" w:rsidRDefault="00694C45" w:rsidP="00F13F51"/>
    <w:p w:rsidR="002048DA" w:rsidRDefault="002048DA" w:rsidP="00D0331E">
      <w:pPr>
        <w:jc w:val="both"/>
      </w:pPr>
    </w:p>
    <w:p w:rsidR="00F13F51" w:rsidRPr="0053572A" w:rsidRDefault="00D0331E" w:rsidP="00D0331E">
      <w:pPr>
        <w:jc w:val="both"/>
      </w:pPr>
      <w:r>
        <w:t>6.6</w:t>
      </w:r>
      <w:r>
        <w:tab/>
      </w:r>
      <w:r w:rsidR="00F13F51">
        <w:t>Additional s</w:t>
      </w:r>
      <w:r w:rsidR="00F13F51" w:rsidRPr="0053572A">
        <w:t>pecifications for the tender document(s) are as follows:</w:t>
      </w:r>
    </w:p>
    <w:p w:rsidR="00F13F51" w:rsidRPr="0053572A" w:rsidRDefault="00F13F51" w:rsidP="00D0331E">
      <w:pPr>
        <w:pStyle w:val="ListParagraph"/>
        <w:ind w:hanging="11"/>
        <w:jc w:val="both"/>
        <w:rPr>
          <w:kern w:val="2"/>
        </w:rPr>
      </w:pPr>
      <w:r w:rsidRPr="0053572A">
        <w:rPr>
          <w:kern w:val="2"/>
        </w:rPr>
        <w:t>Where documents are embedded within other documents, Bidders must provide separate electronic copies of the embedded documents.</w:t>
      </w:r>
    </w:p>
    <w:p w:rsidR="00F13F51" w:rsidRPr="0053572A" w:rsidRDefault="00F13F51" w:rsidP="00D0331E">
      <w:pPr>
        <w:pStyle w:val="ListParagraph"/>
        <w:tabs>
          <w:tab w:val="left" w:pos="284"/>
        </w:tabs>
        <w:ind w:hanging="11"/>
        <w:jc w:val="both"/>
        <w:rPr>
          <w:kern w:val="2"/>
        </w:rPr>
      </w:pPr>
      <w:r w:rsidRPr="0053572A">
        <w:rPr>
          <w:kern w:val="2"/>
        </w:rPr>
        <w:t>The Tender must be in English</w:t>
      </w:r>
      <w:r>
        <w:rPr>
          <w:kern w:val="2"/>
        </w:rPr>
        <w:t>.</w:t>
      </w:r>
    </w:p>
    <w:p w:rsidR="00F13F51" w:rsidRPr="0053572A" w:rsidRDefault="00F13F51" w:rsidP="00D0331E">
      <w:pPr>
        <w:pStyle w:val="ListParagraph"/>
        <w:tabs>
          <w:tab w:val="left" w:pos="284"/>
        </w:tabs>
        <w:ind w:hanging="11"/>
        <w:jc w:val="both"/>
        <w:rPr>
          <w:kern w:val="2"/>
        </w:rPr>
      </w:pPr>
      <w:r w:rsidRPr="0053572A">
        <w:rPr>
          <w:kern w:val="2"/>
        </w:rPr>
        <w:t>The Tender must be fully cross-referenced.</w:t>
      </w:r>
    </w:p>
    <w:p w:rsidR="00F13F51" w:rsidRPr="0053572A" w:rsidRDefault="00F13F51" w:rsidP="00D0331E">
      <w:pPr>
        <w:pStyle w:val="ListParagraph"/>
        <w:tabs>
          <w:tab w:val="left" w:pos="284"/>
        </w:tabs>
        <w:ind w:hanging="11"/>
        <w:jc w:val="both"/>
        <w:rPr>
          <w:kern w:val="2"/>
        </w:rPr>
      </w:pPr>
      <w:r w:rsidRPr="0053572A">
        <w:rPr>
          <w:kern w:val="2"/>
        </w:rPr>
        <w:t>A list of supporting material must be supplied.</w:t>
      </w:r>
    </w:p>
    <w:p w:rsidR="00F13F51" w:rsidRPr="0053572A" w:rsidRDefault="00D0331E" w:rsidP="00B33B58">
      <w:pPr>
        <w:pStyle w:val="Heading9"/>
      </w:pPr>
      <w:r>
        <w:t>6.7</w:t>
      </w:r>
      <w:r>
        <w:tab/>
      </w:r>
      <w:r w:rsidR="00DE41EE">
        <w:t xml:space="preserve">HSE </w:t>
      </w:r>
      <w:r w:rsidR="00F13F51" w:rsidRPr="0053572A">
        <w:t>reserves the right to mark down a Bidder or exclude them from the procurement if its Tender contains any ambiguities, caveats or lacks clarity. Bidders should submit only such information as is necessary to respond effectively to this CFC. Tenders will be evaluated on the basis of information submitted by the deadline.</w:t>
      </w:r>
    </w:p>
    <w:p w:rsidR="009543D7" w:rsidRDefault="009543D7" w:rsidP="00B33B58">
      <w:pPr>
        <w:pStyle w:val="Heading9"/>
      </w:pPr>
    </w:p>
    <w:p w:rsidR="009543D7" w:rsidRDefault="009543D7" w:rsidP="00B33B58">
      <w:pPr>
        <w:pStyle w:val="Heading9"/>
      </w:pPr>
    </w:p>
    <w:p w:rsidR="0002381E" w:rsidRDefault="00D0331E" w:rsidP="00B33B58">
      <w:pPr>
        <w:pStyle w:val="Heading9"/>
      </w:pPr>
      <w:r>
        <w:lastRenderedPageBreak/>
        <w:t>6.8</w:t>
      </w:r>
      <w:r>
        <w:tab/>
      </w:r>
      <w:r w:rsidR="004A376F">
        <w:t>Where the Bidder is</w:t>
      </w:r>
      <w:r w:rsidR="0002381E">
        <w:t>:</w:t>
      </w:r>
    </w:p>
    <w:p w:rsidR="00574254" w:rsidRDefault="00F13F51" w:rsidP="00B33B58">
      <w:pPr>
        <w:pStyle w:val="Heading9"/>
        <w:numPr>
          <w:ilvl w:val="0"/>
          <w:numId w:val="50"/>
        </w:numPr>
      </w:pPr>
      <w:proofErr w:type="gramStart"/>
      <w:r w:rsidRPr="0053572A">
        <w:t>a</w:t>
      </w:r>
      <w:proofErr w:type="gramEnd"/>
      <w:r w:rsidRPr="0053572A">
        <w:t xml:space="preserve"> company, the Tender must be signed by a duly authorised representative of that company. </w:t>
      </w:r>
    </w:p>
    <w:p w:rsidR="00574254" w:rsidRDefault="00F13F51" w:rsidP="00B33B58">
      <w:pPr>
        <w:pStyle w:val="Heading9"/>
        <w:numPr>
          <w:ilvl w:val="0"/>
          <w:numId w:val="50"/>
        </w:numPr>
      </w:pPr>
      <w:proofErr w:type="gramStart"/>
      <w:r w:rsidRPr="0053572A">
        <w:t>a</w:t>
      </w:r>
      <w:proofErr w:type="gramEnd"/>
      <w:r w:rsidRPr="0053572A">
        <w:t xml:space="preserve"> consortium, the Tender must be signed by the lead authorised </w:t>
      </w:r>
      <w:r w:rsidR="00574254">
        <w:t>r</w:t>
      </w:r>
      <w:r w:rsidRPr="0053572A">
        <w:t xml:space="preserve">epresentative of the consortium, which is responsible for the performance of the contract. </w:t>
      </w:r>
    </w:p>
    <w:p w:rsidR="00574254" w:rsidRDefault="00F13F51" w:rsidP="00B33B58">
      <w:pPr>
        <w:pStyle w:val="Heading9"/>
        <w:numPr>
          <w:ilvl w:val="0"/>
          <w:numId w:val="50"/>
        </w:numPr>
      </w:pPr>
      <w:proofErr w:type="gramStart"/>
      <w:r w:rsidRPr="0053572A">
        <w:t>a</w:t>
      </w:r>
      <w:proofErr w:type="gramEnd"/>
      <w:r w:rsidRPr="0053572A">
        <w:t xml:space="preserve"> partnership, all the partners should sign or, alternatively, one only may sign, in which case he/she must have and should state that he/she has authority to sign on behalf of the other partner(s). The names of all partners should be given in full, together with the trading name </w:t>
      </w:r>
      <w:r w:rsidR="00574254">
        <w:tab/>
      </w:r>
      <w:r w:rsidRPr="0053572A">
        <w:t>of the partnership.</w:t>
      </w:r>
    </w:p>
    <w:p w:rsidR="00F13F51" w:rsidRPr="006665DB" w:rsidRDefault="0002381E" w:rsidP="00B33B58">
      <w:pPr>
        <w:pStyle w:val="Heading9"/>
        <w:numPr>
          <w:ilvl w:val="0"/>
          <w:numId w:val="50"/>
        </w:numPr>
      </w:pPr>
      <w:proofErr w:type="gramStart"/>
      <w:r>
        <w:t>a</w:t>
      </w:r>
      <w:proofErr w:type="gramEnd"/>
      <w:r w:rsidR="00F13F51" w:rsidRPr="0053572A">
        <w:t xml:space="preserve"> sole trader, he/she should sign and give his/her name in full, together with the name under which he/she is trading.</w:t>
      </w:r>
    </w:p>
    <w:p w:rsidR="0053572A" w:rsidRPr="00B33B58" w:rsidRDefault="0002381E" w:rsidP="0002381E">
      <w:pPr>
        <w:pStyle w:val="Heading2"/>
        <w:numPr>
          <w:ilvl w:val="0"/>
          <w:numId w:val="0"/>
        </w:numPr>
        <w:ind w:left="710" w:hanging="710"/>
        <w:rPr>
          <w:color w:val="auto"/>
          <w:kern w:val="2"/>
          <w:sz w:val="22"/>
          <w:szCs w:val="22"/>
        </w:rPr>
      </w:pPr>
      <w:bookmarkStart w:id="49" w:name="_Toc523410843"/>
      <w:r w:rsidRPr="00B33B58">
        <w:rPr>
          <w:color w:val="auto"/>
          <w:kern w:val="2"/>
          <w:sz w:val="22"/>
          <w:szCs w:val="22"/>
        </w:rPr>
        <w:t>6.9</w:t>
      </w:r>
      <w:r w:rsidRPr="00B33B58">
        <w:rPr>
          <w:color w:val="auto"/>
          <w:kern w:val="2"/>
          <w:sz w:val="22"/>
          <w:szCs w:val="22"/>
        </w:rPr>
        <w:tab/>
      </w:r>
      <w:r w:rsidR="00C41AF5" w:rsidRPr="00B33B58">
        <w:rPr>
          <w:color w:val="auto"/>
          <w:kern w:val="2"/>
          <w:sz w:val="22"/>
          <w:szCs w:val="22"/>
        </w:rPr>
        <w:t xml:space="preserve">Technical </w:t>
      </w:r>
      <w:r w:rsidR="00F95D8F" w:rsidRPr="00B33B58">
        <w:rPr>
          <w:color w:val="auto"/>
          <w:kern w:val="2"/>
          <w:sz w:val="22"/>
          <w:szCs w:val="22"/>
        </w:rPr>
        <w:t>/</w:t>
      </w:r>
      <w:r w:rsidR="007D7791" w:rsidRPr="00B33B58">
        <w:rPr>
          <w:color w:val="auto"/>
          <w:kern w:val="2"/>
          <w:sz w:val="22"/>
          <w:szCs w:val="22"/>
        </w:rPr>
        <w:t xml:space="preserve"> Quality Q</w:t>
      </w:r>
      <w:r w:rsidR="0053572A" w:rsidRPr="00B33B58">
        <w:rPr>
          <w:color w:val="auto"/>
          <w:kern w:val="2"/>
          <w:sz w:val="22"/>
          <w:szCs w:val="22"/>
        </w:rPr>
        <w:t>uestions</w:t>
      </w:r>
      <w:bookmarkEnd w:id="49"/>
      <w:r w:rsidR="0053572A" w:rsidRPr="00B33B58">
        <w:rPr>
          <w:color w:val="auto"/>
          <w:kern w:val="2"/>
          <w:sz w:val="22"/>
          <w:szCs w:val="22"/>
        </w:rPr>
        <w:t xml:space="preserve"> </w:t>
      </w:r>
    </w:p>
    <w:p w:rsidR="0053572A" w:rsidRPr="00627E8F" w:rsidRDefault="00AA01AC" w:rsidP="00B33B58">
      <w:pPr>
        <w:pStyle w:val="Heading9"/>
      </w:pPr>
      <w:r>
        <w:t>6.9.1</w:t>
      </w:r>
      <w:r>
        <w:tab/>
      </w:r>
      <w:r w:rsidR="0053572A" w:rsidRPr="00627E8F">
        <w:t xml:space="preserve">Prior knowledge by the Customer of any aspect of your organisation or of your ability to meet the requirement must not be assumed. You are therefore advised to ensure your </w:t>
      </w:r>
      <w:r w:rsidR="0053572A">
        <w:t xml:space="preserve">written </w:t>
      </w:r>
      <w:r w:rsidR="0053572A" w:rsidRPr="00627E8F">
        <w:t>response includes all information that you would wish the Customer to take into account in its evaluation.</w:t>
      </w:r>
    </w:p>
    <w:p w:rsidR="00B33B58" w:rsidRDefault="00B33B58" w:rsidP="00B33B58">
      <w:pPr>
        <w:pStyle w:val="Heading9"/>
      </w:pPr>
    </w:p>
    <w:p w:rsidR="0053572A" w:rsidRPr="00627E8F" w:rsidRDefault="00AA01AC" w:rsidP="00B33B58">
      <w:pPr>
        <w:pStyle w:val="Heading9"/>
      </w:pPr>
      <w:r>
        <w:t>6.9.2</w:t>
      </w:r>
      <w:r>
        <w:tab/>
      </w:r>
      <w:r w:rsidR="0053572A" w:rsidRPr="00627E8F">
        <w:t xml:space="preserve">Your response to a question should be complete in itself. When assessing your Response, the Customer assumes no responsibility for taking account of any relevant information that may be provided elsewhere in your Response, unless the information is clearly referenced. </w:t>
      </w:r>
    </w:p>
    <w:p w:rsidR="00B33B58" w:rsidRDefault="00B33B58" w:rsidP="00B33B58">
      <w:pPr>
        <w:pStyle w:val="Heading9"/>
      </w:pPr>
    </w:p>
    <w:p w:rsidR="0053572A" w:rsidRPr="00954215" w:rsidRDefault="00AA01AC" w:rsidP="00B33B58">
      <w:pPr>
        <w:pStyle w:val="Heading9"/>
      </w:pPr>
      <w:r>
        <w:t>6.9.3</w:t>
      </w:r>
      <w:r>
        <w:tab/>
      </w:r>
      <w:r w:rsidR="0053572A" w:rsidRPr="00954215">
        <w:t xml:space="preserve">With respect to Stage </w:t>
      </w:r>
      <w:r w:rsidR="006F1144">
        <w:t>1</w:t>
      </w:r>
      <w:r w:rsidR="0053572A" w:rsidRPr="00954215">
        <w:t xml:space="preserve"> of the CFC only:</w:t>
      </w:r>
    </w:p>
    <w:p w:rsidR="0053572A" w:rsidRPr="00954215" w:rsidRDefault="0053572A" w:rsidP="00B33B58">
      <w:pPr>
        <w:pStyle w:val="Heading9"/>
        <w:numPr>
          <w:ilvl w:val="0"/>
          <w:numId w:val="37"/>
        </w:numPr>
      </w:pPr>
      <w:r w:rsidRPr="00954215">
        <w:t xml:space="preserve">Your Response must address all of the deliverables and information requested in the Specification (Appendix 1), taking account of the Evaluation Criteria (Quality and Price) in Section </w:t>
      </w:r>
      <w:r w:rsidR="00954215" w:rsidRPr="00F95D8F">
        <w:t>7</w:t>
      </w:r>
      <w:r w:rsidRPr="00F95D8F">
        <w:t xml:space="preserve">.1. </w:t>
      </w:r>
    </w:p>
    <w:p w:rsidR="0053572A" w:rsidRPr="00627E8F" w:rsidRDefault="0053572A" w:rsidP="00B33B58">
      <w:pPr>
        <w:pStyle w:val="Heading9"/>
        <w:numPr>
          <w:ilvl w:val="0"/>
          <w:numId w:val="37"/>
        </w:numPr>
      </w:pPr>
      <w:r w:rsidRPr="00627E8F">
        <w:t xml:space="preserve">If you consider that any requirement is not relevant to the way you intend to operate, or if you are unable to comply with any aspect of the requirement, please say so and provide a brief explanation. </w:t>
      </w:r>
    </w:p>
    <w:p w:rsidR="0053572A" w:rsidRPr="00627E8F" w:rsidRDefault="0053572A" w:rsidP="00B33B58">
      <w:pPr>
        <w:pStyle w:val="Heading9"/>
        <w:numPr>
          <w:ilvl w:val="0"/>
          <w:numId w:val="37"/>
        </w:numPr>
      </w:pPr>
      <w:r w:rsidRPr="00627E8F">
        <w:t xml:space="preserve">The answer to each question should set out any assumptions, caveats, qualifications or exceptions that apply. </w:t>
      </w:r>
    </w:p>
    <w:p w:rsidR="004B4D03" w:rsidRPr="00B33B58" w:rsidRDefault="006069FE" w:rsidP="006069FE">
      <w:pPr>
        <w:pStyle w:val="Heading2"/>
        <w:numPr>
          <w:ilvl w:val="0"/>
          <w:numId w:val="0"/>
        </w:numPr>
        <w:ind w:left="710" w:hanging="710"/>
        <w:jc w:val="both"/>
        <w:rPr>
          <w:color w:val="auto"/>
          <w:sz w:val="22"/>
          <w:szCs w:val="22"/>
        </w:rPr>
      </w:pPr>
      <w:r w:rsidRPr="00B33B58">
        <w:rPr>
          <w:color w:val="auto"/>
          <w:sz w:val="22"/>
          <w:szCs w:val="22"/>
        </w:rPr>
        <w:t>6.10</w:t>
      </w:r>
      <w:bookmarkStart w:id="50" w:name="_Toc523410844"/>
      <w:r w:rsidRPr="00B33B58">
        <w:rPr>
          <w:color w:val="auto"/>
          <w:sz w:val="22"/>
          <w:szCs w:val="22"/>
        </w:rPr>
        <w:tab/>
        <w:t>Contract T</w:t>
      </w:r>
      <w:r w:rsidR="002C3850" w:rsidRPr="00B33B58">
        <w:rPr>
          <w:color w:val="auto"/>
          <w:sz w:val="22"/>
          <w:szCs w:val="22"/>
        </w:rPr>
        <w:t>erms</w:t>
      </w:r>
      <w:bookmarkEnd w:id="50"/>
      <w:r w:rsidR="00B81485" w:rsidRPr="00B33B58">
        <w:rPr>
          <w:color w:val="auto"/>
          <w:sz w:val="22"/>
          <w:szCs w:val="22"/>
        </w:rPr>
        <w:t xml:space="preserve"> </w:t>
      </w:r>
    </w:p>
    <w:p w:rsidR="004B4D03" w:rsidRPr="00E270D2" w:rsidRDefault="006069FE" w:rsidP="00B33B58">
      <w:pPr>
        <w:pStyle w:val="Heading9"/>
      </w:pPr>
      <w:r>
        <w:t>6.10.1</w:t>
      </w:r>
      <w:r>
        <w:tab/>
      </w:r>
      <w:r w:rsidR="002C3850" w:rsidRPr="00E270D2">
        <w:t xml:space="preserve">By </w:t>
      </w:r>
      <w:r w:rsidR="00A17F46" w:rsidRPr="00E270D2">
        <w:t xml:space="preserve">submitting </w:t>
      </w:r>
      <w:r w:rsidR="002C3850" w:rsidRPr="00E270D2">
        <w:t xml:space="preserve">a </w:t>
      </w:r>
      <w:r w:rsidR="008D206E" w:rsidRPr="00E270D2">
        <w:t>Tender</w:t>
      </w:r>
      <w:r w:rsidR="002C3850" w:rsidRPr="00E270D2">
        <w:t xml:space="preserve">, </w:t>
      </w:r>
      <w:r w:rsidR="00A17F46" w:rsidRPr="00E270D2">
        <w:t>Bidder</w:t>
      </w:r>
      <w:r w:rsidR="00002B3C" w:rsidRPr="00E270D2">
        <w:t>s</w:t>
      </w:r>
      <w:r w:rsidR="002C3850" w:rsidRPr="00E270D2">
        <w:t xml:space="preserve"> are agreeing to be bound by the terms of this </w:t>
      </w:r>
      <w:r w:rsidR="00AB2067" w:rsidRPr="00E270D2">
        <w:t xml:space="preserve">CFC </w:t>
      </w:r>
      <w:r w:rsidR="002C3850" w:rsidRPr="00E270D2">
        <w:t xml:space="preserve">and the </w:t>
      </w:r>
      <w:r w:rsidR="00F70194" w:rsidRPr="00E270D2">
        <w:t>c</w:t>
      </w:r>
      <w:r w:rsidR="002C3850" w:rsidRPr="00E270D2">
        <w:t>ontract.</w:t>
      </w:r>
    </w:p>
    <w:p w:rsidR="00B33B58" w:rsidRDefault="00B33B58" w:rsidP="00B33B58">
      <w:pPr>
        <w:pStyle w:val="Heading9"/>
      </w:pPr>
    </w:p>
    <w:p w:rsidR="004B4D03" w:rsidRPr="00E270D2" w:rsidRDefault="006069FE" w:rsidP="00B33B58">
      <w:pPr>
        <w:pStyle w:val="Heading9"/>
      </w:pPr>
      <w:r>
        <w:t>6.10.</w:t>
      </w:r>
      <w:r w:rsidR="00382678">
        <w:t>2</w:t>
      </w:r>
      <w:r>
        <w:tab/>
      </w:r>
      <w:r w:rsidR="002C3850" w:rsidRPr="00E270D2">
        <w:t xml:space="preserve">Any amendments </w:t>
      </w:r>
      <w:r w:rsidR="00F70194" w:rsidRPr="00E270D2">
        <w:t xml:space="preserve">that </w:t>
      </w:r>
      <w:r w:rsidR="002C3850" w:rsidRPr="00E270D2">
        <w:t xml:space="preserve">are proposed but not approved by </w:t>
      </w:r>
      <w:r w:rsidR="00BE795F" w:rsidRPr="00E270D2">
        <w:t xml:space="preserve">The </w:t>
      </w:r>
      <w:r w:rsidR="0064428A" w:rsidRPr="008032CF">
        <w:t>Health &amp; Safety Executive</w:t>
      </w:r>
      <w:r w:rsidR="0064428A">
        <w:t xml:space="preserve"> (HSE)</w:t>
      </w:r>
      <w:r w:rsidR="0064428A" w:rsidRPr="008032CF">
        <w:t xml:space="preserve"> </w:t>
      </w:r>
      <w:r w:rsidR="002C3850" w:rsidRPr="00E270D2">
        <w:t>through this process will not be acceptable and may be construed as a rejection of the terms</w:t>
      </w:r>
      <w:r w:rsidR="00F70194" w:rsidRPr="00E270D2">
        <w:t>,</w:t>
      </w:r>
      <w:r w:rsidR="002C3850" w:rsidRPr="00E270D2">
        <w:t xml:space="preserve"> leading to the disqualification of the </w:t>
      </w:r>
      <w:r w:rsidR="008D206E" w:rsidRPr="00E270D2">
        <w:t>Tender</w:t>
      </w:r>
      <w:r w:rsidR="002C3850" w:rsidRPr="00E270D2">
        <w:t>.</w:t>
      </w:r>
    </w:p>
    <w:p w:rsidR="009543D7" w:rsidRDefault="009543D7" w:rsidP="006069FE">
      <w:pPr>
        <w:pStyle w:val="Heading2"/>
        <w:numPr>
          <w:ilvl w:val="0"/>
          <w:numId w:val="0"/>
        </w:numPr>
        <w:ind w:left="579" w:hanging="579"/>
        <w:rPr>
          <w:color w:val="auto"/>
          <w:sz w:val="22"/>
          <w:szCs w:val="22"/>
        </w:rPr>
      </w:pPr>
      <w:bookmarkStart w:id="51" w:name="_Toc461530161"/>
      <w:bookmarkStart w:id="52" w:name="_Toc461530360"/>
      <w:bookmarkStart w:id="53" w:name="_Toc461551499"/>
      <w:bookmarkStart w:id="54" w:name="_Toc523410845"/>
    </w:p>
    <w:p w:rsidR="009543D7" w:rsidRDefault="009543D7" w:rsidP="006069FE">
      <w:pPr>
        <w:pStyle w:val="Heading2"/>
        <w:numPr>
          <w:ilvl w:val="0"/>
          <w:numId w:val="0"/>
        </w:numPr>
        <w:ind w:left="579" w:hanging="579"/>
        <w:rPr>
          <w:color w:val="auto"/>
          <w:sz w:val="22"/>
          <w:szCs w:val="22"/>
        </w:rPr>
      </w:pPr>
    </w:p>
    <w:p w:rsidR="004B4D03" w:rsidRPr="00B33B58" w:rsidRDefault="006069FE" w:rsidP="006069FE">
      <w:pPr>
        <w:pStyle w:val="Heading2"/>
        <w:numPr>
          <w:ilvl w:val="0"/>
          <w:numId w:val="0"/>
        </w:numPr>
        <w:ind w:left="579" w:hanging="579"/>
        <w:rPr>
          <w:color w:val="auto"/>
          <w:sz w:val="22"/>
          <w:szCs w:val="22"/>
        </w:rPr>
      </w:pPr>
      <w:r w:rsidRPr="00B33B58">
        <w:rPr>
          <w:color w:val="auto"/>
          <w:sz w:val="22"/>
          <w:szCs w:val="22"/>
        </w:rPr>
        <w:lastRenderedPageBreak/>
        <w:t>6.11</w:t>
      </w:r>
      <w:r w:rsidRPr="00B33B58">
        <w:rPr>
          <w:color w:val="auto"/>
          <w:sz w:val="22"/>
          <w:szCs w:val="22"/>
        </w:rPr>
        <w:tab/>
      </w:r>
      <w:r w:rsidRPr="00B33B58">
        <w:rPr>
          <w:color w:val="auto"/>
          <w:sz w:val="22"/>
          <w:szCs w:val="22"/>
        </w:rPr>
        <w:tab/>
      </w:r>
      <w:r w:rsidR="002C3850" w:rsidRPr="00B33B58">
        <w:rPr>
          <w:color w:val="auto"/>
          <w:sz w:val="22"/>
          <w:szCs w:val="22"/>
        </w:rPr>
        <w:t xml:space="preserve">Documents forming the </w:t>
      </w:r>
      <w:r w:rsidRPr="00B33B58">
        <w:rPr>
          <w:color w:val="auto"/>
          <w:sz w:val="22"/>
          <w:szCs w:val="22"/>
        </w:rPr>
        <w:t>C</w:t>
      </w:r>
      <w:r w:rsidR="002C3850" w:rsidRPr="00B33B58">
        <w:rPr>
          <w:color w:val="auto"/>
          <w:sz w:val="22"/>
          <w:szCs w:val="22"/>
        </w:rPr>
        <w:t>ontract</w:t>
      </w:r>
      <w:bookmarkEnd w:id="51"/>
      <w:bookmarkEnd w:id="52"/>
      <w:bookmarkEnd w:id="53"/>
      <w:bookmarkEnd w:id="54"/>
      <w:r w:rsidR="00B81485" w:rsidRPr="00B33B58">
        <w:rPr>
          <w:color w:val="auto"/>
          <w:sz w:val="22"/>
          <w:szCs w:val="22"/>
        </w:rPr>
        <w:t xml:space="preserve"> </w:t>
      </w:r>
    </w:p>
    <w:p w:rsidR="004B4D03" w:rsidRPr="00020BC6" w:rsidRDefault="006069FE" w:rsidP="006F1144">
      <w:pPr>
        <w:pStyle w:val="Bodysubclause"/>
        <w:ind w:left="709" w:hanging="709"/>
        <w:rPr>
          <w:rFonts w:cs="Arial"/>
          <w:kern w:val="2"/>
        </w:rPr>
      </w:pPr>
      <w:r>
        <w:rPr>
          <w:rFonts w:cs="Arial"/>
          <w:kern w:val="2"/>
        </w:rPr>
        <w:t>6.11.1</w:t>
      </w:r>
      <w:r>
        <w:rPr>
          <w:rFonts w:cs="Arial"/>
          <w:kern w:val="2"/>
        </w:rPr>
        <w:tab/>
      </w:r>
      <w:r w:rsidR="002C3850" w:rsidRPr="00020BC6">
        <w:rPr>
          <w:rFonts w:cs="Arial"/>
          <w:kern w:val="2"/>
        </w:rPr>
        <w:t xml:space="preserve">The following documents shall form part of the </w:t>
      </w:r>
      <w:r w:rsidR="000A7FF9" w:rsidRPr="00020BC6">
        <w:rPr>
          <w:rFonts w:cs="Arial"/>
          <w:kern w:val="2"/>
        </w:rPr>
        <w:t>c</w:t>
      </w:r>
      <w:r w:rsidR="002C3850" w:rsidRPr="00020BC6">
        <w:rPr>
          <w:rFonts w:cs="Arial"/>
          <w:kern w:val="2"/>
        </w:rPr>
        <w:t xml:space="preserve">ontract between </w:t>
      </w:r>
      <w:r w:rsidR="00BE795F">
        <w:rPr>
          <w:rFonts w:cs="Arial"/>
          <w:kern w:val="2"/>
        </w:rPr>
        <w:t xml:space="preserve">The </w:t>
      </w:r>
      <w:r w:rsidR="0035095B" w:rsidRPr="008032CF">
        <w:rPr>
          <w:rFonts w:cs="Arial"/>
          <w:kern w:val="2"/>
        </w:rPr>
        <w:t>Health &amp; Safety Executive</w:t>
      </w:r>
      <w:r w:rsidR="0035095B">
        <w:rPr>
          <w:rFonts w:cs="Arial"/>
          <w:kern w:val="2"/>
        </w:rPr>
        <w:t xml:space="preserve"> (HSE)</w:t>
      </w:r>
      <w:r w:rsidR="0035095B" w:rsidRPr="008032CF">
        <w:rPr>
          <w:rFonts w:cs="Arial"/>
          <w:kern w:val="2"/>
        </w:rPr>
        <w:t xml:space="preserve"> </w:t>
      </w:r>
      <w:r w:rsidR="002C3850" w:rsidRPr="00020BC6">
        <w:rPr>
          <w:rFonts w:cs="Arial"/>
          <w:kern w:val="2"/>
        </w:rPr>
        <w:t>and the Service Provider(s):</w:t>
      </w:r>
    </w:p>
    <w:p w:rsidR="004B4D03" w:rsidRPr="003A1FFC" w:rsidRDefault="00D948E4" w:rsidP="006069FE">
      <w:pPr>
        <w:pStyle w:val="ListParagraph"/>
        <w:tabs>
          <w:tab w:val="left" w:pos="284"/>
        </w:tabs>
        <w:ind w:hanging="11"/>
        <w:rPr>
          <w:kern w:val="2"/>
        </w:rPr>
      </w:pPr>
      <w:r w:rsidRPr="003A1FFC">
        <w:rPr>
          <w:kern w:val="2"/>
        </w:rPr>
        <w:t xml:space="preserve">Call-off </w:t>
      </w:r>
      <w:r w:rsidR="00277808" w:rsidRPr="003A1FFC">
        <w:rPr>
          <w:kern w:val="2"/>
        </w:rPr>
        <w:t>c</w:t>
      </w:r>
      <w:r w:rsidR="002C3850" w:rsidRPr="003A1FFC">
        <w:rPr>
          <w:kern w:val="2"/>
        </w:rPr>
        <w:t>ontract and its schedules.</w:t>
      </w:r>
    </w:p>
    <w:p w:rsidR="004B4D03" w:rsidRPr="003A1FFC" w:rsidRDefault="002C3850" w:rsidP="006069FE">
      <w:pPr>
        <w:pStyle w:val="ListParagraph"/>
        <w:tabs>
          <w:tab w:val="left" w:pos="284"/>
        </w:tabs>
        <w:ind w:hanging="11"/>
        <w:rPr>
          <w:kern w:val="2"/>
        </w:rPr>
      </w:pPr>
      <w:r w:rsidRPr="003A1FFC">
        <w:rPr>
          <w:kern w:val="2"/>
        </w:rPr>
        <w:t>Specification.</w:t>
      </w:r>
    </w:p>
    <w:p w:rsidR="004B4D03" w:rsidRPr="00B33B58" w:rsidRDefault="006069FE" w:rsidP="006069FE">
      <w:pPr>
        <w:pStyle w:val="Heading2"/>
        <w:numPr>
          <w:ilvl w:val="0"/>
          <w:numId w:val="0"/>
        </w:numPr>
        <w:ind w:left="710" w:hanging="710"/>
        <w:jc w:val="both"/>
        <w:rPr>
          <w:color w:val="auto"/>
          <w:sz w:val="22"/>
          <w:szCs w:val="22"/>
        </w:rPr>
      </w:pPr>
      <w:bookmarkStart w:id="55" w:name="_Toc461530162"/>
      <w:bookmarkStart w:id="56" w:name="_Toc461530361"/>
      <w:bookmarkStart w:id="57" w:name="_Toc461551500"/>
      <w:bookmarkStart w:id="58" w:name="_Toc523410846"/>
      <w:r w:rsidRPr="00B33B58">
        <w:rPr>
          <w:color w:val="auto"/>
          <w:sz w:val="22"/>
          <w:szCs w:val="22"/>
        </w:rPr>
        <w:t>6.12</w:t>
      </w:r>
      <w:r w:rsidRPr="00B33B58">
        <w:rPr>
          <w:b w:val="0"/>
          <w:color w:val="auto"/>
          <w:sz w:val="22"/>
          <w:szCs w:val="22"/>
        </w:rPr>
        <w:tab/>
      </w:r>
      <w:r w:rsidR="002C3850" w:rsidRPr="00B33B58">
        <w:rPr>
          <w:color w:val="auto"/>
          <w:sz w:val="22"/>
          <w:szCs w:val="22"/>
        </w:rPr>
        <w:t>Warnin</w:t>
      </w:r>
      <w:r w:rsidRPr="00B33B58">
        <w:rPr>
          <w:color w:val="auto"/>
          <w:sz w:val="22"/>
          <w:szCs w:val="22"/>
        </w:rPr>
        <w:t>gs and D</w:t>
      </w:r>
      <w:r w:rsidR="002C3850" w:rsidRPr="00B33B58">
        <w:rPr>
          <w:color w:val="auto"/>
          <w:sz w:val="22"/>
          <w:szCs w:val="22"/>
        </w:rPr>
        <w:t>isclaimers</w:t>
      </w:r>
      <w:bookmarkEnd w:id="55"/>
      <w:bookmarkEnd w:id="56"/>
      <w:bookmarkEnd w:id="57"/>
      <w:bookmarkEnd w:id="58"/>
      <w:r w:rsidR="00B81485" w:rsidRPr="00B33B58">
        <w:rPr>
          <w:color w:val="auto"/>
          <w:sz w:val="22"/>
          <w:szCs w:val="22"/>
        </w:rPr>
        <w:t xml:space="preserve"> </w:t>
      </w:r>
    </w:p>
    <w:p w:rsidR="006069FE" w:rsidRDefault="006069FE" w:rsidP="00B33B58">
      <w:pPr>
        <w:pStyle w:val="Heading9"/>
      </w:pPr>
      <w:r>
        <w:t>6.12.1</w:t>
      </w:r>
      <w:r>
        <w:tab/>
      </w:r>
      <w:r w:rsidR="002C3850" w:rsidRPr="000311AC">
        <w:t>While the information contained in</w:t>
      </w:r>
      <w:r w:rsidR="002C3850" w:rsidRPr="00020BC6">
        <w:t xml:space="preserve"> this</w:t>
      </w:r>
      <w:r w:rsidR="006A0CC2">
        <w:t xml:space="preserve"> CFC</w:t>
      </w:r>
      <w:r w:rsidR="002C3850" w:rsidRPr="00020BC6">
        <w:t xml:space="preserve"> is believed to be correct at the time of issue, neither </w:t>
      </w:r>
      <w:r>
        <w:tab/>
      </w:r>
      <w:r w:rsidR="00BE795F">
        <w:t>The</w:t>
      </w:r>
      <w:r w:rsidR="000828E6" w:rsidRPr="000828E6">
        <w:t xml:space="preserve"> </w:t>
      </w:r>
      <w:r w:rsidR="000828E6" w:rsidRPr="008032CF">
        <w:t>Health &amp; Safety Executive</w:t>
      </w:r>
      <w:r w:rsidR="000828E6">
        <w:t xml:space="preserve"> (HSE)</w:t>
      </w:r>
      <w:r w:rsidR="002C3850" w:rsidRPr="00020BC6">
        <w:t>, its advis</w:t>
      </w:r>
      <w:r w:rsidR="006715E3" w:rsidRPr="00020BC6">
        <w:t>e</w:t>
      </w:r>
      <w:r w:rsidR="002C3850" w:rsidRPr="00020BC6">
        <w:t>rs, nor any other awarding authorities</w:t>
      </w:r>
      <w:r w:rsidR="006715E3" w:rsidRPr="00020BC6">
        <w:t>,</w:t>
      </w:r>
      <w:r w:rsidR="002C3850" w:rsidRPr="00020BC6">
        <w:t xml:space="preserve"> will accept any liability for its accuracy, adequacy or completeness, nor will any express or implied warranty be given. </w:t>
      </w:r>
    </w:p>
    <w:p w:rsidR="00B33B58" w:rsidRDefault="00B33B58" w:rsidP="00B33B58">
      <w:pPr>
        <w:pStyle w:val="Heading9"/>
      </w:pPr>
    </w:p>
    <w:p w:rsidR="004B4D03" w:rsidRPr="00020BC6" w:rsidRDefault="006069FE" w:rsidP="00B33B58">
      <w:pPr>
        <w:pStyle w:val="Heading9"/>
      </w:pPr>
      <w:r>
        <w:t>6.12.2</w:t>
      </w:r>
      <w:r>
        <w:tab/>
      </w:r>
      <w:r w:rsidR="002C3850" w:rsidRPr="00020BC6">
        <w:t xml:space="preserve">This exclusion extends to liability in relation to any statement, opinion or conclusion contained in or any omission from this </w:t>
      </w:r>
      <w:r w:rsidR="006A0CC2">
        <w:t>CFC</w:t>
      </w:r>
      <w:r w:rsidR="002C3850" w:rsidRPr="00020BC6">
        <w:t xml:space="preserve"> (including its appendices) and in respect of any other wr</w:t>
      </w:r>
      <w:r w:rsidR="00A17F46">
        <w:t>itt</w:t>
      </w:r>
      <w:r w:rsidR="002C3850" w:rsidRPr="00020BC6">
        <w:t>en or oral communication transm</w:t>
      </w:r>
      <w:r w:rsidR="00277808">
        <w:t>itt</w:t>
      </w:r>
      <w:r w:rsidR="002C3850" w:rsidRPr="00020BC6">
        <w:t xml:space="preserve">ed (or otherwise made available) to any </w:t>
      </w:r>
      <w:r w:rsidR="00A17F46">
        <w:t>Bidder</w:t>
      </w:r>
      <w:r w:rsidR="002C3850" w:rsidRPr="00020BC6">
        <w:t xml:space="preserve">. This exclusion does not extend to any fraudulent misrepresentation made by or on behalf of </w:t>
      </w:r>
      <w:r w:rsidR="00BE795F">
        <w:t xml:space="preserve">The </w:t>
      </w:r>
      <w:r w:rsidR="000828E6" w:rsidRPr="008032CF">
        <w:t>Health &amp; Safety Executive</w:t>
      </w:r>
      <w:r w:rsidR="000828E6">
        <w:t xml:space="preserve"> (HSE)</w:t>
      </w:r>
      <w:r w:rsidR="000D4569">
        <w:t>.</w:t>
      </w:r>
    </w:p>
    <w:p w:rsidR="00B33B58" w:rsidRDefault="00B33B58" w:rsidP="00B33B58">
      <w:pPr>
        <w:pStyle w:val="Heading9"/>
      </w:pPr>
    </w:p>
    <w:p w:rsidR="004B4D03" w:rsidRPr="00020BC6" w:rsidRDefault="006069FE" w:rsidP="00B33B58">
      <w:pPr>
        <w:pStyle w:val="Heading9"/>
      </w:pPr>
      <w:r>
        <w:t>6.12.3</w:t>
      </w:r>
      <w:r>
        <w:tab/>
      </w:r>
      <w:r w:rsidR="002C3850" w:rsidRPr="00020BC6">
        <w:t xml:space="preserve">If a </w:t>
      </w:r>
      <w:r w:rsidR="00A17F46">
        <w:t>Bidder</w:t>
      </w:r>
      <w:r w:rsidR="002C3850" w:rsidRPr="00020BC6">
        <w:t xml:space="preserve"> proposes to enter into a </w:t>
      </w:r>
      <w:r w:rsidR="006715E3" w:rsidRPr="00020BC6">
        <w:t>c</w:t>
      </w:r>
      <w:r w:rsidR="002C3850" w:rsidRPr="00020BC6">
        <w:t xml:space="preserve">ontract with </w:t>
      </w:r>
      <w:r w:rsidR="00BE795F">
        <w:t xml:space="preserve">The </w:t>
      </w:r>
      <w:r w:rsidR="000828E6" w:rsidRPr="008032CF">
        <w:t>Health &amp; Safety Executive</w:t>
      </w:r>
      <w:r w:rsidR="000828E6">
        <w:t xml:space="preserve"> (HSE)</w:t>
      </w:r>
      <w:r w:rsidR="000828E6" w:rsidRPr="008032CF">
        <w:t xml:space="preserve"> </w:t>
      </w:r>
      <w:r w:rsidR="002C3850" w:rsidRPr="00020BC6">
        <w:t xml:space="preserve">it must </w:t>
      </w:r>
      <w:r>
        <w:tab/>
      </w:r>
      <w:r w:rsidR="002C3850" w:rsidRPr="00020BC6">
        <w:t xml:space="preserve">rely on its own enquiries and on the terms and conditions set out in the </w:t>
      </w:r>
      <w:r w:rsidR="006715E3" w:rsidRPr="00020BC6">
        <w:t>c</w:t>
      </w:r>
      <w:r w:rsidR="002C3850" w:rsidRPr="00020BC6">
        <w:t>ontract(s) (as and when finally executed), subject to the limitations and restrictions specified in it.</w:t>
      </w:r>
    </w:p>
    <w:p w:rsidR="00B33B58" w:rsidRDefault="00B33B58" w:rsidP="00B33B58">
      <w:pPr>
        <w:pStyle w:val="Heading9"/>
      </w:pPr>
    </w:p>
    <w:p w:rsidR="004B4D03" w:rsidRDefault="006069FE" w:rsidP="00B33B58">
      <w:pPr>
        <w:pStyle w:val="Heading9"/>
      </w:pPr>
      <w:r>
        <w:t>6.12.4</w:t>
      </w:r>
      <w:r>
        <w:tab/>
      </w:r>
      <w:r w:rsidR="002C3850" w:rsidRPr="00020BC6">
        <w:t xml:space="preserve">Neither the issue of this </w:t>
      </w:r>
      <w:r w:rsidR="006A0CC2">
        <w:t>CFC</w:t>
      </w:r>
      <w:r w:rsidR="002C3850" w:rsidRPr="00020BC6">
        <w:t xml:space="preserve">, nor any of the information presented in it, should be regarded as a </w:t>
      </w:r>
      <w:r>
        <w:tab/>
      </w:r>
      <w:r w:rsidR="002C3850" w:rsidRPr="00020BC6">
        <w:t xml:space="preserve">commitment or representation on the part of </w:t>
      </w:r>
      <w:r w:rsidR="00BE795F">
        <w:t xml:space="preserve">The </w:t>
      </w:r>
      <w:r w:rsidR="000828E6" w:rsidRPr="008032CF">
        <w:t>Health &amp; Safety Executive</w:t>
      </w:r>
      <w:r w:rsidR="000828E6">
        <w:t xml:space="preserve"> (HSE)</w:t>
      </w:r>
      <w:r w:rsidR="000828E6" w:rsidRPr="008032CF">
        <w:t xml:space="preserve"> </w:t>
      </w:r>
      <w:r w:rsidR="002C3850" w:rsidRPr="00020BC6">
        <w:t>(or any other person) to enter into a contractual arrangement.</w:t>
      </w:r>
    </w:p>
    <w:p w:rsidR="004B4D03" w:rsidRPr="00B33B58" w:rsidRDefault="006069FE" w:rsidP="006069FE">
      <w:pPr>
        <w:pStyle w:val="Heading2"/>
        <w:numPr>
          <w:ilvl w:val="0"/>
          <w:numId w:val="0"/>
        </w:numPr>
        <w:ind w:left="426" w:hanging="426"/>
        <w:jc w:val="both"/>
        <w:rPr>
          <w:color w:val="auto"/>
          <w:sz w:val="22"/>
          <w:szCs w:val="22"/>
        </w:rPr>
      </w:pPr>
      <w:bookmarkStart w:id="59" w:name="a400850"/>
      <w:bookmarkStart w:id="60" w:name="_Toc461530163"/>
      <w:bookmarkStart w:id="61" w:name="_Toc461530362"/>
      <w:bookmarkStart w:id="62" w:name="_Toc461551501"/>
      <w:bookmarkStart w:id="63" w:name="_Toc523410847"/>
      <w:r w:rsidRPr="00B33B58">
        <w:rPr>
          <w:color w:val="auto"/>
          <w:sz w:val="22"/>
          <w:szCs w:val="22"/>
        </w:rPr>
        <w:t>6.13</w:t>
      </w:r>
      <w:r w:rsidRPr="00B33B58">
        <w:rPr>
          <w:color w:val="auto"/>
          <w:sz w:val="22"/>
          <w:szCs w:val="22"/>
        </w:rPr>
        <w:tab/>
      </w:r>
      <w:r w:rsidR="002C3850" w:rsidRPr="00B33B58">
        <w:rPr>
          <w:color w:val="auto"/>
          <w:sz w:val="22"/>
          <w:szCs w:val="22"/>
        </w:rPr>
        <w:t xml:space="preserve">Confidentiality and </w:t>
      </w:r>
      <w:r w:rsidRPr="00B33B58">
        <w:rPr>
          <w:color w:val="auto"/>
          <w:sz w:val="22"/>
          <w:szCs w:val="22"/>
        </w:rPr>
        <w:t>F</w:t>
      </w:r>
      <w:r w:rsidR="002C3850" w:rsidRPr="00B33B58">
        <w:rPr>
          <w:color w:val="auto"/>
          <w:sz w:val="22"/>
          <w:szCs w:val="22"/>
        </w:rPr>
        <w:t xml:space="preserve">reedom of </w:t>
      </w:r>
      <w:r w:rsidRPr="00B33B58">
        <w:rPr>
          <w:color w:val="auto"/>
          <w:sz w:val="22"/>
          <w:szCs w:val="22"/>
        </w:rPr>
        <w:t>I</w:t>
      </w:r>
      <w:r w:rsidR="002C3850" w:rsidRPr="00B33B58">
        <w:rPr>
          <w:color w:val="auto"/>
          <w:sz w:val="22"/>
          <w:szCs w:val="22"/>
        </w:rPr>
        <w:t>nformation</w:t>
      </w:r>
      <w:bookmarkEnd w:id="59"/>
      <w:bookmarkEnd w:id="60"/>
      <w:bookmarkEnd w:id="61"/>
      <w:bookmarkEnd w:id="62"/>
      <w:bookmarkEnd w:id="63"/>
      <w:r w:rsidR="00B81485" w:rsidRPr="00B33B58">
        <w:rPr>
          <w:color w:val="auto"/>
          <w:sz w:val="22"/>
          <w:szCs w:val="22"/>
        </w:rPr>
        <w:t xml:space="preserve"> </w:t>
      </w:r>
    </w:p>
    <w:p w:rsidR="004B4D03" w:rsidRPr="009543D7" w:rsidRDefault="006069FE" w:rsidP="00B33B58">
      <w:pPr>
        <w:pStyle w:val="Heading9"/>
      </w:pPr>
      <w:r w:rsidRPr="009543D7">
        <w:t>6.13.1</w:t>
      </w:r>
      <w:r w:rsidRPr="009543D7">
        <w:tab/>
      </w:r>
      <w:r w:rsidR="002C3850" w:rsidRPr="009543D7">
        <w:t xml:space="preserve">This </w:t>
      </w:r>
      <w:r w:rsidR="006A0CC2" w:rsidRPr="009543D7">
        <w:t>CFC</w:t>
      </w:r>
      <w:r w:rsidR="002C3850" w:rsidRPr="009543D7">
        <w:t xml:space="preserve"> is made available on condition that its contents (including the fact that the </w:t>
      </w:r>
      <w:r w:rsidR="00A17F46" w:rsidRPr="009543D7">
        <w:t>Bidder</w:t>
      </w:r>
      <w:r w:rsidR="002C3850" w:rsidRPr="009543D7">
        <w:t xml:space="preserve"> has received this </w:t>
      </w:r>
      <w:r w:rsidR="006A0CC2" w:rsidRPr="009543D7">
        <w:t>CFC</w:t>
      </w:r>
      <w:r w:rsidR="002C3850" w:rsidRPr="009543D7">
        <w:t xml:space="preserve">) </w:t>
      </w:r>
      <w:r w:rsidR="006715E3" w:rsidRPr="009543D7">
        <w:t>are</w:t>
      </w:r>
      <w:r w:rsidR="002C3850" w:rsidRPr="009543D7">
        <w:t xml:space="preserve"> kept confidential and </w:t>
      </w:r>
      <w:r w:rsidR="006715E3" w:rsidRPr="009543D7">
        <w:t>are</w:t>
      </w:r>
      <w:r w:rsidR="002C3850" w:rsidRPr="009543D7">
        <w:t xml:space="preserve"> not copied, reproduced, distributed or passed to any other person at any time, except for the purpose of enabling the </w:t>
      </w:r>
      <w:r w:rsidR="00A17F46" w:rsidRPr="009543D7">
        <w:t>Bidder</w:t>
      </w:r>
      <w:r w:rsidR="002C3850" w:rsidRPr="009543D7">
        <w:t xml:space="preserve"> to submit a </w:t>
      </w:r>
      <w:r w:rsidR="008D206E" w:rsidRPr="009543D7">
        <w:t>Tender</w:t>
      </w:r>
      <w:r w:rsidR="002C3850" w:rsidRPr="009543D7">
        <w:t>.</w:t>
      </w:r>
    </w:p>
    <w:p w:rsidR="006069FE" w:rsidRPr="009543D7" w:rsidRDefault="00777DC8" w:rsidP="00777DC8">
      <w:pPr>
        <w:pStyle w:val="Heading2"/>
        <w:numPr>
          <w:ilvl w:val="0"/>
          <w:numId w:val="0"/>
        </w:numPr>
        <w:ind w:left="709" w:hanging="709"/>
        <w:jc w:val="both"/>
        <w:rPr>
          <w:b w:val="0"/>
          <w:i/>
          <w:color w:val="auto"/>
          <w:sz w:val="22"/>
          <w:szCs w:val="22"/>
        </w:rPr>
      </w:pPr>
      <w:r w:rsidRPr="009543D7">
        <w:rPr>
          <w:b w:val="0"/>
          <w:color w:val="auto"/>
          <w:sz w:val="22"/>
          <w:szCs w:val="22"/>
        </w:rPr>
        <w:t>6.13.2</w:t>
      </w:r>
      <w:r w:rsidRPr="009543D7">
        <w:rPr>
          <w:b w:val="0"/>
          <w:color w:val="auto"/>
          <w:sz w:val="22"/>
          <w:szCs w:val="22"/>
        </w:rPr>
        <w:tab/>
      </w:r>
      <w:r w:rsidR="006069FE" w:rsidRPr="009543D7">
        <w:rPr>
          <w:b w:val="0"/>
          <w:color w:val="auto"/>
          <w:sz w:val="22"/>
          <w:szCs w:val="22"/>
        </w:rPr>
        <w:t xml:space="preserve">HSE is committed to open government and to meeting its legal responsibilities under the Freedom of Information Act 2000. Accordingly, all information submitted to HSE may need to be disclosed by HSE in response to a request under the Act. HSE may also decide to include certain information in the publication scheme which we maintain under the Act. If you consider that any of the information included in your tender is commercially sensitive, please identify it in your response explain (in broad terms) what harm may result from disclosure if a request is received, and the time period applicable to that sensitivity. You should be aware that even where you have indicated that information is commercially sensitive, HSE may be required to disclose it under the Act if a request is received. Please also note that the receipt of any material marked ‘confidential’ or equivalent by HSE should not be taken to mean that </w:t>
      </w:r>
      <w:r w:rsidR="006069FE" w:rsidRPr="009543D7">
        <w:rPr>
          <w:b w:val="0"/>
          <w:color w:val="auto"/>
          <w:sz w:val="22"/>
          <w:szCs w:val="22"/>
        </w:rPr>
        <w:lastRenderedPageBreak/>
        <w:t>HSE accepts any duty of confidence by virtue of that marking. If a request is received, HSE may also be required to disclose details of unsuccessful tenders.</w:t>
      </w:r>
    </w:p>
    <w:p w:rsidR="00777DC8" w:rsidRPr="00777DC8" w:rsidRDefault="00777DC8" w:rsidP="00777DC8">
      <w:pPr>
        <w:ind w:left="720" w:hanging="720"/>
        <w:rPr>
          <w:b/>
        </w:rPr>
      </w:pPr>
      <w:r w:rsidRPr="00777DC8">
        <w:rPr>
          <w:b/>
        </w:rPr>
        <w:t>6.14</w:t>
      </w:r>
      <w:r w:rsidRPr="00777DC8">
        <w:rPr>
          <w:b/>
        </w:rPr>
        <w:tab/>
        <w:t>Transparency</w:t>
      </w:r>
    </w:p>
    <w:p w:rsidR="00777DC8" w:rsidRPr="00777DC8" w:rsidRDefault="00777DC8" w:rsidP="00777DC8">
      <w:pPr>
        <w:tabs>
          <w:tab w:val="center" w:pos="709"/>
          <w:tab w:val="right" w:pos="8306"/>
        </w:tabs>
        <w:ind w:left="705" w:hanging="705"/>
      </w:pPr>
    </w:p>
    <w:p w:rsidR="00777DC8" w:rsidRPr="00777DC8" w:rsidRDefault="00777DC8" w:rsidP="00777DC8">
      <w:pPr>
        <w:ind w:left="705" w:hanging="705"/>
        <w:jc w:val="both"/>
      </w:pPr>
      <w:r w:rsidRPr="00777DC8">
        <w:t>6.14.1</w:t>
      </w:r>
      <w:r w:rsidRPr="00777DC8">
        <w:tab/>
        <w:t>The Government has set out the need for greater transparency across its operations to enable the public to hold public bodies and politicians to account. This includes commitments relating to public expenditure, intended to help a</w:t>
      </w:r>
      <w:r w:rsidR="005A2B29">
        <w:t xml:space="preserve">chieve better value for money. </w:t>
      </w:r>
      <w:r w:rsidRPr="00777DC8">
        <w:t xml:space="preserve">HSE is obliged to publish for contracts with a value over £10,000.  </w:t>
      </w:r>
    </w:p>
    <w:p w:rsidR="00777DC8" w:rsidRPr="00777DC8" w:rsidRDefault="00777DC8" w:rsidP="00777DC8">
      <w:pPr>
        <w:jc w:val="both"/>
      </w:pPr>
    </w:p>
    <w:p w:rsidR="00777DC8" w:rsidRPr="00777DC8" w:rsidRDefault="00777DC8" w:rsidP="00777DC8">
      <w:pPr>
        <w:ind w:left="705" w:hanging="705"/>
        <w:jc w:val="both"/>
      </w:pPr>
      <w:r w:rsidRPr="00777DC8">
        <w:t>6.14.2</w:t>
      </w:r>
      <w:r w:rsidRPr="00777DC8">
        <w:tab/>
        <w:t xml:space="preserve">You should be aware that if you are awarded a contract with a value of over £10,000, the resulting contract comprising of Specification, Terms and Conditions and Associated Schedules (including the winning bid) will be published.  </w:t>
      </w:r>
    </w:p>
    <w:p w:rsidR="00777DC8" w:rsidRPr="00777DC8" w:rsidRDefault="00777DC8" w:rsidP="00777DC8">
      <w:pPr>
        <w:jc w:val="both"/>
      </w:pPr>
    </w:p>
    <w:p w:rsidR="00777DC8" w:rsidRPr="00777DC8" w:rsidRDefault="00777DC8" w:rsidP="00777DC8">
      <w:pPr>
        <w:tabs>
          <w:tab w:val="center" w:pos="709"/>
          <w:tab w:val="right" w:pos="8306"/>
        </w:tabs>
        <w:ind w:left="705" w:hanging="705"/>
        <w:jc w:val="both"/>
      </w:pPr>
      <w:r w:rsidRPr="00777DC8">
        <w:t>6.14.3</w:t>
      </w:r>
      <w:r w:rsidRPr="00777DC8">
        <w:tab/>
        <w:t>By exception, requests for redaction will be subject to the public interest test and redaction will only be agreed where</w:t>
      </w:r>
      <w:r w:rsidRPr="00777DC8">
        <w:rPr>
          <w:lang w:val="en"/>
        </w:rPr>
        <w:t xml:space="preserve"> the public interest in withholding the information outweighs the </w:t>
      </w:r>
      <w:r w:rsidR="005A2B29">
        <w:rPr>
          <w:lang w:val="en"/>
        </w:rPr>
        <w:t xml:space="preserve">public interest in disclosure. </w:t>
      </w:r>
      <w:r w:rsidRPr="00777DC8">
        <w:rPr>
          <w:lang w:val="en"/>
        </w:rPr>
        <w:t>You</w:t>
      </w:r>
      <w:r w:rsidRPr="00777DC8">
        <w:t xml:space="preserve"> must identify / reference the relevant text, show clear justification for redaction and detail the appropriate section of the Freedom of Information Act 2000 (for example, Sections 40, 41, 43) on which the redaction request is sought.</w:t>
      </w:r>
    </w:p>
    <w:p w:rsidR="004B4D03" w:rsidRPr="00DE4519" w:rsidRDefault="00777DC8" w:rsidP="00777DC8">
      <w:pPr>
        <w:pStyle w:val="Heading2"/>
        <w:numPr>
          <w:ilvl w:val="0"/>
          <w:numId w:val="0"/>
        </w:numPr>
        <w:ind w:left="709" w:hanging="709"/>
        <w:jc w:val="both"/>
        <w:rPr>
          <w:color w:val="auto"/>
          <w:sz w:val="22"/>
          <w:szCs w:val="22"/>
        </w:rPr>
      </w:pPr>
      <w:bookmarkStart w:id="64" w:name="_Toc461530164"/>
      <w:bookmarkStart w:id="65" w:name="_Toc461530363"/>
      <w:bookmarkStart w:id="66" w:name="_Toc461551502"/>
      <w:bookmarkStart w:id="67" w:name="_Toc523410848"/>
      <w:r w:rsidRPr="00DE4519">
        <w:rPr>
          <w:color w:val="auto"/>
          <w:sz w:val="22"/>
          <w:szCs w:val="22"/>
        </w:rPr>
        <w:t>6.15</w:t>
      </w:r>
      <w:r w:rsidRPr="00DE4519">
        <w:rPr>
          <w:color w:val="auto"/>
          <w:sz w:val="22"/>
          <w:szCs w:val="22"/>
        </w:rPr>
        <w:tab/>
      </w:r>
      <w:r w:rsidR="002C3850" w:rsidRPr="00DE4519">
        <w:rPr>
          <w:color w:val="auto"/>
          <w:sz w:val="22"/>
          <w:szCs w:val="22"/>
        </w:rPr>
        <w:t>Publicity</w:t>
      </w:r>
      <w:bookmarkEnd w:id="64"/>
      <w:bookmarkEnd w:id="65"/>
      <w:bookmarkEnd w:id="66"/>
      <w:bookmarkEnd w:id="67"/>
      <w:r w:rsidR="00B81485" w:rsidRPr="00DE4519">
        <w:rPr>
          <w:color w:val="auto"/>
          <w:sz w:val="22"/>
          <w:szCs w:val="22"/>
        </w:rPr>
        <w:t xml:space="preserve"> </w:t>
      </w:r>
    </w:p>
    <w:p w:rsidR="00224D15" w:rsidRPr="00777DC8" w:rsidRDefault="00777DC8" w:rsidP="00B33B58">
      <w:pPr>
        <w:pStyle w:val="Heading9"/>
      </w:pPr>
      <w:r w:rsidRPr="00777DC8">
        <w:t>6.15.1</w:t>
      </w:r>
      <w:r w:rsidRPr="00777DC8">
        <w:tab/>
      </w:r>
      <w:r w:rsidR="002C3850" w:rsidRPr="00777DC8">
        <w:t xml:space="preserve">No publicity </w:t>
      </w:r>
      <w:r w:rsidR="0063495B" w:rsidRPr="00777DC8">
        <w:t>(e</w:t>
      </w:r>
      <w:r w:rsidR="003C773F" w:rsidRPr="00777DC8">
        <w:t>.</w:t>
      </w:r>
      <w:r w:rsidR="0063495B" w:rsidRPr="00777DC8">
        <w:t>g</w:t>
      </w:r>
      <w:r w:rsidR="003C773F" w:rsidRPr="00777DC8">
        <w:t>.</w:t>
      </w:r>
      <w:r w:rsidR="0063495B" w:rsidRPr="00777DC8">
        <w:t xml:space="preserve"> press releases) </w:t>
      </w:r>
      <w:r w:rsidR="002C3850" w:rsidRPr="00777DC8">
        <w:t xml:space="preserve">regarding the </w:t>
      </w:r>
      <w:r w:rsidR="0063495B" w:rsidRPr="00777DC8">
        <w:t>s</w:t>
      </w:r>
      <w:r w:rsidR="002C3850" w:rsidRPr="00777DC8">
        <w:t xml:space="preserve">ervices or the award of any </w:t>
      </w:r>
      <w:r w:rsidR="0063495B" w:rsidRPr="00777DC8">
        <w:t>c</w:t>
      </w:r>
      <w:r w:rsidR="002C3850" w:rsidRPr="00777DC8">
        <w:t xml:space="preserve">ontract will be </w:t>
      </w:r>
      <w:r>
        <w:tab/>
      </w:r>
      <w:r w:rsidR="002C3850" w:rsidRPr="00777DC8">
        <w:t>perm</w:t>
      </w:r>
      <w:r w:rsidR="003C773F" w:rsidRPr="00777DC8">
        <w:t>itt</w:t>
      </w:r>
      <w:r w:rsidR="002C3850" w:rsidRPr="00777DC8">
        <w:t xml:space="preserve">ed unless and until </w:t>
      </w:r>
      <w:r>
        <w:t>HSE</w:t>
      </w:r>
      <w:r w:rsidR="002C3850" w:rsidRPr="00777DC8">
        <w:t xml:space="preserve"> ha</w:t>
      </w:r>
      <w:r w:rsidR="0063495B" w:rsidRPr="00777DC8">
        <w:t>ve</w:t>
      </w:r>
      <w:r w:rsidR="002C3850" w:rsidRPr="00777DC8">
        <w:t xml:space="preserve"> given express wr</w:t>
      </w:r>
      <w:r w:rsidR="00A17F46" w:rsidRPr="00777DC8">
        <w:t>itt</w:t>
      </w:r>
      <w:r w:rsidR="002C3850" w:rsidRPr="00777DC8">
        <w:t xml:space="preserve">en consent to the relevant communication. For example, no statements may be made to the media regarding the nature of any </w:t>
      </w:r>
      <w:r w:rsidR="008D206E" w:rsidRPr="00777DC8">
        <w:t>Tender</w:t>
      </w:r>
      <w:r w:rsidR="002C3850" w:rsidRPr="00777DC8">
        <w:t>, its contents or any proposals relating to it without the prior wr</w:t>
      </w:r>
      <w:r w:rsidR="00A17F46" w:rsidRPr="00777DC8">
        <w:t>itt</w:t>
      </w:r>
      <w:r w:rsidR="002C3850" w:rsidRPr="00777DC8">
        <w:t xml:space="preserve">en consent of </w:t>
      </w:r>
      <w:r w:rsidR="000378C3" w:rsidRPr="00777DC8">
        <w:t>The Health &amp; Safety Executive (HSE).</w:t>
      </w:r>
    </w:p>
    <w:p w:rsidR="004B4D03" w:rsidRPr="00DE4519" w:rsidRDefault="00777DC8" w:rsidP="00777DC8">
      <w:pPr>
        <w:pStyle w:val="Heading2"/>
        <w:numPr>
          <w:ilvl w:val="0"/>
          <w:numId w:val="0"/>
        </w:numPr>
        <w:ind w:left="426" w:hanging="426"/>
        <w:jc w:val="both"/>
        <w:rPr>
          <w:color w:val="auto"/>
          <w:sz w:val="22"/>
          <w:szCs w:val="22"/>
        </w:rPr>
      </w:pPr>
      <w:bookmarkStart w:id="68" w:name="_Toc461530165"/>
      <w:bookmarkStart w:id="69" w:name="_Toc461530364"/>
      <w:bookmarkStart w:id="70" w:name="_Toc461551503"/>
      <w:bookmarkStart w:id="71" w:name="_Toc523410849"/>
      <w:r w:rsidRPr="00DE4519">
        <w:rPr>
          <w:color w:val="auto"/>
          <w:sz w:val="22"/>
          <w:szCs w:val="22"/>
        </w:rPr>
        <w:t>6.16</w:t>
      </w:r>
      <w:r w:rsidRPr="00DE4519">
        <w:rPr>
          <w:color w:val="auto"/>
          <w:sz w:val="22"/>
          <w:szCs w:val="22"/>
        </w:rPr>
        <w:tab/>
      </w:r>
      <w:r w:rsidR="00A17F46" w:rsidRPr="00DE4519">
        <w:rPr>
          <w:color w:val="auto"/>
          <w:sz w:val="22"/>
          <w:szCs w:val="22"/>
        </w:rPr>
        <w:t>Bidder</w:t>
      </w:r>
      <w:r w:rsidR="00187BFB" w:rsidRPr="00DE4519">
        <w:rPr>
          <w:color w:val="auto"/>
          <w:sz w:val="22"/>
          <w:szCs w:val="22"/>
        </w:rPr>
        <w:t xml:space="preserve"> C</w:t>
      </w:r>
      <w:r w:rsidR="002C3850" w:rsidRPr="00DE4519">
        <w:rPr>
          <w:color w:val="auto"/>
          <w:sz w:val="22"/>
          <w:szCs w:val="22"/>
        </w:rPr>
        <w:t xml:space="preserve">onduct and </w:t>
      </w:r>
      <w:r w:rsidR="00187BFB" w:rsidRPr="00DE4519">
        <w:rPr>
          <w:color w:val="auto"/>
          <w:sz w:val="22"/>
          <w:szCs w:val="22"/>
        </w:rPr>
        <w:t>Conflicts of I</w:t>
      </w:r>
      <w:r w:rsidR="002C3850" w:rsidRPr="00DE4519">
        <w:rPr>
          <w:color w:val="auto"/>
          <w:sz w:val="22"/>
          <w:szCs w:val="22"/>
        </w:rPr>
        <w:t>nterest</w:t>
      </w:r>
      <w:bookmarkEnd w:id="68"/>
      <w:bookmarkEnd w:id="69"/>
      <w:bookmarkEnd w:id="70"/>
      <w:bookmarkEnd w:id="71"/>
      <w:r w:rsidR="00B81485" w:rsidRPr="00DE4519">
        <w:rPr>
          <w:color w:val="auto"/>
          <w:sz w:val="22"/>
          <w:szCs w:val="22"/>
        </w:rPr>
        <w:t xml:space="preserve"> </w:t>
      </w:r>
    </w:p>
    <w:p w:rsidR="004B4D03" w:rsidRPr="00020BC6" w:rsidRDefault="00777DC8" w:rsidP="00B33B58">
      <w:pPr>
        <w:pStyle w:val="Heading9"/>
      </w:pPr>
      <w:r>
        <w:t>6.16.1</w:t>
      </w:r>
      <w:r>
        <w:tab/>
      </w:r>
      <w:r w:rsidR="002C3850" w:rsidRPr="00020BC6">
        <w:t xml:space="preserve">Any attempt by </w:t>
      </w:r>
      <w:r w:rsidR="00A17F46">
        <w:t>Bidder</w:t>
      </w:r>
      <w:r w:rsidR="00002B3C">
        <w:t>s</w:t>
      </w:r>
      <w:r w:rsidR="002C3850" w:rsidRPr="00020BC6">
        <w:t xml:space="preserve"> or their advis</w:t>
      </w:r>
      <w:r w:rsidR="0063495B" w:rsidRPr="00020BC6">
        <w:t>e</w:t>
      </w:r>
      <w:r w:rsidR="002C3850" w:rsidRPr="00020BC6">
        <w:t xml:space="preserve">rs to influence the contract award process in any way may </w:t>
      </w:r>
      <w:r>
        <w:tab/>
      </w:r>
      <w:r w:rsidR="002C3850" w:rsidRPr="00020BC6">
        <w:t xml:space="preserve">result in the </w:t>
      </w:r>
      <w:r w:rsidR="00A17F46">
        <w:t>Bidder</w:t>
      </w:r>
      <w:r w:rsidR="002C3850" w:rsidRPr="00020BC6">
        <w:t xml:space="preserve"> being disqualified. Specifically, </w:t>
      </w:r>
      <w:r w:rsidR="00A17F46">
        <w:t>Bidder</w:t>
      </w:r>
      <w:r w:rsidR="002C3850" w:rsidRPr="00020BC6">
        <w:t>s shall not directly or indirectly at any time:</w:t>
      </w:r>
    </w:p>
    <w:p w:rsidR="004B4D03" w:rsidRPr="00020BC6" w:rsidRDefault="00AD0F7D" w:rsidP="006F1144">
      <w:pPr>
        <w:pStyle w:val="ListParagraph"/>
        <w:numPr>
          <w:ilvl w:val="1"/>
          <w:numId w:val="25"/>
        </w:numPr>
        <w:jc w:val="both"/>
        <w:rPr>
          <w:kern w:val="2"/>
        </w:rPr>
      </w:pPr>
      <w:proofErr w:type="gramStart"/>
      <w:r w:rsidRPr="00020BC6">
        <w:rPr>
          <w:kern w:val="2"/>
        </w:rPr>
        <w:t>d</w:t>
      </w:r>
      <w:r w:rsidR="002C3850" w:rsidRPr="00020BC6">
        <w:rPr>
          <w:kern w:val="2"/>
        </w:rPr>
        <w:t>evise</w:t>
      </w:r>
      <w:proofErr w:type="gramEnd"/>
      <w:r w:rsidR="002C3850" w:rsidRPr="00020BC6">
        <w:rPr>
          <w:kern w:val="2"/>
        </w:rPr>
        <w:t xml:space="preserve"> or amend the content of their </w:t>
      </w:r>
      <w:r w:rsidR="008D206E">
        <w:rPr>
          <w:kern w:val="2"/>
        </w:rPr>
        <w:t>Tender</w:t>
      </w:r>
      <w:r w:rsidR="002C3850" w:rsidRPr="00020BC6">
        <w:rPr>
          <w:kern w:val="2"/>
        </w:rPr>
        <w:t xml:space="preserve"> in accordance with any agreement or arrangement with any other person, other than in good faith with a person who is a proposed partner, supplier, consortium member or provider of finance.</w:t>
      </w:r>
    </w:p>
    <w:p w:rsidR="004B4D03" w:rsidRPr="00020BC6" w:rsidRDefault="00AD0F7D" w:rsidP="006F1144">
      <w:pPr>
        <w:pStyle w:val="ListParagraph"/>
        <w:numPr>
          <w:ilvl w:val="1"/>
          <w:numId w:val="25"/>
        </w:numPr>
        <w:jc w:val="both"/>
        <w:rPr>
          <w:kern w:val="2"/>
        </w:rPr>
      </w:pPr>
      <w:proofErr w:type="gramStart"/>
      <w:r w:rsidRPr="00020BC6">
        <w:rPr>
          <w:kern w:val="2"/>
        </w:rPr>
        <w:t>e</w:t>
      </w:r>
      <w:r w:rsidR="002C3850" w:rsidRPr="00020BC6">
        <w:rPr>
          <w:kern w:val="2"/>
        </w:rPr>
        <w:t>nter</w:t>
      </w:r>
      <w:proofErr w:type="gramEnd"/>
      <w:r w:rsidR="002C3850" w:rsidRPr="00020BC6">
        <w:rPr>
          <w:kern w:val="2"/>
        </w:rPr>
        <w:t xml:space="preserve"> into any agreement or arrangement with any other person as to the form or content of any other </w:t>
      </w:r>
      <w:r w:rsidR="008D206E">
        <w:rPr>
          <w:kern w:val="2"/>
        </w:rPr>
        <w:t>Tender</w:t>
      </w:r>
      <w:r w:rsidR="002C3850" w:rsidRPr="00020BC6">
        <w:rPr>
          <w:kern w:val="2"/>
        </w:rPr>
        <w:t xml:space="preserve">, or offer to pay any sum of money or valuable consideration to any person to </w:t>
      </w:r>
      <w:r w:rsidR="0055210D">
        <w:rPr>
          <w:kern w:val="2"/>
        </w:rPr>
        <w:t>a</w:t>
      </w:r>
      <w:r w:rsidR="002C3850" w:rsidRPr="00020BC6">
        <w:rPr>
          <w:kern w:val="2"/>
        </w:rPr>
        <w:t xml:space="preserve">ffect changes to the form or content of any other </w:t>
      </w:r>
      <w:r w:rsidR="008D206E">
        <w:rPr>
          <w:kern w:val="2"/>
        </w:rPr>
        <w:t>Tender</w:t>
      </w:r>
      <w:r w:rsidR="002C3850" w:rsidRPr="00020BC6">
        <w:rPr>
          <w:kern w:val="2"/>
        </w:rPr>
        <w:t>.</w:t>
      </w:r>
    </w:p>
    <w:p w:rsidR="004B4D03" w:rsidRPr="00020BC6" w:rsidRDefault="00AD0F7D" w:rsidP="006F1144">
      <w:pPr>
        <w:pStyle w:val="ListParagraph"/>
        <w:numPr>
          <w:ilvl w:val="1"/>
          <w:numId w:val="25"/>
        </w:numPr>
        <w:jc w:val="both"/>
        <w:rPr>
          <w:kern w:val="2"/>
        </w:rPr>
      </w:pPr>
      <w:proofErr w:type="gramStart"/>
      <w:r w:rsidRPr="00020BC6">
        <w:rPr>
          <w:kern w:val="2"/>
        </w:rPr>
        <w:t>e</w:t>
      </w:r>
      <w:r w:rsidR="002C3850" w:rsidRPr="00020BC6">
        <w:rPr>
          <w:kern w:val="2"/>
        </w:rPr>
        <w:t>nter</w:t>
      </w:r>
      <w:proofErr w:type="gramEnd"/>
      <w:r w:rsidR="002C3850" w:rsidRPr="00020BC6">
        <w:rPr>
          <w:kern w:val="2"/>
        </w:rPr>
        <w:t xml:space="preserve"> into any agreement or arrangement with any other person that has the effect of prohibiting or excluding that person from subm</w:t>
      </w:r>
      <w:r w:rsidR="00A17F46">
        <w:rPr>
          <w:kern w:val="2"/>
        </w:rPr>
        <w:t>itt</w:t>
      </w:r>
      <w:r w:rsidR="002C3850" w:rsidRPr="00020BC6">
        <w:rPr>
          <w:kern w:val="2"/>
        </w:rPr>
        <w:t xml:space="preserve">ing a </w:t>
      </w:r>
      <w:r w:rsidR="008D206E">
        <w:rPr>
          <w:kern w:val="2"/>
        </w:rPr>
        <w:t>Tender</w:t>
      </w:r>
      <w:r w:rsidR="002C3850" w:rsidRPr="00020BC6">
        <w:rPr>
          <w:kern w:val="2"/>
        </w:rPr>
        <w:t>.</w:t>
      </w:r>
    </w:p>
    <w:p w:rsidR="004B4D03" w:rsidRPr="00020BC6" w:rsidRDefault="00AD0F7D" w:rsidP="006F1144">
      <w:pPr>
        <w:pStyle w:val="ListParagraph"/>
        <w:numPr>
          <w:ilvl w:val="1"/>
          <w:numId w:val="25"/>
        </w:numPr>
        <w:jc w:val="both"/>
        <w:rPr>
          <w:kern w:val="2"/>
        </w:rPr>
      </w:pPr>
      <w:proofErr w:type="gramStart"/>
      <w:r w:rsidRPr="00020BC6">
        <w:rPr>
          <w:kern w:val="2"/>
        </w:rPr>
        <w:t>c</w:t>
      </w:r>
      <w:r w:rsidR="002C3850" w:rsidRPr="00020BC6">
        <w:rPr>
          <w:kern w:val="2"/>
        </w:rPr>
        <w:t>anvass</w:t>
      </w:r>
      <w:proofErr w:type="gramEnd"/>
      <w:r w:rsidR="002C3850" w:rsidRPr="00020BC6">
        <w:rPr>
          <w:kern w:val="2"/>
        </w:rPr>
        <w:t xml:space="preserve"> </w:t>
      </w:r>
      <w:r w:rsidR="000378C3">
        <w:rPr>
          <w:kern w:val="2"/>
        </w:rPr>
        <w:t xml:space="preserve">The </w:t>
      </w:r>
      <w:r w:rsidR="000378C3" w:rsidRPr="008032CF">
        <w:rPr>
          <w:rFonts w:cs="Arial"/>
          <w:kern w:val="2"/>
        </w:rPr>
        <w:t>Health &amp; Safety Executive</w:t>
      </w:r>
      <w:r w:rsidR="000378C3">
        <w:rPr>
          <w:rFonts w:cs="Arial"/>
          <w:kern w:val="2"/>
        </w:rPr>
        <w:t xml:space="preserve"> (HSE)</w:t>
      </w:r>
      <w:r w:rsidR="000378C3" w:rsidRPr="008032CF">
        <w:rPr>
          <w:rFonts w:cs="Arial"/>
          <w:kern w:val="2"/>
        </w:rPr>
        <w:t xml:space="preserve"> </w:t>
      </w:r>
      <w:r w:rsidR="002C3850" w:rsidRPr="00020BC6">
        <w:rPr>
          <w:kern w:val="2"/>
        </w:rPr>
        <w:t xml:space="preserve">or any employees or agents of </w:t>
      </w:r>
      <w:r w:rsidR="000378C3">
        <w:rPr>
          <w:kern w:val="2"/>
        </w:rPr>
        <w:t xml:space="preserve">The </w:t>
      </w:r>
      <w:r w:rsidR="000378C3" w:rsidRPr="008032CF">
        <w:rPr>
          <w:rFonts w:cs="Arial"/>
          <w:kern w:val="2"/>
        </w:rPr>
        <w:t>Health &amp; Safety Executive</w:t>
      </w:r>
      <w:r w:rsidR="000378C3">
        <w:rPr>
          <w:rFonts w:cs="Arial"/>
          <w:kern w:val="2"/>
        </w:rPr>
        <w:t xml:space="preserve"> (HSE)</w:t>
      </w:r>
      <w:r w:rsidR="000378C3" w:rsidRPr="008032CF">
        <w:rPr>
          <w:rFonts w:cs="Arial"/>
          <w:kern w:val="2"/>
        </w:rPr>
        <w:t xml:space="preserve"> </w:t>
      </w:r>
      <w:r w:rsidR="002C3850" w:rsidRPr="00020BC6">
        <w:rPr>
          <w:kern w:val="2"/>
        </w:rPr>
        <w:t>in relation to this procurement.</w:t>
      </w:r>
    </w:p>
    <w:p w:rsidR="004B4D03" w:rsidRPr="00020BC6" w:rsidRDefault="00AD0F7D" w:rsidP="006F1144">
      <w:pPr>
        <w:pStyle w:val="ListParagraph"/>
        <w:numPr>
          <w:ilvl w:val="1"/>
          <w:numId w:val="25"/>
        </w:numPr>
        <w:jc w:val="both"/>
        <w:rPr>
          <w:kern w:val="2"/>
        </w:rPr>
      </w:pPr>
      <w:proofErr w:type="gramStart"/>
      <w:r w:rsidRPr="00020BC6">
        <w:rPr>
          <w:kern w:val="2"/>
        </w:rPr>
        <w:t>a</w:t>
      </w:r>
      <w:r w:rsidR="002C3850" w:rsidRPr="00020BC6">
        <w:rPr>
          <w:kern w:val="2"/>
        </w:rPr>
        <w:t>ttempt</w:t>
      </w:r>
      <w:proofErr w:type="gramEnd"/>
      <w:r w:rsidR="002C3850" w:rsidRPr="00020BC6">
        <w:rPr>
          <w:kern w:val="2"/>
        </w:rPr>
        <w:t xml:space="preserve"> to obtain information from any of the employees or agents of </w:t>
      </w:r>
      <w:r w:rsidR="000378C3">
        <w:rPr>
          <w:kern w:val="2"/>
        </w:rPr>
        <w:t xml:space="preserve">The </w:t>
      </w:r>
      <w:r w:rsidR="000378C3" w:rsidRPr="008032CF">
        <w:rPr>
          <w:rFonts w:cs="Arial"/>
          <w:kern w:val="2"/>
        </w:rPr>
        <w:t>Health &amp; Safety Executive</w:t>
      </w:r>
      <w:r w:rsidR="000378C3">
        <w:rPr>
          <w:rFonts w:cs="Arial"/>
          <w:kern w:val="2"/>
        </w:rPr>
        <w:t xml:space="preserve"> (HSE)</w:t>
      </w:r>
      <w:r w:rsidR="000378C3" w:rsidRPr="008032CF">
        <w:rPr>
          <w:rFonts w:cs="Arial"/>
          <w:kern w:val="2"/>
        </w:rPr>
        <w:t xml:space="preserve"> </w:t>
      </w:r>
      <w:r w:rsidR="002C3850" w:rsidRPr="00020BC6">
        <w:rPr>
          <w:kern w:val="2"/>
        </w:rPr>
        <w:t>or their advis</w:t>
      </w:r>
      <w:r w:rsidRPr="00020BC6">
        <w:rPr>
          <w:kern w:val="2"/>
        </w:rPr>
        <w:t>e</w:t>
      </w:r>
      <w:r w:rsidR="002C3850" w:rsidRPr="00020BC6">
        <w:rPr>
          <w:kern w:val="2"/>
        </w:rPr>
        <w:t xml:space="preserve">rs concerning another </w:t>
      </w:r>
      <w:r w:rsidR="00A17F46">
        <w:rPr>
          <w:kern w:val="2"/>
        </w:rPr>
        <w:t>Bidder</w:t>
      </w:r>
      <w:r w:rsidR="002C3850" w:rsidRPr="00020BC6">
        <w:rPr>
          <w:kern w:val="2"/>
        </w:rPr>
        <w:t xml:space="preserve"> or </w:t>
      </w:r>
      <w:r w:rsidR="008D206E">
        <w:rPr>
          <w:kern w:val="2"/>
        </w:rPr>
        <w:t>Tender</w:t>
      </w:r>
      <w:r w:rsidR="002C3850" w:rsidRPr="00020BC6">
        <w:rPr>
          <w:kern w:val="2"/>
        </w:rPr>
        <w:t>.</w:t>
      </w:r>
    </w:p>
    <w:p w:rsidR="004B4D03" w:rsidRPr="00020BC6" w:rsidRDefault="00777DC8" w:rsidP="00B33B58">
      <w:pPr>
        <w:pStyle w:val="Heading9"/>
      </w:pPr>
      <w:r>
        <w:lastRenderedPageBreak/>
        <w:t>6.16.2</w:t>
      </w:r>
      <w:r>
        <w:tab/>
      </w:r>
      <w:r w:rsidR="00A17F46">
        <w:t>Bidder</w:t>
      </w:r>
      <w:r w:rsidR="002C3850" w:rsidRPr="00020BC6">
        <w:t xml:space="preserve">s are responsible for ensuring that no conflicts of interest exist between the </w:t>
      </w:r>
      <w:r w:rsidR="00A17F46">
        <w:t>Bidder</w:t>
      </w:r>
      <w:r w:rsidR="002C3850" w:rsidRPr="00020BC6">
        <w:t xml:space="preserve"> and its </w:t>
      </w:r>
      <w:r>
        <w:tab/>
      </w:r>
      <w:r w:rsidR="002C3850" w:rsidRPr="00020BC6">
        <w:t xml:space="preserve">advisers, and </w:t>
      </w:r>
      <w:r w:rsidR="000378C3">
        <w:t xml:space="preserve">The </w:t>
      </w:r>
      <w:r w:rsidR="000378C3" w:rsidRPr="008032CF">
        <w:t>Health &amp; Safety Executive</w:t>
      </w:r>
      <w:r w:rsidR="000378C3">
        <w:t xml:space="preserve"> (HSE)</w:t>
      </w:r>
      <w:r w:rsidR="000378C3" w:rsidRPr="008032CF">
        <w:t xml:space="preserve"> </w:t>
      </w:r>
      <w:r w:rsidR="002C3850" w:rsidRPr="00020BC6">
        <w:t>and its advis</w:t>
      </w:r>
      <w:r w:rsidR="008D206E">
        <w:t>e</w:t>
      </w:r>
      <w:r w:rsidR="002C3850" w:rsidRPr="00020BC6">
        <w:t xml:space="preserve">rs. Any </w:t>
      </w:r>
      <w:r w:rsidR="00A17F46">
        <w:t>Bidder</w:t>
      </w:r>
      <w:r w:rsidR="002C3850" w:rsidRPr="00020BC6">
        <w:t xml:space="preserve"> who fails to comply with this requirement may be disqualified from the procurement at </w:t>
      </w:r>
      <w:r w:rsidR="00AD0F7D" w:rsidRPr="00020BC6">
        <w:t xml:space="preserve">our </w:t>
      </w:r>
      <w:r w:rsidR="002C3850" w:rsidRPr="00020BC6">
        <w:t>discretion.</w:t>
      </w:r>
    </w:p>
    <w:p w:rsidR="003B6376" w:rsidRPr="00DE4519" w:rsidRDefault="00777DC8" w:rsidP="00777DC8">
      <w:pPr>
        <w:pStyle w:val="Heading2"/>
        <w:numPr>
          <w:ilvl w:val="0"/>
          <w:numId w:val="0"/>
        </w:numPr>
        <w:ind w:left="710" w:hanging="710"/>
        <w:jc w:val="both"/>
        <w:rPr>
          <w:color w:val="auto"/>
          <w:sz w:val="22"/>
          <w:szCs w:val="22"/>
        </w:rPr>
      </w:pPr>
      <w:bookmarkStart w:id="72" w:name="_Toc523410850"/>
      <w:r w:rsidRPr="00DE4519">
        <w:rPr>
          <w:color w:val="auto"/>
          <w:sz w:val="22"/>
          <w:szCs w:val="22"/>
        </w:rPr>
        <w:t>6.17</w:t>
      </w:r>
      <w:r w:rsidRPr="00DE4519">
        <w:rPr>
          <w:color w:val="auto"/>
          <w:sz w:val="22"/>
          <w:szCs w:val="22"/>
        </w:rPr>
        <w:tab/>
      </w:r>
      <w:r w:rsidR="00187BFB" w:rsidRPr="00DE4519">
        <w:rPr>
          <w:color w:val="auto"/>
          <w:sz w:val="22"/>
          <w:szCs w:val="22"/>
        </w:rPr>
        <w:t>Authority’s R</w:t>
      </w:r>
      <w:r w:rsidR="003B6376" w:rsidRPr="00DE4519">
        <w:rPr>
          <w:color w:val="auto"/>
          <w:sz w:val="22"/>
          <w:szCs w:val="22"/>
        </w:rPr>
        <w:t>ights</w:t>
      </w:r>
      <w:bookmarkEnd w:id="72"/>
    </w:p>
    <w:p w:rsidR="004B4D03" w:rsidRPr="00020BC6" w:rsidRDefault="00777DC8" w:rsidP="00B33B58">
      <w:pPr>
        <w:pStyle w:val="Heading9"/>
      </w:pPr>
      <w:r>
        <w:t>6.17.1</w:t>
      </w:r>
      <w:r>
        <w:tab/>
      </w:r>
      <w:r w:rsidR="00FA6737">
        <w:t xml:space="preserve">The </w:t>
      </w:r>
      <w:r w:rsidR="00FA6737" w:rsidRPr="008032CF">
        <w:t>Health &amp; Safety Executive</w:t>
      </w:r>
      <w:r w:rsidR="00FA6737">
        <w:t xml:space="preserve"> (HSE)</w:t>
      </w:r>
      <w:r w:rsidR="00FA6737" w:rsidRPr="008032CF">
        <w:t xml:space="preserve"> </w:t>
      </w:r>
      <w:r w:rsidR="002C3850" w:rsidRPr="00020BC6">
        <w:t>reserves the right to:</w:t>
      </w:r>
    </w:p>
    <w:p w:rsidR="004B4D03" w:rsidRPr="00020BC6" w:rsidRDefault="00AD0F7D" w:rsidP="00BB6AC8">
      <w:pPr>
        <w:pStyle w:val="ListParagraph"/>
        <w:numPr>
          <w:ilvl w:val="1"/>
          <w:numId w:val="25"/>
        </w:numPr>
        <w:jc w:val="both"/>
        <w:rPr>
          <w:kern w:val="2"/>
        </w:rPr>
      </w:pPr>
      <w:r w:rsidRPr="00020BC6">
        <w:rPr>
          <w:kern w:val="2"/>
        </w:rPr>
        <w:t>w</w:t>
      </w:r>
      <w:r w:rsidR="002C3850" w:rsidRPr="00020BC6">
        <w:rPr>
          <w:kern w:val="2"/>
        </w:rPr>
        <w:t xml:space="preserve">aive or change the requirements of this </w:t>
      </w:r>
      <w:r w:rsidR="006A0CC2">
        <w:rPr>
          <w:kern w:val="2"/>
        </w:rPr>
        <w:t>CFC</w:t>
      </w:r>
      <w:r w:rsidR="002C3850" w:rsidRPr="00020BC6">
        <w:rPr>
          <w:kern w:val="2"/>
        </w:rPr>
        <w:t xml:space="preserve"> from time to time without prior (or any) notice being given by </w:t>
      </w:r>
      <w:r w:rsidR="00FA6737">
        <w:rPr>
          <w:kern w:val="2"/>
        </w:rPr>
        <w:t xml:space="preserve">The </w:t>
      </w:r>
      <w:r w:rsidR="00FA6737" w:rsidRPr="008032CF">
        <w:rPr>
          <w:rFonts w:cs="Arial"/>
          <w:kern w:val="2"/>
        </w:rPr>
        <w:t>Health &amp; Safety Executive</w:t>
      </w:r>
      <w:r w:rsidR="00FA6737">
        <w:rPr>
          <w:rFonts w:cs="Arial"/>
          <w:kern w:val="2"/>
        </w:rPr>
        <w:t xml:space="preserve"> (HSE)</w:t>
      </w:r>
    </w:p>
    <w:p w:rsidR="004B4D03" w:rsidRPr="00020BC6" w:rsidRDefault="00AD0F7D" w:rsidP="00BB6AC8">
      <w:pPr>
        <w:pStyle w:val="ListParagraph"/>
        <w:numPr>
          <w:ilvl w:val="1"/>
          <w:numId w:val="25"/>
        </w:numPr>
        <w:jc w:val="both"/>
        <w:rPr>
          <w:kern w:val="2"/>
        </w:rPr>
      </w:pPr>
      <w:r w:rsidRPr="00020BC6">
        <w:rPr>
          <w:kern w:val="2"/>
        </w:rPr>
        <w:t>s</w:t>
      </w:r>
      <w:r w:rsidR="002C3850" w:rsidRPr="00020BC6">
        <w:rPr>
          <w:kern w:val="2"/>
        </w:rPr>
        <w:t>eek clarification</w:t>
      </w:r>
      <w:r w:rsidR="00130FC1" w:rsidRPr="00020BC6">
        <w:rPr>
          <w:kern w:val="2"/>
        </w:rPr>
        <w:t xml:space="preserve">, which may include </w:t>
      </w:r>
      <w:r w:rsidR="002C3850" w:rsidRPr="00020BC6">
        <w:rPr>
          <w:kern w:val="2"/>
        </w:rPr>
        <w:t>documents</w:t>
      </w:r>
      <w:r w:rsidR="00130FC1" w:rsidRPr="00020BC6">
        <w:rPr>
          <w:kern w:val="2"/>
        </w:rPr>
        <w:t>,</w:t>
      </w:r>
      <w:r w:rsidR="002C3850" w:rsidRPr="00020BC6">
        <w:rPr>
          <w:kern w:val="2"/>
        </w:rPr>
        <w:t xml:space="preserve"> in respect of a </w:t>
      </w:r>
      <w:r w:rsidR="00A17F46">
        <w:rPr>
          <w:kern w:val="2"/>
        </w:rPr>
        <w:t>Bidder</w:t>
      </w:r>
      <w:r w:rsidR="002C3850" w:rsidRPr="00020BC6">
        <w:rPr>
          <w:kern w:val="2"/>
        </w:rPr>
        <w:t>'s submission</w:t>
      </w:r>
    </w:p>
    <w:p w:rsidR="004B4D03" w:rsidRPr="00020BC6" w:rsidRDefault="00AD0F7D" w:rsidP="00BB6AC8">
      <w:pPr>
        <w:pStyle w:val="ListParagraph"/>
        <w:numPr>
          <w:ilvl w:val="1"/>
          <w:numId w:val="25"/>
        </w:numPr>
        <w:jc w:val="both"/>
        <w:rPr>
          <w:kern w:val="2"/>
        </w:rPr>
      </w:pPr>
      <w:r w:rsidRPr="00020BC6">
        <w:rPr>
          <w:kern w:val="2"/>
        </w:rPr>
        <w:t>d</w:t>
      </w:r>
      <w:r w:rsidR="002C3850" w:rsidRPr="00020BC6">
        <w:rPr>
          <w:kern w:val="2"/>
        </w:rPr>
        <w:t xml:space="preserve">isqualify any </w:t>
      </w:r>
      <w:r w:rsidR="00A17F46">
        <w:rPr>
          <w:kern w:val="2"/>
        </w:rPr>
        <w:t>Bidder</w:t>
      </w:r>
      <w:r w:rsidR="002C3850" w:rsidRPr="00020BC6">
        <w:rPr>
          <w:kern w:val="2"/>
        </w:rPr>
        <w:t xml:space="preserve"> </w:t>
      </w:r>
      <w:r w:rsidRPr="00020BC6">
        <w:rPr>
          <w:kern w:val="2"/>
        </w:rPr>
        <w:t xml:space="preserve">who </w:t>
      </w:r>
      <w:r w:rsidR="002C3850" w:rsidRPr="00020BC6">
        <w:rPr>
          <w:kern w:val="2"/>
        </w:rPr>
        <w:t xml:space="preserve">does not submit a compliant </w:t>
      </w:r>
      <w:r w:rsidR="008D206E">
        <w:rPr>
          <w:kern w:val="2"/>
        </w:rPr>
        <w:t>Tender</w:t>
      </w:r>
      <w:r w:rsidR="002C3850" w:rsidRPr="00020BC6">
        <w:rPr>
          <w:kern w:val="2"/>
        </w:rPr>
        <w:t xml:space="preserve"> in accordance with the instructions in this </w:t>
      </w:r>
      <w:r w:rsidR="006A0CC2">
        <w:rPr>
          <w:kern w:val="2"/>
        </w:rPr>
        <w:t>CFC</w:t>
      </w:r>
    </w:p>
    <w:p w:rsidR="004B4D03" w:rsidRPr="00020BC6" w:rsidRDefault="00AD0F7D" w:rsidP="00BB6AC8">
      <w:pPr>
        <w:pStyle w:val="ListParagraph"/>
        <w:numPr>
          <w:ilvl w:val="1"/>
          <w:numId w:val="25"/>
        </w:numPr>
        <w:jc w:val="both"/>
        <w:rPr>
          <w:kern w:val="2"/>
        </w:rPr>
      </w:pPr>
      <w:r w:rsidRPr="00020BC6">
        <w:rPr>
          <w:kern w:val="2"/>
        </w:rPr>
        <w:t>d</w:t>
      </w:r>
      <w:r w:rsidR="002C3850" w:rsidRPr="00020BC6">
        <w:rPr>
          <w:kern w:val="2"/>
        </w:rPr>
        <w:t xml:space="preserve">isqualify any </w:t>
      </w:r>
      <w:r w:rsidR="00A17F46">
        <w:rPr>
          <w:kern w:val="2"/>
        </w:rPr>
        <w:t>Bidder</w:t>
      </w:r>
      <w:r w:rsidR="002C3850" w:rsidRPr="00020BC6">
        <w:rPr>
          <w:kern w:val="2"/>
        </w:rPr>
        <w:t xml:space="preserve"> </w:t>
      </w:r>
      <w:r w:rsidRPr="00020BC6">
        <w:rPr>
          <w:kern w:val="2"/>
        </w:rPr>
        <w:t xml:space="preserve">who </w:t>
      </w:r>
      <w:r w:rsidR="002C3850" w:rsidRPr="00020BC6">
        <w:rPr>
          <w:kern w:val="2"/>
        </w:rPr>
        <w:t xml:space="preserve">is guilty of serious misrepresentation in relation to its </w:t>
      </w:r>
      <w:r w:rsidR="008D206E">
        <w:rPr>
          <w:kern w:val="2"/>
        </w:rPr>
        <w:t>Tender</w:t>
      </w:r>
      <w:r w:rsidR="002C3850" w:rsidRPr="00020BC6">
        <w:rPr>
          <w:kern w:val="2"/>
        </w:rPr>
        <w:t xml:space="preserve">, </w:t>
      </w:r>
      <w:r w:rsidR="005A2B29">
        <w:rPr>
          <w:kern w:val="2"/>
        </w:rPr>
        <w:tab/>
      </w:r>
      <w:r w:rsidR="002C3850" w:rsidRPr="00020BC6">
        <w:rPr>
          <w:kern w:val="2"/>
        </w:rPr>
        <w:t xml:space="preserve">expression of interest, or the </w:t>
      </w:r>
      <w:r w:rsidR="008D206E">
        <w:rPr>
          <w:kern w:val="2"/>
        </w:rPr>
        <w:t>Tender</w:t>
      </w:r>
      <w:r w:rsidR="002C3850" w:rsidRPr="00020BC6">
        <w:rPr>
          <w:kern w:val="2"/>
        </w:rPr>
        <w:t xml:space="preserve"> process</w:t>
      </w:r>
    </w:p>
    <w:p w:rsidR="004B4D03" w:rsidRPr="00020BC6" w:rsidRDefault="0008005F" w:rsidP="00BB6AC8">
      <w:pPr>
        <w:pStyle w:val="ListParagraph"/>
        <w:numPr>
          <w:ilvl w:val="1"/>
          <w:numId w:val="25"/>
        </w:numPr>
        <w:jc w:val="both"/>
        <w:rPr>
          <w:kern w:val="2"/>
        </w:rPr>
      </w:pPr>
      <w:r w:rsidRPr="00020BC6">
        <w:rPr>
          <w:kern w:val="2"/>
        </w:rPr>
        <w:t>w</w:t>
      </w:r>
      <w:r w:rsidR="002C3850" w:rsidRPr="00020BC6">
        <w:rPr>
          <w:kern w:val="2"/>
        </w:rPr>
        <w:t xml:space="preserve">ithdraw this </w:t>
      </w:r>
      <w:r w:rsidR="006A0CC2">
        <w:rPr>
          <w:kern w:val="2"/>
        </w:rPr>
        <w:t>CFC</w:t>
      </w:r>
      <w:r w:rsidR="002C3850" w:rsidRPr="00020BC6">
        <w:rPr>
          <w:kern w:val="2"/>
        </w:rPr>
        <w:t xml:space="preserve"> at any time, or to re-invite </w:t>
      </w:r>
      <w:r w:rsidR="008D206E">
        <w:rPr>
          <w:kern w:val="2"/>
        </w:rPr>
        <w:t>Tender</w:t>
      </w:r>
      <w:r w:rsidR="002C3850" w:rsidRPr="00020BC6">
        <w:rPr>
          <w:kern w:val="2"/>
        </w:rPr>
        <w:t>s on the same or any alternative basis</w:t>
      </w:r>
    </w:p>
    <w:p w:rsidR="004B4D03" w:rsidRPr="00020BC6" w:rsidRDefault="0008005F" w:rsidP="00BB6AC8">
      <w:pPr>
        <w:pStyle w:val="ListParagraph"/>
        <w:numPr>
          <w:ilvl w:val="1"/>
          <w:numId w:val="25"/>
        </w:numPr>
        <w:jc w:val="both"/>
        <w:rPr>
          <w:kern w:val="2"/>
        </w:rPr>
      </w:pPr>
      <w:r w:rsidRPr="00020BC6">
        <w:rPr>
          <w:kern w:val="2"/>
        </w:rPr>
        <w:t>c</w:t>
      </w:r>
      <w:r w:rsidR="002C3850" w:rsidRPr="00020BC6">
        <w:rPr>
          <w:kern w:val="2"/>
        </w:rPr>
        <w:t xml:space="preserve">hoose not to award any </w:t>
      </w:r>
      <w:r w:rsidR="00AD0F7D" w:rsidRPr="00020BC6">
        <w:rPr>
          <w:kern w:val="2"/>
        </w:rPr>
        <w:t>c</w:t>
      </w:r>
      <w:r w:rsidR="002C3850" w:rsidRPr="00020BC6">
        <w:rPr>
          <w:kern w:val="2"/>
        </w:rPr>
        <w:t>ontract as a result of the current procurement process</w:t>
      </w:r>
    </w:p>
    <w:p w:rsidR="004B4D03" w:rsidRPr="00020BC6" w:rsidRDefault="0008005F" w:rsidP="00BB6AC8">
      <w:pPr>
        <w:pStyle w:val="ListParagraph"/>
        <w:numPr>
          <w:ilvl w:val="1"/>
          <w:numId w:val="25"/>
        </w:numPr>
        <w:jc w:val="both"/>
        <w:rPr>
          <w:kern w:val="2"/>
        </w:rPr>
      </w:pPr>
      <w:proofErr w:type="gramStart"/>
      <w:r w:rsidRPr="00020BC6">
        <w:rPr>
          <w:kern w:val="2"/>
        </w:rPr>
        <w:t>m</w:t>
      </w:r>
      <w:r w:rsidR="002C3850" w:rsidRPr="00020BC6">
        <w:rPr>
          <w:kern w:val="2"/>
        </w:rPr>
        <w:t>ake</w:t>
      </w:r>
      <w:proofErr w:type="gramEnd"/>
      <w:r w:rsidR="002C3850" w:rsidRPr="00020BC6">
        <w:rPr>
          <w:kern w:val="2"/>
        </w:rPr>
        <w:t xml:space="preserve"> whatever changes </w:t>
      </w:r>
      <w:r w:rsidR="00FA6737">
        <w:rPr>
          <w:kern w:val="2"/>
        </w:rPr>
        <w:t xml:space="preserve">The </w:t>
      </w:r>
      <w:r w:rsidR="00FA6737" w:rsidRPr="008032CF">
        <w:rPr>
          <w:rFonts w:cs="Arial"/>
          <w:kern w:val="2"/>
        </w:rPr>
        <w:t>Health &amp; Safety Executive</w:t>
      </w:r>
      <w:r w:rsidR="00FA6737">
        <w:rPr>
          <w:rFonts w:cs="Arial"/>
          <w:kern w:val="2"/>
        </w:rPr>
        <w:t xml:space="preserve"> (HSE)</w:t>
      </w:r>
      <w:r w:rsidR="00FA6737" w:rsidRPr="008032CF">
        <w:rPr>
          <w:rFonts w:cs="Arial"/>
          <w:kern w:val="2"/>
        </w:rPr>
        <w:t xml:space="preserve"> </w:t>
      </w:r>
      <w:r w:rsidR="002C3850" w:rsidRPr="00020BC6">
        <w:rPr>
          <w:kern w:val="2"/>
        </w:rPr>
        <w:t xml:space="preserve">see fit to the </w:t>
      </w:r>
      <w:r w:rsidR="00F623EC">
        <w:rPr>
          <w:kern w:val="2"/>
        </w:rPr>
        <w:t>t</w:t>
      </w:r>
      <w:r w:rsidR="002C3850" w:rsidRPr="00020BC6">
        <w:rPr>
          <w:kern w:val="2"/>
        </w:rPr>
        <w:t>imetable, structure or content of the procurement process, depending on approvals processes or for any other reason.</w:t>
      </w:r>
    </w:p>
    <w:p w:rsidR="004B4D03" w:rsidRPr="00DE4519" w:rsidRDefault="00187BFB" w:rsidP="00187BFB">
      <w:pPr>
        <w:pStyle w:val="Heading2"/>
        <w:numPr>
          <w:ilvl w:val="0"/>
          <w:numId w:val="0"/>
        </w:numPr>
        <w:ind w:left="710" w:hanging="710"/>
        <w:rPr>
          <w:color w:val="auto"/>
          <w:sz w:val="22"/>
          <w:szCs w:val="22"/>
        </w:rPr>
      </w:pPr>
      <w:bookmarkStart w:id="73" w:name="_Toc523410851"/>
      <w:r w:rsidRPr="00DE4519">
        <w:rPr>
          <w:color w:val="auto"/>
          <w:sz w:val="22"/>
          <w:szCs w:val="22"/>
        </w:rPr>
        <w:t>6.18</w:t>
      </w:r>
      <w:r w:rsidRPr="00DE4519">
        <w:rPr>
          <w:color w:val="auto"/>
          <w:sz w:val="22"/>
          <w:szCs w:val="22"/>
        </w:rPr>
        <w:tab/>
      </w:r>
      <w:r w:rsidR="003B6376" w:rsidRPr="00DE4519">
        <w:rPr>
          <w:color w:val="auto"/>
          <w:sz w:val="22"/>
          <w:szCs w:val="22"/>
        </w:rPr>
        <w:t xml:space="preserve">Bid </w:t>
      </w:r>
      <w:r w:rsidR="00803ADE" w:rsidRPr="00DE4519">
        <w:rPr>
          <w:color w:val="auto"/>
          <w:sz w:val="22"/>
          <w:szCs w:val="22"/>
        </w:rPr>
        <w:t>C</w:t>
      </w:r>
      <w:r w:rsidR="003B6376" w:rsidRPr="00DE4519">
        <w:rPr>
          <w:color w:val="auto"/>
          <w:sz w:val="22"/>
          <w:szCs w:val="22"/>
        </w:rPr>
        <w:t>osts</w:t>
      </w:r>
      <w:bookmarkEnd w:id="73"/>
    </w:p>
    <w:p w:rsidR="003A1F8E" w:rsidRPr="003A1FFC" w:rsidRDefault="00187BFB" w:rsidP="00B33B58">
      <w:pPr>
        <w:pStyle w:val="Heading9"/>
      </w:pPr>
      <w:r>
        <w:t>6.18.1</w:t>
      </w:r>
      <w:r>
        <w:tab/>
      </w:r>
      <w:r w:rsidR="006C1E7C">
        <w:t xml:space="preserve">The </w:t>
      </w:r>
      <w:r w:rsidR="006C1E7C" w:rsidRPr="008032CF">
        <w:t>Health &amp; Safety Executive</w:t>
      </w:r>
      <w:r w:rsidR="006C1E7C">
        <w:t xml:space="preserve"> (HSE)</w:t>
      </w:r>
      <w:r w:rsidR="006C1E7C" w:rsidRPr="008032CF">
        <w:t xml:space="preserve"> </w:t>
      </w:r>
      <w:r w:rsidR="002C3850" w:rsidRPr="003A1FFC">
        <w:t xml:space="preserve">will not be liable for any bid costs, expenditure, work or effort incurred by a </w:t>
      </w:r>
      <w:r w:rsidR="00A17F46" w:rsidRPr="003A1FFC">
        <w:t>Bidder</w:t>
      </w:r>
      <w:r w:rsidR="002C3850" w:rsidRPr="003A1FFC">
        <w:t xml:space="preserve"> in proceeding with or participating in this procurement, including if </w:t>
      </w:r>
      <w:r w:rsidR="0008005F" w:rsidRPr="003A1FFC">
        <w:t xml:space="preserve">we terminate or amend </w:t>
      </w:r>
      <w:r w:rsidR="002C3850" w:rsidRPr="003A1FFC">
        <w:t>the procurement process.</w:t>
      </w:r>
    </w:p>
    <w:p w:rsidR="00F2774B" w:rsidRPr="009543D7" w:rsidRDefault="00421F36" w:rsidP="00421F36">
      <w:pPr>
        <w:pStyle w:val="Heading1"/>
        <w:numPr>
          <w:ilvl w:val="0"/>
          <w:numId w:val="0"/>
        </w:numPr>
        <w:rPr>
          <w:color w:val="auto"/>
          <w:kern w:val="2"/>
          <w:sz w:val="22"/>
          <w:szCs w:val="22"/>
        </w:rPr>
      </w:pPr>
      <w:bookmarkStart w:id="74" w:name="a1029112"/>
      <w:bookmarkStart w:id="75" w:name="_Toc448841787"/>
      <w:bookmarkStart w:id="76" w:name="_Toc461530367"/>
      <w:bookmarkStart w:id="77" w:name="_Toc461530601"/>
      <w:bookmarkStart w:id="78" w:name="_Toc461551506"/>
      <w:bookmarkStart w:id="79" w:name="_Toc523410852"/>
      <w:r w:rsidRPr="009543D7">
        <w:rPr>
          <w:color w:val="auto"/>
          <w:kern w:val="2"/>
          <w:sz w:val="22"/>
          <w:szCs w:val="22"/>
        </w:rPr>
        <w:t>7</w:t>
      </w:r>
      <w:r w:rsidRPr="009543D7">
        <w:rPr>
          <w:color w:val="auto"/>
          <w:kern w:val="2"/>
          <w:sz w:val="22"/>
          <w:szCs w:val="22"/>
        </w:rPr>
        <w:tab/>
      </w:r>
      <w:r w:rsidR="002C3850" w:rsidRPr="009543D7">
        <w:rPr>
          <w:color w:val="auto"/>
          <w:kern w:val="2"/>
          <w:sz w:val="22"/>
          <w:szCs w:val="22"/>
        </w:rPr>
        <w:t xml:space="preserve">Tender evaluation </w:t>
      </w:r>
      <w:bookmarkEnd w:id="74"/>
      <w:bookmarkEnd w:id="75"/>
      <w:bookmarkEnd w:id="76"/>
      <w:bookmarkEnd w:id="77"/>
      <w:bookmarkEnd w:id="78"/>
      <w:r w:rsidR="00124C71" w:rsidRPr="009543D7">
        <w:rPr>
          <w:color w:val="auto"/>
          <w:kern w:val="2"/>
          <w:sz w:val="22"/>
          <w:szCs w:val="22"/>
        </w:rPr>
        <w:t>approach</w:t>
      </w:r>
      <w:bookmarkEnd w:id="79"/>
    </w:p>
    <w:p w:rsidR="004B4D03" w:rsidRPr="009543D7" w:rsidRDefault="00421F36" w:rsidP="00421F36">
      <w:pPr>
        <w:pStyle w:val="Heading2"/>
        <w:numPr>
          <w:ilvl w:val="0"/>
          <w:numId w:val="0"/>
        </w:numPr>
        <w:ind w:left="284" w:hanging="284"/>
        <w:rPr>
          <w:color w:val="auto"/>
          <w:sz w:val="22"/>
          <w:szCs w:val="22"/>
        </w:rPr>
      </w:pPr>
      <w:bookmarkStart w:id="80" w:name="_Toc461530168"/>
      <w:bookmarkStart w:id="81" w:name="_Toc461530368"/>
      <w:bookmarkStart w:id="82" w:name="_Toc461551507"/>
      <w:bookmarkStart w:id="83" w:name="_Toc523410853"/>
      <w:r w:rsidRPr="009543D7">
        <w:rPr>
          <w:color w:val="auto"/>
          <w:sz w:val="22"/>
          <w:szCs w:val="22"/>
        </w:rPr>
        <w:t>7.1</w:t>
      </w:r>
      <w:r w:rsidRPr="009543D7">
        <w:rPr>
          <w:color w:val="auto"/>
          <w:sz w:val="22"/>
          <w:szCs w:val="22"/>
        </w:rPr>
        <w:tab/>
      </w:r>
      <w:r w:rsidR="002C3850" w:rsidRPr="009543D7">
        <w:rPr>
          <w:color w:val="auto"/>
          <w:sz w:val="22"/>
          <w:szCs w:val="22"/>
        </w:rPr>
        <w:t xml:space="preserve">Award </w:t>
      </w:r>
      <w:r w:rsidRPr="009543D7">
        <w:rPr>
          <w:color w:val="auto"/>
          <w:sz w:val="22"/>
          <w:szCs w:val="22"/>
        </w:rPr>
        <w:t>C</w:t>
      </w:r>
      <w:r w:rsidR="002C3850" w:rsidRPr="009543D7">
        <w:rPr>
          <w:color w:val="auto"/>
          <w:sz w:val="22"/>
          <w:szCs w:val="22"/>
        </w:rPr>
        <w:t xml:space="preserve">riteria and </w:t>
      </w:r>
      <w:r w:rsidRPr="009543D7">
        <w:rPr>
          <w:color w:val="auto"/>
          <w:sz w:val="22"/>
          <w:szCs w:val="22"/>
        </w:rPr>
        <w:t>E</w:t>
      </w:r>
      <w:r w:rsidR="002C3850" w:rsidRPr="009543D7">
        <w:rPr>
          <w:color w:val="auto"/>
          <w:sz w:val="22"/>
          <w:szCs w:val="22"/>
        </w:rPr>
        <w:t xml:space="preserve">valuation </w:t>
      </w:r>
      <w:r w:rsidRPr="009543D7">
        <w:rPr>
          <w:color w:val="auto"/>
          <w:sz w:val="22"/>
          <w:szCs w:val="22"/>
        </w:rPr>
        <w:t>C</w:t>
      </w:r>
      <w:r w:rsidR="002C3850" w:rsidRPr="009543D7">
        <w:rPr>
          <w:color w:val="auto"/>
          <w:sz w:val="22"/>
          <w:szCs w:val="22"/>
        </w:rPr>
        <w:t>riteria</w:t>
      </w:r>
      <w:bookmarkEnd w:id="80"/>
      <w:bookmarkEnd w:id="81"/>
      <w:bookmarkEnd w:id="82"/>
      <w:bookmarkEnd w:id="83"/>
      <w:r w:rsidR="00B81485" w:rsidRPr="009543D7">
        <w:rPr>
          <w:color w:val="auto"/>
          <w:sz w:val="22"/>
          <w:szCs w:val="22"/>
        </w:rPr>
        <w:t xml:space="preserve"> </w:t>
      </w:r>
    </w:p>
    <w:p w:rsidR="00C970D2" w:rsidRDefault="00421F36" w:rsidP="00B33B58">
      <w:pPr>
        <w:pStyle w:val="Heading9"/>
      </w:pPr>
      <w:r>
        <w:t>7.1.1</w:t>
      </w:r>
      <w:r>
        <w:tab/>
      </w:r>
      <w:r w:rsidR="00D948E4" w:rsidRPr="00020BC6">
        <w:t xml:space="preserve">Any contract(s) awarded as a result of this procurement will be awarded as set out in the </w:t>
      </w:r>
      <w:r w:rsidR="00D948E4">
        <w:t>f</w:t>
      </w:r>
      <w:r w:rsidR="00D948E4" w:rsidRPr="00020BC6">
        <w:t xml:space="preserve">ramework and on the basis of the offer that is the most economically advantageous to </w:t>
      </w:r>
      <w:r w:rsidR="00633FAC">
        <w:t xml:space="preserve">The </w:t>
      </w:r>
      <w:r>
        <w:tab/>
      </w:r>
      <w:r w:rsidR="00633FAC" w:rsidRPr="008032CF">
        <w:t>Health &amp; Safety Executive</w:t>
      </w:r>
      <w:r w:rsidR="00633FAC">
        <w:t xml:space="preserve"> (HSE). </w:t>
      </w:r>
    </w:p>
    <w:p w:rsidR="009543D7" w:rsidRDefault="009543D7" w:rsidP="00B33B58">
      <w:pPr>
        <w:pStyle w:val="Heading9"/>
      </w:pPr>
    </w:p>
    <w:p w:rsidR="00A168E4" w:rsidRDefault="00421F36" w:rsidP="00B33B58">
      <w:pPr>
        <w:pStyle w:val="Heading9"/>
      </w:pPr>
      <w:r>
        <w:t>7.1.2</w:t>
      </w:r>
      <w:r>
        <w:tab/>
      </w:r>
      <w:r w:rsidR="002C3850" w:rsidRPr="00020BC6">
        <w:t xml:space="preserve">The </w:t>
      </w:r>
      <w:r w:rsidR="008D206E">
        <w:t>Tender</w:t>
      </w:r>
      <w:r w:rsidR="002C3850" w:rsidRPr="00020BC6">
        <w:t xml:space="preserve"> </w:t>
      </w:r>
      <w:r w:rsidR="0008005F" w:rsidRPr="00020BC6">
        <w:t>e</w:t>
      </w:r>
      <w:r w:rsidR="002C3850" w:rsidRPr="00020BC6">
        <w:t xml:space="preserve">valuation </w:t>
      </w:r>
      <w:r w:rsidR="0008005F" w:rsidRPr="00020BC6">
        <w:t>m</w:t>
      </w:r>
      <w:r w:rsidR="002C3850" w:rsidRPr="00020BC6">
        <w:t xml:space="preserve">odel showing the </w:t>
      </w:r>
      <w:r w:rsidR="0008005F" w:rsidRPr="00020BC6">
        <w:t>e</w:t>
      </w:r>
      <w:r w:rsidR="002C3850" w:rsidRPr="00020BC6">
        <w:t xml:space="preserve">valuation </w:t>
      </w:r>
      <w:r w:rsidR="0008005F" w:rsidRPr="00020BC6">
        <w:t>c</w:t>
      </w:r>
      <w:r w:rsidR="002C3850" w:rsidRPr="00020BC6">
        <w:t xml:space="preserve">riteria and the maximum scores </w:t>
      </w:r>
      <w:r>
        <w:tab/>
      </w:r>
      <w:r w:rsidR="002C3850" w:rsidRPr="00020BC6">
        <w:t xml:space="preserve">attributable to them is set out below. </w:t>
      </w:r>
      <w:bookmarkStart w:id="84" w:name="_Toc461530169"/>
      <w:bookmarkStart w:id="85" w:name="_Toc461530369"/>
      <w:bookmarkStart w:id="86" w:name="_Toc461551508"/>
    </w:p>
    <w:p w:rsidR="002048DA" w:rsidRDefault="002048DA" w:rsidP="002048DA"/>
    <w:p w:rsidR="00DE4519" w:rsidRDefault="00DE4519" w:rsidP="002048DA"/>
    <w:p w:rsidR="00DE4519" w:rsidRDefault="00DE4519" w:rsidP="002048DA"/>
    <w:p w:rsidR="00DE4519" w:rsidRDefault="00DE4519" w:rsidP="002048DA"/>
    <w:p w:rsidR="00DE4519" w:rsidRDefault="00DE4519" w:rsidP="002048DA"/>
    <w:p w:rsidR="00DE4519" w:rsidRDefault="00DE4519" w:rsidP="002048DA"/>
    <w:p w:rsidR="00DE4519" w:rsidRDefault="00DE4519" w:rsidP="002048DA"/>
    <w:tbl>
      <w:tblPr>
        <w:tblW w:w="949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559"/>
        <w:gridCol w:w="3686"/>
        <w:gridCol w:w="1701"/>
        <w:gridCol w:w="1525"/>
      </w:tblGrid>
      <w:tr w:rsidR="00776522" w:rsidRPr="004C45C8" w:rsidTr="00F04328">
        <w:tc>
          <w:tcPr>
            <w:tcW w:w="1023" w:type="dxa"/>
          </w:tcPr>
          <w:p w:rsidR="00776522" w:rsidRPr="00AA1727" w:rsidRDefault="00776522" w:rsidP="00F04328">
            <w:pPr>
              <w:pStyle w:val="ListParagraph"/>
              <w:numPr>
                <w:ilvl w:val="0"/>
                <w:numId w:val="0"/>
              </w:numPr>
              <w:rPr>
                <w:b/>
              </w:rPr>
            </w:pPr>
            <w:r w:rsidRPr="00AA1727">
              <w:rPr>
                <w:b/>
              </w:rPr>
              <w:lastRenderedPageBreak/>
              <w:t>Section number</w:t>
            </w:r>
          </w:p>
        </w:tc>
        <w:tc>
          <w:tcPr>
            <w:tcW w:w="1559" w:type="dxa"/>
          </w:tcPr>
          <w:p w:rsidR="00776522" w:rsidRPr="00AA1727" w:rsidRDefault="00776522" w:rsidP="00F04328">
            <w:pPr>
              <w:pStyle w:val="ListParagraph"/>
              <w:numPr>
                <w:ilvl w:val="0"/>
                <w:numId w:val="0"/>
              </w:numPr>
              <w:jc w:val="center"/>
              <w:rPr>
                <w:b/>
              </w:rPr>
            </w:pPr>
            <w:r w:rsidRPr="00AA1727">
              <w:rPr>
                <w:b/>
              </w:rPr>
              <w:t>Title</w:t>
            </w:r>
          </w:p>
        </w:tc>
        <w:tc>
          <w:tcPr>
            <w:tcW w:w="3686" w:type="dxa"/>
          </w:tcPr>
          <w:p w:rsidR="00776522" w:rsidRPr="00AA1727" w:rsidRDefault="00776522" w:rsidP="00F04328">
            <w:pPr>
              <w:pStyle w:val="ListParagraph"/>
              <w:numPr>
                <w:ilvl w:val="0"/>
                <w:numId w:val="0"/>
              </w:numPr>
              <w:jc w:val="center"/>
              <w:rPr>
                <w:b/>
              </w:rPr>
            </w:pPr>
            <w:r w:rsidRPr="00AA1727">
              <w:rPr>
                <w:b/>
              </w:rPr>
              <w:t>Response required from Bidders</w:t>
            </w:r>
          </w:p>
        </w:tc>
        <w:tc>
          <w:tcPr>
            <w:tcW w:w="1701" w:type="dxa"/>
          </w:tcPr>
          <w:p w:rsidR="00776522" w:rsidRPr="00AA1727" w:rsidRDefault="00776522" w:rsidP="00F04328">
            <w:pPr>
              <w:pStyle w:val="ListParagraph"/>
              <w:numPr>
                <w:ilvl w:val="0"/>
                <w:numId w:val="0"/>
              </w:numPr>
              <w:jc w:val="center"/>
              <w:rPr>
                <w:b/>
              </w:rPr>
            </w:pPr>
            <w:r w:rsidRPr="00AA1727">
              <w:rPr>
                <w:b/>
              </w:rPr>
              <w:t>Format con</w:t>
            </w:r>
            <w:r>
              <w:rPr>
                <w:b/>
              </w:rPr>
              <w:t>s</w:t>
            </w:r>
            <w:r w:rsidRPr="00AA1727">
              <w:rPr>
                <w:b/>
              </w:rPr>
              <w:t>traints</w:t>
            </w:r>
          </w:p>
        </w:tc>
        <w:tc>
          <w:tcPr>
            <w:tcW w:w="1525" w:type="dxa"/>
          </w:tcPr>
          <w:p w:rsidR="00776522" w:rsidRPr="00AA1727" w:rsidRDefault="00776522" w:rsidP="00F04328">
            <w:pPr>
              <w:pStyle w:val="ListParagraph"/>
              <w:numPr>
                <w:ilvl w:val="0"/>
                <w:numId w:val="0"/>
              </w:numPr>
              <w:jc w:val="center"/>
              <w:rPr>
                <w:b/>
              </w:rPr>
            </w:pPr>
            <w:r w:rsidRPr="00AA1727">
              <w:rPr>
                <w:b/>
              </w:rPr>
              <w:t>Evaluation method</w:t>
            </w:r>
          </w:p>
        </w:tc>
      </w:tr>
      <w:tr w:rsidR="00776522" w:rsidRPr="00AA1727" w:rsidTr="00F04328">
        <w:tc>
          <w:tcPr>
            <w:tcW w:w="9494" w:type="dxa"/>
            <w:gridSpan w:val="5"/>
          </w:tcPr>
          <w:p w:rsidR="00776522" w:rsidRPr="00AA1727" w:rsidRDefault="00776522" w:rsidP="00BB6AC8">
            <w:pPr>
              <w:pStyle w:val="ListParagraph"/>
              <w:numPr>
                <w:ilvl w:val="0"/>
                <w:numId w:val="0"/>
              </w:numPr>
              <w:rPr>
                <w:b/>
                <w:highlight w:val="cyan"/>
              </w:rPr>
            </w:pPr>
            <w:r w:rsidRPr="00AA1727">
              <w:rPr>
                <w:b/>
              </w:rPr>
              <w:t xml:space="preserve">Stage </w:t>
            </w:r>
            <w:r w:rsidR="00BB6AC8">
              <w:rPr>
                <w:b/>
              </w:rPr>
              <w:t>1</w:t>
            </w:r>
            <w:r w:rsidRPr="00AA1727">
              <w:rPr>
                <w:b/>
              </w:rPr>
              <w:t>:</w:t>
            </w:r>
          </w:p>
        </w:tc>
      </w:tr>
      <w:tr w:rsidR="00776522" w:rsidRPr="004C45C8" w:rsidTr="00F04328">
        <w:trPr>
          <w:trHeight w:val="1104"/>
        </w:trPr>
        <w:tc>
          <w:tcPr>
            <w:tcW w:w="1023" w:type="dxa"/>
          </w:tcPr>
          <w:p w:rsidR="00776522" w:rsidRPr="00A242DB" w:rsidRDefault="00776522" w:rsidP="00F04328">
            <w:pPr>
              <w:pStyle w:val="ListParagraph"/>
              <w:numPr>
                <w:ilvl w:val="0"/>
                <w:numId w:val="36"/>
              </w:numPr>
            </w:pPr>
          </w:p>
        </w:tc>
        <w:tc>
          <w:tcPr>
            <w:tcW w:w="1559" w:type="dxa"/>
          </w:tcPr>
          <w:p w:rsidR="00776522" w:rsidRPr="00CF10CD" w:rsidRDefault="00776522" w:rsidP="00F04328">
            <w:pPr>
              <w:pStyle w:val="ListParagraph"/>
              <w:numPr>
                <w:ilvl w:val="0"/>
                <w:numId w:val="0"/>
              </w:numPr>
              <w:rPr>
                <w:color w:val="FF0000"/>
              </w:rPr>
            </w:pPr>
            <w:r w:rsidRPr="00382678">
              <w:t>Technical</w:t>
            </w:r>
          </w:p>
        </w:tc>
        <w:tc>
          <w:tcPr>
            <w:tcW w:w="3686" w:type="dxa"/>
          </w:tcPr>
          <w:p w:rsidR="00776522" w:rsidRPr="00CF10CD" w:rsidRDefault="00776522" w:rsidP="00F04328">
            <w:pPr>
              <w:pStyle w:val="ListParagraph"/>
              <w:numPr>
                <w:ilvl w:val="0"/>
                <w:numId w:val="0"/>
              </w:numPr>
              <w:rPr>
                <w:color w:val="FF0000"/>
              </w:rPr>
            </w:pPr>
            <w:r>
              <w:t>Technical</w:t>
            </w:r>
            <w:r w:rsidRPr="006818F6">
              <w:t xml:space="preserve"> proposal for the sub-criterion or sub-criteria set out in </w:t>
            </w:r>
            <w:r w:rsidRPr="00CF10CD">
              <w:t>section 7.1</w:t>
            </w:r>
          </w:p>
        </w:tc>
        <w:tc>
          <w:tcPr>
            <w:tcW w:w="1701" w:type="dxa"/>
            <w:vMerge w:val="restart"/>
          </w:tcPr>
          <w:p w:rsidR="00776522" w:rsidRPr="006818F6" w:rsidRDefault="00776522" w:rsidP="00F04328">
            <w:pPr>
              <w:pStyle w:val="ListParagraph"/>
              <w:numPr>
                <w:ilvl w:val="0"/>
                <w:numId w:val="0"/>
              </w:numPr>
            </w:pPr>
            <w:r w:rsidRPr="00BB6AC8">
              <w:t xml:space="preserve">Maximum </w:t>
            </w:r>
            <w:r w:rsidR="005A2B29" w:rsidRPr="00BB6AC8">
              <w:t xml:space="preserve">page limit of </w:t>
            </w:r>
            <w:r w:rsidR="005A2B29" w:rsidRPr="00BB6AC8">
              <w:rPr>
                <w:rFonts w:cs="Arial"/>
              </w:rPr>
              <w:t xml:space="preserve">10 sides of A4 </w:t>
            </w:r>
            <w:r w:rsidRPr="00BB6AC8">
              <w:t>including any appendices</w:t>
            </w:r>
          </w:p>
          <w:p w:rsidR="00776522" w:rsidRPr="00CF10CD" w:rsidRDefault="00776522" w:rsidP="00F04328">
            <w:pPr>
              <w:pStyle w:val="ListParagraph"/>
              <w:ind w:left="0"/>
              <w:rPr>
                <w:color w:val="FF0000"/>
              </w:rPr>
            </w:pPr>
          </w:p>
        </w:tc>
        <w:tc>
          <w:tcPr>
            <w:tcW w:w="1525" w:type="dxa"/>
          </w:tcPr>
          <w:p w:rsidR="00776522" w:rsidRPr="00CF10CD" w:rsidRDefault="00776522" w:rsidP="00F04328">
            <w:pPr>
              <w:pStyle w:val="ListParagraph"/>
              <w:numPr>
                <w:ilvl w:val="0"/>
                <w:numId w:val="0"/>
              </w:numPr>
              <w:rPr>
                <w:color w:val="FF0000"/>
              </w:rPr>
            </w:pPr>
            <w:r w:rsidRPr="006818F6">
              <w:t>Scored</w:t>
            </w:r>
          </w:p>
        </w:tc>
      </w:tr>
      <w:tr w:rsidR="00776522" w:rsidRPr="004C45C8" w:rsidTr="00F04328">
        <w:tc>
          <w:tcPr>
            <w:tcW w:w="1023" w:type="dxa"/>
          </w:tcPr>
          <w:p w:rsidR="00776522" w:rsidRPr="006818F6" w:rsidRDefault="00776522" w:rsidP="00F04328">
            <w:pPr>
              <w:pStyle w:val="ListParagraph"/>
              <w:numPr>
                <w:ilvl w:val="0"/>
                <w:numId w:val="36"/>
              </w:numPr>
            </w:pPr>
          </w:p>
        </w:tc>
        <w:tc>
          <w:tcPr>
            <w:tcW w:w="1559" w:type="dxa"/>
          </w:tcPr>
          <w:p w:rsidR="00776522" w:rsidRPr="006818F6" w:rsidRDefault="00776522" w:rsidP="00F04328">
            <w:pPr>
              <w:pStyle w:val="ListParagraph"/>
              <w:numPr>
                <w:ilvl w:val="0"/>
                <w:numId w:val="0"/>
              </w:numPr>
            </w:pPr>
            <w:r w:rsidRPr="006818F6">
              <w:t>Quality</w:t>
            </w:r>
          </w:p>
        </w:tc>
        <w:tc>
          <w:tcPr>
            <w:tcW w:w="3686" w:type="dxa"/>
          </w:tcPr>
          <w:p w:rsidR="00776522" w:rsidRPr="006818F6" w:rsidRDefault="00776522" w:rsidP="00F04328">
            <w:pPr>
              <w:pStyle w:val="ListParagraph"/>
              <w:numPr>
                <w:ilvl w:val="0"/>
                <w:numId w:val="0"/>
              </w:numPr>
            </w:pPr>
            <w:r w:rsidRPr="006818F6">
              <w:t xml:space="preserve">Quality proposal for the sub-criterion or sub-criteria set out in </w:t>
            </w:r>
            <w:r w:rsidRPr="00CF10CD">
              <w:t>section 7.1</w:t>
            </w:r>
          </w:p>
        </w:tc>
        <w:tc>
          <w:tcPr>
            <w:tcW w:w="1701" w:type="dxa"/>
            <w:vMerge/>
          </w:tcPr>
          <w:p w:rsidR="00776522" w:rsidRPr="006818F6" w:rsidRDefault="00776522" w:rsidP="00F04328">
            <w:pPr>
              <w:pStyle w:val="ListParagraph"/>
              <w:numPr>
                <w:ilvl w:val="0"/>
                <w:numId w:val="0"/>
              </w:numPr>
            </w:pPr>
          </w:p>
        </w:tc>
        <w:tc>
          <w:tcPr>
            <w:tcW w:w="1525" w:type="dxa"/>
          </w:tcPr>
          <w:p w:rsidR="00776522" w:rsidRPr="006818F6" w:rsidRDefault="00776522" w:rsidP="00F04328">
            <w:pPr>
              <w:pStyle w:val="ListParagraph"/>
              <w:numPr>
                <w:ilvl w:val="0"/>
                <w:numId w:val="0"/>
              </w:numPr>
            </w:pPr>
            <w:r w:rsidRPr="006818F6">
              <w:t>Scored</w:t>
            </w:r>
          </w:p>
        </w:tc>
      </w:tr>
      <w:tr w:rsidR="00776522" w:rsidTr="00F04328">
        <w:tc>
          <w:tcPr>
            <w:tcW w:w="1023" w:type="dxa"/>
          </w:tcPr>
          <w:p w:rsidR="00776522" w:rsidRPr="00F769C6" w:rsidRDefault="00776522" w:rsidP="00F04328">
            <w:pPr>
              <w:pStyle w:val="ListParagraph"/>
              <w:numPr>
                <w:ilvl w:val="0"/>
                <w:numId w:val="36"/>
              </w:numPr>
            </w:pPr>
          </w:p>
        </w:tc>
        <w:tc>
          <w:tcPr>
            <w:tcW w:w="1559" w:type="dxa"/>
          </w:tcPr>
          <w:p w:rsidR="00776522" w:rsidRPr="00AB73A9" w:rsidRDefault="00776522" w:rsidP="00F04328">
            <w:pPr>
              <w:pStyle w:val="ListParagraph"/>
              <w:numPr>
                <w:ilvl w:val="0"/>
                <w:numId w:val="0"/>
              </w:numPr>
            </w:pPr>
            <w:r>
              <w:t xml:space="preserve">Personal data </w:t>
            </w:r>
            <w:r w:rsidRPr="004A6134">
              <w:t>processing [to include if the contract will involve the processing of personal data]</w:t>
            </w:r>
          </w:p>
          <w:p w:rsidR="00776522" w:rsidRPr="00F769C6" w:rsidRDefault="00776522" w:rsidP="00F04328">
            <w:pPr>
              <w:pStyle w:val="ListParagraph"/>
              <w:numPr>
                <w:ilvl w:val="0"/>
                <w:numId w:val="0"/>
              </w:numPr>
              <w:ind w:left="720"/>
            </w:pPr>
          </w:p>
        </w:tc>
        <w:tc>
          <w:tcPr>
            <w:tcW w:w="3686" w:type="dxa"/>
          </w:tcPr>
          <w:p w:rsidR="00776522" w:rsidRPr="00F769C6" w:rsidRDefault="00776522" w:rsidP="00F04328">
            <w:pPr>
              <w:pStyle w:val="ListParagraph"/>
              <w:numPr>
                <w:ilvl w:val="0"/>
                <w:numId w:val="0"/>
              </w:numPr>
            </w:pPr>
            <w:r w:rsidRPr="004A6134">
              <w:t>Table provided in Appendix 4</w:t>
            </w:r>
          </w:p>
        </w:tc>
        <w:tc>
          <w:tcPr>
            <w:tcW w:w="1701" w:type="dxa"/>
          </w:tcPr>
          <w:p w:rsidR="00776522" w:rsidRPr="004F0F8C" w:rsidRDefault="00776522" w:rsidP="00F04328">
            <w:pPr>
              <w:pStyle w:val="ListParagraph"/>
              <w:numPr>
                <w:ilvl w:val="0"/>
                <w:numId w:val="0"/>
              </w:numPr>
              <w:rPr>
                <w:color w:val="FF0000"/>
              </w:rPr>
            </w:pPr>
            <w:r w:rsidRPr="00A926F6">
              <w:t>Copy and paste Appendix 3 into Response document and confirm adherence</w:t>
            </w:r>
          </w:p>
        </w:tc>
        <w:tc>
          <w:tcPr>
            <w:tcW w:w="1525" w:type="dxa"/>
          </w:tcPr>
          <w:p w:rsidR="00776522" w:rsidRPr="00F769C6" w:rsidRDefault="00776522" w:rsidP="00F04328">
            <w:pPr>
              <w:pStyle w:val="ListParagraph"/>
              <w:numPr>
                <w:ilvl w:val="0"/>
                <w:numId w:val="0"/>
              </w:numPr>
            </w:pPr>
            <w:r w:rsidRPr="00A242DB">
              <w:t>Not evaluated</w:t>
            </w:r>
          </w:p>
        </w:tc>
      </w:tr>
      <w:tr w:rsidR="00776522" w:rsidTr="00F04328">
        <w:tc>
          <w:tcPr>
            <w:tcW w:w="1023" w:type="dxa"/>
            <w:tcBorders>
              <w:top w:val="single" w:sz="4" w:space="0" w:color="auto"/>
              <w:left w:val="single" w:sz="4" w:space="0" w:color="auto"/>
              <w:bottom w:val="single" w:sz="4" w:space="0" w:color="auto"/>
              <w:right w:val="single" w:sz="4" w:space="0" w:color="auto"/>
            </w:tcBorders>
          </w:tcPr>
          <w:p w:rsidR="00776522" w:rsidRPr="00F769C6" w:rsidRDefault="00776522" w:rsidP="00F04328">
            <w:pPr>
              <w:pStyle w:val="ListParagraph"/>
              <w:numPr>
                <w:ilvl w:val="0"/>
                <w:numId w:val="36"/>
              </w:numPr>
            </w:pPr>
          </w:p>
        </w:tc>
        <w:tc>
          <w:tcPr>
            <w:tcW w:w="1559" w:type="dxa"/>
            <w:tcBorders>
              <w:top w:val="single" w:sz="4" w:space="0" w:color="auto"/>
              <w:left w:val="single" w:sz="4" w:space="0" w:color="auto"/>
              <w:bottom w:val="single" w:sz="4" w:space="0" w:color="auto"/>
              <w:right w:val="single" w:sz="4" w:space="0" w:color="auto"/>
            </w:tcBorders>
          </w:tcPr>
          <w:p w:rsidR="00776522" w:rsidRPr="00F769C6" w:rsidRDefault="00776522" w:rsidP="00F04328">
            <w:pPr>
              <w:pStyle w:val="ListParagraph"/>
              <w:numPr>
                <w:ilvl w:val="0"/>
                <w:numId w:val="0"/>
              </w:numPr>
            </w:pPr>
            <w:r w:rsidRPr="00F769C6">
              <w:t>Price</w:t>
            </w:r>
          </w:p>
        </w:tc>
        <w:tc>
          <w:tcPr>
            <w:tcW w:w="3686" w:type="dxa"/>
            <w:tcBorders>
              <w:top w:val="single" w:sz="4" w:space="0" w:color="auto"/>
              <w:left w:val="single" w:sz="4" w:space="0" w:color="auto"/>
              <w:bottom w:val="single" w:sz="4" w:space="0" w:color="auto"/>
              <w:right w:val="single" w:sz="4" w:space="0" w:color="auto"/>
            </w:tcBorders>
          </w:tcPr>
          <w:p w:rsidR="00776522" w:rsidRPr="00F769C6" w:rsidRDefault="00776522" w:rsidP="00F04328">
            <w:pPr>
              <w:pStyle w:val="ListParagraph"/>
              <w:numPr>
                <w:ilvl w:val="0"/>
                <w:numId w:val="0"/>
              </w:numPr>
            </w:pPr>
            <w:r w:rsidRPr="00F769C6">
              <w:t>Price proposal</w:t>
            </w:r>
          </w:p>
        </w:tc>
        <w:tc>
          <w:tcPr>
            <w:tcW w:w="1701" w:type="dxa"/>
            <w:tcBorders>
              <w:top w:val="single" w:sz="4" w:space="0" w:color="auto"/>
              <w:left w:val="single" w:sz="4" w:space="0" w:color="auto"/>
              <w:bottom w:val="single" w:sz="4" w:space="0" w:color="auto"/>
              <w:right w:val="single" w:sz="4" w:space="0" w:color="auto"/>
            </w:tcBorders>
          </w:tcPr>
          <w:p w:rsidR="00776522" w:rsidRPr="00F769C6" w:rsidRDefault="00776522" w:rsidP="00F04328">
            <w:pPr>
              <w:pStyle w:val="ListParagraph"/>
              <w:numPr>
                <w:ilvl w:val="0"/>
                <w:numId w:val="0"/>
              </w:numPr>
            </w:pPr>
            <w:r w:rsidRPr="00F769C6">
              <w:t xml:space="preserve">As set out in section </w:t>
            </w:r>
            <w:r w:rsidRPr="00954215">
              <w:t>7.5</w:t>
            </w:r>
          </w:p>
        </w:tc>
        <w:tc>
          <w:tcPr>
            <w:tcW w:w="1525" w:type="dxa"/>
            <w:tcBorders>
              <w:top w:val="single" w:sz="4" w:space="0" w:color="auto"/>
              <w:left w:val="single" w:sz="4" w:space="0" w:color="auto"/>
              <w:bottom w:val="single" w:sz="4" w:space="0" w:color="auto"/>
              <w:right w:val="single" w:sz="4" w:space="0" w:color="auto"/>
            </w:tcBorders>
          </w:tcPr>
          <w:p w:rsidR="00776522" w:rsidRPr="00F769C6" w:rsidRDefault="00776522" w:rsidP="00F04328">
            <w:pPr>
              <w:pStyle w:val="ListParagraph"/>
              <w:numPr>
                <w:ilvl w:val="0"/>
                <w:numId w:val="0"/>
              </w:numPr>
            </w:pPr>
            <w:r w:rsidRPr="00F769C6">
              <w:t>Scored</w:t>
            </w:r>
          </w:p>
        </w:tc>
      </w:tr>
    </w:tbl>
    <w:p w:rsidR="002048DA" w:rsidRPr="002048DA" w:rsidRDefault="002048DA" w:rsidP="002048DA"/>
    <w:p w:rsidR="00274589" w:rsidRDefault="00274589" w:rsidP="00F45E98">
      <w:pPr>
        <w:ind w:left="720"/>
        <w:rPr>
          <w:rFonts w:cs="Arial"/>
          <w:i/>
          <w:color w:val="FF0000"/>
        </w:rPr>
      </w:pPr>
    </w:p>
    <w:p w:rsidR="004B4D03" w:rsidRPr="00E270D2" w:rsidRDefault="00421F36" w:rsidP="00421F36">
      <w:pPr>
        <w:pStyle w:val="Heading2"/>
        <w:numPr>
          <w:ilvl w:val="0"/>
          <w:numId w:val="0"/>
        </w:numPr>
        <w:spacing w:before="240"/>
        <w:ind w:left="710" w:hanging="710"/>
        <w:rPr>
          <w:color w:val="auto"/>
        </w:rPr>
      </w:pPr>
      <w:bookmarkStart w:id="87" w:name="_Toc461530170"/>
      <w:bookmarkStart w:id="88" w:name="_Toc461530370"/>
      <w:bookmarkStart w:id="89" w:name="_Toc461551509"/>
      <w:bookmarkStart w:id="90" w:name="_Toc523410855"/>
      <w:bookmarkEnd w:id="84"/>
      <w:bookmarkEnd w:id="85"/>
      <w:bookmarkEnd w:id="86"/>
      <w:r>
        <w:rPr>
          <w:color w:val="auto"/>
        </w:rPr>
        <w:t>7.3</w:t>
      </w:r>
      <w:r>
        <w:rPr>
          <w:color w:val="auto"/>
        </w:rPr>
        <w:tab/>
        <w:t>Evaluation P</w:t>
      </w:r>
      <w:r w:rsidR="002C3850" w:rsidRPr="00E270D2">
        <w:rPr>
          <w:color w:val="auto"/>
        </w:rPr>
        <w:t>rocess</w:t>
      </w:r>
      <w:bookmarkEnd w:id="87"/>
      <w:bookmarkEnd w:id="88"/>
      <w:bookmarkEnd w:id="89"/>
      <w:r>
        <w:rPr>
          <w:color w:val="auto"/>
        </w:rPr>
        <w:t xml:space="preserve"> of Scored C</w:t>
      </w:r>
      <w:r w:rsidR="00EA2C48">
        <w:rPr>
          <w:color w:val="auto"/>
        </w:rPr>
        <w:t>riteria</w:t>
      </w:r>
      <w:bookmarkEnd w:id="90"/>
    </w:p>
    <w:p w:rsidR="00EA2C48" w:rsidRPr="00EA2C48" w:rsidRDefault="00421F36" w:rsidP="00EA2C48">
      <w:pPr>
        <w:pStyle w:val="Bodysubclause"/>
        <w:ind w:left="0"/>
        <w:rPr>
          <w:rFonts w:cs="Arial"/>
          <w:kern w:val="2"/>
        </w:rPr>
      </w:pPr>
      <w:r>
        <w:rPr>
          <w:rFonts w:cs="Arial"/>
          <w:kern w:val="2"/>
        </w:rPr>
        <w:t>7.3.1</w:t>
      </w:r>
      <w:r>
        <w:rPr>
          <w:rFonts w:cs="Arial"/>
          <w:kern w:val="2"/>
        </w:rPr>
        <w:tab/>
      </w:r>
      <w:r w:rsidR="00EA2C48" w:rsidRPr="00EA2C48">
        <w:rPr>
          <w:rFonts w:cs="Arial"/>
          <w:kern w:val="2"/>
        </w:rPr>
        <w:t>An overview of the competition process and evaluation method is set out in section 3.</w:t>
      </w:r>
    </w:p>
    <w:p w:rsidR="00EA2C48" w:rsidRDefault="00421F36" w:rsidP="00E46B64">
      <w:pPr>
        <w:pStyle w:val="Bodysubclause"/>
        <w:ind w:left="0"/>
        <w:rPr>
          <w:rFonts w:cs="Arial"/>
          <w:b/>
          <w:kern w:val="2"/>
        </w:rPr>
      </w:pPr>
      <w:r w:rsidRPr="00421F36">
        <w:rPr>
          <w:rFonts w:cs="Arial"/>
          <w:kern w:val="2"/>
        </w:rPr>
        <w:t>7.3.2</w:t>
      </w:r>
      <w:r>
        <w:rPr>
          <w:rFonts w:cs="Arial"/>
          <w:b/>
          <w:kern w:val="2"/>
        </w:rPr>
        <w:tab/>
        <w:t xml:space="preserve">Evaluation of Stage </w:t>
      </w:r>
      <w:r w:rsidR="00BB6AC8">
        <w:rPr>
          <w:rFonts w:cs="Arial"/>
          <w:b/>
          <w:kern w:val="2"/>
        </w:rPr>
        <w:t>1</w:t>
      </w:r>
      <w:r w:rsidR="004F2DE3">
        <w:rPr>
          <w:rFonts w:cs="Arial"/>
          <w:b/>
          <w:kern w:val="2"/>
        </w:rPr>
        <w:t xml:space="preserve"> Only</w:t>
      </w:r>
    </w:p>
    <w:p w:rsidR="004B4D03" w:rsidRPr="00E46B64" w:rsidRDefault="00BC2517" w:rsidP="00BB6AC8">
      <w:pPr>
        <w:pStyle w:val="Bodysubclause"/>
        <w:rPr>
          <w:rFonts w:cs="Arial"/>
          <w:kern w:val="2"/>
        </w:rPr>
      </w:pPr>
      <w:r>
        <w:rPr>
          <w:kern w:val="2"/>
        </w:rPr>
        <w:t>Where appropriate, the T</w:t>
      </w:r>
      <w:r w:rsidR="002C3850" w:rsidRPr="00020BC6">
        <w:rPr>
          <w:kern w:val="2"/>
        </w:rPr>
        <w:t xml:space="preserve">echnical </w:t>
      </w:r>
      <w:r>
        <w:rPr>
          <w:kern w:val="2"/>
        </w:rPr>
        <w:t xml:space="preserve">and Quality </w:t>
      </w:r>
      <w:r w:rsidR="002C3850" w:rsidRPr="00020BC6">
        <w:rPr>
          <w:kern w:val="2"/>
        </w:rPr>
        <w:t xml:space="preserve">evaluation </w:t>
      </w:r>
      <w:r>
        <w:rPr>
          <w:kern w:val="2"/>
        </w:rPr>
        <w:t xml:space="preserve">for each stage </w:t>
      </w:r>
      <w:r w:rsidR="002C3850" w:rsidRPr="00020BC6">
        <w:rPr>
          <w:kern w:val="2"/>
        </w:rPr>
        <w:t>will be scored in accordance with the table below.</w:t>
      </w:r>
    </w:p>
    <w:p w:rsidR="004B4D03" w:rsidRDefault="00421F36" w:rsidP="006B5E99">
      <w:pPr>
        <w:pStyle w:val="Bodysubclause"/>
        <w:ind w:left="0"/>
        <w:rPr>
          <w:rFonts w:cs="Arial"/>
          <w:b/>
          <w:kern w:val="2"/>
        </w:rPr>
      </w:pPr>
      <w:r>
        <w:rPr>
          <w:rFonts w:cs="Arial"/>
          <w:b/>
          <w:kern w:val="2"/>
        </w:rPr>
        <w:tab/>
      </w:r>
      <w:r w:rsidR="002C3850" w:rsidRPr="00020BC6">
        <w:rPr>
          <w:rFonts w:cs="Arial"/>
          <w:b/>
          <w:kern w:val="2"/>
        </w:rPr>
        <w:t>S</w:t>
      </w:r>
      <w:r>
        <w:rPr>
          <w:rFonts w:cs="Arial"/>
          <w:b/>
          <w:kern w:val="2"/>
        </w:rPr>
        <w:t>coring matrix for the Technical and Q</w:t>
      </w:r>
      <w:r w:rsidR="002C3850" w:rsidRPr="00020BC6">
        <w:rPr>
          <w:rFonts w:cs="Arial"/>
          <w:b/>
          <w:kern w:val="2"/>
        </w:rPr>
        <w:t>uality criteria</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513"/>
      </w:tblGrid>
      <w:tr w:rsidR="00AD24CD" w:rsidRPr="009B27E5" w:rsidTr="00421F36">
        <w:tc>
          <w:tcPr>
            <w:tcW w:w="1134" w:type="dxa"/>
            <w:shd w:val="clear" w:color="auto" w:fill="BFBFBF"/>
          </w:tcPr>
          <w:p w:rsidR="00AD24CD" w:rsidRPr="009B27E5" w:rsidRDefault="00AD24CD" w:rsidP="00CF351A">
            <w:pPr>
              <w:tabs>
                <w:tab w:val="left" w:pos="0"/>
              </w:tabs>
              <w:spacing w:before="120" w:after="120"/>
              <w:rPr>
                <w:rFonts w:cs="Arial"/>
                <w:b/>
                <w:bCs/>
                <w:sz w:val="24"/>
                <w:szCs w:val="24"/>
                <w:lang w:eastAsia="en-GB"/>
              </w:rPr>
            </w:pPr>
            <w:r w:rsidRPr="009B27E5">
              <w:rPr>
                <w:rFonts w:cs="Arial"/>
                <w:b/>
                <w:bCs/>
                <w:sz w:val="24"/>
                <w:szCs w:val="24"/>
                <w:lang w:eastAsia="en-GB"/>
              </w:rPr>
              <w:t>Score</w:t>
            </w:r>
          </w:p>
        </w:tc>
        <w:tc>
          <w:tcPr>
            <w:tcW w:w="7513" w:type="dxa"/>
            <w:shd w:val="clear" w:color="auto" w:fill="BFBFBF"/>
          </w:tcPr>
          <w:p w:rsidR="00AD24CD" w:rsidRPr="009B27E5" w:rsidRDefault="00AD24CD" w:rsidP="00CF351A">
            <w:pPr>
              <w:tabs>
                <w:tab w:val="left" w:pos="0"/>
              </w:tabs>
              <w:spacing w:before="120" w:after="120"/>
              <w:jc w:val="center"/>
              <w:rPr>
                <w:rFonts w:cs="Arial"/>
                <w:b/>
                <w:bCs/>
                <w:sz w:val="24"/>
                <w:szCs w:val="24"/>
                <w:lang w:eastAsia="en-GB"/>
              </w:rPr>
            </w:pPr>
            <w:r w:rsidRPr="009B27E5">
              <w:rPr>
                <w:rFonts w:cs="Arial"/>
                <w:b/>
                <w:bCs/>
                <w:sz w:val="24"/>
                <w:szCs w:val="24"/>
                <w:lang w:eastAsia="en-GB"/>
              </w:rPr>
              <w:t>‘Open’ Question Criteria</w:t>
            </w:r>
          </w:p>
        </w:tc>
      </w:tr>
      <w:tr w:rsidR="00AD24CD" w:rsidRPr="009B27E5" w:rsidTr="00421F36">
        <w:tc>
          <w:tcPr>
            <w:tcW w:w="1134" w:type="dxa"/>
          </w:tcPr>
          <w:p w:rsidR="00AD24CD" w:rsidRPr="00853849" w:rsidRDefault="00AD24CD" w:rsidP="00CF351A">
            <w:pPr>
              <w:tabs>
                <w:tab w:val="left" w:pos="0"/>
              </w:tabs>
              <w:spacing w:after="120"/>
              <w:jc w:val="center"/>
              <w:rPr>
                <w:rFonts w:cs="Arial"/>
                <w:bCs/>
                <w:sz w:val="20"/>
                <w:lang w:eastAsia="en-GB"/>
              </w:rPr>
            </w:pPr>
            <w:r w:rsidRPr="00853849">
              <w:rPr>
                <w:rFonts w:cs="Arial"/>
                <w:bCs/>
                <w:sz w:val="20"/>
                <w:lang w:eastAsia="en-GB"/>
              </w:rPr>
              <w:t>5</w:t>
            </w:r>
          </w:p>
        </w:tc>
        <w:tc>
          <w:tcPr>
            <w:tcW w:w="7513" w:type="dxa"/>
          </w:tcPr>
          <w:p w:rsidR="00AD24CD" w:rsidRPr="00853849" w:rsidRDefault="00AD24CD" w:rsidP="00BB6AC8">
            <w:pPr>
              <w:tabs>
                <w:tab w:val="left" w:pos="0"/>
              </w:tabs>
              <w:jc w:val="both"/>
              <w:rPr>
                <w:rFonts w:cs="Arial"/>
                <w:bCs/>
                <w:sz w:val="20"/>
                <w:lang w:eastAsia="en-GB"/>
              </w:rPr>
            </w:pPr>
            <w:r w:rsidRPr="00853849">
              <w:rPr>
                <w:rFonts w:cs="Arial"/>
                <w:bCs/>
                <w:sz w:val="20"/>
                <w:lang w:eastAsia="en-GB"/>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rsidR="00AD24CD" w:rsidRPr="00853849" w:rsidRDefault="00AD24CD" w:rsidP="00AD24CD">
            <w:pPr>
              <w:numPr>
                <w:ilvl w:val="0"/>
                <w:numId w:val="47"/>
              </w:numPr>
              <w:tabs>
                <w:tab w:val="left" w:pos="0"/>
              </w:tabs>
              <w:overflowPunct w:val="0"/>
              <w:autoSpaceDE w:val="0"/>
              <w:autoSpaceDN w:val="0"/>
              <w:adjustRightInd w:val="0"/>
              <w:ind w:left="714" w:hanging="357"/>
              <w:textAlignment w:val="baseline"/>
              <w:rPr>
                <w:rFonts w:cs="Arial"/>
                <w:bCs/>
                <w:sz w:val="20"/>
                <w:lang w:eastAsia="en-GB"/>
              </w:rPr>
            </w:pPr>
            <w:r w:rsidRPr="00853849">
              <w:rPr>
                <w:rFonts w:cs="Arial"/>
                <w:bCs/>
                <w:sz w:val="20"/>
                <w:lang w:eastAsia="en-GB"/>
              </w:rPr>
              <w:t>highly credible examples;</w:t>
            </w:r>
          </w:p>
          <w:p w:rsidR="00AD24CD" w:rsidRPr="00853849" w:rsidRDefault="00AD24CD" w:rsidP="00AD24CD">
            <w:pPr>
              <w:numPr>
                <w:ilvl w:val="0"/>
                <w:numId w:val="47"/>
              </w:numPr>
              <w:tabs>
                <w:tab w:val="left" w:pos="0"/>
              </w:tabs>
              <w:overflowPunct w:val="0"/>
              <w:autoSpaceDE w:val="0"/>
              <w:autoSpaceDN w:val="0"/>
              <w:adjustRightInd w:val="0"/>
              <w:ind w:left="714" w:hanging="357"/>
              <w:textAlignment w:val="baseline"/>
              <w:rPr>
                <w:rFonts w:cs="Arial"/>
                <w:bCs/>
                <w:sz w:val="20"/>
                <w:lang w:eastAsia="en-GB"/>
              </w:rPr>
            </w:pPr>
            <w:r w:rsidRPr="00853849">
              <w:rPr>
                <w:rFonts w:cs="Arial"/>
                <w:bCs/>
                <w:sz w:val="20"/>
                <w:lang w:eastAsia="en-GB"/>
              </w:rPr>
              <w:t xml:space="preserve">benefits; or </w:t>
            </w:r>
          </w:p>
          <w:p w:rsidR="00AD24CD" w:rsidRPr="00853849" w:rsidRDefault="00AD24CD" w:rsidP="00AD24CD">
            <w:pPr>
              <w:numPr>
                <w:ilvl w:val="0"/>
                <w:numId w:val="47"/>
              </w:numPr>
              <w:tabs>
                <w:tab w:val="left" w:pos="0"/>
              </w:tabs>
              <w:overflowPunct w:val="0"/>
              <w:autoSpaceDE w:val="0"/>
              <w:autoSpaceDN w:val="0"/>
              <w:adjustRightInd w:val="0"/>
              <w:spacing w:after="120"/>
              <w:textAlignment w:val="baseline"/>
              <w:rPr>
                <w:rFonts w:cs="Arial"/>
                <w:bCs/>
                <w:sz w:val="20"/>
                <w:lang w:eastAsia="en-GB"/>
              </w:rPr>
            </w:pPr>
            <w:proofErr w:type="gramStart"/>
            <w:r w:rsidRPr="00853849">
              <w:rPr>
                <w:rFonts w:cs="Arial"/>
                <w:bCs/>
                <w:sz w:val="20"/>
                <w:lang w:eastAsia="en-GB"/>
              </w:rPr>
              <w:t>innovation</w:t>
            </w:r>
            <w:proofErr w:type="gramEnd"/>
            <w:r w:rsidRPr="00853849">
              <w:rPr>
                <w:rFonts w:cs="Arial"/>
                <w:bCs/>
                <w:sz w:val="20"/>
                <w:lang w:eastAsia="en-GB"/>
              </w:rPr>
              <w:t xml:space="preserve">.  </w:t>
            </w:r>
          </w:p>
        </w:tc>
      </w:tr>
      <w:tr w:rsidR="00AD24CD" w:rsidRPr="009B27E5" w:rsidTr="00421F36">
        <w:tc>
          <w:tcPr>
            <w:tcW w:w="1134" w:type="dxa"/>
          </w:tcPr>
          <w:p w:rsidR="00AD24CD" w:rsidRPr="00853849" w:rsidRDefault="00AD24CD" w:rsidP="00CF351A">
            <w:pPr>
              <w:tabs>
                <w:tab w:val="left" w:pos="0"/>
              </w:tabs>
              <w:spacing w:after="120"/>
              <w:jc w:val="center"/>
              <w:rPr>
                <w:rFonts w:cs="Arial"/>
                <w:bCs/>
                <w:sz w:val="20"/>
                <w:lang w:eastAsia="en-GB"/>
              </w:rPr>
            </w:pPr>
            <w:r w:rsidRPr="00853849">
              <w:rPr>
                <w:rFonts w:cs="Arial"/>
                <w:bCs/>
                <w:sz w:val="20"/>
                <w:lang w:eastAsia="en-GB"/>
              </w:rPr>
              <w:t>4</w:t>
            </w:r>
          </w:p>
        </w:tc>
        <w:tc>
          <w:tcPr>
            <w:tcW w:w="7513" w:type="dxa"/>
          </w:tcPr>
          <w:p w:rsidR="00AD24CD" w:rsidRPr="00853849" w:rsidRDefault="00AD24CD" w:rsidP="00BB6AC8">
            <w:pPr>
              <w:tabs>
                <w:tab w:val="left" w:pos="0"/>
              </w:tabs>
              <w:spacing w:after="120"/>
              <w:jc w:val="both"/>
              <w:rPr>
                <w:rFonts w:cs="Arial"/>
                <w:bCs/>
                <w:sz w:val="20"/>
                <w:lang w:eastAsia="en-GB"/>
              </w:rPr>
            </w:pPr>
            <w:r w:rsidRPr="00853849">
              <w:rPr>
                <w:rFonts w:cs="Arial"/>
                <w:bCs/>
                <w:sz w:val="20"/>
                <w:lang w:eastAsia="en-GB"/>
              </w:rPr>
              <w:t xml:space="preserve">The response is good and highly relevant. The response indicates a good understanding of the requirements and provides sufficient detail across all areas. </w:t>
            </w:r>
            <w:r w:rsidRPr="00853849">
              <w:rPr>
                <w:rFonts w:cs="Arial"/>
                <w:bCs/>
                <w:sz w:val="20"/>
                <w:lang w:eastAsia="en-GB"/>
              </w:rPr>
              <w:lastRenderedPageBreak/>
              <w:t xml:space="preserve">The response demonstrates how the requirements will be met in the main, which may require minor clarification only. </w:t>
            </w:r>
          </w:p>
        </w:tc>
      </w:tr>
      <w:tr w:rsidR="00AD24CD" w:rsidRPr="009B27E5" w:rsidTr="00421F36">
        <w:tc>
          <w:tcPr>
            <w:tcW w:w="1134" w:type="dxa"/>
            <w:tcBorders>
              <w:bottom w:val="single" w:sz="12" w:space="0" w:color="auto"/>
            </w:tcBorders>
          </w:tcPr>
          <w:p w:rsidR="00AD24CD" w:rsidRPr="00853849" w:rsidRDefault="00AD24CD" w:rsidP="00CF351A">
            <w:pPr>
              <w:tabs>
                <w:tab w:val="left" w:pos="0"/>
              </w:tabs>
              <w:spacing w:after="120"/>
              <w:jc w:val="center"/>
              <w:rPr>
                <w:rFonts w:cs="Arial"/>
                <w:bCs/>
                <w:sz w:val="20"/>
                <w:lang w:eastAsia="en-GB"/>
              </w:rPr>
            </w:pPr>
            <w:r w:rsidRPr="00853849">
              <w:rPr>
                <w:rFonts w:cs="Arial"/>
                <w:bCs/>
                <w:sz w:val="20"/>
                <w:lang w:eastAsia="en-GB"/>
              </w:rPr>
              <w:lastRenderedPageBreak/>
              <w:t>3</w:t>
            </w:r>
          </w:p>
        </w:tc>
        <w:tc>
          <w:tcPr>
            <w:tcW w:w="7513" w:type="dxa"/>
            <w:tcBorders>
              <w:bottom w:val="single" w:sz="12" w:space="0" w:color="auto"/>
            </w:tcBorders>
          </w:tcPr>
          <w:p w:rsidR="00AD24CD" w:rsidRPr="00853849" w:rsidRDefault="00AD24CD" w:rsidP="00BB6AC8">
            <w:pPr>
              <w:tabs>
                <w:tab w:val="left" w:pos="0"/>
              </w:tabs>
              <w:spacing w:after="120"/>
              <w:jc w:val="both"/>
              <w:rPr>
                <w:rFonts w:cs="Arial"/>
                <w:bCs/>
                <w:sz w:val="20"/>
                <w:lang w:eastAsia="en-GB"/>
              </w:rPr>
            </w:pPr>
            <w:r w:rsidRPr="00853849">
              <w:rPr>
                <w:rFonts w:cs="Arial"/>
                <w:bCs/>
                <w:sz w:val="20"/>
                <w:lang w:eastAsia="en-GB"/>
              </w:rPr>
              <w:t>The response is satisfactory and relevant. The response indicates a satisfactory understanding of the requirements in most aspects, although may lack detail in certain areas. The response suggests that the requirements would be met satisfactorily, but may require some clarification.</w:t>
            </w:r>
          </w:p>
        </w:tc>
      </w:tr>
      <w:tr w:rsidR="00AD24CD" w:rsidRPr="009B27E5" w:rsidTr="00421F36">
        <w:tc>
          <w:tcPr>
            <w:tcW w:w="1134" w:type="dxa"/>
            <w:tcBorders>
              <w:top w:val="single" w:sz="12" w:space="0" w:color="auto"/>
            </w:tcBorders>
          </w:tcPr>
          <w:p w:rsidR="00AD24CD" w:rsidRPr="00853849" w:rsidRDefault="00AD24CD" w:rsidP="00CF351A">
            <w:pPr>
              <w:tabs>
                <w:tab w:val="left" w:pos="0"/>
              </w:tabs>
              <w:spacing w:after="120"/>
              <w:jc w:val="center"/>
              <w:rPr>
                <w:rFonts w:cs="Arial"/>
                <w:bCs/>
                <w:sz w:val="20"/>
                <w:lang w:eastAsia="en-GB"/>
              </w:rPr>
            </w:pPr>
            <w:r w:rsidRPr="00853849">
              <w:rPr>
                <w:rFonts w:cs="Arial"/>
                <w:bCs/>
                <w:sz w:val="20"/>
                <w:lang w:eastAsia="en-GB"/>
              </w:rPr>
              <w:t>2</w:t>
            </w:r>
          </w:p>
        </w:tc>
        <w:tc>
          <w:tcPr>
            <w:tcW w:w="7513" w:type="dxa"/>
            <w:tcBorders>
              <w:top w:val="single" w:sz="12" w:space="0" w:color="auto"/>
            </w:tcBorders>
          </w:tcPr>
          <w:p w:rsidR="00AD24CD" w:rsidRPr="00853849" w:rsidRDefault="00AD24CD" w:rsidP="00BB6AC8">
            <w:pPr>
              <w:tabs>
                <w:tab w:val="left" w:pos="0"/>
              </w:tabs>
              <w:spacing w:after="120"/>
              <w:jc w:val="both"/>
              <w:rPr>
                <w:rFonts w:cs="Arial"/>
                <w:bCs/>
                <w:sz w:val="20"/>
                <w:lang w:eastAsia="en-GB"/>
              </w:rPr>
            </w:pPr>
            <w:r w:rsidRPr="00853849">
              <w:rPr>
                <w:rFonts w:cs="Arial"/>
                <w:bCs/>
                <w:sz w:val="20"/>
                <w:lang w:eastAsia="en-GB"/>
              </w:rPr>
              <w:t xml:space="preserve">The response is limited and partially relevant. The response indicates partial understanding of the requirement. The response contains </w:t>
            </w:r>
            <w:proofErr w:type="gramStart"/>
            <w:r w:rsidRPr="00853849">
              <w:rPr>
                <w:rFonts w:cs="Arial"/>
                <w:bCs/>
                <w:sz w:val="20"/>
                <w:lang w:eastAsia="en-GB"/>
              </w:rPr>
              <w:t>ambiguities which suggests</w:t>
            </w:r>
            <w:proofErr w:type="gramEnd"/>
            <w:r w:rsidRPr="00853849">
              <w:rPr>
                <w:rFonts w:cs="Arial"/>
                <w:bCs/>
                <w:sz w:val="20"/>
                <w:lang w:eastAsia="en-GB"/>
              </w:rPr>
              <w:t xml:space="preserve"> that the requirements would not be met unless significant revisions were made to the proposal.</w:t>
            </w:r>
          </w:p>
        </w:tc>
      </w:tr>
      <w:tr w:rsidR="00AD24CD" w:rsidRPr="009B27E5" w:rsidTr="00421F36">
        <w:tc>
          <w:tcPr>
            <w:tcW w:w="1134" w:type="dxa"/>
          </w:tcPr>
          <w:p w:rsidR="00AD24CD" w:rsidRPr="00853849" w:rsidRDefault="00AD24CD" w:rsidP="00CF351A">
            <w:pPr>
              <w:tabs>
                <w:tab w:val="left" w:pos="0"/>
              </w:tabs>
              <w:spacing w:after="120"/>
              <w:jc w:val="center"/>
              <w:rPr>
                <w:rFonts w:cs="Arial"/>
                <w:bCs/>
                <w:sz w:val="20"/>
                <w:lang w:eastAsia="en-GB"/>
              </w:rPr>
            </w:pPr>
            <w:r w:rsidRPr="00853849">
              <w:rPr>
                <w:rFonts w:cs="Arial"/>
                <w:bCs/>
                <w:sz w:val="20"/>
                <w:lang w:eastAsia="en-GB"/>
              </w:rPr>
              <w:t>1</w:t>
            </w:r>
          </w:p>
        </w:tc>
        <w:tc>
          <w:tcPr>
            <w:tcW w:w="7513" w:type="dxa"/>
          </w:tcPr>
          <w:p w:rsidR="00AD24CD" w:rsidRPr="00853849" w:rsidRDefault="00AD24CD" w:rsidP="00BB6AC8">
            <w:pPr>
              <w:tabs>
                <w:tab w:val="left" w:pos="0"/>
              </w:tabs>
              <w:spacing w:after="120"/>
              <w:jc w:val="both"/>
              <w:rPr>
                <w:rFonts w:cs="Arial"/>
                <w:bCs/>
                <w:sz w:val="20"/>
                <w:lang w:eastAsia="en-GB"/>
              </w:rPr>
            </w:pPr>
            <w:r w:rsidRPr="00853849">
              <w:rPr>
                <w:rFonts w:cs="Arial"/>
                <w:bCs/>
                <w:sz w:val="20"/>
                <w:lang w:eastAsia="en-GB"/>
              </w:rPr>
              <w:t xml:space="preserve">The response is poor and only partially relevant. The response addresses some aspects of the requirements but contains insufficient/limited detail or explanation. The response demonstrates only limited understanding of the requirement. The response contains deficiencies which suggest the requirements would not be met. </w:t>
            </w:r>
          </w:p>
        </w:tc>
      </w:tr>
      <w:tr w:rsidR="00AD24CD" w:rsidRPr="009B27E5" w:rsidTr="00421F36">
        <w:tc>
          <w:tcPr>
            <w:tcW w:w="1134" w:type="dxa"/>
          </w:tcPr>
          <w:p w:rsidR="00AD24CD" w:rsidRPr="00853849" w:rsidRDefault="00AD24CD" w:rsidP="00CF351A">
            <w:pPr>
              <w:tabs>
                <w:tab w:val="left" w:pos="0"/>
              </w:tabs>
              <w:spacing w:after="120"/>
              <w:jc w:val="center"/>
              <w:rPr>
                <w:rFonts w:cs="Arial"/>
                <w:bCs/>
                <w:sz w:val="20"/>
                <w:lang w:eastAsia="en-GB"/>
              </w:rPr>
            </w:pPr>
            <w:r w:rsidRPr="00853849">
              <w:rPr>
                <w:rFonts w:cs="Arial"/>
                <w:bCs/>
                <w:sz w:val="20"/>
                <w:lang w:eastAsia="en-GB"/>
              </w:rPr>
              <w:t>0</w:t>
            </w:r>
          </w:p>
        </w:tc>
        <w:tc>
          <w:tcPr>
            <w:tcW w:w="7513" w:type="dxa"/>
          </w:tcPr>
          <w:p w:rsidR="00AD24CD" w:rsidRPr="00853849" w:rsidRDefault="00AD24CD" w:rsidP="00BB6AC8">
            <w:pPr>
              <w:tabs>
                <w:tab w:val="left" w:pos="0"/>
              </w:tabs>
              <w:ind w:left="34"/>
              <w:jc w:val="both"/>
              <w:rPr>
                <w:sz w:val="20"/>
                <w:lang w:eastAsia="en-GB"/>
              </w:rPr>
            </w:pPr>
            <w:r w:rsidRPr="00853849">
              <w:rPr>
                <w:rFonts w:cs="Arial"/>
                <w:bCs/>
                <w:sz w:val="20"/>
                <w:lang w:eastAsia="en-GB"/>
              </w:rPr>
              <w:t xml:space="preserve">The response is not considered relevant. The response is unconvincing, flawed or otherwise unacceptable. Response fails to demonstrate an understanding of the requirement.  </w:t>
            </w:r>
          </w:p>
        </w:tc>
      </w:tr>
    </w:tbl>
    <w:p w:rsidR="004B4D03" w:rsidRPr="009543D7" w:rsidRDefault="00421F36" w:rsidP="00421F36">
      <w:pPr>
        <w:pStyle w:val="Heading2"/>
        <w:numPr>
          <w:ilvl w:val="0"/>
          <w:numId w:val="0"/>
        </w:numPr>
        <w:ind w:left="710" w:hanging="710"/>
        <w:rPr>
          <w:color w:val="auto"/>
          <w:kern w:val="2"/>
          <w:sz w:val="22"/>
          <w:szCs w:val="22"/>
        </w:rPr>
      </w:pPr>
      <w:bookmarkStart w:id="91" w:name="_Toc523410856"/>
      <w:r w:rsidRPr="009543D7">
        <w:rPr>
          <w:color w:val="auto"/>
          <w:kern w:val="2"/>
          <w:sz w:val="22"/>
          <w:szCs w:val="22"/>
        </w:rPr>
        <w:t>7.4</w:t>
      </w:r>
      <w:r w:rsidRPr="009543D7">
        <w:rPr>
          <w:color w:val="auto"/>
          <w:kern w:val="2"/>
          <w:sz w:val="22"/>
          <w:szCs w:val="22"/>
        </w:rPr>
        <w:tab/>
      </w:r>
      <w:r w:rsidR="002C3850" w:rsidRPr="009543D7">
        <w:rPr>
          <w:color w:val="auto"/>
          <w:kern w:val="2"/>
          <w:sz w:val="22"/>
          <w:szCs w:val="22"/>
        </w:rPr>
        <w:t>Pric</w:t>
      </w:r>
      <w:r w:rsidR="00460C34" w:rsidRPr="009543D7">
        <w:rPr>
          <w:color w:val="auto"/>
          <w:kern w:val="2"/>
          <w:sz w:val="22"/>
          <w:szCs w:val="22"/>
        </w:rPr>
        <w:t>e</w:t>
      </w:r>
      <w:r w:rsidRPr="009543D7">
        <w:rPr>
          <w:color w:val="auto"/>
          <w:kern w:val="2"/>
          <w:sz w:val="22"/>
          <w:szCs w:val="22"/>
        </w:rPr>
        <w:t xml:space="preserve"> E</w:t>
      </w:r>
      <w:r w:rsidR="002C3850" w:rsidRPr="009543D7">
        <w:rPr>
          <w:color w:val="auto"/>
          <w:kern w:val="2"/>
          <w:sz w:val="22"/>
          <w:szCs w:val="22"/>
        </w:rPr>
        <w:t>valuation</w:t>
      </w:r>
      <w:bookmarkEnd w:id="91"/>
    </w:p>
    <w:p w:rsidR="00677486" w:rsidRPr="009543D7" w:rsidRDefault="00421F36" w:rsidP="00B33B58">
      <w:pPr>
        <w:pStyle w:val="Heading9"/>
      </w:pPr>
      <w:r w:rsidRPr="009543D7">
        <w:t>7.4.1</w:t>
      </w:r>
      <w:r w:rsidRPr="009543D7">
        <w:tab/>
      </w:r>
      <w:r w:rsidR="002C3850" w:rsidRPr="009543D7">
        <w:t>Bid prices will be</w:t>
      </w:r>
      <w:r w:rsidR="00B57C7E" w:rsidRPr="009543D7">
        <w:t xml:space="preserve"> scored on a comparative basis</w:t>
      </w:r>
      <w:r w:rsidR="00F75950" w:rsidRPr="009543D7">
        <w:t>,</w:t>
      </w:r>
      <w:r w:rsidR="00B57C7E" w:rsidRPr="009543D7">
        <w:t xml:space="preserve"> </w:t>
      </w:r>
      <w:r w:rsidR="002C3850" w:rsidRPr="009543D7">
        <w:t xml:space="preserve">with the lowest </w:t>
      </w:r>
      <w:r w:rsidRPr="009543D7">
        <w:t xml:space="preserve">acceptable </w:t>
      </w:r>
      <w:r w:rsidR="002C3850" w:rsidRPr="009543D7">
        <w:t xml:space="preserve">bid receiving 100% of the available marks </w:t>
      </w:r>
      <w:r w:rsidR="00A40355" w:rsidRPr="009543D7">
        <w:t>for the pricing criteria</w:t>
      </w:r>
      <w:r w:rsidR="00CD7F0B" w:rsidRPr="009543D7">
        <w:t xml:space="preserve">, equivalent to </w:t>
      </w:r>
      <w:r w:rsidR="003C77E2" w:rsidRPr="009543D7">
        <w:t>1</w:t>
      </w:r>
      <w:r w:rsidR="000E4876" w:rsidRPr="009543D7">
        <w:t xml:space="preserve">0% </w:t>
      </w:r>
      <w:r w:rsidR="002C3850" w:rsidRPr="009543D7">
        <w:t xml:space="preserve">following weighting. </w:t>
      </w:r>
      <w:r w:rsidR="00F75950" w:rsidRPr="009543D7">
        <w:t xml:space="preserve">Other </w:t>
      </w:r>
      <w:r w:rsidR="00CD7F0B" w:rsidRPr="009543D7">
        <w:t>acceptable bids</w:t>
      </w:r>
      <w:r w:rsidR="00F75950" w:rsidRPr="009543D7">
        <w:t xml:space="preserve"> will receive a </w:t>
      </w:r>
      <w:r w:rsidR="00CD7F0B" w:rsidRPr="009543D7">
        <w:t xml:space="preserve">percentage </w:t>
      </w:r>
      <w:r w:rsidR="00F75950" w:rsidRPr="009543D7">
        <w:t>score proportionate to the total cost difference from the cheapest Bidder.</w:t>
      </w:r>
      <w:r w:rsidR="00265B59" w:rsidRPr="009543D7">
        <w:t xml:space="preserve"> </w:t>
      </w:r>
    </w:p>
    <w:p w:rsidR="00DD358B" w:rsidRPr="00E270D2" w:rsidRDefault="00CD7F0B" w:rsidP="00CD7F0B">
      <w:pPr>
        <w:pStyle w:val="Heading2"/>
        <w:numPr>
          <w:ilvl w:val="0"/>
          <w:numId w:val="0"/>
        </w:numPr>
        <w:ind w:left="710" w:hanging="710"/>
        <w:rPr>
          <w:color w:val="auto"/>
          <w:kern w:val="2"/>
        </w:rPr>
      </w:pPr>
      <w:bookmarkStart w:id="92" w:name="_Toc523410857"/>
      <w:bookmarkStart w:id="93" w:name="a940408"/>
      <w:bookmarkStart w:id="94" w:name="_Toc448841789"/>
      <w:bookmarkStart w:id="95" w:name="_Toc461530372"/>
      <w:bookmarkStart w:id="96" w:name="_Toc461530603"/>
      <w:bookmarkStart w:id="97" w:name="_Toc461551511"/>
      <w:r>
        <w:rPr>
          <w:color w:val="auto"/>
          <w:kern w:val="2"/>
        </w:rPr>
        <w:t>7.5</w:t>
      </w:r>
      <w:r>
        <w:rPr>
          <w:color w:val="auto"/>
          <w:kern w:val="2"/>
        </w:rPr>
        <w:tab/>
      </w:r>
      <w:r w:rsidR="00DD358B" w:rsidRPr="00E270D2">
        <w:rPr>
          <w:color w:val="auto"/>
          <w:kern w:val="2"/>
        </w:rPr>
        <w:t xml:space="preserve">Price </w:t>
      </w:r>
      <w:r>
        <w:rPr>
          <w:color w:val="auto"/>
          <w:kern w:val="2"/>
        </w:rPr>
        <w:t>Schedule and E</w:t>
      </w:r>
      <w:r w:rsidR="00DD358B" w:rsidRPr="00E270D2">
        <w:rPr>
          <w:color w:val="auto"/>
          <w:kern w:val="2"/>
        </w:rPr>
        <w:t>xpenses</w:t>
      </w:r>
      <w:bookmarkEnd w:id="92"/>
      <w:r w:rsidR="00DD358B" w:rsidRPr="00E270D2">
        <w:rPr>
          <w:color w:val="auto"/>
          <w:kern w:val="2"/>
        </w:rPr>
        <w:t xml:space="preserve"> </w:t>
      </w:r>
    </w:p>
    <w:p w:rsidR="00F75950" w:rsidRPr="00F75950" w:rsidRDefault="00CD7F0B" w:rsidP="00B33B58">
      <w:pPr>
        <w:pStyle w:val="Heading9"/>
        <w:rPr>
          <w:lang w:eastAsia="en-GB"/>
        </w:rPr>
      </w:pPr>
      <w:r>
        <w:rPr>
          <w:lang w:eastAsia="en-GB"/>
        </w:rPr>
        <w:t>7.5.1</w:t>
      </w:r>
      <w:r>
        <w:rPr>
          <w:lang w:eastAsia="en-GB"/>
        </w:rPr>
        <w:tab/>
      </w:r>
      <w:r w:rsidR="00F75950" w:rsidRPr="00F75950">
        <w:rPr>
          <w:lang w:eastAsia="en-GB"/>
        </w:rPr>
        <w:t xml:space="preserve">All </w:t>
      </w:r>
      <w:r w:rsidR="00F75950">
        <w:rPr>
          <w:lang w:eastAsia="en-GB"/>
        </w:rPr>
        <w:t>Bidders</w:t>
      </w:r>
      <w:r w:rsidR="00F75950" w:rsidRPr="00F75950">
        <w:rPr>
          <w:lang w:eastAsia="en-GB"/>
        </w:rPr>
        <w:t xml:space="preserve"> participating in </w:t>
      </w:r>
      <w:r w:rsidR="00A337F4">
        <w:rPr>
          <w:lang w:eastAsia="en-GB"/>
        </w:rPr>
        <w:t xml:space="preserve">the </w:t>
      </w:r>
      <w:proofErr w:type="gramStart"/>
      <w:r w:rsidR="00A337F4">
        <w:rPr>
          <w:lang w:eastAsia="en-GB"/>
        </w:rPr>
        <w:t>CFC,</w:t>
      </w:r>
      <w:proofErr w:type="gramEnd"/>
      <w:r w:rsidR="00F75950" w:rsidRPr="00F75950">
        <w:rPr>
          <w:lang w:eastAsia="en-GB"/>
        </w:rPr>
        <w:t xml:space="preserve"> </w:t>
      </w:r>
      <w:r>
        <w:rPr>
          <w:lang w:eastAsia="en-GB"/>
        </w:rPr>
        <w:t xml:space="preserve">will </w:t>
      </w:r>
      <w:r w:rsidR="00F75950" w:rsidRPr="00F75950">
        <w:rPr>
          <w:lang w:eastAsia="en-GB"/>
        </w:rPr>
        <w:t>have declared themselves capable of delivering to th</w:t>
      </w:r>
      <w:r w:rsidR="00F75950">
        <w:rPr>
          <w:lang w:eastAsia="en-GB"/>
        </w:rPr>
        <w:t>e</w:t>
      </w:r>
      <w:r w:rsidR="00F75950" w:rsidRPr="00F75950">
        <w:rPr>
          <w:lang w:eastAsia="en-GB"/>
        </w:rPr>
        <w:t xml:space="preserve"> </w:t>
      </w:r>
      <w:r w:rsidR="00F75950">
        <w:rPr>
          <w:lang w:eastAsia="en-GB"/>
        </w:rPr>
        <w:t>maximum budget available for the contract</w:t>
      </w:r>
      <w:r w:rsidR="00F75950" w:rsidRPr="00F75950">
        <w:rPr>
          <w:lang w:eastAsia="en-GB"/>
        </w:rPr>
        <w:t>.</w:t>
      </w:r>
    </w:p>
    <w:p w:rsidR="00047226" w:rsidRDefault="00047226" w:rsidP="00B33B58">
      <w:pPr>
        <w:pStyle w:val="Heading9"/>
      </w:pPr>
    </w:p>
    <w:p w:rsidR="003E26AA" w:rsidRPr="004E6622" w:rsidRDefault="00CD7F0B" w:rsidP="00B33B58">
      <w:pPr>
        <w:pStyle w:val="Heading9"/>
      </w:pPr>
      <w:r>
        <w:t>7.5.2</w:t>
      </w:r>
      <w:r>
        <w:tab/>
        <w:t>Bidders will be</w:t>
      </w:r>
      <w:r w:rsidR="003E26AA" w:rsidRPr="004E6622">
        <w:t xml:space="preserve"> required to quote on the basis set out in the framework on a fixed price basis</w:t>
      </w:r>
      <w:r w:rsidR="00265B59">
        <w:t xml:space="preserve"> </w:t>
      </w:r>
      <w:r w:rsidR="003E26AA">
        <w:t xml:space="preserve">for </w:t>
      </w:r>
      <w:r w:rsidR="003E26AA" w:rsidRPr="004E6622">
        <w:t xml:space="preserve">the whole requirement. </w:t>
      </w:r>
    </w:p>
    <w:p w:rsidR="00047226" w:rsidRDefault="00047226" w:rsidP="00B33B58">
      <w:pPr>
        <w:pStyle w:val="Heading9"/>
        <w:rPr>
          <w:lang w:eastAsia="en-GB"/>
        </w:rPr>
      </w:pPr>
    </w:p>
    <w:p w:rsidR="003E26AA" w:rsidRPr="00020BC6" w:rsidRDefault="00CD7F0B" w:rsidP="00B33B58">
      <w:pPr>
        <w:pStyle w:val="Heading9"/>
      </w:pPr>
      <w:r>
        <w:rPr>
          <w:lang w:eastAsia="en-GB"/>
        </w:rPr>
        <w:t>7.5.3</w:t>
      </w:r>
      <w:r>
        <w:rPr>
          <w:lang w:eastAsia="en-GB"/>
        </w:rPr>
        <w:tab/>
      </w:r>
      <w:r w:rsidR="003E26AA" w:rsidRPr="00020BC6">
        <w:rPr>
          <w:lang w:eastAsia="en-GB"/>
        </w:rPr>
        <w:t>The price quoted must be inclusive of all expenses, including telecommunication, copying, printing, photography, materials, report preparation and publication, presentation materials, travel, subsistence and accommodation</w:t>
      </w:r>
      <w:r w:rsidR="00687ABF">
        <w:rPr>
          <w:lang w:eastAsia="en-GB"/>
        </w:rPr>
        <w:t xml:space="preserve">, broken down as </w:t>
      </w:r>
      <w:proofErr w:type="gramStart"/>
      <w:r w:rsidR="00687ABF">
        <w:rPr>
          <w:lang w:eastAsia="en-GB"/>
        </w:rPr>
        <w:t>follows :</w:t>
      </w:r>
      <w:proofErr w:type="gramEnd"/>
    </w:p>
    <w:p w:rsidR="003E26AA" w:rsidRPr="00020BC6" w:rsidRDefault="003E26AA" w:rsidP="003E26AA">
      <w:pPr>
        <w:rPr>
          <w:rFonts w:cs="Arial"/>
          <w:color w:val="FF0000"/>
          <w:kern w:val="2"/>
          <w:highlight w:val="green"/>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4536"/>
        <w:gridCol w:w="3544"/>
      </w:tblGrid>
      <w:tr w:rsidR="00F75950" w:rsidRPr="00B4580B" w:rsidTr="00EF536A">
        <w:tc>
          <w:tcPr>
            <w:tcW w:w="4536" w:type="dxa"/>
            <w:shd w:val="clear" w:color="auto" w:fill="D9D9D9"/>
          </w:tcPr>
          <w:p w:rsidR="00F75950" w:rsidRPr="00F6710C" w:rsidRDefault="003815E2" w:rsidP="004B79FA">
            <w:pPr>
              <w:rPr>
                <w:rFonts w:cs="Arial"/>
                <w:b/>
                <w:kern w:val="2"/>
                <w:szCs w:val="22"/>
                <w:highlight w:val="yellow"/>
              </w:rPr>
            </w:pPr>
            <w:r w:rsidRPr="00F6710C">
              <w:rPr>
                <w:rFonts w:cs="Arial"/>
                <w:b/>
              </w:rPr>
              <w:t>Description</w:t>
            </w:r>
          </w:p>
        </w:tc>
        <w:tc>
          <w:tcPr>
            <w:tcW w:w="3544" w:type="dxa"/>
          </w:tcPr>
          <w:p w:rsidR="00F75950" w:rsidRPr="00F6710C" w:rsidRDefault="00CD7F0B" w:rsidP="00CD7F0B">
            <w:pPr>
              <w:jc w:val="center"/>
              <w:rPr>
                <w:rFonts w:cs="Arial"/>
                <w:b/>
                <w:kern w:val="2"/>
                <w:highlight w:val="yellow"/>
              </w:rPr>
            </w:pPr>
            <w:r>
              <w:rPr>
                <w:rFonts w:cs="Arial"/>
                <w:b/>
                <w:kern w:val="2"/>
              </w:rPr>
              <w:t>Cost (</w:t>
            </w:r>
            <w:r w:rsidR="003815E2" w:rsidRPr="00F6710C">
              <w:rPr>
                <w:rFonts w:cs="Arial"/>
                <w:b/>
                <w:kern w:val="2"/>
              </w:rPr>
              <w:t>£</w:t>
            </w:r>
            <w:r>
              <w:rPr>
                <w:rFonts w:cs="Arial"/>
                <w:b/>
                <w:kern w:val="2"/>
              </w:rPr>
              <w:t>)</w:t>
            </w:r>
          </w:p>
        </w:tc>
      </w:tr>
      <w:tr w:rsidR="003815E2" w:rsidRPr="00B4580B" w:rsidTr="00EF536A">
        <w:tc>
          <w:tcPr>
            <w:tcW w:w="4536" w:type="dxa"/>
            <w:shd w:val="clear" w:color="auto" w:fill="D9D9D9"/>
          </w:tcPr>
          <w:p w:rsidR="003815E2" w:rsidRPr="00114273" w:rsidRDefault="003815E2" w:rsidP="004B79FA">
            <w:pPr>
              <w:rPr>
                <w:rFonts w:cs="Arial"/>
              </w:rPr>
            </w:pPr>
            <w:r>
              <w:rPr>
                <w:rFonts w:cs="Arial"/>
              </w:rPr>
              <w:t>Project set-up and Design</w:t>
            </w:r>
          </w:p>
        </w:tc>
        <w:tc>
          <w:tcPr>
            <w:tcW w:w="3544" w:type="dxa"/>
          </w:tcPr>
          <w:p w:rsidR="003815E2" w:rsidRPr="00B4580B" w:rsidRDefault="003815E2" w:rsidP="00CD7F0B">
            <w:pPr>
              <w:jc w:val="center"/>
              <w:rPr>
                <w:rFonts w:cs="Arial"/>
                <w:color w:val="FF0000"/>
                <w:kern w:val="2"/>
                <w:highlight w:val="yellow"/>
              </w:rPr>
            </w:pPr>
          </w:p>
        </w:tc>
      </w:tr>
      <w:tr w:rsidR="00F75950" w:rsidRPr="00B4580B" w:rsidTr="00EF536A">
        <w:tc>
          <w:tcPr>
            <w:tcW w:w="4536" w:type="dxa"/>
            <w:shd w:val="clear" w:color="auto" w:fill="D9D9D9"/>
          </w:tcPr>
          <w:p w:rsidR="00F75950" w:rsidRPr="00B4580B" w:rsidRDefault="00F75950" w:rsidP="004B79FA">
            <w:pPr>
              <w:rPr>
                <w:rFonts w:cs="Arial"/>
                <w:kern w:val="2"/>
                <w:szCs w:val="22"/>
                <w:highlight w:val="yellow"/>
              </w:rPr>
            </w:pPr>
            <w:r w:rsidRPr="00114273">
              <w:rPr>
                <w:rFonts w:cs="Arial"/>
              </w:rPr>
              <w:t>Fieldwork</w:t>
            </w:r>
          </w:p>
        </w:tc>
        <w:tc>
          <w:tcPr>
            <w:tcW w:w="3544" w:type="dxa"/>
          </w:tcPr>
          <w:p w:rsidR="00F75950" w:rsidRPr="00B4580B" w:rsidRDefault="00F75950" w:rsidP="00CD7F0B">
            <w:pPr>
              <w:jc w:val="center"/>
              <w:rPr>
                <w:rFonts w:cs="Arial"/>
                <w:color w:val="FF0000"/>
                <w:kern w:val="2"/>
                <w:highlight w:val="yellow"/>
              </w:rPr>
            </w:pPr>
          </w:p>
        </w:tc>
      </w:tr>
      <w:tr w:rsidR="00F75950" w:rsidRPr="00B4580B" w:rsidTr="00EF536A">
        <w:tc>
          <w:tcPr>
            <w:tcW w:w="4536" w:type="dxa"/>
            <w:shd w:val="clear" w:color="auto" w:fill="D9D9D9"/>
          </w:tcPr>
          <w:p w:rsidR="00F75950" w:rsidRPr="00B4580B" w:rsidRDefault="00393561" w:rsidP="00393561">
            <w:pPr>
              <w:rPr>
                <w:rFonts w:cs="Arial"/>
                <w:kern w:val="2"/>
                <w:szCs w:val="22"/>
                <w:highlight w:val="yellow"/>
              </w:rPr>
            </w:pPr>
            <w:r>
              <w:rPr>
                <w:rFonts w:cs="Arial"/>
              </w:rPr>
              <w:t>Analysis</w:t>
            </w:r>
          </w:p>
        </w:tc>
        <w:tc>
          <w:tcPr>
            <w:tcW w:w="3544" w:type="dxa"/>
          </w:tcPr>
          <w:p w:rsidR="00F75950" w:rsidRPr="00B4580B" w:rsidRDefault="00F75950" w:rsidP="00CD7F0B">
            <w:pPr>
              <w:jc w:val="center"/>
              <w:rPr>
                <w:rFonts w:cs="Arial"/>
                <w:color w:val="FF0000"/>
                <w:kern w:val="2"/>
                <w:highlight w:val="yellow"/>
              </w:rPr>
            </w:pPr>
          </w:p>
        </w:tc>
      </w:tr>
      <w:tr w:rsidR="00393561" w:rsidRPr="00B4580B" w:rsidTr="00EF536A">
        <w:tc>
          <w:tcPr>
            <w:tcW w:w="4536" w:type="dxa"/>
            <w:shd w:val="clear" w:color="auto" w:fill="D9D9D9"/>
          </w:tcPr>
          <w:p w:rsidR="00393561" w:rsidRPr="00114273" w:rsidRDefault="00393561" w:rsidP="004B79FA">
            <w:pPr>
              <w:rPr>
                <w:rFonts w:cs="Arial"/>
              </w:rPr>
            </w:pPr>
            <w:r>
              <w:rPr>
                <w:rFonts w:cs="Arial"/>
              </w:rPr>
              <w:t>Reporting</w:t>
            </w:r>
          </w:p>
        </w:tc>
        <w:tc>
          <w:tcPr>
            <w:tcW w:w="3544" w:type="dxa"/>
          </w:tcPr>
          <w:p w:rsidR="00393561" w:rsidRPr="00B4580B" w:rsidRDefault="00393561" w:rsidP="00CD7F0B">
            <w:pPr>
              <w:jc w:val="center"/>
              <w:rPr>
                <w:rFonts w:cs="Arial"/>
                <w:color w:val="FF0000"/>
                <w:kern w:val="2"/>
                <w:highlight w:val="yellow"/>
              </w:rPr>
            </w:pPr>
          </w:p>
        </w:tc>
      </w:tr>
      <w:tr w:rsidR="00F75950" w:rsidRPr="00B4580B" w:rsidTr="00EF536A">
        <w:tc>
          <w:tcPr>
            <w:tcW w:w="4536" w:type="dxa"/>
            <w:shd w:val="clear" w:color="auto" w:fill="D9D9D9"/>
          </w:tcPr>
          <w:p w:rsidR="00F75950" w:rsidRPr="00B4580B" w:rsidRDefault="00F75950" w:rsidP="004B79FA">
            <w:pPr>
              <w:rPr>
                <w:rFonts w:cs="Arial"/>
                <w:kern w:val="2"/>
                <w:szCs w:val="22"/>
                <w:highlight w:val="yellow"/>
              </w:rPr>
            </w:pPr>
            <w:r w:rsidRPr="00114273">
              <w:rPr>
                <w:rFonts w:cs="Arial"/>
              </w:rPr>
              <w:t>Additional costs (please specify)</w:t>
            </w:r>
          </w:p>
        </w:tc>
        <w:tc>
          <w:tcPr>
            <w:tcW w:w="3544" w:type="dxa"/>
          </w:tcPr>
          <w:p w:rsidR="00F75950" w:rsidRPr="00B4580B" w:rsidRDefault="00F75950" w:rsidP="00CD7F0B">
            <w:pPr>
              <w:jc w:val="center"/>
              <w:rPr>
                <w:rFonts w:cs="Arial"/>
                <w:color w:val="FF0000"/>
                <w:kern w:val="2"/>
                <w:highlight w:val="yellow"/>
              </w:rPr>
            </w:pPr>
          </w:p>
        </w:tc>
      </w:tr>
      <w:tr w:rsidR="00F75950" w:rsidRPr="00B4580B" w:rsidTr="00EF536A">
        <w:tc>
          <w:tcPr>
            <w:tcW w:w="4536" w:type="dxa"/>
            <w:shd w:val="clear" w:color="auto" w:fill="D9D9D9"/>
          </w:tcPr>
          <w:p w:rsidR="00F75950" w:rsidRPr="00B4580B" w:rsidRDefault="00F75950" w:rsidP="00DE41EE">
            <w:pPr>
              <w:rPr>
                <w:rFonts w:cs="Arial"/>
                <w:kern w:val="2"/>
                <w:szCs w:val="22"/>
                <w:highlight w:val="yellow"/>
              </w:rPr>
            </w:pPr>
            <w:r w:rsidRPr="00114273">
              <w:rPr>
                <w:rFonts w:cs="Arial"/>
              </w:rPr>
              <w:t xml:space="preserve">Travel costs (as per </w:t>
            </w:r>
            <w:r w:rsidR="00DE41EE">
              <w:rPr>
                <w:rFonts w:cs="Arial"/>
              </w:rPr>
              <w:t xml:space="preserve">HSE’s </w:t>
            </w:r>
            <w:r w:rsidR="0079158F">
              <w:rPr>
                <w:rFonts w:cs="Arial"/>
              </w:rPr>
              <w:t xml:space="preserve">expense policy – detailed in </w:t>
            </w:r>
            <w:r w:rsidR="00EF536A">
              <w:rPr>
                <w:rFonts w:cs="Arial"/>
              </w:rPr>
              <w:t>the</w:t>
            </w:r>
            <w:r w:rsidR="00C0294F">
              <w:rPr>
                <w:rFonts w:cs="Arial"/>
              </w:rPr>
              <w:t xml:space="preserve"> Draft </w:t>
            </w:r>
            <w:r w:rsidR="00443B8F">
              <w:rPr>
                <w:rFonts w:cs="Arial"/>
              </w:rPr>
              <w:t>letter of Appointment</w:t>
            </w:r>
            <w:r w:rsidR="00EF536A">
              <w:rPr>
                <w:rFonts w:cs="Arial"/>
              </w:rPr>
              <w:t xml:space="preserve"> in Appendix 4</w:t>
            </w:r>
            <w:r w:rsidR="00443B8F">
              <w:rPr>
                <w:rFonts w:cs="Arial"/>
              </w:rPr>
              <w:t>)</w:t>
            </w:r>
          </w:p>
        </w:tc>
        <w:tc>
          <w:tcPr>
            <w:tcW w:w="3544" w:type="dxa"/>
          </w:tcPr>
          <w:p w:rsidR="00F75950" w:rsidRPr="00B4580B" w:rsidRDefault="00F75950" w:rsidP="00CD7F0B">
            <w:pPr>
              <w:jc w:val="center"/>
              <w:rPr>
                <w:rFonts w:cs="Arial"/>
                <w:color w:val="FF0000"/>
                <w:kern w:val="2"/>
                <w:highlight w:val="yellow"/>
              </w:rPr>
            </w:pPr>
          </w:p>
        </w:tc>
      </w:tr>
      <w:tr w:rsidR="003E26AA" w:rsidRPr="00B4580B" w:rsidTr="00EF536A">
        <w:tc>
          <w:tcPr>
            <w:tcW w:w="4536" w:type="dxa"/>
            <w:shd w:val="clear" w:color="auto" w:fill="D9D9D9"/>
          </w:tcPr>
          <w:p w:rsidR="003E26AA" w:rsidRPr="00687ABF" w:rsidRDefault="00687ABF" w:rsidP="00687ABF">
            <w:pPr>
              <w:rPr>
                <w:rFonts w:cs="Arial"/>
                <w:b/>
                <w:kern w:val="2"/>
                <w:szCs w:val="22"/>
                <w:highlight w:val="yellow"/>
              </w:rPr>
            </w:pPr>
            <w:r>
              <w:rPr>
                <w:rFonts w:cs="Arial"/>
                <w:b/>
                <w:kern w:val="2"/>
                <w:szCs w:val="22"/>
              </w:rPr>
              <w:lastRenderedPageBreak/>
              <w:t>Total F</w:t>
            </w:r>
            <w:r w:rsidR="003E26AA" w:rsidRPr="00687ABF">
              <w:rPr>
                <w:rFonts w:cs="Arial"/>
                <w:b/>
                <w:kern w:val="2"/>
                <w:szCs w:val="22"/>
              </w:rPr>
              <w:t xml:space="preserve">ixed </w:t>
            </w:r>
            <w:r>
              <w:rPr>
                <w:rFonts w:cs="Arial"/>
                <w:b/>
                <w:kern w:val="2"/>
                <w:szCs w:val="22"/>
              </w:rPr>
              <w:t>C</w:t>
            </w:r>
            <w:r w:rsidR="003E26AA" w:rsidRPr="00687ABF">
              <w:rPr>
                <w:rFonts w:cs="Arial"/>
                <w:b/>
                <w:kern w:val="2"/>
                <w:szCs w:val="22"/>
              </w:rPr>
              <w:t>ost</w:t>
            </w:r>
          </w:p>
        </w:tc>
        <w:tc>
          <w:tcPr>
            <w:tcW w:w="3544" w:type="dxa"/>
          </w:tcPr>
          <w:p w:rsidR="003E26AA" w:rsidRPr="00B4580B" w:rsidRDefault="003E26AA" w:rsidP="00CD7F0B">
            <w:pPr>
              <w:jc w:val="center"/>
              <w:rPr>
                <w:rFonts w:cs="Arial"/>
                <w:color w:val="FF0000"/>
                <w:kern w:val="2"/>
                <w:highlight w:val="yellow"/>
              </w:rPr>
            </w:pPr>
          </w:p>
        </w:tc>
      </w:tr>
    </w:tbl>
    <w:p w:rsidR="003E26AA" w:rsidRPr="00B4580B" w:rsidRDefault="003E26AA" w:rsidP="003E26AA">
      <w:pPr>
        <w:rPr>
          <w:rFonts w:cs="Arial"/>
          <w:color w:val="FF0000"/>
          <w:kern w:val="2"/>
          <w:highlight w:val="yellow"/>
        </w:rPr>
      </w:pPr>
    </w:p>
    <w:p w:rsidR="00DD358B" w:rsidRDefault="00687ABF" w:rsidP="00B33B58">
      <w:pPr>
        <w:pStyle w:val="Heading9"/>
      </w:pPr>
      <w:r w:rsidRPr="00687ABF">
        <w:t>7.5.4</w:t>
      </w:r>
      <w:r w:rsidRPr="00687ABF">
        <w:tab/>
      </w:r>
      <w:r w:rsidR="00AE1237" w:rsidRPr="00687ABF" w:rsidDel="00AE1237">
        <w:t xml:space="preserve"> </w:t>
      </w:r>
      <w:r w:rsidR="00B43044" w:rsidRPr="00687ABF">
        <w:t xml:space="preserve">In addition, Bidders are requested to provide a per interview cost, to be used if the number of achieved </w:t>
      </w:r>
      <w:r w:rsidR="00DE4519">
        <w:t>interviews exceeds the target</w:t>
      </w:r>
      <w:r w:rsidR="00B43044" w:rsidRPr="00687ABF">
        <w:t>.</w:t>
      </w:r>
    </w:p>
    <w:p w:rsidR="00DE4519" w:rsidRPr="00DE4519" w:rsidRDefault="00DE4519" w:rsidP="00DE4519"/>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4536"/>
        <w:gridCol w:w="3544"/>
      </w:tblGrid>
      <w:tr w:rsidR="003815E2" w:rsidRPr="00B4580B" w:rsidTr="003815E2">
        <w:tc>
          <w:tcPr>
            <w:tcW w:w="4536" w:type="dxa"/>
            <w:tcBorders>
              <w:top w:val="single" w:sz="4" w:space="0" w:color="auto"/>
              <w:left w:val="single" w:sz="4" w:space="0" w:color="auto"/>
              <w:bottom w:val="single" w:sz="4" w:space="0" w:color="auto"/>
              <w:right w:val="single" w:sz="4" w:space="0" w:color="auto"/>
            </w:tcBorders>
            <w:shd w:val="clear" w:color="auto" w:fill="D9D9D9"/>
          </w:tcPr>
          <w:p w:rsidR="003815E2" w:rsidRPr="00F6710C" w:rsidRDefault="003815E2" w:rsidP="00B74997">
            <w:pPr>
              <w:rPr>
                <w:rFonts w:cs="Arial"/>
                <w:b/>
              </w:rPr>
            </w:pPr>
            <w:r w:rsidRPr="00F6710C">
              <w:rPr>
                <w:rFonts w:cs="Arial"/>
                <w:b/>
              </w:rPr>
              <w:t>Description</w:t>
            </w:r>
          </w:p>
        </w:tc>
        <w:tc>
          <w:tcPr>
            <w:tcW w:w="3544" w:type="dxa"/>
            <w:tcBorders>
              <w:top w:val="single" w:sz="4" w:space="0" w:color="auto"/>
              <w:left w:val="single" w:sz="4" w:space="0" w:color="auto"/>
              <w:bottom w:val="single" w:sz="4" w:space="0" w:color="auto"/>
              <w:right w:val="single" w:sz="4" w:space="0" w:color="auto"/>
            </w:tcBorders>
          </w:tcPr>
          <w:p w:rsidR="003815E2" w:rsidRPr="00B4580B" w:rsidRDefault="00687ABF" w:rsidP="00687ABF">
            <w:pPr>
              <w:jc w:val="center"/>
              <w:rPr>
                <w:rFonts w:cs="Arial"/>
                <w:color w:val="FF0000"/>
                <w:kern w:val="2"/>
                <w:highlight w:val="yellow"/>
              </w:rPr>
            </w:pPr>
            <w:r>
              <w:rPr>
                <w:rFonts w:cs="Arial"/>
                <w:b/>
                <w:kern w:val="2"/>
              </w:rPr>
              <w:t>Cost (</w:t>
            </w:r>
            <w:r w:rsidRPr="00F6710C">
              <w:rPr>
                <w:rFonts w:cs="Arial"/>
                <w:b/>
                <w:kern w:val="2"/>
              </w:rPr>
              <w:t>£</w:t>
            </w:r>
            <w:r>
              <w:rPr>
                <w:rFonts w:cs="Arial"/>
                <w:b/>
                <w:kern w:val="2"/>
              </w:rPr>
              <w:t>)</w:t>
            </w:r>
          </w:p>
        </w:tc>
      </w:tr>
      <w:tr w:rsidR="004028F2" w:rsidRPr="00B4580B" w:rsidTr="00B74997">
        <w:tc>
          <w:tcPr>
            <w:tcW w:w="4536" w:type="dxa"/>
            <w:shd w:val="clear" w:color="auto" w:fill="D9D9D9"/>
          </w:tcPr>
          <w:p w:rsidR="004028F2" w:rsidRPr="00B4580B" w:rsidRDefault="004028F2" w:rsidP="00B74997">
            <w:pPr>
              <w:rPr>
                <w:rFonts w:cs="Arial"/>
                <w:kern w:val="2"/>
                <w:szCs w:val="22"/>
                <w:highlight w:val="yellow"/>
              </w:rPr>
            </w:pPr>
            <w:r>
              <w:rPr>
                <w:rFonts w:cs="Arial"/>
              </w:rPr>
              <w:t xml:space="preserve">Per </w:t>
            </w:r>
            <w:r w:rsidR="003815E2">
              <w:rPr>
                <w:rFonts w:cs="Arial"/>
              </w:rPr>
              <w:t>Interview cost</w:t>
            </w:r>
          </w:p>
        </w:tc>
        <w:tc>
          <w:tcPr>
            <w:tcW w:w="3544" w:type="dxa"/>
          </w:tcPr>
          <w:p w:rsidR="004028F2" w:rsidRPr="00B4580B" w:rsidRDefault="004028F2" w:rsidP="00B74997">
            <w:pPr>
              <w:rPr>
                <w:rFonts w:cs="Arial"/>
                <w:color w:val="FF0000"/>
                <w:kern w:val="2"/>
                <w:highlight w:val="yellow"/>
              </w:rPr>
            </w:pPr>
          </w:p>
        </w:tc>
      </w:tr>
    </w:tbl>
    <w:p w:rsidR="00E55156" w:rsidRDefault="00E55156" w:rsidP="008A33A1">
      <w:pPr>
        <w:pStyle w:val="Heading2"/>
        <w:numPr>
          <w:ilvl w:val="0"/>
          <w:numId w:val="0"/>
        </w:numPr>
        <w:ind w:left="720" w:hanging="720"/>
      </w:pPr>
      <w:bookmarkStart w:id="98" w:name="_Toc461530374"/>
      <w:bookmarkStart w:id="99" w:name="_Toc461551513"/>
      <w:bookmarkStart w:id="100" w:name="_Toc461552370"/>
      <w:bookmarkStart w:id="101" w:name="a385689"/>
      <w:bookmarkStart w:id="102" w:name="_Toc461530375"/>
      <w:bookmarkStart w:id="103" w:name="_Toc461530605"/>
      <w:bookmarkStart w:id="104" w:name="_Toc461551514"/>
      <w:bookmarkStart w:id="105" w:name="_Toc523410858"/>
      <w:bookmarkEnd w:id="4"/>
      <w:bookmarkEnd w:id="93"/>
      <w:bookmarkEnd w:id="94"/>
      <w:bookmarkEnd w:id="95"/>
      <w:bookmarkEnd w:id="96"/>
      <w:bookmarkEnd w:id="97"/>
    </w:p>
    <w:p w:rsidR="00E55156" w:rsidRDefault="00E55156">
      <w:pPr>
        <w:rPr>
          <w:b/>
          <w:color w:val="482A87"/>
          <w:sz w:val="24"/>
        </w:rPr>
      </w:pPr>
      <w:r>
        <w:br w:type="page"/>
      </w:r>
    </w:p>
    <w:p w:rsidR="00E55156" w:rsidRDefault="00EE3788" w:rsidP="00E55156">
      <w:pPr>
        <w:pStyle w:val="Heading2"/>
        <w:numPr>
          <w:ilvl w:val="0"/>
          <w:numId w:val="0"/>
        </w:numPr>
        <w:spacing w:before="0" w:after="0"/>
        <w:ind w:left="720" w:hanging="720"/>
        <w:rPr>
          <w:rStyle w:val="Heading2Char"/>
          <w:b/>
          <w:color w:val="auto"/>
        </w:rPr>
      </w:pPr>
      <w:r w:rsidRPr="006830B0">
        <w:rPr>
          <w:rStyle w:val="Heading2Char"/>
          <w:b/>
          <w:color w:val="auto"/>
        </w:rPr>
        <w:lastRenderedPageBreak/>
        <w:t xml:space="preserve">Appendix </w:t>
      </w:r>
      <w:r w:rsidR="00950EB1" w:rsidRPr="006830B0">
        <w:rPr>
          <w:rStyle w:val="Heading2Char"/>
          <w:b/>
          <w:color w:val="auto"/>
        </w:rPr>
        <w:t>1</w:t>
      </w:r>
    </w:p>
    <w:p w:rsidR="004B4D03" w:rsidRPr="006830B0" w:rsidRDefault="002C3850" w:rsidP="00E55156">
      <w:pPr>
        <w:pStyle w:val="Heading2"/>
        <w:numPr>
          <w:ilvl w:val="0"/>
          <w:numId w:val="0"/>
        </w:numPr>
        <w:spacing w:before="0" w:after="0"/>
        <w:ind w:left="720" w:hanging="720"/>
        <w:jc w:val="center"/>
        <w:rPr>
          <w:b w:val="0"/>
          <w:color w:val="auto"/>
          <w:sz w:val="22"/>
          <w:szCs w:val="22"/>
        </w:rPr>
      </w:pPr>
      <w:r w:rsidRPr="006830B0">
        <w:rPr>
          <w:rStyle w:val="Heading2Char"/>
          <w:b/>
          <w:color w:val="auto"/>
        </w:rPr>
        <w:t>S</w:t>
      </w:r>
      <w:r w:rsidR="00E55156">
        <w:rPr>
          <w:rStyle w:val="Heading2Char"/>
          <w:b/>
          <w:color w:val="auto"/>
        </w:rPr>
        <w:t>PECIFICATION</w:t>
      </w:r>
      <w:bookmarkEnd w:id="98"/>
      <w:bookmarkEnd w:id="99"/>
      <w:bookmarkEnd w:id="100"/>
      <w:bookmarkEnd w:id="101"/>
      <w:bookmarkEnd w:id="102"/>
      <w:bookmarkEnd w:id="103"/>
      <w:bookmarkEnd w:id="104"/>
      <w:bookmarkEnd w:id="105"/>
    </w:p>
    <w:p w:rsidR="00A93EE6" w:rsidRDefault="00A93EE6" w:rsidP="0057700A">
      <w:pPr>
        <w:autoSpaceDN w:val="0"/>
        <w:ind w:left="360"/>
        <w:jc w:val="both"/>
        <w:rPr>
          <w:rFonts w:cs="Arial"/>
          <w:b/>
        </w:rPr>
      </w:pPr>
      <w:bookmarkStart w:id="106" w:name="_Toc461530376"/>
      <w:bookmarkStart w:id="107" w:name="_Toc461551515"/>
      <w:bookmarkStart w:id="108" w:name="_Toc461552372"/>
    </w:p>
    <w:p w:rsidR="001673FB" w:rsidRDefault="001673FB" w:rsidP="007F6C95">
      <w:pPr>
        <w:jc w:val="center"/>
        <w:rPr>
          <w:rFonts w:asciiTheme="minorHAnsi" w:eastAsiaTheme="minorHAnsi" w:hAnsiTheme="minorHAnsi" w:cs="Arial"/>
          <w:b/>
          <w:sz w:val="24"/>
          <w:szCs w:val="24"/>
        </w:rPr>
      </w:pPr>
      <w:bookmarkStart w:id="109" w:name="a165427"/>
      <w:bookmarkStart w:id="110" w:name="_Toc461530377"/>
      <w:bookmarkStart w:id="111" w:name="_Toc461530606"/>
      <w:bookmarkStart w:id="112" w:name="_Toc461551516"/>
    </w:p>
    <w:p w:rsidR="007F6C95" w:rsidRDefault="007F6C95" w:rsidP="00E41439">
      <w:pPr>
        <w:pStyle w:val="Heading2"/>
        <w:numPr>
          <w:ilvl w:val="0"/>
          <w:numId w:val="0"/>
        </w:numPr>
        <w:rPr>
          <w:color w:val="auto"/>
          <w:kern w:val="2"/>
        </w:rPr>
      </w:pPr>
      <w:bookmarkStart w:id="113" w:name="a476453"/>
      <w:bookmarkStart w:id="114" w:name="_Toc461530381"/>
      <w:bookmarkStart w:id="115" w:name="_Toc461530610"/>
      <w:bookmarkStart w:id="116" w:name="_Toc461551520"/>
      <w:bookmarkStart w:id="117" w:name="_Toc523410861"/>
      <w:bookmarkEnd w:id="106"/>
      <w:bookmarkEnd w:id="107"/>
      <w:bookmarkEnd w:id="108"/>
      <w:bookmarkEnd w:id="109"/>
      <w:bookmarkEnd w:id="110"/>
      <w:bookmarkEnd w:id="111"/>
      <w:bookmarkEnd w:id="112"/>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F96F92" w:rsidRDefault="00F96F92" w:rsidP="00E41439">
      <w:pPr>
        <w:pStyle w:val="Heading2"/>
        <w:numPr>
          <w:ilvl w:val="0"/>
          <w:numId w:val="0"/>
        </w:numPr>
        <w:rPr>
          <w:color w:val="auto"/>
          <w:kern w:val="2"/>
        </w:rPr>
      </w:pPr>
    </w:p>
    <w:p w:rsidR="007F6C95" w:rsidRDefault="007F6C95" w:rsidP="00E41439">
      <w:pPr>
        <w:pStyle w:val="Heading2"/>
        <w:numPr>
          <w:ilvl w:val="0"/>
          <w:numId w:val="0"/>
        </w:numPr>
        <w:rPr>
          <w:color w:val="auto"/>
          <w:kern w:val="2"/>
        </w:rPr>
      </w:pPr>
    </w:p>
    <w:p w:rsidR="00E91F27" w:rsidRPr="00E91F27" w:rsidRDefault="00EE3788" w:rsidP="00E41439">
      <w:pPr>
        <w:pStyle w:val="Heading2"/>
        <w:numPr>
          <w:ilvl w:val="0"/>
          <w:numId w:val="0"/>
        </w:numPr>
        <w:rPr>
          <w:color w:val="auto"/>
          <w:kern w:val="2"/>
        </w:rPr>
      </w:pPr>
      <w:r w:rsidRPr="00E91F27">
        <w:rPr>
          <w:color w:val="auto"/>
          <w:kern w:val="2"/>
        </w:rPr>
        <w:lastRenderedPageBreak/>
        <w:t xml:space="preserve">Appendix </w:t>
      </w:r>
      <w:r w:rsidR="009543D7">
        <w:rPr>
          <w:color w:val="auto"/>
          <w:kern w:val="2"/>
        </w:rPr>
        <w:t>2</w:t>
      </w:r>
      <w:bookmarkEnd w:id="113"/>
    </w:p>
    <w:p w:rsidR="00E91F27" w:rsidRPr="00E91F27" w:rsidRDefault="00141A58" w:rsidP="00E91F27">
      <w:pPr>
        <w:pStyle w:val="Heading2"/>
        <w:numPr>
          <w:ilvl w:val="0"/>
          <w:numId w:val="0"/>
        </w:numPr>
        <w:ind w:left="720" w:hanging="720"/>
        <w:jc w:val="center"/>
        <w:rPr>
          <w:rFonts w:ascii="Arial Bold" w:hAnsi="Arial Bold"/>
          <w:caps/>
          <w:color w:val="auto"/>
          <w:kern w:val="2"/>
        </w:rPr>
      </w:pPr>
      <w:r w:rsidRPr="00E91F27">
        <w:rPr>
          <w:rFonts w:ascii="Arial Bold" w:hAnsi="Arial Bold"/>
          <w:caps/>
          <w:color w:val="auto"/>
          <w:kern w:val="2"/>
        </w:rPr>
        <w:t>Personal Data processing</w:t>
      </w:r>
      <w:bookmarkEnd w:id="114"/>
      <w:bookmarkEnd w:id="115"/>
      <w:bookmarkEnd w:id="116"/>
    </w:p>
    <w:p w:rsidR="004B4D03" w:rsidRPr="00F82242" w:rsidRDefault="001C7E1D" w:rsidP="00F82242">
      <w:pPr>
        <w:pStyle w:val="Heading2"/>
        <w:numPr>
          <w:ilvl w:val="0"/>
          <w:numId w:val="0"/>
        </w:numPr>
        <w:spacing w:before="0" w:after="0"/>
        <w:jc w:val="both"/>
        <w:rPr>
          <w:color w:val="auto"/>
          <w:kern w:val="2"/>
        </w:rPr>
      </w:pPr>
      <w:r w:rsidRPr="00F82242">
        <w:rPr>
          <w:color w:val="auto"/>
          <w:kern w:val="2"/>
        </w:rPr>
        <w:t>T</w:t>
      </w:r>
      <w:r w:rsidR="00141A58" w:rsidRPr="00F82242">
        <w:rPr>
          <w:color w:val="auto"/>
          <w:kern w:val="2"/>
        </w:rPr>
        <w:t xml:space="preserve">o </w:t>
      </w:r>
      <w:r w:rsidR="00D76475" w:rsidRPr="00F82242">
        <w:rPr>
          <w:color w:val="auto"/>
          <w:kern w:val="2"/>
        </w:rPr>
        <w:t xml:space="preserve">be completed on award of contract, if the services provided </w:t>
      </w:r>
      <w:r w:rsidR="00141A58" w:rsidRPr="00F82242">
        <w:rPr>
          <w:color w:val="auto"/>
          <w:kern w:val="2"/>
        </w:rPr>
        <w:t xml:space="preserve">will involve the </w:t>
      </w:r>
      <w:r w:rsidR="00F82242" w:rsidRPr="00F82242">
        <w:rPr>
          <w:color w:val="auto"/>
          <w:kern w:val="2"/>
        </w:rPr>
        <w:t>p</w:t>
      </w:r>
      <w:r w:rsidR="00141A58" w:rsidRPr="00F82242">
        <w:rPr>
          <w:color w:val="auto"/>
          <w:kern w:val="2"/>
        </w:rPr>
        <w:t>rocessing of personal data</w:t>
      </w:r>
      <w:bookmarkEnd w:id="117"/>
      <w:r w:rsidR="00F82242">
        <w:rPr>
          <w:color w:val="auto"/>
          <w:kern w:val="2"/>
        </w:rPr>
        <w:t>.</w:t>
      </w:r>
    </w:p>
    <w:p w:rsidR="001C7E1D" w:rsidRDefault="001C7E1D" w:rsidP="001C7E1D">
      <w:pPr>
        <w:ind w:left="360" w:hanging="360"/>
      </w:pPr>
    </w:p>
    <w:p w:rsidR="00E14046" w:rsidRPr="001C7E1D" w:rsidRDefault="00E14046" w:rsidP="001C7E1D">
      <w:pPr>
        <w:ind w:left="360" w:hanging="360"/>
      </w:pPr>
      <w:r w:rsidRPr="001C7E1D">
        <w:t>Please complete the “details” column in Table 1 below.</w:t>
      </w:r>
    </w:p>
    <w:p w:rsidR="005226ED" w:rsidRPr="00141A58" w:rsidRDefault="005226ED" w:rsidP="001C7E1D">
      <w:pPr>
        <w:rPr>
          <w:b/>
          <w:highlight w:val="yellow"/>
        </w:rPr>
      </w:pPr>
    </w:p>
    <w:p w:rsidR="005226ED" w:rsidRPr="00170735" w:rsidRDefault="005226ED" w:rsidP="00DE4519">
      <w:pPr>
        <w:jc w:val="both"/>
      </w:pPr>
      <w:r w:rsidRPr="00E14046">
        <w:t>The Services require the</w:t>
      </w:r>
      <w:r w:rsidR="001941FC" w:rsidRPr="00E14046">
        <w:rPr>
          <w:b/>
        </w:rPr>
        <w:t xml:space="preserve"> </w:t>
      </w:r>
      <w:r w:rsidRPr="00E14046">
        <w:t>processing of Personal Data as detailed in Table 1 below.</w:t>
      </w:r>
      <w:r w:rsidR="001C7E1D">
        <w:t xml:space="preserve"> </w:t>
      </w:r>
      <w:r w:rsidR="00EE6667">
        <w:t xml:space="preserve">The </w:t>
      </w:r>
      <w:r w:rsidR="00EE6667" w:rsidRPr="008032CF">
        <w:rPr>
          <w:rFonts w:cs="Arial"/>
        </w:rPr>
        <w:t>Health &amp; Safety Executive</w:t>
      </w:r>
      <w:r w:rsidR="00EE6667">
        <w:rPr>
          <w:rFonts w:cs="Arial"/>
        </w:rPr>
        <w:t xml:space="preserve"> (HSE) </w:t>
      </w:r>
      <w:r w:rsidRPr="00170735">
        <w:t>may issue further wr</w:t>
      </w:r>
      <w:r w:rsidR="00A17F46" w:rsidRPr="00170735">
        <w:t>itt</w:t>
      </w:r>
      <w:r w:rsidRPr="00170735">
        <w:t>en instructions with respect to processing by the Contractor and any such further instructions shall be incorporated into Table 1 as necessary.</w:t>
      </w:r>
    </w:p>
    <w:p w:rsidR="005226ED" w:rsidRPr="00141A58" w:rsidRDefault="005226ED" w:rsidP="001C7E1D">
      <w:pPr>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68"/>
      </w:tblGrid>
      <w:tr w:rsidR="005226ED" w:rsidRPr="00141A58" w:rsidTr="004C64DA">
        <w:tc>
          <w:tcPr>
            <w:tcW w:w="4927" w:type="dxa"/>
            <w:shd w:val="clear" w:color="auto" w:fill="BFBFBF"/>
          </w:tcPr>
          <w:p w:rsidR="005226ED" w:rsidRPr="00A74F0B" w:rsidRDefault="005226ED" w:rsidP="004C64DA">
            <w:pPr>
              <w:jc w:val="center"/>
              <w:rPr>
                <w:b/>
              </w:rPr>
            </w:pPr>
            <w:r w:rsidRPr="00A74F0B">
              <w:rPr>
                <w:b/>
              </w:rPr>
              <w:t>Description</w:t>
            </w:r>
          </w:p>
        </w:tc>
        <w:tc>
          <w:tcPr>
            <w:tcW w:w="4927" w:type="dxa"/>
            <w:shd w:val="clear" w:color="auto" w:fill="BFBFBF"/>
          </w:tcPr>
          <w:p w:rsidR="005226ED" w:rsidRPr="00141A58" w:rsidRDefault="005226ED" w:rsidP="004C64DA">
            <w:pPr>
              <w:jc w:val="center"/>
              <w:rPr>
                <w:b/>
                <w:highlight w:val="yellow"/>
              </w:rPr>
            </w:pPr>
            <w:r w:rsidRPr="00A74F0B">
              <w:rPr>
                <w:b/>
              </w:rPr>
              <w:t xml:space="preserve">Details </w:t>
            </w:r>
          </w:p>
        </w:tc>
      </w:tr>
      <w:tr w:rsidR="005226ED" w:rsidRPr="00141A58" w:rsidTr="004C64DA">
        <w:tc>
          <w:tcPr>
            <w:tcW w:w="4927" w:type="dxa"/>
          </w:tcPr>
          <w:p w:rsidR="005226ED" w:rsidRPr="00A74F0B" w:rsidRDefault="005226ED" w:rsidP="005226ED">
            <w:r w:rsidRPr="00A74F0B">
              <w:t>Subject matter of the processing</w:t>
            </w:r>
          </w:p>
          <w:p w:rsidR="005226ED" w:rsidRPr="00A74F0B" w:rsidRDefault="005226ED" w:rsidP="005226ED"/>
        </w:tc>
        <w:tc>
          <w:tcPr>
            <w:tcW w:w="4927" w:type="dxa"/>
          </w:tcPr>
          <w:p w:rsidR="005226ED" w:rsidRDefault="005226ED" w:rsidP="005226ED">
            <w:pPr>
              <w:rPr>
                <w:iCs/>
              </w:rPr>
            </w:pPr>
            <w:r w:rsidRPr="001C7E1D">
              <w:rPr>
                <w:iCs/>
              </w:rPr>
              <w:t>[This should be a high level, short description of what the processing is about i.e. its subject matter]</w:t>
            </w:r>
          </w:p>
          <w:p w:rsidR="00F82242" w:rsidRPr="001C7E1D" w:rsidRDefault="00F82242" w:rsidP="005226ED">
            <w:pPr>
              <w:rPr>
                <w:b/>
              </w:rPr>
            </w:pPr>
          </w:p>
        </w:tc>
      </w:tr>
      <w:tr w:rsidR="005226ED" w:rsidRPr="00141A58" w:rsidTr="004C64DA">
        <w:tc>
          <w:tcPr>
            <w:tcW w:w="4927" w:type="dxa"/>
          </w:tcPr>
          <w:p w:rsidR="005226ED" w:rsidRPr="00A74F0B" w:rsidRDefault="005226ED" w:rsidP="005226ED">
            <w:pPr>
              <w:rPr>
                <w:b/>
              </w:rPr>
            </w:pPr>
            <w:r w:rsidRPr="00A74F0B">
              <w:t>Nature and purposes of the processing</w:t>
            </w:r>
          </w:p>
        </w:tc>
        <w:tc>
          <w:tcPr>
            <w:tcW w:w="4927" w:type="dxa"/>
          </w:tcPr>
          <w:p w:rsidR="005226ED" w:rsidRPr="001C7E1D" w:rsidRDefault="005226ED" w:rsidP="005226ED">
            <w:pPr>
              <w:rPr>
                <w:iCs/>
              </w:rPr>
            </w:pPr>
            <w:r w:rsidRPr="001C7E1D">
              <w:rPr>
                <w:iCs/>
              </w:rPr>
              <w:t>[Please be as specific as possible, but make sure that you cover all intended purposes.</w:t>
            </w:r>
          </w:p>
          <w:p w:rsidR="005226ED" w:rsidRPr="001C7E1D" w:rsidRDefault="005226ED" w:rsidP="005226ED">
            <w:pPr>
              <w:rPr>
                <w:iCs/>
              </w:rPr>
            </w:pPr>
            <w:r w:rsidRPr="001C7E1D">
              <w:rPr>
                <w:iC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226ED" w:rsidRPr="001C7E1D" w:rsidRDefault="005226ED" w:rsidP="005226ED">
            <w:pPr>
              <w:rPr>
                <w:iCs/>
              </w:rPr>
            </w:pPr>
            <w:r w:rsidRPr="001C7E1D">
              <w:rPr>
                <w:iCs/>
              </w:rPr>
              <w:t xml:space="preserve">The purpose might include: employment processing, statutory obligation, recruitment assessment </w:t>
            </w:r>
            <w:proofErr w:type="spellStart"/>
            <w:r w:rsidRPr="001C7E1D">
              <w:rPr>
                <w:iCs/>
              </w:rPr>
              <w:t>etc</w:t>
            </w:r>
            <w:proofErr w:type="spellEnd"/>
            <w:r w:rsidRPr="001C7E1D">
              <w:rPr>
                <w:iCs/>
              </w:rPr>
              <w:t>]</w:t>
            </w:r>
          </w:p>
          <w:p w:rsidR="00A74F0B" w:rsidRPr="001C7E1D" w:rsidRDefault="00A74F0B" w:rsidP="005226ED">
            <w:pPr>
              <w:rPr>
                <w:iCs/>
              </w:rPr>
            </w:pPr>
          </w:p>
          <w:p w:rsidR="00A74F0B" w:rsidRPr="001C7E1D" w:rsidRDefault="00A74F0B" w:rsidP="005226ED">
            <w:pPr>
              <w:rPr>
                <w:iCs/>
              </w:rPr>
            </w:pPr>
            <w:r w:rsidRPr="001C7E1D">
              <w:rPr>
                <w:iCs/>
              </w:rPr>
              <w:t>Example text:</w:t>
            </w:r>
          </w:p>
          <w:p w:rsidR="00A74F0B" w:rsidRPr="001C7E1D" w:rsidRDefault="00A74F0B" w:rsidP="005226ED">
            <w:pPr>
              <w:rPr>
                <w:iCs/>
              </w:rPr>
            </w:pPr>
          </w:p>
          <w:p w:rsidR="00A74F0B" w:rsidRPr="001C7E1D" w:rsidRDefault="00A74F0B" w:rsidP="00A74F0B">
            <w:pPr>
              <w:rPr>
                <w:iCs/>
              </w:rPr>
            </w:pPr>
            <w:r w:rsidRPr="001C7E1D">
              <w:rPr>
                <w:iCs/>
              </w:rPr>
              <w:t>The sample file will be used by the successful Bidder to recruit for qualitative depth telephone interviews (or another suggested and accepted method) and to inform the content of the interviews.</w:t>
            </w:r>
          </w:p>
          <w:p w:rsidR="00A74F0B" w:rsidRPr="001C7E1D" w:rsidRDefault="00A74F0B" w:rsidP="00A74F0B">
            <w:pPr>
              <w:rPr>
                <w:iCs/>
              </w:rPr>
            </w:pPr>
          </w:p>
          <w:p w:rsidR="00A74F0B" w:rsidRPr="001C7E1D" w:rsidRDefault="00A74F0B" w:rsidP="00A74F0B">
            <w:pPr>
              <w:rPr>
                <w:iCs/>
              </w:rPr>
            </w:pPr>
            <w:r w:rsidRPr="001C7E1D">
              <w:rPr>
                <w:iCs/>
              </w:rPr>
              <w:t>The contents of the sample file (in particular the details relating to the pensions schemes) will also be used to inform the research analysis.</w:t>
            </w:r>
          </w:p>
          <w:p w:rsidR="00A74F0B" w:rsidRPr="001C7E1D" w:rsidRDefault="00A74F0B" w:rsidP="00A74F0B">
            <w:pPr>
              <w:rPr>
                <w:iCs/>
              </w:rPr>
            </w:pPr>
          </w:p>
          <w:p w:rsidR="00A74F0B" w:rsidRDefault="00A74F0B" w:rsidP="00A74F0B">
            <w:pPr>
              <w:rPr>
                <w:iCs/>
              </w:rPr>
            </w:pPr>
            <w:r w:rsidRPr="001C7E1D">
              <w:rPr>
                <w:iCs/>
              </w:rPr>
              <w:t>Details from the sample file must not be sent by unsecured email or other electronic means.</w:t>
            </w:r>
          </w:p>
          <w:p w:rsidR="00F82242" w:rsidRPr="001C7E1D" w:rsidRDefault="00F82242" w:rsidP="00A74F0B">
            <w:pPr>
              <w:rPr>
                <w:b/>
              </w:rPr>
            </w:pPr>
          </w:p>
        </w:tc>
      </w:tr>
      <w:tr w:rsidR="005226ED" w:rsidRPr="00141A58" w:rsidTr="004C64DA">
        <w:tc>
          <w:tcPr>
            <w:tcW w:w="4927" w:type="dxa"/>
          </w:tcPr>
          <w:p w:rsidR="005226ED" w:rsidRPr="00A74F0B" w:rsidRDefault="005226ED" w:rsidP="005226ED">
            <w:r w:rsidRPr="00A74F0B">
              <w:t>Categories of Data Subject</w:t>
            </w:r>
          </w:p>
        </w:tc>
        <w:tc>
          <w:tcPr>
            <w:tcW w:w="4927" w:type="dxa"/>
          </w:tcPr>
          <w:p w:rsidR="005226ED" w:rsidRDefault="005226ED" w:rsidP="005226ED">
            <w:r w:rsidRPr="001C7E1D">
              <w:t xml:space="preserve">[Examples include: Staff (including volunteers, agents and temporary workers), </w:t>
            </w:r>
            <w:r w:rsidRPr="001C7E1D">
              <w:lastRenderedPageBreak/>
              <w:t xml:space="preserve">customers/clients, suppliers, members of the public, users of a particular website </w:t>
            </w:r>
            <w:proofErr w:type="spellStart"/>
            <w:r w:rsidRPr="001C7E1D">
              <w:t>etc</w:t>
            </w:r>
            <w:proofErr w:type="spellEnd"/>
            <w:r w:rsidRPr="001C7E1D">
              <w:t>]</w:t>
            </w:r>
          </w:p>
          <w:p w:rsidR="00F82242" w:rsidRDefault="00F82242" w:rsidP="005226ED"/>
          <w:p w:rsidR="00F82242" w:rsidRPr="001C7E1D" w:rsidRDefault="00F82242" w:rsidP="005226ED"/>
        </w:tc>
      </w:tr>
      <w:tr w:rsidR="005226ED" w:rsidRPr="00141A58" w:rsidTr="004C64DA">
        <w:tc>
          <w:tcPr>
            <w:tcW w:w="4927" w:type="dxa"/>
          </w:tcPr>
          <w:p w:rsidR="005226ED" w:rsidRPr="00A74F0B" w:rsidRDefault="005226ED" w:rsidP="005226ED">
            <w:r w:rsidRPr="00A74F0B">
              <w:lastRenderedPageBreak/>
              <w:t>Duration of the processing</w:t>
            </w:r>
          </w:p>
        </w:tc>
        <w:tc>
          <w:tcPr>
            <w:tcW w:w="4927" w:type="dxa"/>
          </w:tcPr>
          <w:p w:rsidR="005226ED" w:rsidRDefault="00A74F0B" w:rsidP="005226ED">
            <w:r w:rsidRPr="001C7E1D">
              <w:t>The sample file may be used by the successful bidder for this research only and for no longer than 12 months after the end of the contract.</w:t>
            </w:r>
          </w:p>
          <w:p w:rsidR="00F82242" w:rsidRPr="001C7E1D" w:rsidRDefault="00F82242" w:rsidP="005226ED"/>
        </w:tc>
      </w:tr>
      <w:tr w:rsidR="005226ED" w:rsidRPr="00141A58" w:rsidTr="004C64DA">
        <w:tc>
          <w:tcPr>
            <w:tcW w:w="4927" w:type="dxa"/>
          </w:tcPr>
          <w:p w:rsidR="005226ED" w:rsidRPr="00A74F0B" w:rsidRDefault="005226ED" w:rsidP="005226ED">
            <w:r w:rsidRPr="00A74F0B">
              <w:t xml:space="preserve">Type of Personal Data </w:t>
            </w:r>
          </w:p>
        </w:tc>
        <w:tc>
          <w:tcPr>
            <w:tcW w:w="4927" w:type="dxa"/>
          </w:tcPr>
          <w:p w:rsidR="005226ED" w:rsidRDefault="005226ED" w:rsidP="005226ED">
            <w:r w:rsidRPr="001C7E1D">
              <w:t xml:space="preserve">[examples here include: name, date of birth, NI number, telephone number, email address, pay, images </w:t>
            </w:r>
            <w:proofErr w:type="spellStart"/>
            <w:r w:rsidRPr="001C7E1D">
              <w:t>etc</w:t>
            </w:r>
            <w:proofErr w:type="spellEnd"/>
            <w:r w:rsidRPr="001C7E1D">
              <w:t>]</w:t>
            </w:r>
          </w:p>
          <w:p w:rsidR="00F82242" w:rsidRPr="001C7E1D" w:rsidRDefault="00F82242" w:rsidP="005226ED"/>
        </w:tc>
      </w:tr>
      <w:tr w:rsidR="005226ED" w:rsidRPr="00885347" w:rsidTr="004C64DA">
        <w:tc>
          <w:tcPr>
            <w:tcW w:w="4927" w:type="dxa"/>
          </w:tcPr>
          <w:p w:rsidR="005226ED" w:rsidRDefault="005226ED" w:rsidP="005226ED">
            <w:r w:rsidRPr="00A74F0B">
              <w:t>Plan for return and destruction of the Personal Data once the processing is complete UNLESS requirement under union or member state law to preserve that type of data</w:t>
            </w:r>
          </w:p>
          <w:p w:rsidR="00F82242" w:rsidRPr="00A74F0B" w:rsidRDefault="00F82242" w:rsidP="005226ED"/>
        </w:tc>
        <w:tc>
          <w:tcPr>
            <w:tcW w:w="4927" w:type="dxa"/>
          </w:tcPr>
          <w:p w:rsidR="005226ED" w:rsidRPr="001C7E1D" w:rsidRDefault="00A74F0B" w:rsidP="00F95E22">
            <w:r w:rsidRPr="001C7E1D">
              <w:t xml:space="preserve">The sample file can be retained for no longer than 12 months </w:t>
            </w:r>
            <w:r w:rsidR="00F95E22" w:rsidRPr="001C7E1D">
              <w:t>after</w:t>
            </w:r>
            <w:r w:rsidRPr="001C7E1D">
              <w:t xml:space="preserve"> the end of the contract.</w:t>
            </w:r>
          </w:p>
        </w:tc>
      </w:tr>
    </w:tbl>
    <w:p w:rsidR="008941B7" w:rsidRPr="00CD254A" w:rsidRDefault="008941B7" w:rsidP="00950EB1">
      <w:pPr>
        <w:pStyle w:val="Heading2"/>
        <w:numPr>
          <w:ilvl w:val="0"/>
          <w:numId w:val="0"/>
        </w:numPr>
        <w:rPr>
          <w:rFonts w:cs="Arial"/>
          <w:sz w:val="20"/>
        </w:rPr>
      </w:pPr>
      <w:r w:rsidRPr="00CD254A">
        <w:rPr>
          <w:rFonts w:cs="Arial"/>
          <w:sz w:val="20"/>
        </w:rPr>
        <w:t xml:space="preserve"> </w:t>
      </w:r>
    </w:p>
    <w:p w:rsidR="00274056" w:rsidRDefault="00443B8F" w:rsidP="00274056">
      <w:pPr>
        <w:pStyle w:val="Heading2"/>
        <w:numPr>
          <w:ilvl w:val="0"/>
          <w:numId w:val="0"/>
        </w:numPr>
        <w:spacing w:before="0" w:after="0"/>
        <w:rPr>
          <w:color w:val="auto"/>
        </w:rPr>
      </w:pPr>
      <w:r>
        <w:br w:type="page"/>
      </w:r>
      <w:bookmarkStart w:id="118" w:name="_Toc523410862"/>
      <w:r w:rsidRPr="00443B8F">
        <w:rPr>
          <w:color w:val="auto"/>
        </w:rPr>
        <w:lastRenderedPageBreak/>
        <w:t xml:space="preserve">Appendix </w:t>
      </w:r>
      <w:r w:rsidR="009543D7">
        <w:rPr>
          <w:color w:val="auto"/>
        </w:rPr>
        <w:t>3</w:t>
      </w:r>
    </w:p>
    <w:p w:rsidR="00443B8F" w:rsidRPr="00274056" w:rsidRDefault="00443B8F" w:rsidP="00274056">
      <w:pPr>
        <w:pStyle w:val="Heading2"/>
        <w:numPr>
          <w:ilvl w:val="0"/>
          <w:numId w:val="0"/>
        </w:numPr>
        <w:spacing w:before="0" w:after="0"/>
        <w:jc w:val="center"/>
        <w:rPr>
          <w:rFonts w:ascii="Arial Bold" w:hAnsi="Arial Bold"/>
          <w:caps/>
        </w:rPr>
      </w:pPr>
      <w:r w:rsidRPr="00274056">
        <w:rPr>
          <w:rFonts w:ascii="Arial Bold" w:hAnsi="Arial Bold"/>
          <w:caps/>
          <w:color w:val="auto"/>
        </w:rPr>
        <w:t>Letter of Appointment</w:t>
      </w:r>
      <w:bookmarkEnd w:id="118"/>
    </w:p>
    <w:p w:rsidR="007F6C95" w:rsidRDefault="007F6C95" w:rsidP="007F6C95">
      <w:pPr>
        <w:pStyle w:val="Heading9"/>
        <w:ind w:firstLine="0"/>
      </w:pPr>
    </w:p>
    <w:p w:rsidR="00443B8F" w:rsidRDefault="00715425" w:rsidP="007F6C95">
      <w:pPr>
        <w:pStyle w:val="Heading9"/>
        <w:ind w:firstLine="0"/>
      </w:pPr>
      <w:r>
        <w:t xml:space="preserve">The </w:t>
      </w:r>
      <w:r w:rsidR="00274056">
        <w:t xml:space="preserve">following </w:t>
      </w:r>
      <w:r>
        <w:t>Letter of Appointment</w:t>
      </w:r>
      <w:r w:rsidR="00274056">
        <w:t>, extracted from the Crown Commercial Service Research Marketplace Dynamic Purchasing System (DPS) Agreement RM6018 shal</w:t>
      </w:r>
      <w:r>
        <w:t>l be completed</w:t>
      </w:r>
      <w:r w:rsidR="00A70482">
        <w:t xml:space="preserve"> between </w:t>
      </w:r>
      <w:r w:rsidR="00DD3321">
        <w:t xml:space="preserve">The </w:t>
      </w:r>
      <w:r w:rsidR="00DD3321" w:rsidRPr="008032CF">
        <w:t>Health &amp; Safety Executive</w:t>
      </w:r>
      <w:r w:rsidR="00DD3321">
        <w:t xml:space="preserve"> (HSE) </w:t>
      </w:r>
      <w:r w:rsidR="00A70482">
        <w:t xml:space="preserve">and the </w:t>
      </w:r>
      <w:r w:rsidR="00954215">
        <w:t xml:space="preserve">successful </w:t>
      </w:r>
      <w:r w:rsidR="00A70482">
        <w:t>Bidder</w:t>
      </w:r>
      <w:r>
        <w:t xml:space="preserve"> when the contract is awarded.</w:t>
      </w:r>
    </w:p>
    <w:p w:rsidR="00274056" w:rsidRPr="00274056" w:rsidRDefault="00274056" w:rsidP="00274056"/>
    <w:p w:rsidR="00443B8F" w:rsidRPr="00443B8F" w:rsidRDefault="00443B8F" w:rsidP="00DE4519">
      <w:pPr>
        <w:pStyle w:val="Heading9"/>
        <w:jc w:val="center"/>
      </w:pPr>
      <w:bookmarkStart w:id="119" w:name="_GoBack"/>
      <w:bookmarkEnd w:id="119"/>
    </w:p>
    <w:p w:rsidR="00C0294F" w:rsidRDefault="00C0294F" w:rsidP="00B33B58">
      <w:pPr>
        <w:pStyle w:val="Heading9"/>
      </w:pPr>
    </w:p>
    <w:p w:rsidR="00F6354C" w:rsidRPr="00F6354C" w:rsidRDefault="00F6354C" w:rsidP="00F6354C"/>
    <w:sectPr w:rsidR="00F6354C" w:rsidRPr="00F6354C" w:rsidSect="001673FB">
      <w:headerReference w:type="default" r:id="rId14"/>
      <w:footerReference w:type="default" r:id="rId15"/>
      <w:pgSz w:w="11907" w:h="16840"/>
      <w:pgMar w:top="851" w:right="1984"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8F" w:rsidRDefault="00714A8F">
      <w:r>
        <w:separator/>
      </w:r>
    </w:p>
  </w:endnote>
  <w:endnote w:type="continuationSeparator" w:id="0">
    <w:p w:rsidR="00714A8F" w:rsidRDefault="0071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8F" w:rsidRDefault="00714A8F">
    <w:pPr>
      <w:pStyle w:val="Footer"/>
      <w:jc w:val="center"/>
    </w:pPr>
    <w:r w:rsidRPr="00063B55">
      <w:rPr>
        <w:sz w:val="16"/>
        <w:szCs w:val="16"/>
      </w:rPr>
      <w:t xml:space="preserve">Page </w:t>
    </w:r>
    <w:r w:rsidRPr="00063B55">
      <w:rPr>
        <w:b/>
        <w:bCs/>
        <w:sz w:val="16"/>
        <w:szCs w:val="16"/>
      </w:rPr>
      <w:fldChar w:fldCharType="begin"/>
    </w:r>
    <w:r w:rsidRPr="00063B55">
      <w:rPr>
        <w:b/>
        <w:bCs/>
        <w:sz w:val="16"/>
        <w:szCs w:val="16"/>
      </w:rPr>
      <w:instrText xml:space="preserve"> PAGE </w:instrText>
    </w:r>
    <w:r w:rsidRPr="00063B55">
      <w:rPr>
        <w:b/>
        <w:bCs/>
        <w:sz w:val="16"/>
        <w:szCs w:val="16"/>
      </w:rPr>
      <w:fldChar w:fldCharType="separate"/>
    </w:r>
    <w:r w:rsidR="00F96F92">
      <w:rPr>
        <w:b/>
        <w:bCs/>
        <w:noProof/>
        <w:sz w:val="16"/>
        <w:szCs w:val="16"/>
      </w:rPr>
      <w:t>18</w:t>
    </w:r>
    <w:r w:rsidRPr="00063B55">
      <w:rPr>
        <w:b/>
        <w:bCs/>
        <w:sz w:val="16"/>
        <w:szCs w:val="16"/>
      </w:rPr>
      <w:fldChar w:fldCharType="end"/>
    </w:r>
    <w:r w:rsidRPr="00063B55">
      <w:rPr>
        <w:sz w:val="16"/>
        <w:szCs w:val="16"/>
      </w:rPr>
      <w:t xml:space="preserve"> of </w:t>
    </w:r>
    <w:r w:rsidRPr="00063B55">
      <w:rPr>
        <w:b/>
        <w:bCs/>
        <w:sz w:val="16"/>
        <w:szCs w:val="16"/>
      </w:rPr>
      <w:fldChar w:fldCharType="begin"/>
    </w:r>
    <w:r w:rsidRPr="00063B55">
      <w:rPr>
        <w:b/>
        <w:bCs/>
        <w:sz w:val="16"/>
        <w:szCs w:val="16"/>
      </w:rPr>
      <w:instrText xml:space="preserve"> NUMPAGES  </w:instrText>
    </w:r>
    <w:r w:rsidRPr="00063B55">
      <w:rPr>
        <w:b/>
        <w:bCs/>
        <w:sz w:val="16"/>
        <w:szCs w:val="16"/>
      </w:rPr>
      <w:fldChar w:fldCharType="separate"/>
    </w:r>
    <w:r w:rsidR="00F96F92">
      <w:rPr>
        <w:b/>
        <w:bCs/>
        <w:noProof/>
        <w:sz w:val="16"/>
        <w:szCs w:val="16"/>
      </w:rPr>
      <w:t>18</w:t>
    </w:r>
    <w:r w:rsidRPr="00063B55">
      <w:rPr>
        <w:b/>
        <w:bCs/>
        <w:sz w:val="16"/>
        <w:szCs w:val="16"/>
      </w:rPr>
      <w:fldChar w:fldCharType="end"/>
    </w:r>
  </w:p>
  <w:p w:rsidR="00714A8F" w:rsidRDefault="00714A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8F" w:rsidRDefault="00714A8F">
      <w:r>
        <w:separator/>
      </w:r>
    </w:p>
  </w:footnote>
  <w:footnote w:type="continuationSeparator" w:id="0">
    <w:p w:rsidR="00714A8F" w:rsidRDefault="00714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8C3" w:rsidRPr="006C38C3" w:rsidRDefault="006C38C3">
    <w:pPr>
      <w:pStyle w:val="Header"/>
      <w:rPr>
        <w:b/>
      </w:rPr>
    </w:pPr>
    <w:r w:rsidRPr="006C38C3">
      <w:rPr>
        <w:b/>
      </w:rPr>
      <w:t>HSE/T</w:t>
    </w:r>
    <w:r w:rsidR="007405D3">
      <w:rPr>
        <w:b/>
      </w:rPr>
      <w:t>3520</w:t>
    </w:r>
  </w:p>
  <w:p w:rsidR="006C38C3" w:rsidRDefault="006C38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E442ED2"/>
    <w:lvl w:ilvl="0">
      <w:start w:val="1"/>
      <w:numFmt w:val="decimal"/>
      <w:pStyle w:val="ListNumber2"/>
      <w:lvlText w:val="%1."/>
      <w:lvlJc w:val="left"/>
      <w:pPr>
        <w:tabs>
          <w:tab w:val="num" w:pos="643"/>
        </w:tabs>
        <w:ind w:left="643" w:hanging="360"/>
      </w:pPr>
    </w:lvl>
  </w:abstractNum>
  <w:abstractNum w:abstractNumId="1">
    <w:nsid w:val="037427F3"/>
    <w:multiLevelType w:val="hybridMultilevel"/>
    <w:tmpl w:val="8A0A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7B26286"/>
    <w:multiLevelType w:val="hybridMultilevel"/>
    <w:tmpl w:val="DA34AB64"/>
    <w:lvl w:ilvl="0" w:tplc="3FCCD8C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AF5638"/>
    <w:multiLevelType w:val="hybridMultilevel"/>
    <w:tmpl w:val="89B4213E"/>
    <w:lvl w:ilvl="0" w:tplc="C0A044F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8BD7714"/>
    <w:multiLevelType w:val="hybridMultilevel"/>
    <w:tmpl w:val="00A0718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096C1EE9"/>
    <w:multiLevelType w:val="hybridMultilevel"/>
    <w:tmpl w:val="3224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9">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D0C0760"/>
    <w:multiLevelType w:val="multilevel"/>
    <w:tmpl w:val="4E22E196"/>
    <w:styleLink w:val="11111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191"/>
        </w:tabs>
        <w:ind w:left="1191" w:hanging="454"/>
      </w:pPr>
      <w:rPr>
        <w:rFonts w:hint="default"/>
      </w:rPr>
    </w:lvl>
    <w:lvl w:ilvl="3">
      <w:start w:val="1"/>
      <w:numFmt w:val="bullet"/>
      <w:lvlText w:val=""/>
      <w:lvlJc w:val="left"/>
      <w:pPr>
        <w:tabs>
          <w:tab w:val="num" w:pos="1701"/>
        </w:tabs>
        <w:ind w:left="1701" w:hanging="45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1E4E42A5"/>
    <w:multiLevelType w:val="hybridMultilevel"/>
    <w:tmpl w:val="F52E94F0"/>
    <w:lvl w:ilvl="0" w:tplc="CB120452">
      <w:start w:val="1"/>
      <w:numFmt w:val="decimal"/>
      <w:pStyle w:val="Appmainheadsingle"/>
      <w:lvlText w:val="Annex "/>
      <w:lvlJc w:val="left"/>
      <w:pPr>
        <w:tabs>
          <w:tab w:val="num" w:pos="1080"/>
        </w:tabs>
        <w:ind w:left="360" w:hanging="360"/>
      </w:pPr>
    </w:lvl>
    <w:lvl w:ilvl="1" w:tplc="1B003518" w:tentative="1">
      <w:start w:val="1"/>
      <w:numFmt w:val="lowerLetter"/>
      <w:lvlText w:val="%2."/>
      <w:lvlJc w:val="left"/>
      <w:pPr>
        <w:tabs>
          <w:tab w:val="num" w:pos="1440"/>
        </w:tabs>
        <w:ind w:left="1440" w:hanging="360"/>
      </w:pPr>
    </w:lvl>
    <w:lvl w:ilvl="2" w:tplc="459267C2" w:tentative="1">
      <w:start w:val="1"/>
      <w:numFmt w:val="lowerRoman"/>
      <w:lvlText w:val="%3."/>
      <w:lvlJc w:val="right"/>
      <w:pPr>
        <w:tabs>
          <w:tab w:val="num" w:pos="2160"/>
        </w:tabs>
        <w:ind w:left="2160" w:hanging="180"/>
      </w:pPr>
    </w:lvl>
    <w:lvl w:ilvl="3" w:tplc="1052892C" w:tentative="1">
      <w:start w:val="1"/>
      <w:numFmt w:val="decimal"/>
      <w:lvlText w:val="%4."/>
      <w:lvlJc w:val="left"/>
      <w:pPr>
        <w:tabs>
          <w:tab w:val="num" w:pos="2880"/>
        </w:tabs>
        <w:ind w:left="2880" w:hanging="360"/>
      </w:pPr>
    </w:lvl>
    <w:lvl w:ilvl="4" w:tplc="C5A01F74" w:tentative="1">
      <w:start w:val="1"/>
      <w:numFmt w:val="lowerLetter"/>
      <w:lvlText w:val="%5."/>
      <w:lvlJc w:val="left"/>
      <w:pPr>
        <w:tabs>
          <w:tab w:val="num" w:pos="3600"/>
        </w:tabs>
        <w:ind w:left="3600" w:hanging="360"/>
      </w:pPr>
    </w:lvl>
    <w:lvl w:ilvl="5" w:tplc="FA4493BE" w:tentative="1">
      <w:start w:val="1"/>
      <w:numFmt w:val="lowerRoman"/>
      <w:lvlText w:val="%6."/>
      <w:lvlJc w:val="right"/>
      <w:pPr>
        <w:tabs>
          <w:tab w:val="num" w:pos="4320"/>
        </w:tabs>
        <w:ind w:left="4320" w:hanging="180"/>
      </w:pPr>
    </w:lvl>
    <w:lvl w:ilvl="6" w:tplc="50CAD4F8" w:tentative="1">
      <w:start w:val="1"/>
      <w:numFmt w:val="decimal"/>
      <w:lvlText w:val="%7."/>
      <w:lvlJc w:val="left"/>
      <w:pPr>
        <w:tabs>
          <w:tab w:val="num" w:pos="5040"/>
        </w:tabs>
        <w:ind w:left="5040" w:hanging="360"/>
      </w:pPr>
    </w:lvl>
    <w:lvl w:ilvl="7" w:tplc="C116FA18" w:tentative="1">
      <w:start w:val="1"/>
      <w:numFmt w:val="lowerLetter"/>
      <w:lvlText w:val="%8."/>
      <w:lvlJc w:val="left"/>
      <w:pPr>
        <w:tabs>
          <w:tab w:val="num" w:pos="5760"/>
        </w:tabs>
        <w:ind w:left="5760" w:hanging="360"/>
      </w:pPr>
    </w:lvl>
    <w:lvl w:ilvl="8" w:tplc="EC1A5630" w:tentative="1">
      <w:start w:val="1"/>
      <w:numFmt w:val="lowerRoman"/>
      <w:lvlText w:val="%9."/>
      <w:lvlJc w:val="right"/>
      <w:pPr>
        <w:tabs>
          <w:tab w:val="num" w:pos="6480"/>
        </w:tabs>
        <w:ind w:left="6480" w:hanging="180"/>
      </w:pPr>
    </w:lvl>
  </w:abstractNum>
  <w:abstractNum w:abstractNumId="12">
    <w:nsid w:val="20E82F3A"/>
    <w:multiLevelType w:val="hybridMultilevel"/>
    <w:tmpl w:val="1DF80854"/>
    <w:lvl w:ilvl="0" w:tplc="0E5C3502">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B25F36"/>
    <w:multiLevelType w:val="hybridMultilevel"/>
    <w:tmpl w:val="B6101912"/>
    <w:lvl w:ilvl="0" w:tplc="6E5A1490">
      <w:start w:val="1"/>
      <w:numFmt w:val="bullet"/>
      <w:lvlText w:val=""/>
      <w:lvlJc w:val="left"/>
      <w:pPr>
        <w:tabs>
          <w:tab w:val="num" w:pos="530"/>
        </w:tabs>
        <w:ind w:left="357" w:hanging="18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2A4C5FD5"/>
    <w:multiLevelType w:val="multilevel"/>
    <w:tmpl w:val="4CF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C0C2C"/>
    <w:multiLevelType w:val="multilevel"/>
    <w:tmpl w:val="3FF2AAF6"/>
    <w:styleLink w:val="Style4"/>
    <w:lvl w:ilvl="0">
      <w:start w:val="4"/>
      <w:numFmt w:val="none"/>
      <w:lvlText w:val="4.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261414"/>
    <w:multiLevelType w:val="hybridMultilevel"/>
    <w:tmpl w:val="7988F6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3B28A9"/>
    <w:multiLevelType w:val="hybridMultilevel"/>
    <w:tmpl w:val="72A2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E9741F"/>
    <w:multiLevelType w:val="hybridMultilevel"/>
    <w:tmpl w:val="A0FA0BD4"/>
    <w:lvl w:ilvl="0" w:tplc="36CCA520">
      <w:start w:val="1"/>
      <w:numFmt w:val="bullet"/>
      <w:pStyle w:val="Bullet2"/>
      <w:lvlText w:val=""/>
      <w:lvlJc w:val="left"/>
      <w:pPr>
        <w:tabs>
          <w:tab w:val="num" w:pos="1077"/>
        </w:tabs>
        <w:ind w:left="107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nsid w:val="33CC668D"/>
    <w:multiLevelType w:val="hybridMultilevel"/>
    <w:tmpl w:val="594C4DAE"/>
    <w:lvl w:ilvl="0" w:tplc="22B00222">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4543D32"/>
    <w:multiLevelType w:val="multilevel"/>
    <w:tmpl w:val="6682E644"/>
    <w:styleLink w:val="Style2"/>
    <w:lvl w:ilvl="0">
      <w:start w:val="3"/>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51536BE"/>
    <w:multiLevelType w:val="hybridMultilevel"/>
    <w:tmpl w:val="88A6AE12"/>
    <w:lvl w:ilvl="0" w:tplc="B85C50E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nsid w:val="38B3631D"/>
    <w:multiLevelType w:val="hybridMultilevel"/>
    <w:tmpl w:val="51F20C0E"/>
    <w:lvl w:ilvl="0" w:tplc="938ABB18">
      <w:start w:val="1"/>
      <w:numFmt w:val="upperLetter"/>
      <w:pStyle w:val="Appmainhead"/>
      <w:lvlText w:val="Annex %1."/>
      <w:lvlJc w:val="left"/>
      <w:pPr>
        <w:tabs>
          <w:tab w:val="num" w:pos="1080"/>
        </w:tabs>
        <w:ind w:left="360" w:hanging="360"/>
      </w:pPr>
    </w:lvl>
    <w:lvl w:ilvl="1" w:tplc="2CE834C0" w:tentative="1">
      <w:start w:val="1"/>
      <w:numFmt w:val="lowerLetter"/>
      <w:lvlText w:val="%2."/>
      <w:lvlJc w:val="left"/>
      <w:pPr>
        <w:tabs>
          <w:tab w:val="num" w:pos="1440"/>
        </w:tabs>
        <w:ind w:left="1440" w:hanging="360"/>
      </w:pPr>
    </w:lvl>
    <w:lvl w:ilvl="2" w:tplc="FF1A34A0" w:tentative="1">
      <w:start w:val="1"/>
      <w:numFmt w:val="lowerRoman"/>
      <w:lvlText w:val="%3."/>
      <w:lvlJc w:val="right"/>
      <w:pPr>
        <w:tabs>
          <w:tab w:val="num" w:pos="2160"/>
        </w:tabs>
        <w:ind w:left="2160" w:hanging="180"/>
      </w:pPr>
    </w:lvl>
    <w:lvl w:ilvl="3" w:tplc="5576E8AC" w:tentative="1">
      <w:start w:val="1"/>
      <w:numFmt w:val="decimal"/>
      <w:lvlText w:val="%4."/>
      <w:lvlJc w:val="left"/>
      <w:pPr>
        <w:tabs>
          <w:tab w:val="num" w:pos="2880"/>
        </w:tabs>
        <w:ind w:left="2880" w:hanging="360"/>
      </w:pPr>
    </w:lvl>
    <w:lvl w:ilvl="4" w:tplc="A61CE9E2" w:tentative="1">
      <w:start w:val="1"/>
      <w:numFmt w:val="lowerLetter"/>
      <w:lvlText w:val="%5."/>
      <w:lvlJc w:val="left"/>
      <w:pPr>
        <w:tabs>
          <w:tab w:val="num" w:pos="3600"/>
        </w:tabs>
        <w:ind w:left="3600" w:hanging="360"/>
      </w:pPr>
    </w:lvl>
    <w:lvl w:ilvl="5" w:tplc="0DCA5D86" w:tentative="1">
      <w:start w:val="1"/>
      <w:numFmt w:val="lowerRoman"/>
      <w:lvlText w:val="%6."/>
      <w:lvlJc w:val="right"/>
      <w:pPr>
        <w:tabs>
          <w:tab w:val="num" w:pos="4320"/>
        </w:tabs>
        <w:ind w:left="4320" w:hanging="180"/>
      </w:pPr>
    </w:lvl>
    <w:lvl w:ilvl="6" w:tplc="4A80A4D8" w:tentative="1">
      <w:start w:val="1"/>
      <w:numFmt w:val="decimal"/>
      <w:lvlText w:val="%7."/>
      <w:lvlJc w:val="left"/>
      <w:pPr>
        <w:tabs>
          <w:tab w:val="num" w:pos="5040"/>
        </w:tabs>
        <w:ind w:left="5040" w:hanging="360"/>
      </w:pPr>
    </w:lvl>
    <w:lvl w:ilvl="7" w:tplc="61D81612" w:tentative="1">
      <w:start w:val="1"/>
      <w:numFmt w:val="lowerLetter"/>
      <w:lvlText w:val="%8."/>
      <w:lvlJc w:val="left"/>
      <w:pPr>
        <w:tabs>
          <w:tab w:val="num" w:pos="5760"/>
        </w:tabs>
        <w:ind w:left="5760" w:hanging="360"/>
      </w:pPr>
    </w:lvl>
    <w:lvl w:ilvl="8" w:tplc="1A70B76A" w:tentative="1">
      <w:start w:val="1"/>
      <w:numFmt w:val="lowerRoman"/>
      <w:lvlText w:val="%9."/>
      <w:lvlJc w:val="right"/>
      <w:pPr>
        <w:tabs>
          <w:tab w:val="num" w:pos="6480"/>
        </w:tabs>
        <w:ind w:left="6480" w:hanging="180"/>
      </w:pPr>
    </w:lvl>
  </w:abstractNum>
  <w:abstractNum w:abstractNumId="24">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40CE5F77"/>
    <w:multiLevelType w:val="hybridMultilevel"/>
    <w:tmpl w:val="43A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C83413"/>
    <w:multiLevelType w:val="multilevel"/>
    <w:tmpl w:val="CAB05AA6"/>
    <w:lvl w:ilvl="0">
      <w:start w:val="1"/>
      <w:numFmt w:val="decimal"/>
      <w:lvlText w:val="%1)"/>
      <w:lvlJc w:val="left"/>
      <w:pPr>
        <w:ind w:left="360" w:hanging="360"/>
      </w:pPr>
      <w:rPr>
        <w:rFonts w:ascii="Arial" w:hAnsi="Arial" w:cs="Arial" w:hint="default"/>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3D7E0E"/>
    <w:multiLevelType w:val="hybridMultilevel"/>
    <w:tmpl w:val="7330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nsid w:val="496E3277"/>
    <w:multiLevelType w:val="hybridMultilevel"/>
    <w:tmpl w:val="2B7CB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D1C62D9"/>
    <w:multiLevelType w:val="hybridMultilevel"/>
    <w:tmpl w:val="D78A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673700"/>
    <w:multiLevelType w:val="hybridMultilevel"/>
    <w:tmpl w:val="FAFC287E"/>
    <w:lvl w:ilvl="0" w:tplc="08090003">
      <w:start w:val="1"/>
      <w:numFmt w:val="bullet"/>
      <w:lvlText w:val="o"/>
      <w:lvlJc w:val="left"/>
      <w:pPr>
        <w:tabs>
          <w:tab w:val="num" w:pos="644"/>
        </w:tabs>
        <w:ind w:left="644" w:hanging="360"/>
      </w:pPr>
      <w:rPr>
        <w:rFonts w:ascii="Courier New" w:hAnsi="Courier New" w:cs="Courier New"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D6EE1CDC">
      <w:numFmt w:val="bullet"/>
      <w:lvlText w:val="-"/>
      <w:lvlJc w:val="left"/>
      <w:pPr>
        <w:tabs>
          <w:tab w:val="num" w:pos="2084"/>
        </w:tabs>
        <w:ind w:left="2084" w:hanging="360"/>
      </w:pPr>
      <w:rPr>
        <w:rFonts w:ascii="Arial" w:eastAsia="Times New Roman" w:hAnsi="Arial" w:cs="Arial"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2">
    <w:nsid w:val="4DC24CDA"/>
    <w:multiLevelType w:val="hybridMultilevel"/>
    <w:tmpl w:val="39AE4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F6B137E"/>
    <w:multiLevelType w:val="hybridMultilevel"/>
    <w:tmpl w:val="67FA6F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F6B7401"/>
    <w:multiLevelType w:val="hybridMultilevel"/>
    <w:tmpl w:val="38EE7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1340569"/>
    <w:multiLevelType w:val="hybridMultilevel"/>
    <w:tmpl w:val="7DB4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32B6D36"/>
    <w:multiLevelType w:val="hybridMultilevel"/>
    <w:tmpl w:val="0A5A80AA"/>
    <w:lvl w:ilvl="0" w:tplc="08090001">
      <w:start w:val="1"/>
      <w:numFmt w:val="bullet"/>
      <w:lvlText w:val=""/>
      <w:lvlJc w:val="left"/>
      <w:pPr>
        <w:tabs>
          <w:tab w:val="num" w:pos="1004"/>
        </w:tabs>
        <w:ind w:left="1004" w:hanging="360"/>
      </w:pPr>
      <w:rPr>
        <w:rFonts w:ascii="Symbol" w:hAnsi="Symbol" w:hint="default"/>
      </w:rPr>
    </w:lvl>
    <w:lvl w:ilvl="1" w:tplc="B9A0B286">
      <w:start w:val="1"/>
      <w:numFmt w:val="bullet"/>
      <w:lvlText w:val="o"/>
      <w:lvlJc w:val="left"/>
      <w:pPr>
        <w:tabs>
          <w:tab w:val="num" w:pos="1724"/>
        </w:tabs>
        <w:ind w:left="1724" w:hanging="360"/>
      </w:pPr>
      <w:rPr>
        <w:rFonts w:ascii="Courier New" w:hAnsi="Courier New" w:cs="Courier New"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nsid w:val="57757641"/>
    <w:multiLevelType w:val="multilevel"/>
    <w:tmpl w:val="3A0E87AC"/>
    <w:name w:val="sch_style1"/>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8">
    <w:nsid w:val="5B45277D"/>
    <w:multiLevelType w:val="hybridMultilevel"/>
    <w:tmpl w:val="F796F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C282B65"/>
    <w:multiLevelType w:val="hybridMultilevel"/>
    <w:tmpl w:val="F62817FC"/>
    <w:name w:val="schhead_list"/>
    <w:lvl w:ilvl="0" w:tplc="6B96CE00">
      <w:start w:val="1"/>
      <w:numFmt w:val="decimal"/>
      <w:pStyle w:val="Schmainheadsingle"/>
      <w:lvlText w:val="Schedule"/>
      <w:lvlJc w:val="left"/>
      <w:pPr>
        <w:tabs>
          <w:tab w:val="num" w:pos="720"/>
        </w:tabs>
        <w:ind w:left="720" w:hanging="720"/>
      </w:pPr>
    </w:lvl>
    <w:lvl w:ilvl="1" w:tplc="649ACDB6" w:tentative="1">
      <w:start w:val="1"/>
      <w:numFmt w:val="lowerLetter"/>
      <w:lvlText w:val="%2."/>
      <w:lvlJc w:val="left"/>
      <w:pPr>
        <w:tabs>
          <w:tab w:val="num" w:pos="1440"/>
        </w:tabs>
        <w:ind w:left="1440" w:hanging="360"/>
      </w:pPr>
    </w:lvl>
    <w:lvl w:ilvl="2" w:tplc="5C1054C6" w:tentative="1">
      <w:start w:val="1"/>
      <w:numFmt w:val="lowerRoman"/>
      <w:lvlText w:val="%3."/>
      <w:lvlJc w:val="right"/>
      <w:pPr>
        <w:tabs>
          <w:tab w:val="num" w:pos="2160"/>
        </w:tabs>
        <w:ind w:left="2160" w:hanging="180"/>
      </w:pPr>
    </w:lvl>
    <w:lvl w:ilvl="3" w:tplc="8CE24830" w:tentative="1">
      <w:start w:val="1"/>
      <w:numFmt w:val="decimal"/>
      <w:lvlText w:val="%4."/>
      <w:lvlJc w:val="left"/>
      <w:pPr>
        <w:tabs>
          <w:tab w:val="num" w:pos="2880"/>
        </w:tabs>
        <w:ind w:left="2880" w:hanging="360"/>
      </w:pPr>
    </w:lvl>
    <w:lvl w:ilvl="4" w:tplc="C02A8350" w:tentative="1">
      <w:start w:val="1"/>
      <w:numFmt w:val="lowerLetter"/>
      <w:lvlText w:val="%5."/>
      <w:lvlJc w:val="left"/>
      <w:pPr>
        <w:tabs>
          <w:tab w:val="num" w:pos="3600"/>
        </w:tabs>
        <w:ind w:left="3600" w:hanging="360"/>
      </w:pPr>
    </w:lvl>
    <w:lvl w:ilvl="5" w:tplc="FCBC7E10" w:tentative="1">
      <w:start w:val="1"/>
      <w:numFmt w:val="lowerRoman"/>
      <w:lvlText w:val="%6."/>
      <w:lvlJc w:val="right"/>
      <w:pPr>
        <w:tabs>
          <w:tab w:val="num" w:pos="4320"/>
        </w:tabs>
        <w:ind w:left="4320" w:hanging="180"/>
      </w:pPr>
    </w:lvl>
    <w:lvl w:ilvl="6" w:tplc="A610239E" w:tentative="1">
      <w:start w:val="1"/>
      <w:numFmt w:val="decimal"/>
      <w:lvlText w:val="%7."/>
      <w:lvlJc w:val="left"/>
      <w:pPr>
        <w:tabs>
          <w:tab w:val="num" w:pos="5040"/>
        </w:tabs>
        <w:ind w:left="5040" w:hanging="360"/>
      </w:pPr>
    </w:lvl>
    <w:lvl w:ilvl="7" w:tplc="E3F4CE44" w:tentative="1">
      <w:start w:val="1"/>
      <w:numFmt w:val="lowerLetter"/>
      <w:lvlText w:val="%8."/>
      <w:lvlJc w:val="left"/>
      <w:pPr>
        <w:tabs>
          <w:tab w:val="num" w:pos="5760"/>
        </w:tabs>
        <w:ind w:left="5760" w:hanging="360"/>
      </w:pPr>
    </w:lvl>
    <w:lvl w:ilvl="8" w:tplc="C72C7436" w:tentative="1">
      <w:start w:val="1"/>
      <w:numFmt w:val="lowerRoman"/>
      <w:lvlText w:val="%9."/>
      <w:lvlJc w:val="right"/>
      <w:pPr>
        <w:tabs>
          <w:tab w:val="num" w:pos="6480"/>
        </w:tabs>
        <w:ind w:left="6480" w:hanging="180"/>
      </w:pPr>
    </w:lvl>
  </w:abstractNum>
  <w:abstractNum w:abstractNumId="40">
    <w:nsid w:val="605D0925"/>
    <w:multiLevelType w:val="hybridMultilevel"/>
    <w:tmpl w:val="055E3F86"/>
    <w:lvl w:ilvl="0" w:tplc="3760DB7A">
      <w:start w:val="1"/>
      <w:numFmt w:val="bullet"/>
      <w:pStyle w:val="Bullet"/>
      <w:lvlText w:val=""/>
      <w:lvlJc w:val="left"/>
      <w:pPr>
        <w:tabs>
          <w:tab w:val="num" w:pos="357"/>
        </w:tabs>
        <w:ind w:left="357" w:hanging="35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nsid w:val="60B017D8"/>
    <w:multiLevelType w:val="hybridMultilevel"/>
    <w:tmpl w:val="67FA6F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0D34D86"/>
    <w:multiLevelType w:val="hybridMultilevel"/>
    <w:tmpl w:val="F5FA0164"/>
    <w:lvl w:ilvl="0" w:tplc="809A1E9E">
      <w:start w:val="1"/>
      <w:numFmt w:val="decimal"/>
      <w:pStyle w:val="Style5new"/>
      <w:lvlText w:val="5.%1"/>
      <w:lvlJc w:val="left"/>
      <w:pPr>
        <w:ind w:left="502" w:hanging="360"/>
      </w:pPr>
      <w:rPr>
        <w:rFonts w:ascii="Arial" w:hAnsi="Arial"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23F66E2"/>
    <w:multiLevelType w:val="multilevel"/>
    <w:tmpl w:val="422C00EE"/>
    <w:lvl w:ilvl="0">
      <w:start w:val="1"/>
      <w:numFmt w:val="decimal"/>
      <w:isLg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4">
    <w:nsid w:val="64FB370C"/>
    <w:multiLevelType w:val="hybridMultilevel"/>
    <w:tmpl w:val="67FA6F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6">
    <w:nsid w:val="6A14466B"/>
    <w:multiLevelType w:val="hybridMultilevel"/>
    <w:tmpl w:val="5C64FE28"/>
    <w:lvl w:ilvl="0" w:tplc="9E164840">
      <w:start w:val="1"/>
      <w:numFmt w:val="bullet"/>
      <w:pStyle w:val="Bullet1"/>
      <w:lvlText w:val="·"/>
      <w:lvlJc w:val="left"/>
      <w:pPr>
        <w:tabs>
          <w:tab w:val="num" w:pos="360"/>
        </w:tabs>
        <w:ind w:left="360" w:hanging="360"/>
      </w:pPr>
      <w:rPr>
        <w:rFonts w:ascii="Symbol" w:hAnsi="Symbol" w:hint="default"/>
      </w:rPr>
    </w:lvl>
    <w:lvl w:ilvl="1" w:tplc="08090019" w:tentative="1">
      <w:start w:val="1"/>
      <w:numFmt w:val="bullet"/>
      <w:lvlText w:val="·"/>
      <w:lvlJc w:val="left"/>
      <w:pPr>
        <w:tabs>
          <w:tab w:val="num" w:pos="1440"/>
        </w:tabs>
        <w:ind w:left="1440" w:hanging="360"/>
      </w:pPr>
      <w:rPr>
        <w:rFonts w:ascii="Symbol" w:hAnsi="Symbol" w:hint="default"/>
      </w:rPr>
    </w:lvl>
    <w:lvl w:ilvl="2" w:tplc="0809001B" w:tentative="1">
      <w:start w:val="1"/>
      <w:numFmt w:val="bullet"/>
      <w:lvlText w:val="·"/>
      <w:lvlJc w:val="left"/>
      <w:pPr>
        <w:tabs>
          <w:tab w:val="num" w:pos="2160"/>
        </w:tabs>
        <w:ind w:left="2160" w:hanging="360"/>
      </w:pPr>
      <w:rPr>
        <w:rFonts w:ascii="Symbol" w:hAnsi="Symbol"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7">
    <w:nsid w:val="6AC14088"/>
    <w:multiLevelType w:val="hybridMultilevel"/>
    <w:tmpl w:val="A9BE8E0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6DB6296A"/>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1C275A0"/>
    <w:multiLevelType w:val="hybridMultilevel"/>
    <w:tmpl w:val="7FA8D2B6"/>
    <w:lvl w:ilvl="0" w:tplc="08090017">
      <w:start w:val="1"/>
      <w:numFmt w:val="decimal"/>
      <w:lvlText w:val="%1."/>
      <w:lvlJc w:val="left"/>
      <w:pPr>
        <w:ind w:left="360" w:hanging="360"/>
      </w:pPr>
      <w:rPr>
        <w:rFonts w:hint="default"/>
        <w:b w:val="0"/>
        <w:sz w:val="24"/>
        <w:szCs w:val="24"/>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77D61255"/>
    <w:multiLevelType w:val="multilevel"/>
    <w:tmpl w:val="09ECDD58"/>
    <w:lvl w:ilvl="0">
      <w:start w:val="1"/>
      <w:numFmt w:val="decimal"/>
      <w:pStyle w:val="Heading1"/>
      <w:lvlText w:val="%1."/>
      <w:lvlJc w:val="left"/>
      <w:pPr>
        <w:tabs>
          <w:tab w:val="num" w:pos="720"/>
        </w:tabs>
        <w:ind w:left="720" w:hanging="720"/>
      </w:pPr>
      <w:rPr>
        <w:rFonts w:ascii="Arial" w:hAnsi="Arial" w:cs="Arial" w:hint="default"/>
        <w:b/>
        <w:i w:val="0"/>
        <w:caps/>
        <w:sz w:val="32"/>
        <w:szCs w:val="32"/>
      </w:rPr>
    </w:lvl>
    <w:lvl w:ilvl="1">
      <w:start w:val="1"/>
      <w:numFmt w:val="decimal"/>
      <w:pStyle w:val="Heading2"/>
      <w:lvlText w:val="%1.%2"/>
      <w:lvlJc w:val="left"/>
      <w:pPr>
        <w:tabs>
          <w:tab w:val="num" w:pos="1430"/>
        </w:tabs>
        <w:ind w:left="143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2">
    <w:nsid w:val="7ABD6CAD"/>
    <w:multiLevelType w:val="hybridMultilevel"/>
    <w:tmpl w:val="1C7AC1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3">
    <w:nsid w:val="7DB5644F"/>
    <w:multiLevelType w:val="hybridMultilevel"/>
    <w:tmpl w:val="8BCC9C08"/>
    <w:name w:val="main_list"/>
    <w:lvl w:ilvl="0" w:tplc="E5FC8198">
      <w:start w:val="1"/>
      <w:numFmt w:val="bullet"/>
      <w:pStyle w:val="Bullet3"/>
      <w:lvlText w:val=""/>
      <w:lvlJc w:val="left"/>
      <w:pPr>
        <w:tabs>
          <w:tab w:val="num" w:pos="1945"/>
        </w:tabs>
        <w:ind w:left="1945" w:hanging="357"/>
      </w:pPr>
      <w:rPr>
        <w:rFonts w:ascii="Symbol" w:hAnsi="Symbol" w:hint="default"/>
      </w:rPr>
    </w:lvl>
    <w:lvl w:ilvl="1" w:tplc="27D2277A" w:tentative="1">
      <w:start w:val="1"/>
      <w:numFmt w:val="bullet"/>
      <w:lvlText w:val="o"/>
      <w:lvlJc w:val="left"/>
      <w:pPr>
        <w:tabs>
          <w:tab w:val="num" w:pos="1440"/>
        </w:tabs>
        <w:ind w:left="1440" w:hanging="360"/>
      </w:pPr>
      <w:rPr>
        <w:rFonts w:ascii="Courier New" w:hAnsi="Courier New" w:cs="Courier New" w:hint="default"/>
      </w:rPr>
    </w:lvl>
    <w:lvl w:ilvl="2" w:tplc="BB46DD10" w:tentative="1">
      <w:start w:val="1"/>
      <w:numFmt w:val="bullet"/>
      <w:lvlText w:val=""/>
      <w:lvlJc w:val="left"/>
      <w:pPr>
        <w:tabs>
          <w:tab w:val="num" w:pos="2160"/>
        </w:tabs>
        <w:ind w:left="2160" w:hanging="360"/>
      </w:pPr>
      <w:rPr>
        <w:rFonts w:ascii="Wingdings" w:hAnsi="Wingdings" w:hint="default"/>
      </w:rPr>
    </w:lvl>
    <w:lvl w:ilvl="3" w:tplc="50122C12" w:tentative="1">
      <w:start w:val="1"/>
      <w:numFmt w:val="bullet"/>
      <w:lvlText w:val=""/>
      <w:lvlJc w:val="left"/>
      <w:pPr>
        <w:tabs>
          <w:tab w:val="num" w:pos="2880"/>
        </w:tabs>
        <w:ind w:left="2880" w:hanging="360"/>
      </w:pPr>
      <w:rPr>
        <w:rFonts w:ascii="Symbol" w:hAnsi="Symbol" w:hint="default"/>
      </w:rPr>
    </w:lvl>
    <w:lvl w:ilvl="4" w:tplc="078030EC" w:tentative="1">
      <w:start w:val="1"/>
      <w:numFmt w:val="bullet"/>
      <w:lvlText w:val="o"/>
      <w:lvlJc w:val="left"/>
      <w:pPr>
        <w:tabs>
          <w:tab w:val="num" w:pos="3600"/>
        </w:tabs>
        <w:ind w:left="3600" w:hanging="360"/>
      </w:pPr>
      <w:rPr>
        <w:rFonts w:ascii="Courier New" w:hAnsi="Courier New" w:cs="Courier New" w:hint="default"/>
      </w:rPr>
    </w:lvl>
    <w:lvl w:ilvl="5" w:tplc="33F6BF8C" w:tentative="1">
      <w:start w:val="1"/>
      <w:numFmt w:val="bullet"/>
      <w:lvlText w:val=""/>
      <w:lvlJc w:val="left"/>
      <w:pPr>
        <w:tabs>
          <w:tab w:val="num" w:pos="4320"/>
        </w:tabs>
        <w:ind w:left="4320" w:hanging="360"/>
      </w:pPr>
      <w:rPr>
        <w:rFonts w:ascii="Wingdings" w:hAnsi="Wingdings" w:hint="default"/>
      </w:rPr>
    </w:lvl>
    <w:lvl w:ilvl="6" w:tplc="F594DF14" w:tentative="1">
      <w:start w:val="1"/>
      <w:numFmt w:val="bullet"/>
      <w:lvlText w:val=""/>
      <w:lvlJc w:val="left"/>
      <w:pPr>
        <w:tabs>
          <w:tab w:val="num" w:pos="5040"/>
        </w:tabs>
        <w:ind w:left="5040" w:hanging="360"/>
      </w:pPr>
      <w:rPr>
        <w:rFonts w:ascii="Symbol" w:hAnsi="Symbol" w:hint="default"/>
      </w:rPr>
    </w:lvl>
    <w:lvl w:ilvl="7" w:tplc="7F7E75D2" w:tentative="1">
      <w:start w:val="1"/>
      <w:numFmt w:val="bullet"/>
      <w:lvlText w:val="o"/>
      <w:lvlJc w:val="left"/>
      <w:pPr>
        <w:tabs>
          <w:tab w:val="num" w:pos="5760"/>
        </w:tabs>
        <w:ind w:left="5760" w:hanging="360"/>
      </w:pPr>
      <w:rPr>
        <w:rFonts w:ascii="Courier New" w:hAnsi="Courier New" w:cs="Courier New" w:hint="default"/>
      </w:rPr>
    </w:lvl>
    <w:lvl w:ilvl="8" w:tplc="6EBCA93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0"/>
  </w:num>
  <w:num w:numId="3">
    <w:abstractNumId w:val="45"/>
  </w:num>
  <w:num w:numId="4">
    <w:abstractNumId w:val="51"/>
  </w:num>
  <w:num w:numId="5">
    <w:abstractNumId w:val="28"/>
  </w:num>
  <w:num w:numId="6">
    <w:abstractNumId w:val="22"/>
  </w:num>
  <w:num w:numId="7">
    <w:abstractNumId w:val="7"/>
  </w:num>
  <w:num w:numId="8">
    <w:abstractNumId w:val="39"/>
  </w:num>
  <w:num w:numId="9">
    <w:abstractNumId w:val="12"/>
  </w:num>
  <w:num w:numId="10">
    <w:abstractNumId w:val="37"/>
  </w:num>
  <w:num w:numId="11">
    <w:abstractNumId w:val="11"/>
  </w:num>
  <w:num w:numId="12">
    <w:abstractNumId w:val="23"/>
  </w:num>
  <w:num w:numId="13">
    <w:abstractNumId w:val="18"/>
  </w:num>
  <w:num w:numId="14">
    <w:abstractNumId w:val="53"/>
  </w:num>
  <w:num w:numId="15">
    <w:abstractNumId w:val="19"/>
  </w:num>
  <w:num w:numId="16">
    <w:abstractNumId w:val="2"/>
  </w:num>
  <w:num w:numId="17">
    <w:abstractNumId w:val="46"/>
  </w:num>
  <w:num w:numId="18">
    <w:abstractNumId w:val="40"/>
  </w:num>
  <w:num w:numId="19">
    <w:abstractNumId w:val="13"/>
  </w:num>
  <w:num w:numId="20">
    <w:abstractNumId w:val="48"/>
  </w:num>
  <w:num w:numId="21">
    <w:abstractNumId w:val="0"/>
  </w:num>
  <w:num w:numId="22">
    <w:abstractNumId w:val="10"/>
  </w:num>
  <w:num w:numId="23">
    <w:abstractNumId w:val="5"/>
  </w:num>
  <w:num w:numId="24">
    <w:abstractNumId w:val="32"/>
  </w:num>
  <w:num w:numId="25">
    <w:abstractNumId w:val="3"/>
  </w:num>
  <w:num w:numId="26">
    <w:abstractNumId w:val="20"/>
  </w:num>
  <w:num w:numId="27">
    <w:abstractNumId w:val="15"/>
  </w:num>
  <w:num w:numId="28">
    <w:abstractNumId w:val="42"/>
  </w:num>
  <w:num w:numId="29">
    <w:abstractNumId w:val="47"/>
  </w:num>
  <w:num w:numId="30">
    <w:abstractNumId w:val="26"/>
  </w:num>
  <w:num w:numId="31">
    <w:abstractNumId w:val="25"/>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49"/>
  </w:num>
  <w:num w:numId="35">
    <w:abstractNumId w:val="44"/>
  </w:num>
  <w:num w:numId="36">
    <w:abstractNumId w:val="16"/>
  </w:num>
  <w:num w:numId="37">
    <w:abstractNumId w:val="17"/>
  </w:num>
  <w:num w:numId="38">
    <w:abstractNumId w:val="4"/>
  </w:num>
  <w:num w:numId="39">
    <w:abstractNumId w:val="35"/>
  </w:num>
  <w:num w:numId="40">
    <w:abstractNumId w:val="38"/>
  </w:num>
  <w:num w:numId="41">
    <w:abstractNumId w:val="27"/>
  </w:num>
  <w:num w:numId="42">
    <w:abstractNumId w:val="31"/>
  </w:num>
  <w:num w:numId="43">
    <w:abstractNumId w:val="6"/>
  </w:num>
  <w:num w:numId="44">
    <w:abstractNumId w:val="1"/>
  </w:num>
  <w:num w:numId="45">
    <w:abstractNumId w:val="34"/>
  </w:num>
  <w:num w:numId="46">
    <w:abstractNumId w:val="33"/>
  </w:num>
  <w:num w:numId="47">
    <w:abstractNumId w:val="21"/>
  </w:num>
  <w:num w:numId="48">
    <w:abstractNumId w:val="30"/>
  </w:num>
  <w:num w:numId="49">
    <w:abstractNumId w:val="24"/>
  </w:num>
  <w:num w:numId="50">
    <w:abstractNumId w:val="29"/>
  </w:num>
  <w:num w:numId="51">
    <w:abstractNumId w:val="8"/>
  </w:num>
  <w:num w:numId="52">
    <w:abstractNumId w:val="43"/>
  </w:num>
  <w:num w:numId="53">
    <w:abstractNumId w:val="36"/>
  </w:num>
  <w:num w:numId="5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357"/>
  <w:doNotHyphenateCaps/>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03"/>
    <w:rsid w:val="00002B3C"/>
    <w:rsid w:val="00002DDD"/>
    <w:rsid w:val="00003442"/>
    <w:rsid w:val="0001004A"/>
    <w:rsid w:val="00010624"/>
    <w:rsid w:val="00013E82"/>
    <w:rsid w:val="00020106"/>
    <w:rsid w:val="00020BC6"/>
    <w:rsid w:val="0002381E"/>
    <w:rsid w:val="000311AC"/>
    <w:rsid w:val="00033951"/>
    <w:rsid w:val="000378C3"/>
    <w:rsid w:val="00040A65"/>
    <w:rsid w:val="0004276C"/>
    <w:rsid w:val="000433C3"/>
    <w:rsid w:val="000453F2"/>
    <w:rsid w:val="00047226"/>
    <w:rsid w:val="000515F1"/>
    <w:rsid w:val="00053BBE"/>
    <w:rsid w:val="00063B55"/>
    <w:rsid w:val="0006438F"/>
    <w:rsid w:val="000644BB"/>
    <w:rsid w:val="00064CB3"/>
    <w:rsid w:val="000651E0"/>
    <w:rsid w:val="00071573"/>
    <w:rsid w:val="00071B5A"/>
    <w:rsid w:val="00075A1D"/>
    <w:rsid w:val="0008005F"/>
    <w:rsid w:val="00080539"/>
    <w:rsid w:val="000828B1"/>
    <w:rsid w:val="000828E6"/>
    <w:rsid w:val="00083B94"/>
    <w:rsid w:val="000879CA"/>
    <w:rsid w:val="00090B92"/>
    <w:rsid w:val="00094D63"/>
    <w:rsid w:val="000A2742"/>
    <w:rsid w:val="000A5A24"/>
    <w:rsid w:val="000A5C94"/>
    <w:rsid w:val="000A7FF9"/>
    <w:rsid w:val="000B2184"/>
    <w:rsid w:val="000B3A7F"/>
    <w:rsid w:val="000C0C18"/>
    <w:rsid w:val="000C2072"/>
    <w:rsid w:val="000C3913"/>
    <w:rsid w:val="000C7E93"/>
    <w:rsid w:val="000D0037"/>
    <w:rsid w:val="000D3EF8"/>
    <w:rsid w:val="000D4569"/>
    <w:rsid w:val="000E2486"/>
    <w:rsid w:val="000E2B51"/>
    <w:rsid w:val="000E3155"/>
    <w:rsid w:val="000E4229"/>
    <w:rsid w:val="000E4876"/>
    <w:rsid w:val="000E7B4B"/>
    <w:rsid w:val="000F046F"/>
    <w:rsid w:val="000F24A5"/>
    <w:rsid w:val="000F2FDE"/>
    <w:rsid w:val="000F315B"/>
    <w:rsid w:val="000F3811"/>
    <w:rsid w:val="00100478"/>
    <w:rsid w:val="001027EE"/>
    <w:rsid w:val="001029DF"/>
    <w:rsid w:val="00102F62"/>
    <w:rsid w:val="00104C49"/>
    <w:rsid w:val="00105D54"/>
    <w:rsid w:val="001159C7"/>
    <w:rsid w:val="0011733C"/>
    <w:rsid w:val="00124BC9"/>
    <w:rsid w:val="00124C71"/>
    <w:rsid w:val="00125C57"/>
    <w:rsid w:val="00130FC1"/>
    <w:rsid w:val="00131696"/>
    <w:rsid w:val="00136C85"/>
    <w:rsid w:val="00141A58"/>
    <w:rsid w:val="00144A65"/>
    <w:rsid w:val="00146C5B"/>
    <w:rsid w:val="00156E60"/>
    <w:rsid w:val="00160CCA"/>
    <w:rsid w:val="00161392"/>
    <w:rsid w:val="0016495C"/>
    <w:rsid w:val="00166B60"/>
    <w:rsid w:val="00166D0B"/>
    <w:rsid w:val="001673FB"/>
    <w:rsid w:val="00170735"/>
    <w:rsid w:val="00177615"/>
    <w:rsid w:val="00180B3A"/>
    <w:rsid w:val="001827F8"/>
    <w:rsid w:val="001831DD"/>
    <w:rsid w:val="00185A74"/>
    <w:rsid w:val="00187BFB"/>
    <w:rsid w:val="00190544"/>
    <w:rsid w:val="001941FC"/>
    <w:rsid w:val="00194E4D"/>
    <w:rsid w:val="0019697B"/>
    <w:rsid w:val="001A1D8C"/>
    <w:rsid w:val="001A61E2"/>
    <w:rsid w:val="001B1171"/>
    <w:rsid w:val="001B157B"/>
    <w:rsid w:val="001B3903"/>
    <w:rsid w:val="001B3BCF"/>
    <w:rsid w:val="001B4B06"/>
    <w:rsid w:val="001B51A6"/>
    <w:rsid w:val="001B6EE1"/>
    <w:rsid w:val="001B7043"/>
    <w:rsid w:val="001C21A1"/>
    <w:rsid w:val="001C2D69"/>
    <w:rsid w:val="001C3319"/>
    <w:rsid w:val="001C7E1D"/>
    <w:rsid w:val="001D170F"/>
    <w:rsid w:val="001D21A3"/>
    <w:rsid w:val="001D41FB"/>
    <w:rsid w:val="001E1EAC"/>
    <w:rsid w:val="001E57E4"/>
    <w:rsid w:val="001E652E"/>
    <w:rsid w:val="001F50B7"/>
    <w:rsid w:val="001F590B"/>
    <w:rsid w:val="001F62DA"/>
    <w:rsid w:val="00203AB9"/>
    <w:rsid w:val="002048DA"/>
    <w:rsid w:val="0021514A"/>
    <w:rsid w:val="0022361F"/>
    <w:rsid w:val="00224D15"/>
    <w:rsid w:val="00225197"/>
    <w:rsid w:val="00226208"/>
    <w:rsid w:val="00227A4A"/>
    <w:rsid w:val="002308DB"/>
    <w:rsid w:val="00230FF5"/>
    <w:rsid w:val="0023130B"/>
    <w:rsid w:val="00234915"/>
    <w:rsid w:val="00236AE3"/>
    <w:rsid w:val="00236D77"/>
    <w:rsid w:val="00237E9D"/>
    <w:rsid w:val="00242038"/>
    <w:rsid w:val="00243312"/>
    <w:rsid w:val="00243F07"/>
    <w:rsid w:val="00247E62"/>
    <w:rsid w:val="00253CDC"/>
    <w:rsid w:val="002546B9"/>
    <w:rsid w:val="00254F66"/>
    <w:rsid w:val="00255CB8"/>
    <w:rsid w:val="00256811"/>
    <w:rsid w:val="00263590"/>
    <w:rsid w:val="00263713"/>
    <w:rsid w:val="002657AC"/>
    <w:rsid w:val="002659A0"/>
    <w:rsid w:val="00265B59"/>
    <w:rsid w:val="00265E89"/>
    <w:rsid w:val="00267EDA"/>
    <w:rsid w:val="00270E37"/>
    <w:rsid w:val="00273834"/>
    <w:rsid w:val="00273A43"/>
    <w:rsid w:val="00274056"/>
    <w:rsid w:val="00274589"/>
    <w:rsid w:val="00277808"/>
    <w:rsid w:val="00287D30"/>
    <w:rsid w:val="00292279"/>
    <w:rsid w:val="00296912"/>
    <w:rsid w:val="002A2124"/>
    <w:rsid w:val="002A6390"/>
    <w:rsid w:val="002A6476"/>
    <w:rsid w:val="002B04D7"/>
    <w:rsid w:val="002B0500"/>
    <w:rsid w:val="002B2B96"/>
    <w:rsid w:val="002B7BB8"/>
    <w:rsid w:val="002C3850"/>
    <w:rsid w:val="002C528A"/>
    <w:rsid w:val="002C56B9"/>
    <w:rsid w:val="002C56F2"/>
    <w:rsid w:val="002D415F"/>
    <w:rsid w:val="002D5A3C"/>
    <w:rsid w:val="002D75AF"/>
    <w:rsid w:val="002D7DC3"/>
    <w:rsid w:val="002E793D"/>
    <w:rsid w:val="002E7CE5"/>
    <w:rsid w:val="002F09B2"/>
    <w:rsid w:val="002F1073"/>
    <w:rsid w:val="002F3280"/>
    <w:rsid w:val="003035BF"/>
    <w:rsid w:val="00304B6C"/>
    <w:rsid w:val="00312499"/>
    <w:rsid w:val="003160CD"/>
    <w:rsid w:val="0031616D"/>
    <w:rsid w:val="0031666D"/>
    <w:rsid w:val="00323332"/>
    <w:rsid w:val="00323EBA"/>
    <w:rsid w:val="00325F08"/>
    <w:rsid w:val="00326919"/>
    <w:rsid w:val="00332B37"/>
    <w:rsid w:val="0033471A"/>
    <w:rsid w:val="00334F4F"/>
    <w:rsid w:val="0034030A"/>
    <w:rsid w:val="00340ADD"/>
    <w:rsid w:val="00342FAE"/>
    <w:rsid w:val="00345F88"/>
    <w:rsid w:val="0035095B"/>
    <w:rsid w:val="00352DEC"/>
    <w:rsid w:val="00356AEA"/>
    <w:rsid w:val="00357792"/>
    <w:rsid w:val="00366D91"/>
    <w:rsid w:val="00367523"/>
    <w:rsid w:val="00367FBE"/>
    <w:rsid w:val="0037531A"/>
    <w:rsid w:val="003815E0"/>
    <w:rsid w:val="003815E2"/>
    <w:rsid w:val="003819C7"/>
    <w:rsid w:val="00382678"/>
    <w:rsid w:val="0038391B"/>
    <w:rsid w:val="003864AA"/>
    <w:rsid w:val="003917B8"/>
    <w:rsid w:val="00393561"/>
    <w:rsid w:val="00393AFE"/>
    <w:rsid w:val="003942F3"/>
    <w:rsid w:val="00396051"/>
    <w:rsid w:val="003A1F8E"/>
    <w:rsid w:val="003A1FFC"/>
    <w:rsid w:val="003B5684"/>
    <w:rsid w:val="003B6376"/>
    <w:rsid w:val="003B6F74"/>
    <w:rsid w:val="003C773F"/>
    <w:rsid w:val="003C77E2"/>
    <w:rsid w:val="003E1F8B"/>
    <w:rsid w:val="003E26AA"/>
    <w:rsid w:val="003E288C"/>
    <w:rsid w:val="003E684F"/>
    <w:rsid w:val="003F0577"/>
    <w:rsid w:val="003F2840"/>
    <w:rsid w:val="003F695C"/>
    <w:rsid w:val="003F69AD"/>
    <w:rsid w:val="004028F2"/>
    <w:rsid w:val="004163BC"/>
    <w:rsid w:val="00416D34"/>
    <w:rsid w:val="0042013F"/>
    <w:rsid w:val="00420639"/>
    <w:rsid w:val="00421F36"/>
    <w:rsid w:val="00422507"/>
    <w:rsid w:val="00423541"/>
    <w:rsid w:val="0042488E"/>
    <w:rsid w:val="00427D3E"/>
    <w:rsid w:val="0043155A"/>
    <w:rsid w:val="0043651B"/>
    <w:rsid w:val="004372A8"/>
    <w:rsid w:val="004374B0"/>
    <w:rsid w:val="00443B8F"/>
    <w:rsid w:val="004475EA"/>
    <w:rsid w:val="00447939"/>
    <w:rsid w:val="00452CDE"/>
    <w:rsid w:val="00452D65"/>
    <w:rsid w:val="00460C34"/>
    <w:rsid w:val="00462C2E"/>
    <w:rsid w:val="0046594B"/>
    <w:rsid w:val="004663A6"/>
    <w:rsid w:val="00466C68"/>
    <w:rsid w:val="004756F8"/>
    <w:rsid w:val="00476E9B"/>
    <w:rsid w:val="004770F4"/>
    <w:rsid w:val="00480E79"/>
    <w:rsid w:val="00482BAC"/>
    <w:rsid w:val="004833FA"/>
    <w:rsid w:val="00484337"/>
    <w:rsid w:val="00484548"/>
    <w:rsid w:val="00485C98"/>
    <w:rsid w:val="00487F7A"/>
    <w:rsid w:val="0049407E"/>
    <w:rsid w:val="004A2FFA"/>
    <w:rsid w:val="004A376F"/>
    <w:rsid w:val="004A3D83"/>
    <w:rsid w:val="004A6134"/>
    <w:rsid w:val="004B20A7"/>
    <w:rsid w:val="004B3A81"/>
    <w:rsid w:val="004B4D03"/>
    <w:rsid w:val="004B5756"/>
    <w:rsid w:val="004B79FA"/>
    <w:rsid w:val="004C45C8"/>
    <w:rsid w:val="004C4FF4"/>
    <w:rsid w:val="004C64DA"/>
    <w:rsid w:val="004D412E"/>
    <w:rsid w:val="004D7AB1"/>
    <w:rsid w:val="004E3014"/>
    <w:rsid w:val="004E6622"/>
    <w:rsid w:val="004F0F8C"/>
    <w:rsid w:val="004F2DE3"/>
    <w:rsid w:val="004F438E"/>
    <w:rsid w:val="004F4BDB"/>
    <w:rsid w:val="004F683A"/>
    <w:rsid w:val="004F69A4"/>
    <w:rsid w:val="00501841"/>
    <w:rsid w:val="005020E0"/>
    <w:rsid w:val="0050223E"/>
    <w:rsid w:val="00504E87"/>
    <w:rsid w:val="00507642"/>
    <w:rsid w:val="0051140D"/>
    <w:rsid w:val="00512FDA"/>
    <w:rsid w:val="005143B9"/>
    <w:rsid w:val="00514403"/>
    <w:rsid w:val="0052264C"/>
    <w:rsid w:val="005226ED"/>
    <w:rsid w:val="00523821"/>
    <w:rsid w:val="0053572A"/>
    <w:rsid w:val="00540A58"/>
    <w:rsid w:val="005440F5"/>
    <w:rsid w:val="005503F8"/>
    <w:rsid w:val="00551CA4"/>
    <w:rsid w:val="0055210D"/>
    <w:rsid w:val="00554C6D"/>
    <w:rsid w:val="00554D36"/>
    <w:rsid w:val="00555F82"/>
    <w:rsid w:val="00557C8D"/>
    <w:rsid w:val="00562159"/>
    <w:rsid w:val="0056280D"/>
    <w:rsid w:val="005706CD"/>
    <w:rsid w:val="005709C8"/>
    <w:rsid w:val="00574254"/>
    <w:rsid w:val="0057700A"/>
    <w:rsid w:val="00584E32"/>
    <w:rsid w:val="00586225"/>
    <w:rsid w:val="00590A0D"/>
    <w:rsid w:val="00596E8A"/>
    <w:rsid w:val="005A0F25"/>
    <w:rsid w:val="005A2B29"/>
    <w:rsid w:val="005A2FE2"/>
    <w:rsid w:val="005A4FF0"/>
    <w:rsid w:val="005B7AF7"/>
    <w:rsid w:val="005C2E4A"/>
    <w:rsid w:val="005C3610"/>
    <w:rsid w:val="005C78D9"/>
    <w:rsid w:val="005D230B"/>
    <w:rsid w:val="005D2712"/>
    <w:rsid w:val="005D2820"/>
    <w:rsid w:val="005E027A"/>
    <w:rsid w:val="005E275C"/>
    <w:rsid w:val="005E5D38"/>
    <w:rsid w:val="005E7F83"/>
    <w:rsid w:val="005F5297"/>
    <w:rsid w:val="00603364"/>
    <w:rsid w:val="006064EA"/>
    <w:rsid w:val="006069FE"/>
    <w:rsid w:val="00617506"/>
    <w:rsid w:val="00627E8F"/>
    <w:rsid w:val="006317C9"/>
    <w:rsid w:val="006332BF"/>
    <w:rsid w:val="00633FAC"/>
    <w:rsid w:val="0063495B"/>
    <w:rsid w:val="00641B27"/>
    <w:rsid w:val="00641D9A"/>
    <w:rsid w:val="006428E5"/>
    <w:rsid w:val="0064428A"/>
    <w:rsid w:val="00646530"/>
    <w:rsid w:val="00651D9F"/>
    <w:rsid w:val="00653DA8"/>
    <w:rsid w:val="006544F5"/>
    <w:rsid w:val="006549C0"/>
    <w:rsid w:val="00664138"/>
    <w:rsid w:val="006665DB"/>
    <w:rsid w:val="006676B6"/>
    <w:rsid w:val="006715E3"/>
    <w:rsid w:val="00673B18"/>
    <w:rsid w:val="006754D1"/>
    <w:rsid w:val="00677486"/>
    <w:rsid w:val="00677764"/>
    <w:rsid w:val="006818F6"/>
    <w:rsid w:val="006820DE"/>
    <w:rsid w:val="006830B0"/>
    <w:rsid w:val="00683771"/>
    <w:rsid w:val="006840AE"/>
    <w:rsid w:val="006850F8"/>
    <w:rsid w:val="00687ABF"/>
    <w:rsid w:val="00694C45"/>
    <w:rsid w:val="006A0B3B"/>
    <w:rsid w:val="006A0CC2"/>
    <w:rsid w:val="006A1C39"/>
    <w:rsid w:val="006A29BE"/>
    <w:rsid w:val="006A30D0"/>
    <w:rsid w:val="006B5E91"/>
    <w:rsid w:val="006B5E99"/>
    <w:rsid w:val="006C0A19"/>
    <w:rsid w:val="006C1E7C"/>
    <w:rsid w:val="006C38C3"/>
    <w:rsid w:val="006C651C"/>
    <w:rsid w:val="006C72F1"/>
    <w:rsid w:val="006C79C7"/>
    <w:rsid w:val="006D1416"/>
    <w:rsid w:val="006D3D36"/>
    <w:rsid w:val="006D5172"/>
    <w:rsid w:val="006D582F"/>
    <w:rsid w:val="006D5B32"/>
    <w:rsid w:val="006E44B9"/>
    <w:rsid w:val="006E601E"/>
    <w:rsid w:val="006F09A1"/>
    <w:rsid w:val="006F1144"/>
    <w:rsid w:val="006F11B8"/>
    <w:rsid w:val="006F2A32"/>
    <w:rsid w:val="006F3200"/>
    <w:rsid w:val="006F64A9"/>
    <w:rsid w:val="00700D04"/>
    <w:rsid w:val="00700DBB"/>
    <w:rsid w:val="00700EC2"/>
    <w:rsid w:val="0070379C"/>
    <w:rsid w:val="007148CD"/>
    <w:rsid w:val="00714A8F"/>
    <w:rsid w:val="0071541F"/>
    <w:rsid w:val="00715425"/>
    <w:rsid w:val="0072132F"/>
    <w:rsid w:val="007228D4"/>
    <w:rsid w:val="00723059"/>
    <w:rsid w:val="00723A8A"/>
    <w:rsid w:val="00725A71"/>
    <w:rsid w:val="00733B50"/>
    <w:rsid w:val="0073597D"/>
    <w:rsid w:val="007405D3"/>
    <w:rsid w:val="00741EE3"/>
    <w:rsid w:val="007459F1"/>
    <w:rsid w:val="00752692"/>
    <w:rsid w:val="007526DA"/>
    <w:rsid w:val="00752DC7"/>
    <w:rsid w:val="00753953"/>
    <w:rsid w:val="00761080"/>
    <w:rsid w:val="00761ECE"/>
    <w:rsid w:val="0077038E"/>
    <w:rsid w:val="00770E06"/>
    <w:rsid w:val="00773C4C"/>
    <w:rsid w:val="00774288"/>
    <w:rsid w:val="007742E0"/>
    <w:rsid w:val="00776522"/>
    <w:rsid w:val="00777AC3"/>
    <w:rsid w:val="00777DC8"/>
    <w:rsid w:val="0078088B"/>
    <w:rsid w:val="00783CF2"/>
    <w:rsid w:val="0079158F"/>
    <w:rsid w:val="00797875"/>
    <w:rsid w:val="007A07DB"/>
    <w:rsid w:val="007A1691"/>
    <w:rsid w:val="007A485D"/>
    <w:rsid w:val="007A6FC5"/>
    <w:rsid w:val="007B2307"/>
    <w:rsid w:val="007B2B3B"/>
    <w:rsid w:val="007B4FA1"/>
    <w:rsid w:val="007C6BE1"/>
    <w:rsid w:val="007D00AD"/>
    <w:rsid w:val="007D173E"/>
    <w:rsid w:val="007D349B"/>
    <w:rsid w:val="007D51D6"/>
    <w:rsid w:val="007D69D0"/>
    <w:rsid w:val="007D7791"/>
    <w:rsid w:val="007E1243"/>
    <w:rsid w:val="007F1415"/>
    <w:rsid w:val="007F312A"/>
    <w:rsid w:val="007F6201"/>
    <w:rsid w:val="007F6C95"/>
    <w:rsid w:val="008032CF"/>
    <w:rsid w:val="00803ADE"/>
    <w:rsid w:val="00803BDC"/>
    <w:rsid w:val="0080565D"/>
    <w:rsid w:val="00805B7E"/>
    <w:rsid w:val="008063E8"/>
    <w:rsid w:val="008149B5"/>
    <w:rsid w:val="00826DF7"/>
    <w:rsid w:val="00831A9F"/>
    <w:rsid w:val="008327BA"/>
    <w:rsid w:val="00834F45"/>
    <w:rsid w:val="00846136"/>
    <w:rsid w:val="0084703D"/>
    <w:rsid w:val="00847F65"/>
    <w:rsid w:val="008515AD"/>
    <w:rsid w:val="00851B95"/>
    <w:rsid w:val="00853849"/>
    <w:rsid w:val="00855B0E"/>
    <w:rsid w:val="00857585"/>
    <w:rsid w:val="0086021D"/>
    <w:rsid w:val="00861082"/>
    <w:rsid w:val="0086122D"/>
    <w:rsid w:val="00862C9F"/>
    <w:rsid w:val="00862E15"/>
    <w:rsid w:val="008645CA"/>
    <w:rsid w:val="00865B1B"/>
    <w:rsid w:val="008707B1"/>
    <w:rsid w:val="00883D27"/>
    <w:rsid w:val="00884108"/>
    <w:rsid w:val="00887831"/>
    <w:rsid w:val="00887CA2"/>
    <w:rsid w:val="0089097F"/>
    <w:rsid w:val="008941B7"/>
    <w:rsid w:val="00895DBA"/>
    <w:rsid w:val="008A33A1"/>
    <w:rsid w:val="008A67D6"/>
    <w:rsid w:val="008B0223"/>
    <w:rsid w:val="008B4B1E"/>
    <w:rsid w:val="008C459D"/>
    <w:rsid w:val="008C561E"/>
    <w:rsid w:val="008D070B"/>
    <w:rsid w:val="008D14EE"/>
    <w:rsid w:val="008D206E"/>
    <w:rsid w:val="008D53B0"/>
    <w:rsid w:val="008E0508"/>
    <w:rsid w:val="008E17DC"/>
    <w:rsid w:val="008F3F99"/>
    <w:rsid w:val="008F44DF"/>
    <w:rsid w:val="008F46D7"/>
    <w:rsid w:val="008F6C8C"/>
    <w:rsid w:val="00905794"/>
    <w:rsid w:val="00911E7C"/>
    <w:rsid w:val="0091318F"/>
    <w:rsid w:val="009148C3"/>
    <w:rsid w:val="00920C6B"/>
    <w:rsid w:val="009229EC"/>
    <w:rsid w:val="009318CE"/>
    <w:rsid w:val="00936B99"/>
    <w:rsid w:val="00936C10"/>
    <w:rsid w:val="0093791D"/>
    <w:rsid w:val="00945580"/>
    <w:rsid w:val="00945DA2"/>
    <w:rsid w:val="00950EB1"/>
    <w:rsid w:val="00951510"/>
    <w:rsid w:val="00952448"/>
    <w:rsid w:val="009536B3"/>
    <w:rsid w:val="00954215"/>
    <w:rsid w:val="009543D7"/>
    <w:rsid w:val="00955E91"/>
    <w:rsid w:val="00957D4B"/>
    <w:rsid w:val="00957EC3"/>
    <w:rsid w:val="009617D7"/>
    <w:rsid w:val="0097052D"/>
    <w:rsid w:val="009716BC"/>
    <w:rsid w:val="0097179B"/>
    <w:rsid w:val="009721AC"/>
    <w:rsid w:val="00980296"/>
    <w:rsid w:val="0098310A"/>
    <w:rsid w:val="0098376E"/>
    <w:rsid w:val="00984675"/>
    <w:rsid w:val="0099564C"/>
    <w:rsid w:val="009963F4"/>
    <w:rsid w:val="009A0D75"/>
    <w:rsid w:val="009A41F5"/>
    <w:rsid w:val="009A53C0"/>
    <w:rsid w:val="009A66A1"/>
    <w:rsid w:val="009B658C"/>
    <w:rsid w:val="009C1CEE"/>
    <w:rsid w:val="009C1E43"/>
    <w:rsid w:val="009C21EF"/>
    <w:rsid w:val="009C2AB6"/>
    <w:rsid w:val="009C7987"/>
    <w:rsid w:val="009D22AB"/>
    <w:rsid w:val="009D3F21"/>
    <w:rsid w:val="009E0296"/>
    <w:rsid w:val="009E1E81"/>
    <w:rsid w:val="009F0368"/>
    <w:rsid w:val="009F6F3B"/>
    <w:rsid w:val="00A02A38"/>
    <w:rsid w:val="00A02C6B"/>
    <w:rsid w:val="00A03C3A"/>
    <w:rsid w:val="00A04909"/>
    <w:rsid w:val="00A127D4"/>
    <w:rsid w:val="00A12888"/>
    <w:rsid w:val="00A16479"/>
    <w:rsid w:val="00A168E4"/>
    <w:rsid w:val="00A17194"/>
    <w:rsid w:val="00A17A07"/>
    <w:rsid w:val="00A17F46"/>
    <w:rsid w:val="00A20BF1"/>
    <w:rsid w:val="00A20E6C"/>
    <w:rsid w:val="00A218EB"/>
    <w:rsid w:val="00A242DB"/>
    <w:rsid w:val="00A33095"/>
    <w:rsid w:val="00A337F4"/>
    <w:rsid w:val="00A40355"/>
    <w:rsid w:val="00A404DE"/>
    <w:rsid w:val="00A41179"/>
    <w:rsid w:val="00A425C7"/>
    <w:rsid w:val="00A4550B"/>
    <w:rsid w:val="00A45DA5"/>
    <w:rsid w:val="00A45EF9"/>
    <w:rsid w:val="00A54306"/>
    <w:rsid w:val="00A62C40"/>
    <w:rsid w:val="00A70482"/>
    <w:rsid w:val="00A70A51"/>
    <w:rsid w:val="00A74F0B"/>
    <w:rsid w:val="00A75636"/>
    <w:rsid w:val="00A76FE4"/>
    <w:rsid w:val="00A77ECE"/>
    <w:rsid w:val="00A77FCC"/>
    <w:rsid w:val="00A81594"/>
    <w:rsid w:val="00A8171A"/>
    <w:rsid w:val="00A833D1"/>
    <w:rsid w:val="00A868FD"/>
    <w:rsid w:val="00A87D1C"/>
    <w:rsid w:val="00A926F6"/>
    <w:rsid w:val="00A93EE6"/>
    <w:rsid w:val="00A95331"/>
    <w:rsid w:val="00A971C2"/>
    <w:rsid w:val="00A97E78"/>
    <w:rsid w:val="00AA01AC"/>
    <w:rsid w:val="00AA01B2"/>
    <w:rsid w:val="00AA1727"/>
    <w:rsid w:val="00AA2EC3"/>
    <w:rsid w:val="00AB2067"/>
    <w:rsid w:val="00AB3000"/>
    <w:rsid w:val="00AB73A9"/>
    <w:rsid w:val="00AD0F7D"/>
    <w:rsid w:val="00AD24CD"/>
    <w:rsid w:val="00AD2A75"/>
    <w:rsid w:val="00AD6DED"/>
    <w:rsid w:val="00AE1237"/>
    <w:rsid w:val="00AE12C4"/>
    <w:rsid w:val="00AE372B"/>
    <w:rsid w:val="00AF24E4"/>
    <w:rsid w:val="00AF3B0C"/>
    <w:rsid w:val="00AF4258"/>
    <w:rsid w:val="00AF5C22"/>
    <w:rsid w:val="00AF6136"/>
    <w:rsid w:val="00AF762F"/>
    <w:rsid w:val="00B02B85"/>
    <w:rsid w:val="00B05992"/>
    <w:rsid w:val="00B06D06"/>
    <w:rsid w:val="00B072E1"/>
    <w:rsid w:val="00B13715"/>
    <w:rsid w:val="00B13C10"/>
    <w:rsid w:val="00B16656"/>
    <w:rsid w:val="00B16824"/>
    <w:rsid w:val="00B17ABE"/>
    <w:rsid w:val="00B268B4"/>
    <w:rsid w:val="00B325B6"/>
    <w:rsid w:val="00B33A99"/>
    <w:rsid w:val="00B33B58"/>
    <w:rsid w:val="00B3608E"/>
    <w:rsid w:val="00B43044"/>
    <w:rsid w:val="00B43C8C"/>
    <w:rsid w:val="00B4580B"/>
    <w:rsid w:val="00B51C90"/>
    <w:rsid w:val="00B5403F"/>
    <w:rsid w:val="00B55158"/>
    <w:rsid w:val="00B55922"/>
    <w:rsid w:val="00B563DA"/>
    <w:rsid w:val="00B57BCB"/>
    <w:rsid w:val="00B57C7E"/>
    <w:rsid w:val="00B6496A"/>
    <w:rsid w:val="00B65065"/>
    <w:rsid w:val="00B6687A"/>
    <w:rsid w:val="00B704B7"/>
    <w:rsid w:val="00B72924"/>
    <w:rsid w:val="00B732E2"/>
    <w:rsid w:val="00B74997"/>
    <w:rsid w:val="00B81485"/>
    <w:rsid w:val="00B848AF"/>
    <w:rsid w:val="00B91CA4"/>
    <w:rsid w:val="00B931A0"/>
    <w:rsid w:val="00B95DC3"/>
    <w:rsid w:val="00B96D68"/>
    <w:rsid w:val="00BA0583"/>
    <w:rsid w:val="00BA13F7"/>
    <w:rsid w:val="00BA279B"/>
    <w:rsid w:val="00BB0C86"/>
    <w:rsid w:val="00BB62A8"/>
    <w:rsid w:val="00BB6AC8"/>
    <w:rsid w:val="00BC2517"/>
    <w:rsid w:val="00BC321D"/>
    <w:rsid w:val="00BC4E77"/>
    <w:rsid w:val="00BD019D"/>
    <w:rsid w:val="00BD1378"/>
    <w:rsid w:val="00BD1A60"/>
    <w:rsid w:val="00BD34C3"/>
    <w:rsid w:val="00BD36FF"/>
    <w:rsid w:val="00BD7DAB"/>
    <w:rsid w:val="00BE0D3C"/>
    <w:rsid w:val="00BE0F88"/>
    <w:rsid w:val="00BE1023"/>
    <w:rsid w:val="00BE15DC"/>
    <w:rsid w:val="00BE208D"/>
    <w:rsid w:val="00BE4B4D"/>
    <w:rsid w:val="00BE550D"/>
    <w:rsid w:val="00BE795F"/>
    <w:rsid w:val="00BF2149"/>
    <w:rsid w:val="00BF29A2"/>
    <w:rsid w:val="00C00A9E"/>
    <w:rsid w:val="00C0294F"/>
    <w:rsid w:val="00C02E07"/>
    <w:rsid w:val="00C0400C"/>
    <w:rsid w:val="00C1163E"/>
    <w:rsid w:val="00C1548F"/>
    <w:rsid w:val="00C205D6"/>
    <w:rsid w:val="00C2600C"/>
    <w:rsid w:val="00C32DD4"/>
    <w:rsid w:val="00C33231"/>
    <w:rsid w:val="00C41741"/>
    <w:rsid w:val="00C41AF5"/>
    <w:rsid w:val="00C47A35"/>
    <w:rsid w:val="00C517E3"/>
    <w:rsid w:val="00C52123"/>
    <w:rsid w:val="00C567A5"/>
    <w:rsid w:val="00C63F50"/>
    <w:rsid w:val="00C65F6C"/>
    <w:rsid w:val="00C66487"/>
    <w:rsid w:val="00C76436"/>
    <w:rsid w:val="00C83CDB"/>
    <w:rsid w:val="00C91C5C"/>
    <w:rsid w:val="00C93638"/>
    <w:rsid w:val="00C95C66"/>
    <w:rsid w:val="00C970D2"/>
    <w:rsid w:val="00CA09CC"/>
    <w:rsid w:val="00CA1899"/>
    <w:rsid w:val="00CC6500"/>
    <w:rsid w:val="00CC6770"/>
    <w:rsid w:val="00CD2611"/>
    <w:rsid w:val="00CD2A39"/>
    <w:rsid w:val="00CD7DE8"/>
    <w:rsid w:val="00CD7F0B"/>
    <w:rsid w:val="00CE0C94"/>
    <w:rsid w:val="00CE0E3E"/>
    <w:rsid w:val="00CE5699"/>
    <w:rsid w:val="00CE7AF3"/>
    <w:rsid w:val="00CF10CD"/>
    <w:rsid w:val="00CF2684"/>
    <w:rsid w:val="00CF351A"/>
    <w:rsid w:val="00D01FE2"/>
    <w:rsid w:val="00D02588"/>
    <w:rsid w:val="00D0331E"/>
    <w:rsid w:val="00D10EF8"/>
    <w:rsid w:val="00D11ECC"/>
    <w:rsid w:val="00D131AE"/>
    <w:rsid w:val="00D20A45"/>
    <w:rsid w:val="00D24DE4"/>
    <w:rsid w:val="00D25F9D"/>
    <w:rsid w:val="00D26102"/>
    <w:rsid w:val="00D26111"/>
    <w:rsid w:val="00D33569"/>
    <w:rsid w:val="00D36F84"/>
    <w:rsid w:val="00D416EE"/>
    <w:rsid w:val="00D455F9"/>
    <w:rsid w:val="00D45972"/>
    <w:rsid w:val="00D52B73"/>
    <w:rsid w:val="00D55258"/>
    <w:rsid w:val="00D63A4B"/>
    <w:rsid w:val="00D64066"/>
    <w:rsid w:val="00D7027D"/>
    <w:rsid w:val="00D73F88"/>
    <w:rsid w:val="00D74DEE"/>
    <w:rsid w:val="00D76475"/>
    <w:rsid w:val="00D76706"/>
    <w:rsid w:val="00D80A1E"/>
    <w:rsid w:val="00D83666"/>
    <w:rsid w:val="00D8571C"/>
    <w:rsid w:val="00D948E4"/>
    <w:rsid w:val="00DA6C67"/>
    <w:rsid w:val="00DB4EE7"/>
    <w:rsid w:val="00DB5C79"/>
    <w:rsid w:val="00DC2026"/>
    <w:rsid w:val="00DC62A2"/>
    <w:rsid w:val="00DD044F"/>
    <w:rsid w:val="00DD2E74"/>
    <w:rsid w:val="00DD3321"/>
    <w:rsid w:val="00DD358B"/>
    <w:rsid w:val="00DD697A"/>
    <w:rsid w:val="00DD6A28"/>
    <w:rsid w:val="00DE41EE"/>
    <w:rsid w:val="00DE4519"/>
    <w:rsid w:val="00DE4B98"/>
    <w:rsid w:val="00DF0C58"/>
    <w:rsid w:val="00DF0D1C"/>
    <w:rsid w:val="00DF360E"/>
    <w:rsid w:val="00DF5571"/>
    <w:rsid w:val="00DF5A0D"/>
    <w:rsid w:val="00DF7368"/>
    <w:rsid w:val="00E02771"/>
    <w:rsid w:val="00E06A12"/>
    <w:rsid w:val="00E10775"/>
    <w:rsid w:val="00E1116F"/>
    <w:rsid w:val="00E11946"/>
    <w:rsid w:val="00E14046"/>
    <w:rsid w:val="00E1565A"/>
    <w:rsid w:val="00E20813"/>
    <w:rsid w:val="00E244A8"/>
    <w:rsid w:val="00E2492B"/>
    <w:rsid w:val="00E25E2C"/>
    <w:rsid w:val="00E2659B"/>
    <w:rsid w:val="00E270D2"/>
    <w:rsid w:val="00E31EA3"/>
    <w:rsid w:val="00E35962"/>
    <w:rsid w:val="00E367E3"/>
    <w:rsid w:val="00E41439"/>
    <w:rsid w:val="00E4670C"/>
    <w:rsid w:val="00E46B64"/>
    <w:rsid w:val="00E47734"/>
    <w:rsid w:val="00E51147"/>
    <w:rsid w:val="00E514CB"/>
    <w:rsid w:val="00E55156"/>
    <w:rsid w:val="00E60845"/>
    <w:rsid w:val="00E63D5B"/>
    <w:rsid w:val="00E664EC"/>
    <w:rsid w:val="00E74C1C"/>
    <w:rsid w:val="00E74FF0"/>
    <w:rsid w:val="00E811D8"/>
    <w:rsid w:val="00E85C36"/>
    <w:rsid w:val="00E86140"/>
    <w:rsid w:val="00E86DAE"/>
    <w:rsid w:val="00E91427"/>
    <w:rsid w:val="00E91F27"/>
    <w:rsid w:val="00E95BB4"/>
    <w:rsid w:val="00E96EE5"/>
    <w:rsid w:val="00EA1387"/>
    <w:rsid w:val="00EA2C48"/>
    <w:rsid w:val="00EA2C72"/>
    <w:rsid w:val="00EA7123"/>
    <w:rsid w:val="00EC2741"/>
    <w:rsid w:val="00EC2DCB"/>
    <w:rsid w:val="00EC6077"/>
    <w:rsid w:val="00ED0F8E"/>
    <w:rsid w:val="00ED398B"/>
    <w:rsid w:val="00EE3788"/>
    <w:rsid w:val="00EE5FB5"/>
    <w:rsid w:val="00EE6667"/>
    <w:rsid w:val="00EE68B8"/>
    <w:rsid w:val="00EF04D5"/>
    <w:rsid w:val="00EF2A1C"/>
    <w:rsid w:val="00EF536A"/>
    <w:rsid w:val="00EF5401"/>
    <w:rsid w:val="00F00A3F"/>
    <w:rsid w:val="00F01D7C"/>
    <w:rsid w:val="00F055A4"/>
    <w:rsid w:val="00F066FF"/>
    <w:rsid w:val="00F12D8F"/>
    <w:rsid w:val="00F13F51"/>
    <w:rsid w:val="00F168A1"/>
    <w:rsid w:val="00F16E5F"/>
    <w:rsid w:val="00F17E6C"/>
    <w:rsid w:val="00F2000A"/>
    <w:rsid w:val="00F201AB"/>
    <w:rsid w:val="00F214A9"/>
    <w:rsid w:val="00F2184D"/>
    <w:rsid w:val="00F2345B"/>
    <w:rsid w:val="00F2447C"/>
    <w:rsid w:val="00F24F5B"/>
    <w:rsid w:val="00F275E1"/>
    <w:rsid w:val="00F2774B"/>
    <w:rsid w:val="00F326ED"/>
    <w:rsid w:val="00F40885"/>
    <w:rsid w:val="00F43462"/>
    <w:rsid w:val="00F45E98"/>
    <w:rsid w:val="00F56753"/>
    <w:rsid w:val="00F5784C"/>
    <w:rsid w:val="00F60BBF"/>
    <w:rsid w:val="00F60CE6"/>
    <w:rsid w:val="00F623EC"/>
    <w:rsid w:val="00F6354C"/>
    <w:rsid w:val="00F6710C"/>
    <w:rsid w:val="00F67558"/>
    <w:rsid w:val="00F67BEF"/>
    <w:rsid w:val="00F70194"/>
    <w:rsid w:val="00F75950"/>
    <w:rsid w:val="00F769C6"/>
    <w:rsid w:val="00F80184"/>
    <w:rsid w:val="00F82242"/>
    <w:rsid w:val="00F85EE5"/>
    <w:rsid w:val="00F87899"/>
    <w:rsid w:val="00F87B97"/>
    <w:rsid w:val="00F9125A"/>
    <w:rsid w:val="00F95D8F"/>
    <w:rsid w:val="00F95E22"/>
    <w:rsid w:val="00F96214"/>
    <w:rsid w:val="00F96F92"/>
    <w:rsid w:val="00FA6737"/>
    <w:rsid w:val="00FB1A3A"/>
    <w:rsid w:val="00FB3358"/>
    <w:rsid w:val="00FB66FB"/>
    <w:rsid w:val="00FB6FAB"/>
    <w:rsid w:val="00FB7990"/>
    <w:rsid w:val="00FC4262"/>
    <w:rsid w:val="00FD3F51"/>
    <w:rsid w:val="00FE0CE7"/>
    <w:rsid w:val="00FE1829"/>
    <w:rsid w:val="00FE54C8"/>
    <w:rsid w:val="00FE760D"/>
    <w:rsid w:val="00FE7696"/>
    <w:rsid w:val="00FF0AEE"/>
    <w:rsid w:val="00FF3A88"/>
    <w:rsid w:val="00FF3D5A"/>
    <w:rsid w:val="00FF5401"/>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ew H2"/>
    <w:qFormat/>
    <w:rsid w:val="003815E0"/>
    <w:rPr>
      <w:rFonts w:ascii="Arial" w:hAnsi="Arial"/>
      <w:sz w:val="22"/>
      <w:lang w:eastAsia="en-US"/>
    </w:rPr>
  </w:style>
  <w:style w:type="paragraph" w:styleId="Heading1">
    <w:name w:val="heading 1"/>
    <w:basedOn w:val="Normal"/>
    <w:qFormat/>
    <w:rsid w:val="0034030A"/>
    <w:pPr>
      <w:keepNext/>
      <w:numPr>
        <w:numId w:val="4"/>
      </w:numPr>
      <w:spacing w:before="320"/>
      <w:outlineLvl w:val="0"/>
    </w:pPr>
    <w:rPr>
      <w:b/>
      <w:smallCaps/>
      <w:color w:val="5F497A"/>
      <w:kern w:val="28"/>
      <w:sz w:val="28"/>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link w:val="Heading2Char"/>
    <w:qFormat/>
    <w:rsid w:val="0034030A"/>
    <w:pPr>
      <w:numPr>
        <w:ilvl w:val="1"/>
        <w:numId w:val="4"/>
      </w:numPr>
      <w:spacing w:before="280" w:after="120"/>
      <w:outlineLvl w:val="1"/>
    </w:pPr>
    <w:rPr>
      <w:b/>
      <w:color w:val="482A87"/>
      <w:sz w:val="24"/>
    </w:rPr>
  </w:style>
  <w:style w:type="paragraph" w:styleId="Heading3">
    <w:name w:val="heading 3"/>
    <w:aliases w:val="KJL:2nd Level"/>
    <w:basedOn w:val="Normal"/>
    <w:link w:val="Heading3Char"/>
    <w:autoRedefine/>
    <w:qFormat/>
    <w:rsid w:val="00A17194"/>
    <w:pPr>
      <w:spacing w:before="120" w:after="120"/>
      <w:outlineLvl w:val="2"/>
    </w:pPr>
    <w:rPr>
      <w:b/>
      <w:sz w:val="24"/>
    </w:rPr>
  </w:style>
  <w:style w:type="paragraph" w:styleId="Heading4">
    <w:name w:val="heading 4"/>
    <w:aliases w:val="KJL:3rd Level"/>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outlineLvl w:val="5"/>
    </w:pPr>
    <w:rPr>
      <w:b/>
      <w:sz w:val="20"/>
    </w:rPr>
  </w:style>
  <w:style w:type="paragraph" w:styleId="Heading7">
    <w:name w:val="heading 7"/>
    <w:basedOn w:val="Normal"/>
    <w:next w:val="Normal"/>
    <w:qFormat/>
    <w:rsid w:val="00BB3774"/>
    <w:pPr>
      <w:keepNext/>
      <w:outlineLvl w:val="6"/>
    </w:pPr>
    <w:rPr>
      <w:b/>
      <w:smallCaps/>
      <w:color w:val="000000"/>
      <w:sz w:val="24"/>
    </w:rPr>
  </w:style>
  <w:style w:type="paragraph" w:styleId="Heading8">
    <w:name w:val="heading 8"/>
    <w:basedOn w:val="Normal"/>
    <w:next w:val="Normal"/>
    <w:autoRedefine/>
    <w:qFormat/>
    <w:rsid w:val="00C00A9E"/>
    <w:pPr>
      <w:keepNext/>
      <w:pageBreakBefore/>
      <w:pBdr>
        <w:bottom w:val="single" w:sz="4" w:space="11" w:color="auto"/>
      </w:pBdr>
      <w:spacing w:after="120"/>
      <w:outlineLvl w:val="7"/>
    </w:pPr>
    <w:rPr>
      <w:rFonts w:cs="Arial"/>
      <w:b/>
      <w:color w:val="482A87"/>
      <w:kern w:val="2"/>
      <w:sz w:val="36"/>
      <w:szCs w:val="36"/>
    </w:rPr>
  </w:style>
  <w:style w:type="paragraph" w:styleId="Heading9">
    <w:name w:val="heading 9"/>
    <w:aliases w:val="Body text"/>
    <w:basedOn w:val="Normal"/>
    <w:next w:val="Normal"/>
    <w:link w:val="Heading9Char"/>
    <w:autoRedefine/>
    <w:unhideWhenUsed/>
    <w:qFormat/>
    <w:rsid w:val="00B33B58"/>
    <w:pPr>
      <w:spacing w:line="300" w:lineRule="atLeast"/>
      <w:ind w:left="709" w:hanging="709"/>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spacing w:before="240" w:after="120"/>
    </w:pPr>
    <w:rPr>
      <w:rFonts w:ascii="Calibri" w:hAnsi="Calibri"/>
      <w:b/>
      <w:bCs/>
      <w:sz w:val="20"/>
    </w:rPr>
  </w:style>
  <w:style w:type="paragraph" w:styleId="TOC2">
    <w:name w:val="toc 2"/>
    <w:basedOn w:val="Normal"/>
    <w:next w:val="Normal"/>
    <w:autoRedefine/>
    <w:uiPriority w:val="39"/>
    <w:rsid w:val="00E374FA"/>
    <w:pPr>
      <w:spacing w:before="120"/>
      <w:ind w:left="220"/>
    </w:pPr>
    <w:rPr>
      <w:rFonts w:ascii="Calibri" w:hAnsi="Calibri"/>
      <w:i/>
      <w:iCs/>
      <w:sz w:val="20"/>
    </w:rPr>
  </w:style>
  <w:style w:type="paragraph" w:styleId="TOC3">
    <w:name w:val="toc 3"/>
    <w:basedOn w:val="Normal"/>
    <w:next w:val="Normal"/>
    <w:autoRedefine/>
    <w:uiPriority w:val="39"/>
    <w:rsid w:val="004663A6"/>
    <w:pPr>
      <w:ind w:left="440"/>
    </w:pPr>
    <w:rPr>
      <w:rFonts w:ascii="Calibri" w:hAnsi="Calibri"/>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pPr>
    <w:rPr>
      <w:color w:val="000000"/>
    </w:rPr>
  </w:style>
  <w:style w:type="paragraph" w:customStyle="1" w:styleId="Comments">
    <w:name w:val="Comments"/>
    <w:basedOn w:val="Normal"/>
    <w:rsid w:val="00BB3774"/>
    <w:pPr>
      <w:spacing w:after="120"/>
      <w:ind w:left="284"/>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pPr>
  </w:style>
  <w:style w:type="paragraph" w:customStyle="1" w:styleId="Bullet3">
    <w:name w:val="Bullet3"/>
    <w:basedOn w:val="Normal"/>
    <w:rsid w:val="00FF416C"/>
    <w:pPr>
      <w:numPr>
        <w:numId w:val="14"/>
      </w:numPr>
      <w:spacing w:after="240"/>
    </w:pPr>
  </w:style>
  <w:style w:type="paragraph" w:customStyle="1" w:styleId="NormalCell">
    <w:name w:val="NormalCell"/>
    <w:basedOn w:val="Normal"/>
    <w:rsid w:val="00BB3774"/>
    <w:pPr>
      <w:spacing w:before="120" w:after="120"/>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rsid w:val="0034030A"/>
    <w:rPr>
      <w:rFonts w:ascii="Arial" w:hAnsi="Arial"/>
      <w:b/>
      <w:color w:val="482A87"/>
      <w:sz w:val="24"/>
      <w:lang w:eastAsia="en-US"/>
    </w:rPr>
  </w:style>
  <w:style w:type="paragraph" w:styleId="BodyTextIndent">
    <w:name w:val="Body Text Indent"/>
    <w:basedOn w:val="Normal"/>
    <w:link w:val="BodyTextIndentChar"/>
    <w:rsid w:val="001B6EE1"/>
    <w:pPr>
      <w:keepLines/>
      <w:tabs>
        <w:tab w:val="left" w:pos="851"/>
      </w:tabs>
      <w:spacing w:after="120"/>
      <w:ind w:left="851"/>
      <w:outlineLvl w:val="0"/>
    </w:pPr>
    <w:rPr>
      <w:rFonts w:cs="Arial"/>
      <w:lang w:val="en-AU"/>
    </w:rPr>
  </w:style>
  <w:style w:type="character" w:customStyle="1" w:styleId="BodyTextIndentChar">
    <w:name w:val="Body Text Indent Char"/>
    <w:link w:val="BodyTextIndent"/>
    <w:rsid w:val="001B6EE1"/>
    <w:rPr>
      <w:rFonts w:ascii="Arial" w:hAnsi="Arial" w:cs="Arial"/>
      <w:sz w:val="22"/>
      <w:lang w:val="en-AU" w:eastAsia="en-US"/>
    </w:rPr>
  </w:style>
  <w:style w:type="paragraph" w:styleId="BalloonText">
    <w:name w:val="Balloon Text"/>
    <w:basedOn w:val="Normal"/>
    <w:link w:val="BalloonTextChar"/>
    <w:rsid w:val="001B6EE1"/>
    <w:rPr>
      <w:rFonts w:ascii="Tahoma" w:hAnsi="Tahoma" w:cs="Tahoma"/>
      <w:sz w:val="16"/>
      <w:szCs w:val="16"/>
    </w:rPr>
  </w:style>
  <w:style w:type="character" w:customStyle="1" w:styleId="BalloonTextChar">
    <w:name w:val="Balloon Text Char"/>
    <w:link w:val="BalloonText"/>
    <w:rsid w:val="001B6EE1"/>
    <w:rPr>
      <w:rFonts w:ascii="Tahoma" w:hAnsi="Tahoma" w:cs="Tahoma"/>
      <w:sz w:val="16"/>
      <w:szCs w:val="16"/>
      <w:lang w:eastAsia="en-US"/>
    </w:rPr>
  </w:style>
  <w:style w:type="character" w:styleId="Strong">
    <w:name w:val="Strong"/>
    <w:qFormat/>
    <w:rsid w:val="00EE3788"/>
    <w:rPr>
      <w:b/>
      <w:bCs/>
    </w:rPr>
  </w:style>
  <w:style w:type="paragraph" w:customStyle="1" w:styleId="TableText">
    <w:name w:val="Table Text"/>
    <w:basedOn w:val="Schmainheadinc"/>
    <w:rsid w:val="00EE3788"/>
    <w:pPr>
      <w:numPr>
        <w:numId w:val="0"/>
      </w:numPr>
      <w:spacing w:before="40" w:after="80"/>
    </w:pPr>
    <w:rPr>
      <w:b w:val="0"/>
      <w:szCs w:val="24"/>
      <w:lang w:val="en-AU"/>
    </w:rPr>
  </w:style>
  <w:style w:type="paragraph" w:styleId="BodyText">
    <w:name w:val="Body Text"/>
    <w:basedOn w:val="Normal"/>
    <w:link w:val="BodyTextChar"/>
    <w:rsid w:val="00EE3788"/>
    <w:pPr>
      <w:spacing w:after="120"/>
    </w:pPr>
  </w:style>
  <w:style w:type="character" w:customStyle="1" w:styleId="BodyTextChar">
    <w:name w:val="Body Text Char"/>
    <w:link w:val="BodyText"/>
    <w:rsid w:val="00EE3788"/>
    <w:rPr>
      <w:sz w:val="22"/>
      <w:lang w:eastAsia="en-US"/>
    </w:rPr>
  </w:style>
  <w:style w:type="numbering" w:customStyle="1" w:styleId="Style1">
    <w:name w:val="Style1"/>
    <w:rsid w:val="00EE3788"/>
    <w:pPr>
      <w:numPr>
        <w:numId w:val="20"/>
      </w:numPr>
    </w:pPr>
  </w:style>
  <w:style w:type="paragraph" w:customStyle="1" w:styleId="Normaltemplate">
    <w:name w:val="Normal template"/>
    <w:basedOn w:val="Normal"/>
    <w:link w:val="NormaltemplateChar"/>
    <w:rsid w:val="00EE3788"/>
    <w:pPr>
      <w:ind w:left="720"/>
    </w:pPr>
    <w:rPr>
      <w:rFonts w:cs="Arial"/>
      <w:sz w:val="24"/>
      <w:szCs w:val="24"/>
    </w:rPr>
  </w:style>
  <w:style w:type="character" w:customStyle="1" w:styleId="NormaltemplateChar">
    <w:name w:val="Normal template Char"/>
    <w:link w:val="Normaltemplate"/>
    <w:rsid w:val="00EE3788"/>
    <w:rPr>
      <w:rFonts w:ascii="Arial" w:hAnsi="Arial" w:cs="Arial"/>
      <w:sz w:val="24"/>
      <w:szCs w:val="24"/>
      <w:lang w:eastAsia="en-US"/>
    </w:rPr>
  </w:style>
  <w:style w:type="paragraph" w:styleId="ListNumber2">
    <w:name w:val="List Number 2"/>
    <w:basedOn w:val="Normal"/>
    <w:rsid w:val="00EE3788"/>
    <w:pPr>
      <w:numPr>
        <w:numId w:val="21"/>
      </w:numPr>
      <w:tabs>
        <w:tab w:val="left" w:pos="851"/>
      </w:tabs>
      <w:contextualSpacing/>
    </w:pPr>
    <w:rPr>
      <w:rFonts w:cs="Arial"/>
    </w:rPr>
  </w:style>
  <w:style w:type="paragraph" w:customStyle="1" w:styleId="Respondent">
    <w:name w:val="Respondent"/>
    <w:basedOn w:val="BodyText"/>
    <w:rsid w:val="00EE3788"/>
    <w:pPr>
      <w:pBdr>
        <w:top w:val="single" w:sz="4" w:space="1" w:color="auto"/>
        <w:left w:val="single" w:sz="4" w:space="4" w:color="auto"/>
        <w:bottom w:val="single" w:sz="4" w:space="1" w:color="auto"/>
        <w:right w:val="single" w:sz="4" w:space="4" w:color="auto"/>
      </w:pBdr>
      <w:shd w:val="clear" w:color="auto" w:fill="F3F3F3"/>
      <w:spacing w:before="80"/>
      <w:ind w:left="902"/>
    </w:pPr>
    <w:rPr>
      <w:sz w:val="24"/>
      <w:szCs w:val="24"/>
      <w:lang w:val="en-AU"/>
    </w:rPr>
  </w:style>
  <w:style w:type="character" w:styleId="CommentReference">
    <w:name w:val="annotation reference"/>
    <w:rsid w:val="00100478"/>
    <w:rPr>
      <w:sz w:val="16"/>
      <w:szCs w:val="16"/>
    </w:rPr>
  </w:style>
  <w:style w:type="paragraph" w:styleId="CommentSubject">
    <w:name w:val="annotation subject"/>
    <w:basedOn w:val="CommentText"/>
    <w:next w:val="CommentText"/>
    <w:link w:val="CommentSubjectChar"/>
    <w:rsid w:val="00100478"/>
    <w:pPr>
      <w:spacing w:line="300" w:lineRule="atLeast"/>
      <w:jc w:val="both"/>
    </w:pPr>
    <w:rPr>
      <w:b/>
      <w:bCs/>
    </w:rPr>
  </w:style>
  <w:style w:type="character" w:customStyle="1" w:styleId="CommentTextChar">
    <w:name w:val="Comment Text Char"/>
    <w:link w:val="CommentText"/>
    <w:rsid w:val="00100478"/>
    <w:rPr>
      <w:lang w:eastAsia="en-US"/>
    </w:rPr>
  </w:style>
  <w:style w:type="character" w:customStyle="1" w:styleId="CommentSubjectChar">
    <w:name w:val="Comment Subject Char"/>
    <w:basedOn w:val="CommentTextChar"/>
    <w:link w:val="CommentSubject"/>
    <w:rsid w:val="00100478"/>
    <w:rPr>
      <w:lang w:eastAsia="en-US"/>
    </w:rPr>
  </w:style>
  <w:style w:type="paragraph" w:styleId="ListParagraph">
    <w:name w:val="List Paragraph"/>
    <w:aliases w:val="Bullet list,Numbered Para 1,Dot pt,No Spacing1,List Paragraph Char Char Char,Indicator Text,List Paragraph1,Bullet Points,Bullet 1,MAIN CONTENT,List Paragraph12,F5 List Paragraph,OBC Bullet,Colorful List - Accent 11,Normal numbered,L"/>
    <w:basedOn w:val="Normal"/>
    <w:link w:val="ListParagraphChar"/>
    <w:uiPriority w:val="34"/>
    <w:qFormat/>
    <w:rsid w:val="00F60BBF"/>
    <w:pPr>
      <w:numPr>
        <w:numId w:val="25"/>
      </w:numPr>
      <w:spacing w:before="120" w:after="120"/>
    </w:pPr>
    <w:rPr>
      <w:rFonts w:eastAsia="Cambria"/>
      <w:szCs w:val="24"/>
      <w:lang w:val="en-US" w:eastAsia="en-GB"/>
    </w:rPr>
  </w:style>
  <w:style w:type="numbering" w:styleId="111111">
    <w:name w:val="Outline List 2"/>
    <w:basedOn w:val="NoList"/>
    <w:rsid w:val="00A76FE4"/>
    <w:pPr>
      <w:numPr>
        <w:numId w:val="22"/>
      </w:numPr>
    </w:pPr>
  </w:style>
  <w:style w:type="paragraph" w:styleId="Revision">
    <w:name w:val="Revision"/>
    <w:hidden/>
    <w:uiPriority w:val="99"/>
    <w:semiHidden/>
    <w:rsid w:val="0086122D"/>
    <w:rPr>
      <w:sz w:val="22"/>
      <w:lang w:eastAsia="en-US"/>
    </w:rPr>
  </w:style>
  <w:style w:type="character" w:styleId="LineNumber">
    <w:name w:val="line number"/>
    <w:rsid w:val="00105D54"/>
    <w:rPr>
      <w:rFonts w:ascii="Arial" w:hAnsi="Arial"/>
    </w:rPr>
  </w:style>
  <w:style w:type="paragraph" w:customStyle="1" w:styleId="Style5new">
    <w:name w:val="Style5new"/>
    <w:basedOn w:val="Heading3"/>
    <w:link w:val="Style5newChar"/>
    <w:qFormat/>
    <w:rsid w:val="00B072E1"/>
    <w:pPr>
      <w:numPr>
        <w:numId w:val="28"/>
      </w:numPr>
      <w:tabs>
        <w:tab w:val="left" w:leader="hyphen" w:pos="284"/>
      </w:tabs>
      <w:outlineLvl w:val="0"/>
    </w:pPr>
    <w:rPr>
      <w:color w:val="000000"/>
      <w:kern w:val="2"/>
      <w:sz w:val="22"/>
    </w:rPr>
  </w:style>
  <w:style w:type="character" w:customStyle="1" w:styleId="Heading9Char">
    <w:name w:val="Heading 9 Char"/>
    <w:aliases w:val="Body text Char"/>
    <w:link w:val="Heading9"/>
    <w:rsid w:val="00B33B58"/>
    <w:rPr>
      <w:rFonts w:ascii="Arial" w:hAnsi="Arial" w:cs="Arial"/>
      <w:sz w:val="22"/>
      <w:szCs w:val="22"/>
      <w:lang w:eastAsia="en-US"/>
    </w:rPr>
  </w:style>
  <w:style w:type="character" w:customStyle="1" w:styleId="Heading3Char">
    <w:name w:val="Heading 3 Char"/>
    <w:aliases w:val="KJL:2nd Level Char"/>
    <w:link w:val="Heading3"/>
    <w:rsid w:val="00A17194"/>
    <w:rPr>
      <w:rFonts w:ascii="Arial" w:hAnsi="Arial"/>
      <w:b/>
      <w:sz w:val="24"/>
      <w:lang w:eastAsia="en-US"/>
    </w:rPr>
  </w:style>
  <w:style w:type="character" w:customStyle="1" w:styleId="Style5newChar">
    <w:name w:val="Style5new Char"/>
    <w:link w:val="Style5new"/>
    <w:rsid w:val="00B072E1"/>
    <w:rPr>
      <w:rFonts w:ascii="Arial" w:hAnsi="Arial"/>
      <w:b/>
      <w:color w:val="000000"/>
      <w:kern w:val="2"/>
      <w:sz w:val="22"/>
      <w:lang w:eastAsia="en-US"/>
    </w:rPr>
  </w:style>
  <w:style w:type="numbering" w:customStyle="1" w:styleId="Style2">
    <w:name w:val="Style2"/>
    <w:uiPriority w:val="99"/>
    <w:rsid w:val="00A17A07"/>
    <w:pPr>
      <w:numPr>
        <w:numId w:val="26"/>
      </w:numPr>
    </w:pPr>
  </w:style>
  <w:style w:type="numbering" w:customStyle="1" w:styleId="Style4">
    <w:name w:val="Style4"/>
    <w:uiPriority w:val="99"/>
    <w:rsid w:val="00F2774B"/>
    <w:pPr>
      <w:numPr>
        <w:numId w:val="27"/>
      </w:numPr>
    </w:pPr>
  </w:style>
  <w:style w:type="paragraph" w:customStyle="1" w:styleId="NewH2">
    <w:name w:val="New H2"/>
    <w:basedOn w:val="Heading2"/>
    <w:next w:val="Heading2"/>
    <w:qFormat/>
    <w:rsid w:val="00BA0583"/>
    <w:pPr>
      <w:numPr>
        <w:ilvl w:val="0"/>
        <w:numId w:val="0"/>
      </w:numPr>
    </w:pPr>
  </w:style>
  <w:style w:type="table" w:styleId="TableGrid">
    <w:name w:val="Table Grid"/>
    <w:basedOn w:val="TableNormal"/>
    <w:uiPriority w:val="59"/>
    <w:rsid w:val="00E2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rsid w:val="00D8571C"/>
    <w:pPr>
      <w:ind w:left="660"/>
    </w:pPr>
    <w:rPr>
      <w:rFonts w:ascii="Calibri" w:hAnsi="Calibri"/>
      <w:sz w:val="20"/>
    </w:rPr>
  </w:style>
  <w:style w:type="paragraph" w:styleId="TOC5">
    <w:name w:val="toc 5"/>
    <w:basedOn w:val="Normal"/>
    <w:next w:val="Normal"/>
    <w:autoRedefine/>
    <w:rsid w:val="00D8571C"/>
    <w:pPr>
      <w:ind w:left="880"/>
    </w:pPr>
    <w:rPr>
      <w:rFonts w:ascii="Calibri" w:hAnsi="Calibri"/>
      <w:sz w:val="20"/>
    </w:rPr>
  </w:style>
  <w:style w:type="paragraph" w:styleId="TOC6">
    <w:name w:val="toc 6"/>
    <w:basedOn w:val="Normal"/>
    <w:next w:val="Normal"/>
    <w:autoRedefine/>
    <w:rsid w:val="00D8571C"/>
    <w:pPr>
      <w:ind w:left="1100"/>
    </w:pPr>
    <w:rPr>
      <w:rFonts w:ascii="Calibri" w:hAnsi="Calibri"/>
      <w:sz w:val="20"/>
    </w:rPr>
  </w:style>
  <w:style w:type="paragraph" w:styleId="TOC7">
    <w:name w:val="toc 7"/>
    <w:basedOn w:val="Normal"/>
    <w:next w:val="Normal"/>
    <w:autoRedefine/>
    <w:rsid w:val="00D8571C"/>
    <w:pPr>
      <w:ind w:left="1320"/>
    </w:pPr>
    <w:rPr>
      <w:rFonts w:ascii="Calibri" w:hAnsi="Calibri"/>
      <w:sz w:val="20"/>
    </w:rPr>
  </w:style>
  <w:style w:type="paragraph" w:styleId="TOC8">
    <w:name w:val="toc 8"/>
    <w:basedOn w:val="Normal"/>
    <w:next w:val="Normal"/>
    <w:autoRedefine/>
    <w:rsid w:val="00D8571C"/>
    <w:pPr>
      <w:ind w:left="1540"/>
    </w:pPr>
    <w:rPr>
      <w:rFonts w:ascii="Calibri" w:hAnsi="Calibri"/>
      <w:sz w:val="20"/>
    </w:rPr>
  </w:style>
  <w:style w:type="paragraph" w:styleId="TOC9">
    <w:name w:val="toc 9"/>
    <w:basedOn w:val="Normal"/>
    <w:next w:val="Normal"/>
    <w:autoRedefine/>
    <w:rsid w:val="00D8571C"/>
    <w:pPr>
      <w:ind w:left="1760"/>
    </w:pPr>
    <w:rPr>
      <w:rFonts w:ascii="Calibri" w:hAnsi="Calibri"/>
      <w:sz w:val="20"/>
    </w:rPr>
  </w:style>
  <w:style w:type="paragraph" w:styleId="TOCHeading">
    <w:name w:val="TOC Heading"/>
    <w:basedOn w:val="Heading1"/>
    <w:next w:val="Normal"/>
    <w:uiPriority w:val="39"/>
    <w:semiHidden/>
    <w:unhideWhenUsed/>
    <w:qFormat/>
    <w:rsid w:val="00A218EB"/>
    <w:pPr>
      <w:keepLines/>
      <w:numPr>
        <w:numId w:val="0"/>
      </w:numPr>
      <w:spacing w:before="480" w:line="276" w:lineRule="auto"/>
      <w:outlineLvl w:val="9"/>
    </w:pPr>
    <w:rPr>
      <w:rFonts w:ascii="Cambria" w:hAnsi="Cambria"/>
      <w:bCs/>
      <w:smallCaps w:val="0"/>
      <w:color w:val="365F91"/>
      <w:kern w:val="0"/>
      <w:szCs w:val="28"/>
      <w:lang w:val="en-US"/>
    </w:rPr>
  </w:style>
  <w:style w:type="character" w:customStyle="1" w:styleId="ListParagraphChar">
    <w:name w:val="List Paragraph Char"/>
    <w:aliases w:val="Bullet list Char,Numbered Para 1 Char,Dot pt Char,No Spacing1 Char,List Paragraph Char Char Char Char,Indicator Text Char,List Paragraph1 Char,Bullet Points Char,Bullet 1 Char,MAIN CONTENT Char,List Paragraph12 Char,OBC Bullet Char"/>
    <w:link w:val="ListParagraph"/>
    <w:uiPriority w:val="34"/>
    <w:qFormat/>
    <w:locked/>
    <w:rsid w:val="00831A9F"/>
    <w:rPr>
      <w:rFonts w:ascii="Arial" w:eastAsia="Cambria" w:hAnsi="Arial"/>
      <w:sz w:val="22"/>
      <w:szCs w:val="24"/>
      <w:lang w:val="en-US"/>
    </w:rPr>
  </w:style>
  <w:style w:type="paragraph" w:styleId="FootnoteText">
    <w:name w:val="footnote text"/>
    <w:basedOn w:val="Normal"/>
    <w:link w:val="FootnoteTextChar"/>
    <w:uiPriority w:val="99"/>
    <w:rsid w:val="00367FBE"/>
    <w:rPr>
      <w:sz w:val="20"/>
    </w:rPr>
  </w:style>
  <w:style w:type="character" w:customStyle="1" w:styleId="FootnoteTextChar">
    <w:name w:val="Footnote Text Char"/>
    <w:link w:val="FootnoteText"/>
    <w:uiPriority w:val="99"/>
    <w:rsid w:val="00367FBE"/>
    <w:rPr>
      <w:rFonts w:ascii="Arial" w:hAnsi="Arial"/>
      <w:lang w:eastAsia="en-US"/>
    </w:rPr>
  </w:style>
  <w:style w:type="character" w:styleId="FootnoteReference">
    <w:name w:val="footnote reference"/>
    <w:rsid w:val="00367FBE"/>
    <w:rPr>
      <w:vertAlign w:val="superscript"/>
    </w:rPr>
  </w:style>
  <w:style w:type="paragraph" w:styleId="NoSpacing">
    <w:name w:val="No Spacing"/>
    <w:uiPriority w:val="1"/>
    <w:qFormat/>
    <w:rsid w:val="001D21A3"/>
    <w:rPr>
      <w:rFonts w:ascii="Calibri" w:eastAsia="Calibri" w:hAnsi="Calibri"/>
      <w:sz w:val="22"/>
      <w:szCs w:val="22"/>
      <w:lang w:eastAsia="en-US"/>
    </w:rPr>
  </w:style>
  <w:style w:type="paragraph" w:styleId="NormalWeb">
    <w:name w:val="Normal (Web)"/>
    <w:basedOn w:val="Normal"/>
    <w:uiPriority w:val="99"/>
    <w:unhideWhenUsed/>
    <w:rsid w:val="008E0508"/>
    <w:pPr>
      <w:spacing w:before="100" w:beforeAutospacing="1" w:after="100" w:afterAutospacing="1"/>
    </w:pPr>
    <w:rPr>
      <w:rFonts w:ascii="Times New Roman" w:hAnsi="Times New Roman"/>
      <w:sz w:val="24"/>
      <w:szCs w:val="24"/>
      <w:lang w:eastAsia="en-GB"/>
    </w:rPr>
  </w:style>
  <w:style w:type="paragraph" w:styleId="BodyText3">
    <w:name w:val="Body Text 3"/>
    <w:basedOn w:val="Normal"/>
    <w:link w:val="BodyText3Char"/>
    <w:rsid w:val="00723059"/>
    <w:pPr>
      <w:spacing w:after="120"/>
    </w:pPr>
    <w:rPr>
      <w:sz w:val="16"/>
      <w:szCs w:val="16"/>
    </w:rPr>
  </w:style>
  <w:style w:type="character" w:customStyle="1" w:styleId="BodyText3Char">
    <w:name w:val="Body Text 3 Char"/>
    <w:link w:val="BodyText3"/>
    <w:rsid w:val="00723059"/>
    <w:rPr>
      <w:rFonts w:ascii="Arial" w:hAnsi="Arial"/>
      <w:sz w:val="16"/>
      <w:szCs w:val="16"/>
      <w:lang w:eastAsia="en-US"/>
    </w:rPr>
  </w:style>
  <w:style w:type="character" w:customStyle="1" w:styleId="HeaderChar">
    <w:name w:val="Header Char"/>
    <w:link w:val="Header"/>
    <w:uiPriority w:val="99"/>
    <w:rsid w:val="00063B55"/>
    <w:rPr>
      <w:rFonts w:ascii="Arial" w:hAnsi="Arial"/>
      <w:sz w:val="22"/>
      <w:lang w:eastAsia="en-US"/>
    </w:rPr>
  </w:style>
  <w:style w:type="character" w:customStyle="1" w:styleId="FooterChar">
    <w:name w:val="Footer Char"/>
    <w:link w:val="Footer"/>
    <w:uiPriority w:val="99"/>
    <w:rsid w:val="00063B55"/>
    <w:rPr>
      <w:rFonts w:ascii="Arial" w:hAnsi="Arial"/>
      <w:sz w:val="22"/>
      <w:lang w:eastAsia="en-US"/>
    </w:rPr>
  </w:style>
  <w:style w:type="table" w:customStyle="1" w:styleId="TableGrid1">
    <w:name w:val="Table Grid1"/>
    <w:basedOn w:val="TableNormal"/>
    <w:next w:val="TableGrid"/>
    <w:uiPriority w:val="59"/>
    <w:rsid w:val="001673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ew H2"/>
    <w:qFormat/>
    <w:rsid w:val="003815E0"/>
    <w:rPr>
      <w:rFonts w:ascii="Arial" w:hAnsi="Arial"/>
      <w:sz w:val="22"/>
      <w:lang w:eastAsia="en-US"/>
    </w:rPr>
  </w:style>
  <w:style w:type="paragraph" w:styleId="Heading1">
    <w:name w:val="heading 1"/>
    <w:basedOn w:val="Normal"/>
    <w:qFormat/>
    <w:rsid w:val="0034030A"/>
    <w:pPr>
      <w:keepNext/>
      <w:numPr>
        <w:numId w:val="4"/>
      </w:numPr>
      <w:spacing w:before="320"/>
      <w:outlineLvl w:val="0"/>
    </w:pPr>
    <w:rPr>
      <w:b/>
      <w:smallCaps/>
      <w:color w:val="5F497A"/>
      <w:kern w:val="28"/>
      <w:sz w:val="28"/>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link w:val="Heading2Char"/>
    <w:qFormat/>
    <w:rsid w:val="0034030A"/>
    <w:pPr>
      <w:numPr>
        <w:ilvl w:val="1"/>
        <w:numId w:val="4"/>
      </w:numPr>
      <w:spacing w:before="280" w:after="120"/>
      <w:outlineLvl w:val="1"/>
    </w:pPr>
    <w:rPr>
      <w:b/>
      <w:color w:val="482A87"/>
      <w:sz w:val="24"/>
    </w:rPr>
  </w:style>
  <w:style w:type="paragraph" w:styleId="Heading3">
    <w:name w:val="heading 3"/>
    <w:aliases w:val="KJL:2nd Level"/>
    <w:basedOn w:val="Normal"/>
    <w:link w:val="Heading3Char"/>
    <w:autoRedefine/>
    <w:qFormat/>
    <w:rsid w:val="00A17194"/>
    <w:pPr>
      <w:spacing w:before="120" w:after="120"/>
      <w:outlineLvl w:val="2"/>
    </w:pPr>
    <w:rPr>
      <w:b/>
      <w:sz w:val="24"/>
    </w:rPr>
  </w:style>
  <w:style w:type="paragraph" w:styleId="Heading4">
    <w:name w:val="heading 4"/>
    <w:aliases w:val="KJL:3rd Level"/>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outlineLvl w:val="5"/>
    </w:pPr>
    <w:rPr>
      <w:b/>
      <w:sz w:val="20"/>
    </w:rPr>
  </w:style>
  <w:style w:type="paragraph" w:styleId="Heading7">
    <w:name w:val="heading 7"/>
    <w:basedOn w:val="Normal"/>
    <w:next w:val="Normal"/>
    <w:qFormat/>
    <w:rsid w:val="00BB3774"/>
    <w:pPr>
      <w:keepNext/>
      <w:outlineLvl w:val="6"/>
    </w:pPr>
    <w:rPr>
      <w:b/>
      <w:smallCaps/>
      <w:color w:val="000000"/>
      <w:sz w:val="24"/>
    </w:rPr>
  </w:style>
  <w:style w:type="paragraph" w:styleId="Heading8">
    <w:name w:val="heading 8"/>
    <w:basedOn w:val="Normal"/>
    <w:next w:val="Normal"/>
    <w:autoRedefine/>
    <w:qFormat/>
    <w:rsid w:val="00C00A9E"/>
    <w:pPr>
      <w:keepNext/>
      <w:pageBreakBefore/>
      <w:pBdr>
        <w:bottom w:val="single" w:sz="4" w:space="11" w:color="auto"/>
      </w:pBdr>
      <w:spacing w:after="120"/>
      <w:outlineLvl w:val="7"/>
    </w:pPr>
    <w:rPr>
      <w:rFonts w:cs="Arial"/>
      <w:b/>
      <w:color w:val="482A87"/>
      <w:kern w:val="2"/>
      <w:sz w:val="36"/>
      <w:szCs w:val="36"/>
    </w:rPr>
  </w:style>
  <w:style w:type="paragraph" w:styleId="Heading9">
    <w:name w:val="heading 9"/>
    <w:aliases w:val="Body text"/>
    <w:basedOn w:val="Normal"/>
    <w:next w:val="Normal"/>
    <w:link w:val="Heading9Char"/>
    <w:autoRedefine/>
    <w:unhideWhenUsed/>
    <w:qFormat/>
    <w:rsid w:val="00B33B58"/>
    <w:pPr>
      <w:spacing w:line="300" w:lineRule="atLeast"/>
      <w:ind w:left="709" w:hanging="709"/>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spacing w:before="240" w:after="120"/>
    </w:pPr>
    <w:rPr>
      <w:rFonts w:ascii="Calibri" w:hAnsi="Calibri"/>
      <w:b/>
      <w:bCs/>
      <w:sz w:val="20"/>
    </w:rPr>
  </w:style>
  <w:style w:type="paragraph" w:styleId="TOC2">
    <w:name w:val="toc 2"/>
    <w:basedOn w:val="Normal"/>
    <w:next w:val="Normal"/>
    <w:autoRedefine/>
    <w:uiPriority w:val="39"/>
    <w:rsid w:val="00E374FA"/>
    <w:pPr>
      <w:spacing w:before="120"/>
      <w:ind w:left="220"/>
    </w:pPr>
    <w:rPr>
      <w:rFonts w:ascii="Calibri" w:hAnsi="Calibri"/>
      <w:i/>
      <w:iCs/>
      <w:sz w:val="20"/>
    </w:rPr>
  </w:style>
  <w:style w:type="paragraph" w:styleId="TOC3">
    <w:name w:val="toc 3"/>
    <w:basedOn w:val="Normal"/>
    <w:next w:val="Normal"/>
    <w:autoRedefine/>
    <w:uiPriority w:val="39"/>
    <w:rsid w:val="004663A6"/>
    <w:pPr>
      <w:ind w:left="440"/>
    </w:pPr>
    <w:rPr>
      <w:rFonts w:ascii="Calibri" w:hAnsi="Calibri"/>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pPr>
    <w:rPr>
      <w:color w:val="000000"/>
    </w:rPr>
  </w:style>
  <w:style w:type="paragraph" w:customStyle="1" w:styleId="Comments">
    <w:name w:val="Comments"/>
    <w:basedOn w:val="Normal"/>
    <w:rsid w:val="00BB3774"/>
    <w:pPr>
      <w:spacing w:after="120"/>
      <w:ind w:left="284"/>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pPr>
  </w:style>
  <w:style w:type="paragraph" w:customStyle="1" w:styleId="Bullet3">
    <w:name w:val="Bullet3"/>
    <w:basedOn w:val="Normal"/>
    <w:rsid w:val="00FF416C"/>
    <w:pPr>
      <w:numPr>
        <w:numId w:val="14"/>
      </w:numPr>
      <w:spacing w:after="240"/>
    </w:pPr>
  </w:style>
  <w:style w:type="paragraph" w:customStyle="1" w:styleId="NormalCell">
    <w:name w:val="NormalCell"/>
    <w:basedOn w:val="Normal"/>
    <w:rsid w:val="00BB3774"/>
    <w:pPr>
      <w:spacing w:before="120" w:after="120"/>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rsid w:val="0034030A"/>
    <w:rPr>
      <w:rFonts w:ascii="Arial" w:hAnsi="Arial"/>
      <w:b/>
      <w:color w:val="482A87"/>
      <w:sz w:val="24"/>
      <w:lang w:eastAsia="en-US"/>
    </w:rPr>
  </w:style>
  <w:style w:type="paragraph" w:styleId="BodyTextIndent">
    <w:name w:val="Body Text Indent"/>
    <w:basedOn w:val="Normal"/>
    <w:link w:val="BodyTextIndentChar"/>
    <w:rsid w:val="001B6EE1"/>
    <w:pPr>
      <w:keepLines/>
      <w:tabs>
        <w:tab w:val="left" w:pos="851"/>
      </w:tabs>
      <w:spacing w:after="120"/>
      <w:ind w:left="851"/>
      <w:outlineLvl w:val="0"/>
    </w:pPr>
    <w:rPr>
      <w:rFonts w:cs="Arial"/>
      <w:lang w:val="en-AU"/>
    </w:rPr>
  </w:style>
  <w:style w:type="character" w:customStyle="1" w:styleId="BodyTextIndentChar">
    <w:name w:val="Body Text Indent Char"/>
    <w:link w:val="BodyTextIndent"/>
    <w:rsid w:val="001B6EE1"/>
    <w:rPr>
      <w:rFonts w:ascii="Arial" w:hAnsi="Arial" w:cs="Arial"/>
      <w:sz w:val="22"/>
      <w:lang w:val="en-AU" w:eastAsia="en-US"/>
    </w:rPr>
  </w:style>
  <w:style w:type="paragraph" w:styleId="BalloonText">
    <w:name w:val="Balloon Text"/>
    <w:basedOn w:val="Normal"/>
    <w:link w:val="BalloonTextChar"/>
    <w:rsid w:val="001B6EE1"/>
    <w:rPr>
      <w:rFonts w:ascii="Tahoma" w:hAnsi="Tahoma" w:cs="Tahoma"/>
      <w:sz w:val="16"/>
      <w:szCs w:val="16"/>
    </w:rPr>
  </w:style>
  <w:style w:type="character" w:customStyle="1" w:styleId="BalloonTextChar">
    <w:name w:val="Balloon Text Char"/>
    <w:link w:val="BalloonText"/>
    <w:rsid w:val="001B6EE1"/>
    <w:rPr>
      <w:rFonts w:ascii="Tahoma" w:hAnsi="Tahoma" w:cs="Tahoma"/>
      <w:sz w:val="16"/>
      <w:szCs w:val="16"/>
      <w:lang w:eastAsia="en-US"/>
    </w:rPr>
  </w:style>
  <w:style w:type="character" w:styleId="Strong">
    <w:name w:val="Strong"/>
    <w:qFormat/>
    <w:rsid w:val="00EE3788"/>
    <w:rPr>
      <w:b/>
      <w:bCs/>
    </w:rPr>
  </w:style>
  <w:style w:type="paragraph" w:customStyle="1" w:styleId="TableText">
    <w:name w:val="Table Text"/>
    <w:basedOn w:val="Schmainheadinc"/>
    <w:rsid w:val="00EE3788"/>
    <w:pPr>
      <w:numPr>
        <w:numId w:val="0"/>
      </w:numPr>
      <w:spacing w:before="40" w:after="80"/>
    </w:pPr>
    <w:rPr>
      <w:b w:val="0"/>
      <w:szCs w:val="24"/>
      <w:lang w:val="en-AU"/>
    </w:rPr>
  </w:style>
  <w:style w:type="paragraph" w:styleId="BodyText">
    <w:name w:val="Body Text"/>
    <w:basedOn w:val="Normal"/>
    <w:link w:val="BodyTextChar"/>
    <w:rsid w:val="00EE3788"/>
    <w:pPr>
      <w:spacing w:after="120"/>
    </w:pPr>
  </w:style>
  <w:style w:type="character" w:customStyle="1" w:styleId="BodyTextChar">
    <w:name w:val="Body Text Char"/>
    <w:link w:val="BodyText"/>
    <w:rsid w:val="00EE3788"/>
    <w:rPr>
      <w:sz w:val="22"/>
      <w:lang w:eastAsia="en-US"/>
    </w:rPr>
  </w:style>
  <w:style w:type="numbering" w:customStyle="1" w:styleId="Style1">
    <w:name w:val="Style1"/>
    <w:rsid w:val="00EE3788"/>
    <w:pPr>
      <w:numPr>
        <w:numId w:val="20"/>
      </w:numPr>
    </w:pPr>
  </w:style>
  <w:style w:type="paragraph" w:customStyle="1" w:styleId="Normaltemplate">
    <w:name w:val="Normal template"/>
    <w:basedOn w:val="Normal"/>
    <w:link w:val="NormaltemplateChar"/>
    <w:rsid w:val="00EE3788"/>
    <w:pPr>
      <w:ind w:left="720"/>
    </w:pPr>
    <w:rPr>
      <w:rFonts w:cs="Arial"/>
      <w:sz w:val="24"/>
      <w:szCs w:val="24"/>
    </w:rPr>
  </w:style>
  <w:style w:type="character" w:customStyle="1" w:styleId="NormaltemplateChar">
    <w:name w:val="Normal template Char"/>
    <w:link w:val="Normaltemplate"/>
    <w:rsid w:val="00EE3788"/>
    <w:rPr>
      <w:rFonts w:ascii="Arial" w:hAnsi="Arial" w:cs="Arial"/>
      <w:sz w:val="24"/>
      <w:szCs w:val="24"/>
      <w:lang w:eastAsia="en-US"/>
    </w:rPr>
  </w:style>
  <w:style w:type="paragraph" w:styleId="ListNumber2">
    <w:name w:val="List Number 2"/>
    <w:basedOn w:val="Normal"/>
    <w:rsid w:val="00EE3788"/>
    <w:pPr>
      <w:numPr>
        <w:numId w:val="21"/>
      </w:numPr>
      <w:tabs>
        <w:tab w:val="left" w:pos="851"/>
      </w:tabs>
      <w:contextualSpacing/>
    </w:pPr>
    <w:rPr>
      <w:rFonts w:cs="Arial"/>
    </w:rPr>
  </w:style>
  <w:style w:type="paragraph" w:customStyle="1" w:styleId="Respondent">
    <w:name w:val="Respondent"/>
    <w:basedOn w:val="BodyText"/>
    <w:rsid w:val="00EE3788"/>
    <w:pPr>
      <w:pBdr>
        <w:top w:val="single" w:sz="4" w:space="1" w:color="auto"/>
        <w:left w:val="single" w:sz="4" w:space="4" w:color="auto"/>
        <w:bottom w:val="single" w:sz="4" w:space="1" w:color="auto"/>
        <w:right w:val="single" w:sz="4" w:space="4" w:color="auto"/>
      </w:pBdr>
      <w:shd w:val="clear" w:color="auto" w:fill="F3F3F3"/>
      <w:spacing w:before="80"/>
      <w:ind w:left="902"/>
    </w:pPr>
    <w:rPr>
      <w:sz w:val="24"/>
      <w:szCs w:val="24"/>
      <w:lang w:val="en-AU"/>
    </w:rPr>
  </w:style>
  <w:style w:type="character" w:styleId="CommentReference">
    <w:name w:val="annotation reference"/>
    <w:rsid w:val="00100478"/>
    <w:rPr>
      <w:sz w:val="16"/>
      <w:szCs w:val="16"/>
    </w:rPr>
  </w:style>
  <w:style w:type="paragraph" w:styleId="CommentSubject">
    <w:name w:val="annotation subject"/>
    <w:basedOn w:val="CommentText"/>
    <w:next w:val="CommentText"/>
    <w:link w:val="CommentSubjectChar"/>
    <w:rsid w:val="00100478"/>
    <w:pPr>
      <w:spacing w:line="300" w:lineRule="atLeast"/>
      <w:jc w:val="both"/>
    </w:pPr>
    <w:rPr>
      <w:b/>
      <w:bCs/>
    </w:rPr>
  </w:style>
  <w:style w:type="character" w:customStyle="1" w:styleId="CommentTextChar">
    <w:name w:val="Comment Text Char"/>
    <w:link w:val="CommentText"/>
    <w:rsid w:val="00100478"/>
    <w:rPr>
      <w:lang w:eastAsia="en-US"/>
    </w:rPr>
  </w:style>
  <w:style w:type="character" w:customStyle="1" w:styleId="CommentSubjectChar">
    <w:name w:val="Comment Subject Char"/>
    <w:basedOn w:val="CommentTextChar"/>
    <w:link w:val="CommentSubject"/>
    <w:rsid w:val="00100478"/>
    <w:rPr>
      <w:lang w:eastAsia="en-US"/>
    </w:rPr>
  </w:style>
  <w:style w:type="paragraph" w:styleId="ListParagraph">
    <w:name w:val="List Paragraph"/>
    <w:aliases w:val="Bullet list,Numbered Para 1,Dot pt,No Spacing1,List Paragraph Char Char Char,Indicator Text,List Paragraph1,Bullet Points,Bullet 1,MAIN CONTENT,List Paragraph12,F5 List Paragraph,OBC Bullet,Colorful List - Accent 11,Normal numbered,L"/>
    <w:basedOn w:val="Normal"/>
    <w:link w:val="ListParagraphChar"/>
    <w:uiPriority w:val="34"/>
    <w:qFormat/>
    <w:rsid w:val="00F60BBF"/>
    <w:pPr>
      <w:numPr>
        <w:numId w:val="25"/>
      </w:numPr>
      <w:spacing w:before="120" w:after="120"/>
    </w:pPr>
    <w:rPr>
      <w:rFonts w:eastAsia="Cambria"/>
      <w:szCs w:val="24"/>
      <w:lang w:val="en-US" w:eastAsia="en-GB"/>
    </w:rPr>
  </w:style>
  <w:style w:type="numbering" w:styleId="111111">
    <w:name w:val="Outline List 2"/>
    <w:basedOn w:val="NoList"/>
    <w:rsid w:val="00A76FE4"/>
    <w:pPr>
      <w:numPr>
        <w:numId w:val="22"/>
      </w:numPr>
    </w:pPr>
  </w:style>
  <w:style w:type="paragraph" w:styleId="Revision">
    <w:name w:val="Revision"/>
    <w:hidden/>
    <w:uiPriority w:val="99"/>
    <w:semiHidden/>
    <w:rsid w:val="0086122D"/>
    <w:rPr>
      <w:sz w:val="22"/>
      <w:lang w:eastAsia="en-US"/>
    </w:rPr>
  </w:style>
  <w:style w:type="character" w:styleId="LineNumber">
    <w:name w:val="line number"/>
    <w:rsid w:val="00105D54"/>
    <w:rPr>
      <w:rFonts w:ascii="Arial" w:hAnsi="Arial"/>
    </w:rPr>
  </w:style>
  <w:style w:type="paragraph" w:customStyle="1" w:styleId="Style5new">
    <w:name w:val="Style5new"/>
    <w:basedOn w:val="Heading3"/>
    <w:link w:val="Style5newChar"/>
    <w:qFormat/>
    <w:rsid w:val="00B072E1"/>
    <w:pPr>
      <w:numPr>
        <w:numId w:val="28"/>
      </w:numPr>
      <w:tabs>
        <w:tab w:val="left" w:leader="hyphen" w:pos="284"/>
      </w:tabs>
      <w:outlineLvl w:val="0"/>
    </w:pPr>
    <w:rPr>
      <w:color w:val="000000"/>
      <w:kern w:val="2"/>
      <w:sz w:val="22"/>
    </w:rPr>
  </w:style>
  <w:style w:type="character" w:customStyle="1" w:styleId="Heading9Char">
    <w:name w:val="Heading 9 Char"/>
    <w:aliases w:val="Body text Char"/>
    <w:link w:val="Heading9"/>
    <w:rsid w:val="00B33B58"/>
    <w:rPr>
      <w:rFonts w:ascii="Arial" w:hAnsi="Arial" w:cs="Arial"/>
      <w:sz w:val="22"/>
      <w:szCs w:val="22"/>
      <w:lang w:eastAsia="en-US"/>
    </w:rPr>
  </w:style>
  <w:style w:type="character" w:customStyle="1" w:styleId="Heading3Char">
    <w:name w:val="Heading 3 Char"/>
    <w:aliases w:val="KJL:2nd Level Char"/>
    <w:link w:val="Heading3"/>
    <w:rsid w:val="00A17194"/>
    <w:rPr>
      <w:rFonts w:ascii="Arial" w:hAnsi="Arial"/>
      <w:b/>
      <w:sz w:val="24"/>
      <w:lang w:eastAsia="en-US"/>
    </w:rPr>
  </w:style>
  <w:style w:type="character" w:customStyle="1" w:styleId="Style5newChar">
    <w:name w:val="Style5new Char"/>
    <w:link w:val="Style5new"/>
    <w:rsid w:val="00B072E1"/>
    <w:rPr>
      <w:rFonts w:ascii="Arial" w:hAnsi="Arial"/>
      <w:b/>
      <w:color w:val="000000"/>
      <w:kern w:val="2"/>
      <w:sz w:val="22"/>
      <w:lang w:eastAsia="en-US"/>
    </w:rPr>
  </w:style>
  <w:style w:type="numbering" w:customStyle="1" w:styleId="Style2">
    <w:name w:val="Style2"/>
    <w:uiPriority w:val="99"/>
    <w:rsid w:val="00A17A07"/>
    <w:pPr>
      <w:numPr>
        <w:numId w:val="26"/>
      </w:numPr>
    </w:pPr>
  </w:style>
  <w:style w:type="numbering" w:customStyle="1" w:styleId="Style4">
    <w:name w:val="Style4"/>
    <w:uiPriority w:val="99"/>
    <w:rsid w:val="00F2774B"/>
    <w:pPr>
      <w:numPr>
        <w:numId w:val="27"/>
      </w:numPr>
    </w:pPr>
  </w:style>
  <w:style w:type="paragraph" w:customStyle="1" w:styleId="NewH2">
    <w:name w:val="New H2"/>
    <w:basedOn w:val="Heading2"/>
    <w:next w:val="Heading2"/>
    <w:qFormat/>
    <w:rsid w:val="00BA0583"/>
    <w:pPr>
      <w:numPr>
        <w:ilvl w:val="0"/>
        <w:numId w:val="0"/>
      </w:numPr>
    </w:pPr>
  </w:style>
  <w:style w:type="table" w:styleId="TableGrid">
    <w:name w:val="Table Grid"/>
    <w:basedOn w:val="TableNormal"/>
    <w:uiPriority w:val="59"/>
    <w:rsid w:val="00E2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rsid w:val="00D8571C"/>
    <w:pPr>
      <w:ind w:left="660"/>
    </w:pPr>
    <w:rPr>
      <w:rFonts w:ascii="Calibri" w:hAnsi="Calibri"/>
      <w:sz w:val="20"/>
    </w:rPr>
  </w:style>
  <w:style w:type="paragraph" w:styleId="TOC5">
    <w:name w:val="toc 5"/>
    <w:basedOn w:val="Normal"/>
    <w:next w:val="Normal"/>
    <w:autoRedefine/>
    <w:rsid w:val="00D8571C"/>
    <w:pPr>
      <w:ind w:left="880"/>
    </w:pPr>
    <w:rPr>
      <w:rFonts w:ascii="Calibri" w:hAnsi="Calibri"/>
      <w:sz w:val="20"/>
    </w:rPr>
  </w:style>
  <w:style w:type="paragraph" w:styleId="TOC6">
    <w:name w:val="toc 6"/>
    <w:basedOn w:val="Normal"/>
    <w:next w:val="Normal"/>
    <w:autoRedefine/>
    <w:rsid w:val="00D8571C"/>
    <w:pPr>
      <w:ind w:left="1100"/>
    </w:pPr>
    <w:rPr>
      <w:rFonts w:ascii="Calibri" w:hAnsi="Calibri"/>
      <w:sz w:val="20"/>
    </w:rPr>
  </w:style>
  <w:style w:type="paragraph" w:styleId="TOC7">
    <w:name w:val="toc 7"/>
    <w:basedOn w:val="Normal"/>
    <w:next w:val="Normal"/>
    <w:autoRedefine/>
    <w:rsid w:val="00D8571C"/>
    <w:pPr>
      <w:ind w:left="1320"/>
    </w:pPr>
    <w:rPr>
      <w:rFonts w:ascii="Calibri" w:hAnsi="Calibri"/>
      <w:sz w:val="20"/>
    </w:rPr>
  </w:style>
  <w:style w:type="paragraph" w:styleId="TOC8">
    <w:name w:val="toc 8"/>
    <w:basedOn w:val="Normal"/>
    <w:next w:val="Normal"/>
    <w:autoRedefine/>
    <w:rsid w:val="00D8571C"/>
    <w:pPr>
      <w:ind w:left="1540"/>
    </w:pPr>
    <w:rPr>
      <w:rFonts w:ascii="Calibri" w:hAnsi="Calibri"/>
      <w:sz w:val="20"/>
    </w:rPr>
  </w:style>
  <w:style w:type="paragraph" w:styleId="TOC9">
    <w:name w:val="toc 9"/>
    <w:basedOn w:val="Normal"/>
    <w:next w:val="Normal"/>
    <w:autoRedefine/>
    <w:rsid w:val="00D8571C"/>
    <w:pPr>
      <w:ind w:left="1760"/>
    </w:pPr>
    <w:rPr>
      <w:rFonts w:ascii="Calibri" w:hAnsi="Calibri"/>
      <w:sz w:val="20"/>
    </w:rPr>
  </w:style>
  <w:style w:type="paragraph" w:styleId="TOCHeading">
    <w:name w:val="TOC Heading"/>
    <w:basedOn w:val="Heading1"/>
    <w:next w:val="Normal"/>
    <w:uiPriority w:val="39"/>
    <w:semiHidden/>
    <w:unhideWhenUsed/>
    <w:qFormat/>
    <w:rsid w:val="00A218EB"/>
    <w:pPr>
      <w:keepLines/>
      <w:numPr>
        <w:numId w:val="0"/>
      </w:numPr>
      <w:spacing w:before="480" w:line="276" w:lineRule="auto"/>
      <w:outlineLvl w:val="9"/>
    </w:pPr>
    <w:rPr>
      <w:rFonts w:ascii="Cambria" w:hAnsi="Cambria"/>
      <w:bCs/>
      <w:smallCaps w:val="0"/>
      <w:color w:val="365F91"/>
      <w:kern w:val="0"/>
      <w:szCs w:val="28"/>
      <w:lang w:val="en-US"/>
    </w:rPr>
  </w:style>
  <w:style w:type="character" w:customStyle="1" w:styleId="ListParagraphChar">
    <w:name w:val="List Paragraph Char"/>
    <w:aliases w:val="Bullet list Char,Numbered Para 1 Char,Dot pt Char,No Spacing1 Char,List Paragraph Char Char Char Char,Indicator Text Char,List Paragraph1 Char,Bullet Points Char,Bullet 1 Char,MAIN CONTENT Char,List Paragraph12 Char,OBC Bullet Char"/>
    <w:link w:val="ListParagraph"/>
    <w:uiPriority w:val="34"/>
    <w:qFormat/>
    <w:locked/>
    <w:rsid w:val="00831A9F"/>
    <w:rPr>
      <w:rFonts w:ascii="Arial" w:eastAsia="Cambria" w:hAnsi="Arial"/>
      <w:sz w:val="22"/>
      <w:szCs w:val="24"/>
      <w:lang w:val="en-US"/>
    </w:rPr>
  </w:style>
  <w:style w:type="paragraph" w:styleId="FootnoteText">
    <w:name w:val="footnote text"/>
    <w:basedOn w:val="Normal"/>
    <w:link w:val="FootnoteTextChar"/>
    <w:uiPriority w:val="99"/>
    <w:rsid w:val="00367FBE"/>
    <w:rPr>
      <w:sz w:val="20"/>
    </w:rPr>
  </w:style>
  <w:style w:type="character" w:customStyle="1" w:styleId="FootnoteTextChar">
    <w:name w:val="Footnote Text Char"/>
    <w:link w:val="FootnoteText"/>
    <w:uiPriority w:val="99"/>
    <w:rsid w:val="00367FBE"/>
    <w:rPr>
      <w:rFonts w:ascii="Arial" w:hAnsi="Arial"/>
      <w:lang w:eastAsia="en-US"/>
    </w:rPr>
  </w:style>
  <w:style w:type="character" w:styleId="FootnoteReference">
    <w:name w:val="footnote reference"/>
    <w:rsid w:val="00367FBE"/>
    <w:rPr>
      <w:vertAlign w:val="superscript"/>
    </w:rPr>
  </w:style>
  <w:style w:type="paragraph" w:styleId="NoSpacing">
    <w:name w:val="No Spacing"/>
    <w:uiPriority w:val="1"/>
    <w:qFormat/>
    <w:rsid w:val="001D21A3"/>
    <w:rPr>
      <w:rFonts w:ascii="Calibri" w:eastAsia="Calibri" w:hAnsi="Calibri"/>
      <w:sz w:val="22"/>
      <w:szCs w:val="22"/>
      <w:lang w:eastAsia="en-US"/>
    </w:rPr>
  </w:style>
  <w:style w:type="paragraph" w:styleId="NormalWeb">
    <w:name w:val="Normal (Web)"/>
    <w:basedOn w:val="Normal"/>
    <w:uiPriority w:val="99"/>
    <w:unhideWhenUsed/>
    <w:rsid w:val="008E0508"/>
    <w:pPr>
      <w:spacing w:before="100" w:beforeAutospacing="1" w:after="100" w:afterAutospacing="1"/>
    </w:pPr>
    <w:rPr>
      <w:rFonts w:ascii="Times New Roman" w:hAnsi="Times New Roman"/>
      <w:sz w:val="24"/>
      <w:szCs w:val="24"/>
      <w:lang w:eastAsia="en-GB"/>
    </w:rPr>
  </w:style>
  <w:style w:type="paragraph" w:styleId="BodyText3">
    <w:name w:val="Body Text 3"/>
    <w:basedOn w:val="Normal"/>
    <w:link w:val="BodyText3Char"/>
    <w:rsid w:val="00723059"/>
    <w:pPr>
      <w:spacing w:after="120"/>
    </w:pPr>
    <w:rPr>
      <w:sz w:val="16"/>
      <w:szCs w:val="16"/>
    </w:rPr>
  </w:style>
  <w:style w:type="character" w:customStyle="1" w:styleId="BodyText3Char">
    <w:name w:val="Body Text 3 Char"/>
    <w:link w:val="BodyText3"/>
    <w:rsid w:val="00723059"/>
    <w:rPr>
      <w:rFonts w:ascii="Arial" w:hAnsi="Arial"/>
      <w:sz w:val="16"/>
      <w:szCs w:val="16"/>
      <w:lang w:eastAsia="en-US"/>
    </w:rPr>
  </w:style>
  <w:style w:type="character" w:customStyle="1" w:styleId="HeaderChar">
    <w:name w:val="Header Char"/>
    <w:link w:val="Header"/>
    <w:uiPriority w:val="99"/>
    <w:rsid w:val="00063B55"/>
    <w:rPr>
      <w:rFonts w:ascii="Arial" w:hAnsi="Arial"/>
      <w:sz w:val="22"/>
      <w:lang w:eastAsia="en-US"/>
    </w:rPr>
  </w:style>
  <w:style w:type="character" w:customStyle="1" w:styleId="FooterChar">
    <w:name w:val="Footer Char"/>
    <w:link w:val="Footer"/>
    <w:uiPriority w:val="99"/>
    <w:rsid w:val="00063B55"/>
    <w:rPr>
      <w:rFonts w:ascii="Arial" w:hAnsi="Arial"/>
      <w:sz w:val="22"/>
      <w:lang w:eastAsia="en-US"/>
    </w:rPr>
  </w:style>
  <w:style w:type="table" w:customStyle="1" w:styleId="TableGrid1">
    <w:name w:val="Table Grid1"/>
    <w:basedOn w:val="TableNormal"/>
    <w:next w:val="TableGrid"/>
    <w:uiPriority w:val="59"/>
    <w:rsid w:val="001673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8361">
      <w:bodyDiv w:val="1"/>
      <w:marLeft w:val="0"/>
      <w:marRight w:val="0"/>
      <w:marTop w:val="0"/>
      <w:marBottom w:val="0"/>
      <w:divBdr>
        <w:top w:val="none" w:sz="0" w:space="0" w:color="auto"/>
        <w:left w:val="none" w:sz="0" w:space="0" w:color="auto"/>
        <w:bottom w:val="none" w:sz="0" w:space="0" w:color="auto"/>
        <w:right w:val="none" w:sz="0" w:space="0" w:color="auto"/>
      </w:divBdr>
    </w:div>
    <w:div w:id="351422209">
      <w:bodyDiv w:val="1"/>
      <w:marLeft w:val="0"/>
      <w:marRight w:val="0"/>
      <w:marTop w:val="0"/>
      <w:marBottom w:val="0"/>
      <w:divBdr>
        <w:top w:val="none" w:sz="0" w:space="0" w:color="auto"/>
        <w:left w:val="none" w:sz="0" w:space="0" w:color="auto"/>
        <w:bottom w:val="none" w:sz="0" w:space="0" w:color="auto"/>
        <w:right w:val="none" w:sz="0" w:space="0" w:color="auto"/>
      </w:divBdr>
    </w:div>
    <w:div w:id="814758949">
      <w:bodyDiv w:val="1"/>
      <w:marLeft w:val="0"/>
      <w:marRight w:val="0"/>
      <w:marTop w:val="0"/>
      <w:marBottom w:val="0"/>
      <w:divBdr>
        <w:top w:val="none" w:sz="0" w:space="0" w:color="auto"/>
        <w:left w:val="none" w:sz="0" w:space="0" w:color="auto"/>
        <w:bottom w:val="none" w:sz="0" w:space="0" w:color="auto"/>
        <w:right w:val="none" w:sz="0" w:space="0" w:color="auto"/>
      </w:divBdr>
    </w:div>
    <w:div w:id="1019504386">
      <w:bodyDiv w:val="1"/>
      <w:marLeft w:val="0"/>
      <w:marRight w:val="0"/>
      <w:marTop w:val="0"/>
      <w:marBottom w:val="0"/>
      <w:divBdr>
        <w:top w:val="none" w:sz="0" w:space="0" w:color="auto"/>
        <w:left w:val="none" w:sz="0" w:space="0" w:color="auto"/>
        <w:bottom w:val="none" w:sz="0" w:space="0" w:color="auto"/>
        <w:right w:val="none" w:sz="0" w:space="0" w:color="auto"/>
      </w:divBdr>
    </w:div>
    <w:div w:id="21248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ndhost.co.uk/hse/aspx/Hom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s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aboutus/strategiesandplans/sector-strategies/index.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46EBD-88DE-4F84-B6AD-D2C0B4C3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4235</Words>
  <Characters>24145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Invitation to tender (public sector)</vt:lpstr>
    </vt:vector>
  </TitlesOfParts>
  <Company>Practical Law Company Ltd</Company>
  <LinksUpToDate>false</LinksUpToDate>
  <CharactersWithSpaces>28324</CharactersWithSpaces>
  <SharedDoc>false</SharedDoc>
  <HLinks>
    <vt:vector size="240" baseType="variant">
      <vt:variant>
        <vt:i4>7143463</vt:i4>
      </vt:variant>
      <vt:variant>
        <vt:i4>234</vt:i4>
      </vt:variant>
      <vt:variant>
        <vt:i4>0</vt:i4>
      </vt:variant>
      <vt:variant>
        <vt:i4>5</vt:i4>
      </vt:variant>
      <vt:variant>
        <vt:lpwstr>http://www.hse.gov.uk/</vt:lpwstr>
      </vt:variant>
      <vt:variant>
        <vt:lpwstr/>
      </vt:variant>
      <vt:variant>
        <vt:i4>917531</vt:i4>
      </vt:variant>
      <vt:variant>
        <vt:i4>231</vt:i4>
      </vt:variant>
      <vt:variant>
        <vt:i4>0</vt:i4>
      </vt:variant>
      <vt:variant>
        <vt:i4>5</vt:i4>
      </vt:variant>
      <vt:variant>
        <vt:lpwstr>http://www.hse.gov.uk/aboutus/strategiesandplans/sector-strategies/index.htm</vt:lpwstr>
      </vt:variant>
      <vt:variant>
        <vt:lpwstr/>
      </vt:variant>
      <vt:variant>
        <vt:i4>1507391</vt:i4>
      </vt:variant>
      <vt:variant>
        <vt:i4>224</vt:i4>
      </vt:variant>
      <vt:variant>
        <vt:i4>0</vt:i4>
      </vt:variant>
      <vt:variant>
        <vt:i4>5</vt:i4>
      </vt:variant>
      <vt:variant>
        <vt:lpwstr/>
      </vt:variant>
      <vt:variant>
        <vt:lpwstr>_Toc523410862</vt:lpwstr>
      </vt:variant>
      <vt:variant>
        <vt:i4>1507391</vt:i4>
      </vt:variant>
      <vt:variant>
        <vt:i4>218</vt:i4>
      </vt:variant>
      <vt:variant>
        <vt:i4>0</vt:i4>
      </vt:variant>
      <vt:variant>
        <vt:i4>5</vt:i4>
      </vt:variant>
      <vt:variant>
        <vt:lpwstr/>
      </vt:variant>
      <vt:variant>
        <vt:lpwstr>_Toc523410861</vt:lpwstr>
      </vt:variant>
      <vt:variant>
        <vt:i4>1507391</vt:i4>
      </vt:variant>
      <vt:variant>
        <vt:i4>212</vt:i4>
      </vt:variant>
      <vt:variant>
        <vt:i4>0</vt:i4>
      </vt:variant>
      <vt:variant>
        <vt:i4>5</vt:i4>
      </vt:variant>
      <vt:variant>
        <vt:lpwstr/>
      </vt:variant>
      <vt:variant>
        <vt:lpwstr>_Toc523410860</vt:lpwstr>
      </vt:variant>
      <vt:variant>
        <vt:i4>1310783</vt:i4>
      </vt:variant>
      <vt:variant>
        <vt:i4>206</vt:i4>
      </vt:variant>
      <vt:variant>
        <vt:i4>0</vt:i4>
      </vt:variant>
      <vt:variant>
        <vt:i4>5</vt:i4>
      </vt:variant>
      <vt:variant>
        <vt:lpwstr/>
      </vt:variant>
      <vt:variant>
        <vt:lpwstr>_Toc523410859</vt:lpwstr>
      </vt:variant>
      <vt:variant>
        <vt:i4>1310783</vt:i4>
      </vt:variant>
      <vt:variant>
        <vt:i4>200</vt:i4>
      </vt:variant>
      <vt:variant>
        <vt:i4>0</vt:i4>
      </vt:variant>
      <vt:variant>
        <vt:i4>5</vt:i4>
      </vt:variant>
      <vt:variant>
        <vt:lpwstr/>
      </vt:variant>
      <vt:variant>
        <vt:lpwstr>_Toc523410858</vt:lpwstr>
      </vt:variant>
      <vt:variant>
        <vt:i4>1310783</vt:i4>
      </vt:variant>
      <vt:variant>
        <vt:i4>194</vt:i4>
      </vt:variant>
      <vt:variant>
        <vt:i4>0</vt:i4>
      </vt:variant>
      <vt:variant>
        <vt:i4>5</vt:i4>
      </vt:variant>
      <vt:variant>
        <vt:lpwstr/>
      </vt:variant>
      <vt:variant>
        <vt:lpwstr>_Toc523410857</vt:lpwstr>
      </vt:variant>
      <vt:variant>
        <vt:i4>1310783</vt:i4>
      </vt:variant>
      <vt:variant>
        <vt:i4>188</vt:i4>
      </vt:variant>
      <vt:variant>
        <vt:i4>0</vt:i4>
      </vt:variant>
      <vt:variant>
        <vt:i4>5</vt:i4>
      </vt:variant>
      <vt:variant>
        <vt:lpwstr/>
      </vt:variant>
      <vt:variant>
        <vt:lpwstr>_Toc523410856</vt:lpwstr>
      </vt:variant>
      <vt:variant>
        <vt:i4>1310783</vt:i4>
      </vt:variant>
      <vt:variant>
        <vt:i4>182</vt:i4>
      </vt:variant>
      <vt:variant>
        <vt:i4>0</vt:i4>
      </vt:variant>
      <vt:variant>
        <vt:i4>5</vt:i4>
      </vt:variant>
      <vt:variant>
        <vt:lpwstr/>
      </vt:variant>
      <vt:variant>
        <vt:lpwstr>_Toc523410855</vt:lpwstr>
      </vt:variant>
      <vt:variant>
        <vt:i4>1310783</vt:i4>
      </vt:variant>
      <vt:variant>
        <vt:i4>176</vt:i4>
      </vt:variant>
      <vt:variant>
        <vt:i4>0</vt:i4>
      </vt:variant>
      <vt:variant>
        <vt:i4>5</vt:i4>
      </vt:variant>
      <vt:variant>
        <vt:lpwstr/>
      </vt:variant>
      <vt:variant>
        <vt:lpwstr>_Toc523410854</vt:lpwstr>
      </vt:variant>
      <vt:variant>
        <vt:i4>1310783</vt:i4>
      </vt:variant>
      <vt:variant>
        <vt:i4>170</vt:i4>
      </vt:variant>
      <vt:variant>
        <vt:i4>0</vt:i4>
      </vt:variant>
      <vt:variant>
        <vt:i4>5</vt:i4>
      </vt:variant>
      <vt:variant>
        <vt:lpwstr/>
      </vt:variant>
      <vt:variant>
        <vt:lpwstr>_Toc523410853</vt:lpwstr>
      </vt:variant>
      <vt:variant>
        <vt:i4>1310783</vt:i4>
      </vt:variant>
      <vt:variant>
        <vt:i4>164</vt:i4>
      </vt:variant>
      <vt:variant>
        <vt:i4>0</vt:i4>
      </vt:variant>
      <vt:variant>
        <vt:i4>5</vt:i4>
      </vt:variant>
      <vt:variant>
        <vt:lpwstr/>
      </vt:variant>
      <vt:variant>
        <vt:lpwstr>_Toc523410852</vt:lpwstr>
      </vt:variant>
      <vt:variant>
        <vt:i4>1310783</vt:i4>
      </vt:variant>
      <vt:variant>
        <vt:i4>158</vt:i4>
      </vt:variant>
      <vt:variant>
        <vt:i4>0</vt:i4>
      </vt:variant>
      <vt:variant>
        <vt:i4>5</vt:i4>
      </vt:variant>
      <vt:variant>
        <vt:lpwstr/>
      </vt:variant>
      <vt:variant>
        <vt:lpwstr>_Toc523410851</vt:lpwstr>
      </vt:variant>
      <vt:variant>
        <vt:i4>1310783</vt:i4>
      </vt:variant>
      <vt:variant>
        <vt:i4>152</vt:i4>
      </vt:variant>
      <vt:variant>
        <vt:i4>0</vt:i4>
      </vt:variant>
      <vt:variant>
        <vt:i4>5</vt:i4>
      </vt:variant>
      <vt:variant>
        <vt:lpwstr/>
      </vt:variant>
      <vt:variant>
        <vt:lpwstr>_Toc523410850</vt:lpwstr>
      </vt:variant>
      <vt:variant>
        <vt:i4>1376319</vt:i4>
      </vt:variant>
      <vt:variant>
        <vt:i4>146</vt:i4>
      </vt:variant>
      <vt:variant>
        <vt:i4>0</vt:i4>
      </vt:variant>
      <vt:variant>
        <vt:i4>5</vt:i4>
      </vt:variant>
      <vt:variant>
        <vt:lpwstr/>
      </vt:variant>
      <vt:variant>
        <vt:lpwstr>_Toc523410849</vt:lpwstr>
      </vt:variant>
      <vt:variant>
        <vt:i4>1376319</vt:i4>
      </vt:variant>
      <vt:variant>
        <vt:i4>140</vt:i4>
      </vt:variant>
      <vt:variant>
        <vt:i4>0</vt:i4>
      </vt:variant>
      <vt:variant>
        <vt:i4>5</vt:i4>
      </vt:variant>
      <vt:variant>
        <vt:lpwstr/>
      </vt:variant>
      <vt:variant>
        <vt:lpwstr>_Toc523410848</vt:lpwstr>
      </vt:variant>
      <vt:variant>
        <vt:i4>1376319</vt:i4>
      </vt:variant>
      <vt:variant>
        <vt:i4>134</vt:i4>
      </vt:variant>
      <vt:variant>
        <vt:i4>0</vt:i4>
      </vt:variant>
      <vt:variant>
        <vt:i4>5</vt:i4>
      </vt:variant>
      <vt:variant>
        <vt:lpwstr/>
      </vt:variant>
      <vt:variant>
        <vt:lpwstr>_Toc523410847</vt:lpwstr>
      </vt:variant>
      <vt:variant>
        <vt:i4>1376319</vt:i4>
      </vt:variant>
      <vt:variant>
        <vt:i4>128</vt:i4>
      </vt:variant>
      <vt:variant>
        <vt:i4>0</vt:i4>
      </vt:variant>
      <vt:variant>
        <vt:i4>5</vt:i4>
      </vt:variant>
      <vt:variant>
        <vt:lpwstr/>
      </vt:variant>
      <vt:variant>
        <vt:lpwstr>_Toc523410846</vt:lpwstr>
      </vt:variant>
      <vt:variant>
        <vt:i4>1376319</vt:i4>
      </vt:variant>
      <vt:variant>
        <vt:i4>122</vt:i4>
      </vt:variant>
      <vt:variant>
        <vt:i4>0</vt:i4>
      </vt:variant>
      <vt:variant>
        <vt:i4>5</vt:i4>
      </vt:variant>
      <vt:variant>
        <vt:lpwstr/>
      </vt:variant>
      <vt:variant>
        <vt:lpwstr>_Toc523410845</vt:lpwstr>
      </vt:variant>
      <vt:variant>
        <vt:i4>1376319</vt:i4>
      </vt:variant>
      <vt:variant>
        <vt:i4>116</vt:i4>
      </vt:variant>
      <vt:variant>
        <vt:i4>0</vt:i4>
      </vt:variant>
      <vt:variant>
        <vt:i4>5</vt:i4>
      </vt:variant>
      <vt:variant>
        <vt:lpwstr/>
      </vt:variant>
      <vt:variant>
        <vt:lpwstr>_Toc523410844</vt:lpwstr>
      </vt:variant>
      <vt:variant>
        <vt:i4>1376319</vt:i4>
      </vt:variant>
      <vt:variant>
        <vt:i4>110</vt:i4>
      </vt:variant>
      <vt:variant>
        <vt:i4>0</vt:i4>
      </vt:variant>
      <vt:variant>
        <vt:i4>5</vt:i4>
      </vt:variant>
      <vt:variant>
        <vt:lpwstr/>
      </vt:variant>
      <vt:variant>
        <vt:lpwstr>_Toc523410843</vt:lpwstr>
      </vt:variant>
      <vt:variant>
        <vt:i4>1376319</vt:i4>
      </vt:variant>
      <vt:variant>
        <vt:i4>104</vt:i4>
      </vt:variant>
      <vt:variant>
        <vt:i4>0</vt:i4>
      </vt:variant>
      <vt:variant>
        <vt:i4>5</vt:i4>
      </vt:variant>
      <vt:variant>
        <vt:lpwstr/>
      </vt:variant>
      <vt:variant>
        <vt:lpwstr>_Toc523410842</vt:lpwstr>
      </vt:variant>
      <vt:variant>
        <vt:i4>1376319</vt:i4>
      </vt:variant>
      <vt:variant>
        <vt:i4>98</vt:i4>
      </vt:variant>
      <vt:variant>
        <vt:i4>0</vt:i4>
      </vt:variant>
      <vt:variant>
        <vt:i4>5</vt:i4>
      </vt:variant>
      <vt:variant>
        <vt:lpwstr/>
      </vt:variant>
      <vt:variant>
        <vt:lpwstr>_Toc523410841</vt:lpwstr>
      </vt:variant>
      <vt:variant>
        <vt:i4>1376319</vt:i4>
      </vt:variant>
      <vt:variant>
        <vt:i4>92</vt:i4>
      </vt:variant>
      <vt:variant>
        <vt:i4>0</vt:i4>
      </vt:variant>
      <vt:variant>
        <vt:i4>5</vt:i4>
      </vt:variant>
      <vt:variant>
        <vt:lpwstr/>
      </vt:variant>
      <vt:variant>
        <vt:lpwstr>_Toc523410840</vt:lpwstr>
      </vt:variant>
      <vt:variant>
        <vt:i4>1179711</vt:i4>
      </vt:variant>
      <vt:variant>
        <vt:i4>86</vt:i4>
      </vt:variant>
      <vt:variant>
        <vt:i4>0</vt:i4>
      </vt:variant>
      <vt:variant>
        <vt:i4>5</vt:i4>
      </vt:variant>
      <vt:variant>
        <vt:lpwstr/>
      </vt:variant>
      <vt:variant>
        <vt:lpwstr>_Toc523410839</vt:lpwstr>
      </vt:variant>
      <vt:variant>
        <vt:i4>1179711</vt:i4>
      </vt:variant>
      <vt:variant>
        <vt:i4>80</vt:i4>
      </vt:variant>
      <vt:variant>
        <vt:i4>0</vt:i4>
      </vt:variant>
      <vt:variant>
        <vt:i4>5</vt:i4>
      </vt:variant>
      <vt:variant>
        <vt:lpwstr/>
      </vt:variant>
      <vt:variant>
        <vt:lpwstr>_Toc523410838</vt:lpwstr>
      </vt:variant>
      <vt:variant>
        <vt:i4>1179711</vt:i4>
      </vt:variant>
      <vt:variant>
        <vt:i4>74</vt:i4>
      </vt:variant>
      <vt:variant>
        <vt:i4>0</vt:i4>
      </vt:variant>
      <vt:variant>
        <vt:i4>5</vt:i4>
      </vt:variant>
      <vt:variant>
        <vt:lpwstr/>
      </vt:variant>
      <vt:variant>
        <vt:lpwstr>_Toc523410837</vt:lpwstr>
      </vt:variant>
      <vt:variant>
        <vt:i4>1179711</vt:i4>
      </vt:variant>
      <vt:variant>
        <vt:i4>68</vt:i4>
      </vt:variant>
      <vt:variant>
        <vt:i4>0</vt:i4>
      </vt:variant>
      <vt:variant>
        <vt:i4>5</vt:i4>
      </vt:variant>
      <vt:variant>
        <vt:lpwstr/>
      </vt:variant>
      <vt:variant>
        <vt:lpwstr>_Toc523410836</vt:lpwstr>
      </vt:variant>
      <vt:variant>
        <vt:i4>1179711</vt:i4>
      </vt:variant>
      <vt:variant>
        <vt:i4>62</vt:i4>
      </vt:variant>
      <vt:variant>
        <vt:i4>0</vt:i4>
      </vt:variant>
      <vt:variant>
        <vt:i4>5</vt:i4>
      </vt:variant>
      <vt:variant>
        <vt:lpwstr/>
      </vt:variant>
      <vt:variant>
        <vt:lpwstr>_Toc523410835</vt:lpwstr>
      </vt:variant>
      <vt:variant>
        <vt:i4>1179711</vt:i4>
      </vt:variant>
      <vt:variant>
        <vt:i4>56</vt:i4>
      </vt:variant>
      <vt:variant>
        <vt:i4>0</vt:i4>
      </vt:variant>
      <vt:variant>
        <vt:i4>5</vt:i4>
      </vt:variant>
      <vt:variant>
        <vt:lpwstr/>
      </vt:variant>
      <vt:variant>
        <vt:lpwstr>_Toc523410834</vt:lpwstr>
      </vt:variant>
      <vt:variant>
        <vt:i4>1179711</vt:i4>
      </vt:variant>
      <vt:variant>
        <vt:i4>50</vt:i4>
      </vt:variant>
      <vt:variant>
        <vt:i4>0</vt:i4>
      </vt:variant>
      <vt:variant>
        <vt:i4>5</vt:i4>
      </vt:variant>
      <vt:variant>
        <vt:lpwstr/>
      </vt:variant>
      <vt:variant>
        <vt:lpwstr>_Toc523410833</vt:lpwstr>
      </vt:variant>
      <vt:variant>
        <vt:i4>1179711</vt:i4>
      </vt:variant>
      <vt:variant>
        <vt:i4>44</vt:i4>
      </vt:variant>
      <vt:variant>
        <vt:i4>0</vt:i4>
      </vt:variant>
      <vt:variant>
        <vt:i4>5</vt:i4>
      </vt:variant>
      <vt:variant>
        <vt:lpwstr/>
      </vt:variant>
      <vt:variant>
        <vt:lpwstr>_Toc523410832</vt:lpwstr>
      </vt:variant>
      <vt:variant>
        <vt:i4>1179711</vt:i4>
      </vt:variant>
      <vt:variant>
        <vt:i4>38</vt:i4>
      </vt:variant>
      <vt:variant>
        <vt:i4>0</vt:i4>
      </vt:variant>
      <vt:variant>
        <vt:i4>5</vt:i4>
      </vt:variant>
      <vt:variant>
        <vt:lpwstr/>
      </vt:variant>
      <vt:variant>
        <vt:lpwstr>_Toc523410831</vt:lpwstr>
      </vt:variant>
      <vt:variant>
        <vt:i4>1179711</vt:i4>
      </vt:variant>
      <vt:variant>
        <vt:i4>32</vt:i4>
      </vt:variant>
      <vt:variant>
        <vt:i4>0</vt:i4>
      </vt:variant>
      <vt:variant>
        <vt:i4>5</vt:i4>
      </vt:variant>
      <vt:variant>
        <vt:lpwstr/>
      </vt:variant>
      <vt:variant>
        <vt:lpwstr>_Toc523410830</vt:lpwstr>
      </vt:variant>
      <vt:variant>
        <vt:i4>1245247</vt:i4>
      </vt:variant>
      <vt:variant>
        <vt:i4>26</vt:i4>
      </vt:variant>
      <vt:variant>
        <vt:i4>0</vt:i4>
      </vt:variant>
      <vt:variant>
        <vt:i4>5</vt:i4>
      </vt:variant>
      <vt:variant>
        <vt:lpwstr/>
      </vt:variant>
      <vt:variant>
        <vt:lpwstr>_Toc523410829</vt:lpwstr>
      </vt:variant>
      <vt:variant>
        <vt:i4>1245247</vt:i4>
      </vt:variant>
      <vt:variant>
        <vt:i4>20</vt:i4>
      </vt:variant>
      <vt:variant>
        <vt:i4>0</vt:i4>
      </vt:variant>
      <vt:variant>
        <vt:i4>5</vt:i4>
      </vt:variant>
      <vt:variant>
        <vt:lpwstr/>
      </vt:variant>
      <vt:variant>
        <vt:lpwstr>_Toc523410828</vt:lpwstr>
      </vt:variant>
      <vt:variant>
        <vt:i4>1245247</vt:i4>
      </vt:variant>
      <vt:variant>
        <vt:i4>14</vt:i4>
      </vt:variant>
      <vt:variant>
        <vt:i4>0</vt:i4>
      </vt:variant>
      <vt:variant>
        <vt:i4>5</vt:i4>
      </vt:variant>
      <vt:variant>
        <vt:lpwstr/>
      </vt:variant>
      <vt:variant>
        <vt:lpwstr>_Toc523410827</vt:lpwstr>
      </vt:variant>
      <vt:variant>
        <vt:i4>1245247</vt:i4>
      </vt:variant>
      <vt:variant>
        <vt:i4>8</vt:i4>
      </vt:variant>
      <vt:variant>
        <vt:i4>0</vt:i4>
      </vt:variant>
      <vt:variant>
        <vt:i4>5</vt:i4>
      </vt:variant>
      <vt:variant>
        <vt:lpwstr/>
      </vt:variant>
      <vt:variant>
        <vt:lpwstr>_Toc523410826</vt:lpwstr>
      </vt:variant>
      <vt:variant>
        <vt:i4>1245247</vt:i4>
      </vt:variant>
      <vt:variant>
        <vt:i4>2</vt:i4>
      </vt:variant>
      <vt:variant>
        <vt:i4>0</vt:i4>
      </vt:variant>
      <vt:variant>
        <vt:i4>5</vt:i4>
      </vt:variant>
      <vt:variant>
        <vt:lpwstr/>
      </vt:variant>
      <vt:variant>
        <vt:lpwstr>_Toc523410825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(public sector)</dc:title>
  <dc:creator>Practical Law Company</dc:creator>
  <cp:lastModifiedBy>Name</cp:lastModifiedBy>
  <cp:revision>3</cp:revision>
  <cp:lastPrinted>2019-11-19T11:27:00Z</cp:lastPrinted>
  <dcterms:created xsi:type="dcterms:W3CDTF">2020-01-03T08:34:00Z</dcterms:created>
  <dcterms:modified xsi:type="dcterms:W3CDTF">2020-01-03T08:42:00Z</dcterms:modified>
</cp:coreProperties>
</file>