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B926" w14:textId="77777777" w:rsidR="00CA079E" w:rsidRDefault="00CD7298">
      <w:pPr>
        <w:keepNext/>
        <w:pBdr>
          <w:top w:val="nil"/>
          <w:left w:val="nil"/>
          <w:bottom w:val="nil"/>
          <w:right w:val="nil"/>
          <w:between w:val="nil"/>
        </w:pBdr>
        <w:rPr>
          <w:rFonts w:eastAsia="Arial" w:cs="Arial"/>
          <w:b/>
          <w:color w:val="000000"/>
          <w:sz w:val="36"/>
          <w:szCs w:val="36"/>
        </w:rPr>
      </w:pPr>
      <w:bookmarkStart w:id="0" w:name="_heading=h.gjdgxs" w:colFirst="0" w:colLast="0"/>
      <w:bookmarkEnd w:id="0"/>
      <w:r>
        <w:rPr>
          <w:rFonts w:eastAsia="Arial" w:cs="Arial"/>
          <w:b/>
          <w:color w:val="000000"/>
          <w:sz w:val="36"/>
          <w:szCs w:val="36"/>
        </w:rPr>
        <w:t>Schedule 10 (Service Levels)</w:t>
      </w:r>
    </w:p>
    <w:p w14:paraId="7ADFE79A"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1" w:name="_heading=h.30j0zll" w:colFirst="0" w:colLast="0"/>
      <w:bookmarkEnd w:id="1"/>
      <w:r>
        <w:rPr>
          <w:rFonts w:ascii="Arial Bold" w:eastAsia="Arial Bold" w:hAnsi="Arial Bold" w:cs="Arial Bold"/>
          <w:b/>
          <w:color w:val="000000"/>
        </w:rPr>
        <w:t>Definitions</w:t>
      </w:r>
    </w:p>
    <w:p w14:paraId="7AC5086F" w14:textId="77777777" w:rsidR="00CA079E" w:rsidRDefault="00CD7298">
      <w:pPr>
        <w:keepNext/>
        <w:numPr>
          <w:ilvl w:val="1"/>
          <w:numId w:val="4"/>
        </w:numPr>
        <w:pBdr>
          <w:top w:val="nil"/>
          <w:left w:val="nil"/>
          <w:bottom w:val="nil"/>
          <w:right w:val="nil"/>
          <w:between w:val="nil"/>
        </w:pBdr>
        <w:spacing w:before="120" w:after="120" w:line="240" w:lineRule="auto"/>
      </w:pPr>
      <w:r>
        <w:rPr>
          <w:rFonts w:eastAsia="Arial" w:cs="Arial"/>
          <w:color w:val="000000"/>
        </w:rPr>
        <w:t>In this Schedule, the following words shall have the following meanings and they shall supplement Schedule 1 (Definitions):</w:t>
      </w:r>
    </w:p>
    <w:tbl>
      <w:tblPr>
        <w:tblStyle w:val="a"/>
        <w:tblW w:w="8422" w:type="dxa"/>
        <w:tblInd w:w="900" w:type="dxa"/>
        <w:tblLayout w:type="fixed"/>
        <w:tblLook w:val="0400" w:firstRow="0" w:lastRow="0" w:firstColumn="0" w:lastColumn="0" w:noHBand="0" w:noVBand="1"/>
      </w:tblPr>
      <w:tblGrid>
        <w:gridCol w:w="2469"/>
        <w:gridCol w:w="5953"/>
      </w:tblGrid>
      <w:tr w:rsidR="00CA079E" w14:paraId="3EEE0A52" w14:textId="77777777">
        <w:tc>
          <w:tcPr>
            <w:tcW w:w="2469" w:type="dxa"/>
            <w:shd w:val="clear" w:color="auto" w:fill="auto"/>
          </w:tcPr>
          <w:p w14:paraId="73E19683"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"Critical Service Level Failure"</w:t>
            </w:r>
          </w:p>
        </w:tc>
        <w:tc>
          <w:tcPr>
            <w:tcW w:w="5953" w:type="dxa"/>
            <w:shd w:val="clear" w:color="auto" w:fill="auto"/>
          </w:tcPr>
          <w:p w14:paraId="30581A19" w14:textId="77777777" w:rsidR="00CA079E" w:rsidRDefault="00CD7298" w:rsidP="00147AB8">
            <w:pPr>
              <w:pBdr>
                <w:top w:val="nil"/>
                <w:left w:val="nil"/>
                <w:bottom w:val="nil"/>
                <w:right w:val="nil"/>
                <w:between w:val="nil"/>
              </w:pBdr>
              <w:tabs>
                <w:tab w:val="left" w:pos="-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7F7D5095" w14:textId="77777777">
        <w:tc>
          <w:tcPr>
            <w:tcW w:w="2469" w:type="dxa"/>
            <w:shd w:val="clear" w:color="auto" w:fill="auto"/>
          </w:tcPr>
          <w:p w14:paraId="4D0ED271"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Credits"</w:t>
            </w:r>
          </w:p>
        </w:tc>
        <w:tc>
          <w:tcPr>
            <w:tcW w:w="5953" w:type="dxa"/>
            <w:shd w:val="clear" w:color="auto" w:fill="auto"/>
          </w:tcPr>
          <w:p w14:paraId="4CAC0D0C"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any service credits specified in the Annex to Part A of this Schedule being payable by the Supplier to the Buyer in respect of any failure by the Supplier to meet one or more Service Levels;</w:t>
            </w:r>
          </w:p>
        </w:tc>
      </w:tr>
      <w:tr w:rsidR="00CA079E" w14:paraId="1DEAB7EE" w14:textId="77777777">
        <w:trPr>
          <w:trHeight w:val="359"/>
        </w:trPr>
        <w:tc>
          <w:tcPr>
            <w:tcW w:w="2469" w:type="dxa"/>
            <w:shd w:val="clear" w:color="auto" w:fill="auto"/>
          </w:tcPr>
          <w:p w14:paraId="0589726C"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 Cap"</w:t>
            </w:r>
          </w:p>
        </w:tc>
        <w:tc>
          <w:tcPr>
            <w:tcW w:w="5953" w:type="dxa"/>
            <w:shd w:val="clear" w:color="auto" w:fill="auto"/>
          </w:tcPr>
          <w:p w14:paraId="04F74A51"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5BBC3D79" w14:textId="77777777">
        <w:tc>
          <w:tcPr>
            <w:tcW w:w="2469" w:type="dxa"/>
            <w:shd w:val="clear" w:color="auto" w:fill="auto"/>
          </w:tcPr>
          <w:p w14:paraId="509EE945"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Failure"</w:t>
            </w:r>
          </w:p>
        </w:tc>
        <w:tc>
          <w:tcPr>
            <w:tcW w:w="5953" w:type="dxa"/>
            <w:shd w:val="clear" w:color="auto" w:fill="auto"/>
          </w:tcPr>
          <w:p w14:paraId="7B67E4AA"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means a failure to meet the Service Level Performance Measure in respect of a Service Level;</w:t>
            </w:r>
          </w:p>
        </w:tc>
      </w:tr>
      <w:tr w:rsidR="00CA079E" w14:paraId="20366EB0" w14:textId="77777777">
        <w:tc>
          <w:tcPr>
            <w:tcW w:w="2469" w:type="dxa"/>
            <w:shd w:val="clear" w:color="auto" w:fill="auto"/>
          </w:tcPr>
          <w:p w14:paraId="5F8F4490"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Performance Measure"</w:t>
            </w:r>
          </w:p>
        </w:tc>
        <w:tc>
          <w:tcPr>
            <w:tcW w:w="5953" w:type="dxa"/>
            <w:shd w:val="clear" w:color="auto" w:fill="auto"/>
          </w:tcPr>
          <w:p w14:paraId="164640F3"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shall be as set out against the relevant Service Level in the Annex to Part A of this Schedule; and</w:t>
            </w:r>
          </w:p>
        </w:tc>
      </w:tr>
      <w:tr w:rsidR="00CA079E" w14:paraId="2BEDA632" w14:textId="77777777">
        <w:tc>
          <w:tcPr>
            <w:tcW w:w="2469" w:type="dxa"/>
            <w:shd w:val="clear" w:color="auto" w:fill="auto"/>
          </w:tcPr>
          <w:p w14:paraId="6341298E"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Threshold"</w:t>
            </w:r>
          </w:p>
        </w:tc>
        <w:tc>
          <w:tcPr>
            <w:tcW w:w="5953" w:type="dxa"/>
            <w:shd w:val="clear" w:color="auto" w:fill="auto"/>
          </w:tcPr>
          <w:p w14:paraId="55E421B3" w14:textId="76D25EFD"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 xml:space="preserve">shall be as set out against the relevant Service Level in the Annex to </w:t>
            </w:r>
            <w:r w:rsidRPr="00147AB8">
              <w:rPr>
                <w:rFonts w:eastAsia="Arial" w:cs="Arial"/>
                <w:color w:val="000000"/>
              </w:rPr>
              <w:t>Part </w:t>
            </w:r>
            <w:r w:rsidR="00147AB8">
              <w:rPr>
                <w:rFonts w:eastAsia="Arial" w:cs="Arial"/>
                <w:color w:val="000000"/>
              </w:rPr>
              <w:t>A</w:t>
            </w:r>
            <w:r>
              <w:rPr>
                <w:rFonts w:eastAsia="Arial" w:cs="Arial"/>
                <w:color w:val="000000"/>
              </w:rPr>
              <w:t xml:space="preserve"> of this Schedule.</w:t>
            </w:r>
          </w:p>
        </w:tc>
      </w:tr>
    </w:tbl>
    <w:p w14:paraId="570DA1A8" w14:textId="77777777" w:rsidR="00CA079E" w:rsidRDefault="00CD7298">
      <w:pPr>
        <w:keepNext/>
        <w:numPr>
          <w:ilvl w:val="0"/>
          <w:numId w:val="4"/>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 xml:space="preserve">What happens if you don’t meet the Service </w:t>
      </w:r>
      <w:proofErr w:type="gramStart"/>
      <w:r>
        <w:rPr>
          <w:rFonts w:eastAsia="Arial" w:cs="Arial"/>
          <w:b/>
          <w:color w:val="000000"/>
        </w:rPr>
        <w:t>Levels</w:t>
      </w:r>
      <w:proofErr w:type="gramEnd"/>
    </w:p>
    <w:p w14:paraId="40FF8D89"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 xml:space="preserve">The Supplier shall </w:t>
      </w:r>
      <w:proofErr w:type="gramStart"/>
      <w:r>
        <w:rPr>
          <w:rFonts w:eastAsia="Arial" w:cs="Arial"/>
          <w:color w:val="000000"/>
        </w:rPr>
        <w:t>at all times</w:t>
      </w:r>
      <w:proofErr w:type="gramEnd"/>
      <w:r>
        <w:rPr>
          <w:rFonts w:eastAsia="Arial" w:cs="Arial"/>
          <w:color w:val="000000"/>
        </w:rPr>
        <w:t xml:space="preserve"> provide the Deliverables to meet or exceed the Service Level Performance Measure for each Service Level.</w:t>
      </w:r>
    </w:p>
    <w:p w14:paraId="26E5A301"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Pr>
          <w:rFonts w:eastAsia="Arial" w:cs="Arial"/>
          <w:color w:val="000000"/>
        </w:rPr>
        <w:t>as a result of</w:t>
      </w:r>
      <w:proofErr w:type="gramEnd"/>
      <w:r>
        <w:rPr>
          <w:rFonts w:eastAsia="Arial" w:cs="Arial"/>
          <w:color w:val="000000"/>
        </w:rPr>
        <w:t xml:space="preserve"> the Supplier’s failure to meet any Service Level Performance Measure.</w:t>
      </w:r>
    </w:p>
    <w:p w14:paraId="52AB15DC"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Supplier shall send Performance Monitoring Reports to the Buyer detailing the level of service which was achieved in accordance with the provisions of Part B (Performance Monitoring) of this Schedule.</w:t>
      </w:r>
    </w:p>
    <w:p w14:paraId="0872711E"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A Service Credit shall be the Buyer’s exclusive financial remedy for a Service Level Failure except where:</w:t>
      </w:r>
    </w:p>
    <w:p w14:paraId="296A375C" w14:textId="617CC598" w:rsidR="00CA079E" w:rsidRDefault="00CD7298">
      <w:pPr>
        <w:numPr>
          <w:ilvl w:val="2"/>
          <w:numId w:val="4"/>
        </w:numPr>
        <w:pBdr>
          <w:top w:val="nil"/>
          <w:left w:val="nil"/>
          <w:bottom w:val="nil"/>
          <w:right w:val="nil"/>
          <w:between w:val="nil"/>
        </w:pBdr>
        <w:spacing w:before="120" w:after="120" w:line="240" w:lineRule="auto"/>
      </w:pPr>
      <w:r>
        <w:rPr>
          <w:rFonts w:eastAsia="Arial" w:cs="Arial"/>
          <w:color w:val="000000"/>
        </w:rPr>
        <w:t xml:space="preserve">the Supplier has over the previous twelve </w:t>
      </w:r>
      <w:r w:rsidR="00BE61DD">
        <w:rPr>
          <w:rFonts w:eastAsia="Arial" w:cs="Arial"/>
          <w:color w:val="000000"/>
        </w:rPr>
        <w:t>(</w:t>
      </w:r>
      <w:r>
        <w:rPr>
          <w:rFonts w:eastAsia="Arial" w:cs="Arial"/>
          <w:color w:val="000000"/>
        </w:rPr>
        <w:t>12</w:t>
      </w:r>
      <w:r w:rsidR="00BE61DD">
        <w:rPr>
          <w:rFonts w:eastAsia="Arial" w:cs="Arial"/>
          <w:color w:val="000000"/>
        </w:rPr>
        <w:t>)</w:t>
      </w:r>
      <w:r>
        <w:rPr>
          <w:rFonts w:eastAsia="Arial" w:cs="Arial"/>
          <w:color w:val="000000"/>
        </w:rPr>
        <w:t xml:space="preserve"> Month period exceeded the Service Credit Cap; and/or</w:t>
      </w:r>
    </w:p>
    <w:p w14:paraId="6ADA8562" w14:textId="77777777" w:rsidR="00CA079E" w:rsidRDefault="00CD7298">
      <w:pPr>
        <w:keepNext/>
        <w:numPr>
          <w:ilvl w:val="2"/>
          <w:numId w:val="4"/>
        </w:numPr>
        <w:pBdr>
          <w:top w:val="nil"/>
          <w:left w:val="nil"/>
          <w:bottom w:val="nil"/>
          <w:right w:val="nil"/>
          <w:between w:val="nil"/>
        </w:pBdr>
        <w:spacing w:before="120" w:after="120" w:line="240" w:lineRule="auto"/>
      </w:pPr>
      <w:r>
        <w:rPr>
          <w:rFonts w:eastAsia="Arial" w:cs="Arial"/>
          <w:color w:val="000000"/>
        </w:rPr>
        <w:t>the Service Level Failure:</w:t>
      </w:r>
    </w:p>
    <w:p w14:paraId="5C3BECF2" w14:textId="77777777" w:rsidR="00CA079E" w:rsidRDefault="00CD7298">
      <w:pPr>
        <w:numPr>
          <w:ilvl w:val="3"/>
          <w:numId w:val="4"/>
        </w:numPr>
        <w:pBdr>
          <w:top w:val="nil"/>
          <w:left w:val="nil"/>
          <w:bottom w:val="nil"/>
          <w:right w:val="nil"/>
          <w:between w:val="nil"/>
        </w:pBdr>
        <w:spacing w:before="120" w:after="120" w:line="240" w:lineRule="auto"/>
        <w:ind w:hanging="849"/>
      </w:pPr>
      <w:r>
        <w:rPr>
          <w:rFonts w:eastAsia="Arial" w:cs="Arial"/>
          <w:color w:val="000000"/>
        </w:rPr>
        <w:t xml:space="preserve">exceeds the relevant Service Level </w:t>
      </w:r>
      <w:proofErr w:type="gramStart"/>
      <w:r>
        <w:rPr>
          <w:rFonts w:eastAsia="Arial" w:cs="Arial"/>
          <w:color w:val="000000"/>
        </w:rPr>
        <w:t>Threshold;</w:t>
      </w:r>
      <w:proofErr w:type="gramEnd"/>
    </w:p>
    <w:p w14:paraId="01FDF2EF"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 xml:space="preserve">has arisen due to a Prohibited Act or wilful Default by the </w:t>
      </w:r>
      <w:proofErr w:type="gramStart"/>
      <w:r>
        <w:rPr>
          <w:rFonts w:eastAsia="Arial" w:cs="Arial"/>
          <w:color w:val="000000"/>
        </w:rPr>
        <w:t>Supplier;</w:t>
      </w:r>
      <w:proofErr w:type="gramEnd"/>
      <w:r>
        <w:rPr>
          <w:rFonts w:eastAsia="Arial" w:cs="Arial"/>
          <w:color w:val="000000"/>
        </w:rPr>
        <w:t xml:space="preserve"> </w:t>
      </w:r>
    </w:p>
    <w:p w14:paraId="065D6756"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lastRenderedPageBreak/>
        <w:t>results in the corruption or loss of any Government Data; and/or</w:t>
      </w:r>
    </w:p>
    <w:p w14:paraId="4851FDAD"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results in the Buyer being required to make a compensation payment to one or more third parties; and/or</w:t>
      </w:r>
    </w:p>
    <w:p w14:paraId="0C7D9F7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Buyer is also entitled to or does terminate this Contract pursuant to Clause 14.4 of the Core Terms (When the Buyer can end the contract).</w:t>
      </w:r>
    </w:p>
    <w:p w14:paraId="4A5C8488"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w:t>
      </w:r>
      <w:proofErr w:type="gramStart"/>
      <w:r>
        <w:rPr>
          <w:rFonts w:eastAsia="Arial" w:cs="Arial"/>
          <w:color w:val="000000"/>
        </w:rPr>
        <w:t>as a result of</w:t>
      </w:r>
      <w:proofErr w:type="gramEnd"/>
      <w:r>
        <w:rPr>
          <w:rFonts w:eastAsia="Arial" w:cs="Arial"/>
          <w:color w:val="000000"/>
        </w:rPr>
        <w:t xml:space="preserve"> such changes, provided that:</w:t>
      </w:r>
    </w:p>
    <w:p w14:paraId="5A55347D"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 xml:space="preserve">the total number of Service Levels for which the weighting is to be changed does not exceed the number applicable as at the Start </w:t>
      </w:r>
      <w:proofErr w:type="gramStart"/>
      <w:r>
        <w:rPr>
          <w:rFonts w:eastAsia="Arial" w:cs="Arial"/>
          <w:color w:val="000000"/>
        </w:rPr>
        <w:t>Date;</w:t>
      </w:r>
      <w:proofErr w:type="gramEnd"/>
      <w:r>
        <w:rPr>
          <w:rFonts w:eastAsia="Arial" w:cs="Arial"/>
          <w:color w:val="000000"/>
        </w:rPr>
        <w:t xml:space="preserve"> </w:t>
      </w:r>
    </w:p>
    <w:p w14:paraId="11CB8C82"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principal purpose of the change is to reflect changes in the Buyer's business requirements and/or priorities or to reflect changing industry standards; and</w:t>
      </w:r>
    </w:p>
    <w:p w14:paraId="48DA1CA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there is no change to the Service Credit Cap.</w:t>
      </w:r>
    </w:p>
    <w:p w14:paraId="728B4E06"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2" w:name="_heading=h.1fob9te" w:colFirst="0" w:colLast="0"/>
      <w:bookmarkStart w:id="3" w:name="_Ref141096171"/>
      <w:bookmarkEnd w:id="2"/>
      <w:r>
        <w:rPr>
          <w:rFonts w:ascii="Arial Bold" w:eastAsia="Arial Bold" w:hAnsi="Arial Bold" w:cs="Arial Bold"/>
          <w:b/>
          <w:color w:val="000000"/>
        </w:rPr>
        <w:t>Critical Service Level Failure</w:t>
      </w:r>
      <w:bookmarkEnd w:id="3"/>
    </w:p>
    <w:p w14:paraId="653D1DF6" w14:textId="77777777" w:rsidR="00CA079E" w:rsidRDefault="00CD7298" w:rsidP="00147AB8">
      <w:pPr>
        <w:keepNext/>
        <w:pBdr>
          <w:top w:val="nil"/>
          <w:left w:val="nil"/>
          <w:bottom w:val="nil"/>
          <w:right w:val="nil"/>
          <w:between w:val="nil"/>
        </w:pBdr>
        <w:spacing w:before="120" w:after="120" w:line="240" w:lineRule="auto"/>
        <w:ind w:left="907" w:hanging="547"/>
        <w:rPr>
          <w:rFonts w:eastAsia="Arial" w:cs="Arial"/>
          <w:color w:val="000000"/>
        </w:rPr>
      </w:pPr>
      <w:r>
        <w:rPr>
          <w:rFonts w:eastAsia="Arial" w:cs="Arial"/>
          <w:color w:val="000000"/>
        </w:rPr>
        <w:t>On the occurrence of a Critical Service Level Failure:</w:t>
      </w:r>
    </w:p>
    <w:p w14:paraId="74B341DA"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any Service Credits that would otherwise have accrued during the relevant Service Period shall not accrue; and</w:t>
      </w:r>
    </w:p>
    <w:p w14:paraId="1BF24015"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Buyer shall (subject to the Service Credit Cap) be entitled to withhold and retain as compensation a sum equal to any Charges which would otherwise have been due to the Supplier in respect of that Service Period ("</w:t>
      </w:r>
      <w:r>
        <w:rPr>
          <w:rFonts w:eastAsia="Arial" w:cs="Arial"/>
          <w:b/>
          <w:color w:val="000000"/>
        </w:rPr>
        <w:t>Compensation for Critical Service Level Failure</w:t>
      </w:r>
      <w:r>
        <w:rPr>
          <w:rFonts w:eastAsia="Arial" w:cs="Arial"/>
          <w:color w:val="000000"/>
        </w:rPr>
        <w:t>"),</w:t>
      </w:r>
    </w:p>
    <w:p w14:paraId="37913115" w14:textId="517CCD4C" w:rsidR="00CA079E" w:rsidRDefault="00CD7298" w:rsidP="00147AB8">
      <w:pPr>
        <w:pBdr>
          <w:top w:val="nil"/>
          <w:left w:val="nil"/>
          <w:bottom w:val="nil"/>
          <w:right w:val="nil"/>
          <w:between w:val="nil"/>
        </w:pBdr>
        <w:spacing w:before="120" w:after="120" w:line="240" w:lineRule="auto"/>
        <w:ind w:left="426"/>
        <w:rPr>
          <w:rFonts w:eastAsia="Arial" w:cs="Arial"/>
          <w:color w:val="000000"/>
        </w:rPr>
      </w:pPr>
      <w:r>
        <w:rPr>
          <w:rFonts w:eastAsia="Arial" w:cs="Arial"/>
          <w:color w:val="000000"/>
        </w:rPr>
        <w:t xml:space="preserve">provided that the operation of this Paragraph </w:t>
      </w:r>
      <w:r w:rsidR="00147AB8">
        <w:rPr>
          <w:rFonts w:eastAsia="Arial" w:cs="Arial"/>
          <w:color w:val="000000"/>
        </w:rPr>
        <w:fldChar w:fldCharType="begin"/>
      </w:r>
      <w:r w:rsidR="00147AB8">
        <w:rPr>
          <w:rFonts w:eastAsia="Arial" w:cs="Arial"/>
          <w:color w:val="000000"/>
        </w:rPr>
        <w:instrText xml:space="preserve"> REF _Ref141096171 \w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3</w:t>
      </w:r>
      <w:r w:rsidR="00147AB8">
        <w:rPr>
          <w:rFonts w:eastAsia="Arial" w:cs="Arial"/>
          <w:color w:val="000000"/>
        </w:rPr>
        <w:fldChar w:fldCharType="end"/>
      </w:r>
      <w:r>
        <w:rPr>
          <w:rFonts w:eastAsia="Arial" w:cs="Arial"/>
          <w:color w:val="000000"/>
        </w:rPr>
        <w:t xml:space="preserve"> shall be without prejudice to the right of the Buyer to terminate this Contract and/or to claim damages from the Supplier for </w:t>
      </w:r>
      <w:sdt>
        <w:sdtPr>
          <w:tag w:val="goog_rdk_0"/>
          <w:id w:val="-316338532"/>
        </w:sdtPr>
        <w:sdtEndPr/>
        <w:sdtContent>
          <w:r>
            <w:rPr>
              <w:rFonts w:eastAsia="Arial" w:cs="Arial"/>
              <w:color w:val="000000"/>
            </w:rPr>
            <w:t>M</w:t>
          </w:r>
        </w:sdtContent>
      </w:sdt>
      <w:r>
        <w:rPr>
          <w:rFonts w:eastAsia="Arial" w:cs="Arial"/>
          <w:color w:val="000000"/>
        </w:rPr>
        <w:t>aterial Default.</w:t>
      </w:r>
    </w:p>
    <w:p w14:paraId="5814C918" w14:textId="77777777" w:rsidR="00CA079E" w:rsidRDefault="00CA079E"/>
    <w:p w14:paraId="30738F16" w14:textId="77777777" w:rsidR="00CA079E" w:rsidRDefault="00CD7298">
      <w:pPr>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4" w:name="Part_A"/>
      <w:r w:rsidRPr="00147AB8">
        <w:rPr>
          <w:rFonts w:ascii="Arial Bold" w:eastAsia="Arial Bold" w:hAnsi="Arial Bold" w:cs="Arial Bold"/>
          <w:bCs/>
          <w:color w:val="000000"/>
          <w:sz w:val="36"/>
          <w:szCs w:val="36"/>
        </w:rPr>
        <w:t>A</w:t>
      </w:r>
      <w:bookmarkEnd w:id="4"/>
      <w:r>
        <w:rPr>
          <w:rFonts w:ascii="Arial Bold" w:eastAsia="Arial Bold" w:hAnsi="Arial Bold" w:cs="Arial Bold"/>
          <w:b/>
          <w:color w:val="000000"/>
          <w:sz w:val="36"/>
          <w:szCs w:val="36"/>
        </w:rPr>
        <w:t xml:space="preserve">: Service Levels and Service Credits </w:t>
      </w:r>
    </w:p>
    <w:p w14:paraId="5C451203"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Levels</w:t>
      </w:r>
    </w:p>
    <w:p w14:paraId="60D0E0D1" w14:textId="77777777" w:rsidR="00CA079E" w:rsidRDefault="00CD7298">
      <w:pPr>
        <w:keepNext/>
        <w:spacing w:before="120" w:after="120" w:line="240" w:lineRule="auto"/>
        <w:ind w:left="360"/>
      </w:pPr>
      <w:r>
        <w:t>If the level of performance of the Supplier:</w:t>
      </w:r>
    </w:p>
    <w:p w14:paraId="484DA910"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is likely to or fails to meet any Service Level Performance Measure; or</w:t>
      </w:r>
    </w:p>
    <w:p w14:paraId="665B9D4E"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 xml:space="preserve">is likely to cause or causes a Critical Service </w:t>
      </w:r>
      <w:sdt>
        <w:sdtPr>
          <w:tag w:val="goog_rdk_2"/>
          <w:id w:val="1864471787"/>
        </w:sdtPr>
        <w:sdtEndPr/>
        <w:sdtContent>
          <w:r>
            <w:rPr>
              <w:rFonts w:eastAsia="Arial" w:cs="Arial"/>
              <w:color w:val="000000"/>
            </w:rPr>
            <w:t xml:space="preserve">Level </w:t>
          </w:r>
        </w:sdtContent>
      </w:sdt>
      <w:r>
        <w:rPr>
          <w:rFonts w:eastAsia="Arial" w:cs="Arial"/>
          <w:color w:val="000000"/>
        </w:rPr>
        <w:t xml:space="preserve">Failure to occur, </w:t>
      </w:r>
    </w:p>
    <w:p w14:paraId="63AEB903" w14:textId="77777777" w:rsidR="00CA079E" w:rsidRDefault="00CD7298">
      <w:pPr>
        <w:keepNext/>
        <w:spacing w:before="120" w:after="120" w:line="240" w:lineRule="auto"/>
        <w:ind w:left="360"/>
      </w:pPr>
      <w:r>
        <w:t>the Supplier shall immediately notify the Buyer in writing and the Buyer, in its absolute discretion and without limiting any other of its rights, may:</w:t>
      </w:r>
    </w:p>
    <w:p w14:paraId="40FC95B6"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require the Supplier to immediately take all remedial action that is reasonable to mitigate the impact on the Buyer and to rectify or prevent a Service Level Failure or Critical Service Level Failure from taking place or </w:t>
      </w:r>
      <w:proofErr w:type="gramStart"/>
      <w:r>
        <w:t>recurring;</w:t>
      </w:r>
      <w:proofErr w:type="gramEnd"/>
      <w:r>
        <w:t xml:space="preserve"> </w:t>
      </w:r>
    </w:p>
    <w:p w14:paraId="350836FE"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instruct the Supplier to comply with the Rectification Plan </w:t>
      </w:r>
      <w:proofErr w:type="gramStart"/>
      <w:r>
        <w:t>Process;</w:t>
      </w:r>
      <w:proofErr w:type="gramEnd"/>
      <w:r>
        <w:t xml:space="preserve"> </w:t>
      </w:r>
    </w:p>
    <w:p w14:paraId="173279E1" w14:textId="107F765B"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if a Service Level Failure has occurred, deduct the applicable Service Credits payable by the Supplier to the Buyer; and/or</w:t>
      </w:r>
    </w:p>
    <w:p w14:paraId="067A6AC8" w14:textId="5B3A1C6F"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if a Critical Service Level Failure has occurred, exercise its right to Compensation for Critical Service Level Failure (including the right to terminate for </w:t>
      </w:r>
      <w:sdt>
        <w:sdtPr>
          <w:tag w:val="goog_rdk_4"/>
          <w:id w:val="-498503796"/>
        </w:sdtPr>
        <w:sdtEndPr/>
        <w:sdtContent>
          <w:r>
            <w:t>M</w:t>
          </w:r>
        </w:sdtContent>
      </w:sdt>
      <w:r>
        <w:t>aterial Default</w:t>
      </w:r>
      <w:sdt>
        <w:sdtPr>
          <w:tag w:val="goog_rdk_6"/>
          <w:id w:val="505324791"/>
        </w:sdtPr>
        <w:sdtEndPr/>
        <w:sdtContent>
          <w:r>
            <w:t xml:space="preserve"> and the consequences of termination in Clause 14.5.1 shall apply</w:t>
          </w:r>
        </w:sdtContent>
      </w:sdt>
      <w:r>
        <w:t>).</w:t>
      </w:r>
    </w:p>
    <w:p w14:paraId="215F3D6B" w14:textId="64F8D5F6"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Credits</w:t>
      </w:r>
      <w:r w:rsidR="00304DAA">
        <w:rPr>
          <w:rFonts w:ascii="Arial Bold" w:eastAsia="Arial Bold" w:hAnsi="Arial Bold" w:cs="Arial Bold"/>
          <w:b/>
          <w:color w:val="000000"/>
        </w:rPr>
        <w:t xml:space="preserve"> (not used)</w:t>
      </w:r>
    </w:p>
    <w:p w14:paraId="17E99BA2" w14:textId="77777777" w:rsidR="00CA079E" w:rsidRDefault="00CD7298">
      <w:pPr>
        <w:keepNext/>
        <w:pBdr>
          <w:top w:val="nil"/>
          <w:left w:val="nil"/>
          <w:bottom w:val="nil"/>
          <w:right w:val="nil"/>
          <w:between w:val="nil"/>
        </w:pBdr>
        <w:rPr>
          <w:rFonts w:ascii="Arial Bold" w:eastAsia="Arial Bold" w:hAnsi="Arial Bold" w:cs="Arial Bold"/>
          <w:b/>
          <w:color w:val="000000"/>
        </w:rPr>
      </w:pPr>
      <w:r>
        <w:br w:type="page"/>
      </w:r>
      <w:r>
        <w:rPr>
          <w:rFonts w:ascii="Arial Bold" w:eastAsia="Arial Bold" w:hAnsi="Arial Bold" w:cs="Arial Bold"/>
          <w:b/>
          <w:color w:val="000000"/>
          <w:sz w:val="36"/>
          <w:szCs w:val="36"/>
        </w:rPr>
        <w:lastRenderedPageBreak/>
        <w:t>Annex A to Part A: Service Levels and Service Credits Table</w:t>
      </w:r>
    </w:p>
    <w:tbl>
      <w:tblPr>
        <w:tblStyle w:val="TableGrid"/>
        <w:tblW w:w="9320" w:type="dxa"/>
        <w:tblInd w:w="31" w:type="dxa"/>
        <w:tblLayout w:type="fixed"/>
        <w:tblLook w:val="04A0" w:firstRow="1" w:lastRow="0" w:firstColumn="1" w:lastColumn="0" w:noHBand="0" w:noVBand="1"/>
      </w:tblPr>
      <w:tblGrid>
        <w:gridCol w:w="991"/>
        <w:gridCol w:w="3509"/>
        <w:gridCol w:w="3686"/>
        <w:gridCol w:w="1134"/>
      </w:tblGrid>
      <w:tr w:rsidR="00DB7BD9" w:rsidRPr="00DB7BD9" w14:paraId="316B6B48" w14:textId="77777777" w:rsidTr="00DB7BD9">
        <w:trPr>
          <w:trHeight w:val="366"/>
        </w:trPr>
        <w:tc>
          <w:tcPr>
            <w:tcW w:w="9320" w:type="dxa"/>
            <w:gridSpan w:val="4"/>
            <w:shd w:val="clear" w:color="auto" w:fill="BFBFBF" w:themeFill="background1" w:themeFillShade="BF"/>
          </w:tcPr>
          <w:p w14:paraId="49B4A003" w14:textId="28F8FE84" w:rsidR="00DB7BD9" w:rsidRPr="00DB7BD9" w:rsidRDefault="00DB7BD9" w:rsidP="00DB7BD9">
            <w:pPr>
              <w:ind w:left="37"/>
              <w:jc w:val="center"/>
              <w:rPr>
                <w:rFonts w:ascii="Arial" w:hAnsi="Arial" w:cs="Arial"/>
                <w:b/>
                <w:bCs/>
                <w:sz w:val="28"/>
                <w:szCs w:val="28"/>
              </w:rPr>
            </w:pPr>
            <w:r w:rsidRPr="00DB7BD9">
              <w:rPr>
                <w:b/>
                <w:bCs/>
                <w:sz w:val="28"/>
                <w:szCs w:val="28"/>
              </w:rPr>
              <w:t>Service Levels</w:t>
            </w:r>
          </w:p>
        </w:tc>
      </w:tr>
      <w:tr w:rsidR="00DB7BD9" w:rsidRPr="00DB7BD9" w14:paraId="4E898EA1" w14:textId="77777777" w:rsidTr="00DB7BD9">
        <w:trPr>
          <w:trHeight w:val="366"/>
        </w:trPr>
        <w:tc>
          <w:tcPr>
            <w:tcW w:w="991" w:type="dxa"/>
            <w:shd w:val="clear" w:color="auto" w:fill="BFBFBF" w:themeFill="background1" w:themeFillShade="BF"/>
          </w:tcPr>
          <w:p w14:paraId="1BA00A7A" w14:textId="77777777" w:rsidR="00DB7BD9" w:rsidRPr="00DB7BD9" w:rsidRDefault="00DB7BD9" w:rsidP="00B275EE">
            <w:pPr>
              <w:ind w:right="-56"/>
              <w:rPr>
                <w:rFonts w:ascii="Arial" w:hAnsi="Arial" w:cs="Arial"/>
                <w:b/>
                <w:bCs/>
                <w:sz w:val="22"/>
                <w:szCs w:val="22"/>
              </w:rPr>
            </w:pPr>
            <w:r w:rsidRPr="00DB7BD9">
              <w:rPr>
                <w:rFonts w:ascii="Arial" w:hAnsi="Arial" w:cs="Arial"/>
                <w:b/>
                <w:bCs/>
                <w:sz w:val="22"/>
                <w:szCs w:val="22"/>
              </w:rPr>
              <w:t>Index</w:t>
            </w:r>
          </w:p>
        </w:tc>
        <w:tc>
          <w:tcPr>
            <w:tcW w:w="3509" w:type="dxa"/>
            <w:shd w:val="clear" w:color="auto" w:fill="BFBFBF" w:themeFill="background1" w:themeFillShade="BF"/>
          </w:tcPr>
          <w:p w14:paraId="65BEB4B9" w14:textId="77777777" w:rsidR="00DB7BD9" w:rsidRPr="00DB7BD9" w:rsidRDefault="00DB7BD9" w:rsidP="00B275EE">
            <w:pPr>
              <w:ind w:left="17"/>
              <w:rPr>
                <w:rFonts w:ascii="Arial" w:hAnsi="Arial" w:cs="Arial"/>
                <w:b/>
                <w:bCs/>
                <w:sz w:val="22"/>
                <w:szCs w:val="22"/>
              </w:rPr>
            </w:pPr>
            <w:r w:rsidRPr="00DB7BD9">
              <w:rPr>
                <w:rFonts w:ascii="Arial" w:hAnsi="Arial" w:cs="Arial"/>
                <w:b/>
                <w:bCs/>
                <w:sz w:val="22"/>
                <w:szCs w:val="22"/>
              </w:rPr>
              <w:t>Performance Criterion</w:t>
            </w:r>
          </w:p>
        </w:tc>
        <w:tc>
          <w:tcPr>
            <w:tcW w:w="3686" w:type="dxa"/>
            <w:shd w:val="clear" w:color="auto" w:fill="BFBFBF" w:themeFill="background1" w:themeFillShade="BF"/>
          </w:tcPr>
          <w:p w14:paraId="60280535" w14:textId="77777777" w:rsidR="00DB7BD9" w:rsidRPr="00DB7BD9" w:rsidRDefault="00DB7BD9" w:rsidP="00B275EE">
            <w:pPr>
              <w:ind w:left="9"/>
              <w:rPr>
                <w:rFonts w:ascii="Arial" w:hAnsi="Arial" w:cs="Arial"/>
                <w:b/>
                <w:bCs/>
                <w:sz w:val="22"/>
                <w:szCs w:val="22"/>
              </w:rPr>
            </w:pPr>
            <w:r w:rsidRPr="00DB7BD9">
              <w:rPr>
                <w:rFonts w:ascii="Arial" w:hAnsi="Arial" w:cs="Arial"/>
                <w:b/>
                <w:bCs/>
                <w:sz w:val="22"/>
                <w:szCs w:val="22"/>
              </w:rPr>
              <w:t>Service Level Performance Measure</w:t>
            </w:r>
          </w:p>
        </w:tc>
        <w:tc>
          <w:tcPr>
            <w:tcW w:w="1134" w:type="dxa"/>
            <w:shd w:val="clear" w:color="auto" w:fill="BFBFBF" w:themeFill="background1" w:themeFillShade="BF"/>
          </w:tcPr>
          <w:p w14:paraId="7A5CA096" w14:textId="77777777" w:rsidR="00DB7BD9" w:rsidRPr="00DB7BD9" w:rsidRDefault="00DB7BD9" w:rsidP="00B275EE">
            <w:pPr>
              <w:ind w:left="37"/>
              <w:rPr>
                <w:rFonts w:ascii="Arial" w:hAnsi="Arial" w:cs="Arial"/>
                <w:b/>
                <w:bCs/>
                <w:sz w:val="22"/>
                <w:szCs w:val="22"/>
              </w:rPr>
            </w:pPr>
            <w:r w:rsidRPr="00DB7BD9">
              <w:rPr>
                <w:rFonts w:ascii="Arial" w:hAnsi="Arial" w:cs="Arial"/>
                <w:b/>
                <w:bCs/>
                <w:sz w:val="22"/>
                <w:szCs w:val="22"/>
              </w:rPr>
              <w:t>KPI target</w:t>
            </w:r>
          </w:p>
        </w:tc>
      </w:tr>
      <w:tr w:rsidR="00DB7BD9" w:rsidRPr="00DB7BD9" w14:paraId="4280A19D" w14:textId="77777777" w:rsidTr="00BC5DDC">
        <w:trPr>
          <w:trHeight w:val="366"/>
        </w:trPr>
        <w:tc>
          <w:tcPr>
            <w:tcW w:w="991" w:type="dxa"/>
          </w:tcPr>
          <w:p w14:paraId="00FF7AFB" w14:textId="77777777" w:rsidR="00BC5DDC" w:rsidRPr="00DB7BD9" w:rsidRDefault="00BC5DDC" w:rsidP="00BC5DDC">
            <w:pPr>
              <w:pStyle w:val="ListParagraph"/>
              <w:numPr>
                <w:ilvl w:val="0"/>
                <w:numId w:val="6"/>
              </w:numPr>
              <w:ind w:left="426" w:right="25"/>
              <w:rPr>
                <w:sz w:val="24"/>
                <w:szCs w:val="24"/>
              </w:rPr>
            </w:pPr>
          </w:p>
        </w:tc>
        <w:tc>
          <w:tcPr>
            <w:tcW w:w="3509" w:type="dxa"/>
          </w:tcPr>
          <w:p w14:paraId="641DB025" w14:textId="77777777" w:rsidR="00BC5DDC" w:rsidRPr="00DB7BD9" w:rsidRDefault="00BC5DDC" w:rsidP="00B275EE">
            <w:pPr>
              <w:ind w:left="17"/>
              <w:rPr>
                <w:rFonts w:ascii="Arial" w:hAnsi="Arial" w:cs="Arial"/>
              </w:rPr>
            </w:pPr>
            <w:r w:rsidRPr="00DB7BD9">
              <w:rPr>
                <w:rFonts w:ascii="Arial" w:hAnsi="Arial" w:cs="Arial"/>
              </w:rPr>
              <w:t>Platform availability</w:t>
            </w:r>
          </w:p>
        </w:tc>
        <w:tc>
          <w:tcPr>
            <w:tcW w:w="3686" w:type="dxa"/>
          </w:tcPr>
          <w:p w14:paraId="61FB67CA" w14:textId="77777777" w:rsidR="00BC5DDC" w:rsidRPr="00DB7BD9" w:rsidRDefault="00BC5DDC" w:rsidP="00B275EE">
            <w:pPr>
              <w:ind w:left="9"/>
              <w:rPr>
                <w:rFonts w:ascii="Arial" w:hAnsi="Arial" w:cs="Arial"/>
              </w:rPr>
            </w:pPr>
            <w:r w:rsidRPr="00DB7BD9">
              <w:rPr>
                <w:rFonts w:ascii="Arial" w:hAnsi="Arial" w:cs="Arial"/>
              </w:rPr>
              <w:t xml:space="preserve"> at all times </w:t>
            </w:r>
            <w:proofErr w:type="gramStart"/>
            <w:r w:rsidRPr="00DB7BD9">
              <w:rPr>
                <w:rFonts w:ascii="Arial" w:hAnsi="Arial" w:cs="Arial"/>
              </w:rPr>
              <w:t>i.e.</w:t>
            </w:r>
            <w:proofErr w:type="gramEnd"/>
            <w:r w:rsidRPr="00DB7BD9">
              <w:rPr>
                <w:rFonts w:ascii="Arial" w:hAnsi="Arial" w:cs="Arial"/>
              </w:rPr>
              <w:t xml:space="preserve"> 24 hours per day on every day of the year</w:t>
            </w:r>
          </w:p>
        </w:tc>
        <w:tc>
          <w:tcPr>
            <w:tcW w:w="1134" w:type="dxa"/>
          </w:tcPr>
          <w:p w14:paraId="04C9885A" w14:textId="77777777" w:rsidR="00BC5DDC" w:rsidRPr="00DB7BD9" w:rsidRDefault="00BC5DDC" w:rsidP="00B275EE">
            <w:pPr>
              <w:ind w:left="37"/>
              <w:rPr>
                <w:rFonts w:ascii="Arial" w:hAnsi="Arial" w:cs="Arial"/>
              </w:rPr>
            </w:pPr>
            <w:r w:rsidRPr="00DB7BD9">
              <w:rPr>
                <w:rFonts w:ascii="Arial" w:hAnsi="Arial" w:cs="Arial"/>
              </w:rPr>
              <w:t>99.9%</w:t>
            </w:r>
          </w:p>
        </w:tc>
      </w:tr>
      <w:tr w:rsidR="00DB7BD9" w:rsidRPr="00DB7BD9" w14:paraId="1A6613F4" w14:textId="77777777" w:rsidTr="00BC5DDC">
        <w:trPr>
          <w:trHeight w:val="366"/>
        </w:trPr>
        <w:tc>
          <w:tcPr>
            <w:tcW w:w="991" w:type="dxa"/>
          </w:tcPr>
          <w:p w14:paraId="5BC4D15C" w14:textId="77777777" w:rsidR="00BC5DDC" w:rsidRPr="00DB7BD9" w:rsidRDefault="00BC5DDC" w:rsidP="00BC5DDC">
            <w:pPr>
              <w:pStyle w:val="ListParagraph"/>
              <w:numPr>
                <w:ilvl w:val="0"/>
                <w:numId w:val="6"/>
              </w:numPr>
              <w:ind w:left="426" w:right="25"/>
              <w:rPr>
                <w:sz w:val="24"/>
                <w:szCs w:val="24"/>
              </w:rPr>
            </w:pPr>
          </w:p>
        </w:tc>
        <w:tc>
          <w:tcPr>
            <w:tcW w:w="3509" w:type="dxa"/>
          </w:tcPr>
          <w:p w14:paraId="28A0A1A5" w14:textId="77777777" w:rsidR="00BC5DDC" w:rsidRPr="00DB7BD9" w:rsidRDefault="00BC5DDC" w:rsidP="00B275EE">
            <w:pPr>
              <w:ind w:left="17"/>
              <w:rPr>
                <w:rFonts w:ascii="Arial" w:hAnsi="Arial" w:cs="Arial"/>
              </w:rPr>
            </w:pPr>
            <w:r w:rsidRPr="00DB7BD9">
              <w:rPr>
                <w:rFonts w:ascii="Arial" w:hAnsi="Arial" w:cs="Arial"/>
              </w:rPr>
              <w:t xml:space="preserve">Platform responsiveness </w:t>
            </w:r>
          </w:p>
        </w:tc>
        <w:tc>
          <w:tcPr>
            <w:tcW w:w="3686" w:type="dxa"/>
          </w:tcPr>
          <w:p w14:paraId="35660E02" w14:textId="77777777" w:rsidR="00BC5DDC" w:rsidRPr="00DB7BD9" w:rsidRDefault="00BC5DDC" w:rsidP="00B275EE">
            <w:pPr>
              <w:ind w:left="9"/>
              <w:rPr>
                <w:rFonts w:ascii="Arial" w:hAnsi="Arial" w:cs="Arial"/>
              </w:rPr>
            </w:pPr>
            <w:r w:rsidRPr="00DB7BD9">
              <w:rPr>
                <w:rFonts w:ascii="Arial" w:hAnsi="Arial" w:cs="Arial"/>
              </w:rPr>
              <w:t xml:space="preserve">An immediate (&lt;5 seconds) initial system response (e.g.  most responsive search results) to search terms entered by users. </w:t>
            </w:r>
          </w:p>
        </w:tc>
        <w:tc>
          <w:tcPr>
            <w:tcW w:w="1134" w:type="dxa"/>
          </w:tcPr>
          <w:p w14:paraId="27343F1D"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4D3947A8" w14:textId="77777777" w:rsidTr="00BC5DDC">
        <w:trPr>
          <w:trHeight w:val="366"/>
        </w:trPr>
        <w:tc>
          <w:tcPr>
            <w:tcW w:w="991" w:type="dxa"/>
          </w:tcPr>
          <w:p w14:paraId="59183801" w14:textId="77777777" w:rsidR="00BC5DDC" w:rsidRPr="00DB7BD9" w:rsidRDefault="00BC5DDC" w:rsidP="00BC5DDC">
            <w:pPr>
              <w:pStyle w:val="ListParagraph"/>
              <w:numPr>
                <w:ilvl w:val="0"/>
                <w:numId w:val="6"/>
              </w:numPr>
              <w:ind w:left="426" w:right="25"/>
              <w:rPr>
                <w:sz w:val="24"/>
                <w:szCs w:val="24"/>
              </w:rPr>
            </w:pPr>
          </w:p>
        </w:tc>
        <w:tc>
          <w:tcPr>
            <w:tcW w:w="3509" w:type="dxa"/>
          </w:tcPr>
          <w:p w14:paraId="11295954" w14:textId="77777777" w:rsidR="00BC5DDC" w:rsidRPr="00DB7BD9" w:rsidRDefault="00BC5DDC" w:rsidP="00B275EE">
            <w:pPr>
              <w:ind w:left="17"/>
              <w:rPr>
                <w:rFonts w:ascii="Arial" w:hAnsi="Arial" w:cs="Arial"/>
              </w:rPr>
            </w:pPr>
            <w:r w:rsidRPr="00DB7BD9">
              <w:rPr>
                <w:rFonts w:ascii="Arial" w:hAnsi="Arial" w:cs="Arial"/>
              </w:rPr>
              <w:t>Response to telephone queries</w:t>
            </w:r>
          </w:p>
        </w:tc>
        <w:tc>
          <w:tcPr>
            <w:tcW w:w="3686" w:type="dxa"/>
          </w:tcPr>
          <w:p w14:paraId="7A54B29F" w14:textId="77777777" w:rsidR="00BC5DDC" w:rsidRPr="00DB7BD9" w:rsidRDefault="00BC5DDC" w:rsidP="00B275EE">
            <w:pPr>
              <w:ind w:left="9"/>
              <w:rPr>
                <w:rFonts w:ascii="Arial" w:hAnsi="Arial" w:cs="Arial"/>
              </w:rPr>
            </w:pPr>
            <w:r w:rsidRPr="00DB7BD9">
              <w:rPr>
                <w:rFonts w:ascii="Arial" w:hAnsi="Arial" w:cs="Arial"/>
              </w:rPr>
              <w:t xml:space="preserve">Immediate telephone support available to the Authority 24/7 </w:t>
            </w:r>
          </w:p>
        </w:tc>
        <w:tc>
          <w:tcPr>
            <w:tcW w:w="1134" w:type="dxa"/>
          </w:tcPr>
          <w:p w14:paraId="1E556610" w14:textId="77777777" w:rsidR="00BC5DDC" w:rsidRPr="00DB7BD9" w:rsidRDefault="00BC5DDC" w:rsidP="00B275EE">
            <w:pPr>
              <w:ind w:left="37"/>
              <w:rPr>
                <w:rFonts w:ascii="Arial" w:hAnsi="Arial" w:cs="Arial"/>
              </w:rPr>
            </w:pPr>
            <w:r w:rsidRPr="00DB7BD9">
              <w:rPr>
                <w:rFonts w:ascii="Arial" w:hAnsi="Arial" w:cs="Arial"/>
              </w:rPr>
              <w:t>99%</w:t>
            </w:r>
          </w:p>
        </w:tc>
      </w:tr>
      <w:tr w:rsidR="00DB7BD9" w:rsidRPr="00DB7BD9" w14:paraId="7EFCAB18" w14:textId="77777777" w:rsidTr="00BC5DDC">
        <w:trPr>
          <w:trHeight w:val="366"/>
        </w:trPr>
        <w:tc>
          <w:tcPr>
            <w:tcW w:w="991" w:type="dxa"/>
          </w:tcPr>
          <w:p w14:paraId="297EDBB0" w14:textId="77777777" w:rsidR="00BC5DDC" w:rsidRPr="00DB7BD9" w:rsidRDefault="00BC5DDC" w:rsidP="00BC5DDC">
            <w:pPr>
              <w:pStyle w:val="ListParagraph"/>
              <w:numPr>
                <w:ilvl w:val="0"/>
                <w:numId w:val="6"/>
              </w:numPr>
              <w:ind w:left="426" w:right="25"/>
              <w:rPr>
                <w:sz w:val="24"/>
                <w:szCs w:val="24"/>
              </w:rPr>
            </w:pPr>
          </w:p>
        </w:tc>
        <w:tc>
          <w:tcPr>
            <w:tcW w:w="3509" w:type="dxa"/>
          </w:tcPr>
          <w:p w14:paraId="02BEB8BF" w14:textId="77777777" w:rsidR="00BC5DDC" w:rsidRPr="00DB7BD9" w:rsidRDefault="00BC5DDC" w:rsidP="00B275EE">
            <w:pPr>
              <w:ind w:left="17"/>
              <w:rPr>
                <w:rFonts w:ascii="Arial" w:hAnsi="Arial" w:cs="Arial"/>
              </w:rPr>
            </w:pPr>
            <w:r w:rsidRPr="00DB7BD9">
              <w:rPr>
                <w:rFonts w:ascii="Arial" w:hAnsi="Arial" w:cs="Arial"/>
              </w:rPr>
              <w:t>Response time to email enquiries</w:t>
            </w:r>
          </w:p>
        </w:tc>
        <w:tc>
          <w:tcPr>
            <w:tcW w:w="3686" w:type="dxa"/>
          </w:tcPr>
          <w:p w14:paraId="69C227A3" w14:textId="77777777" w:rsidR="00BC5DDC" w:rsidRPr="00DB7BD9" w:rsidRDefault="00BC5DDC" w:rsidP="00B275EE">
            <w:pPr>
              <w:ind w:left="9"/>
              <w:rPr>
                <w:rFonts w:ascii="Arial" w:hAnsi="Arial" w:cs="Arial"/>
              </w:rPr>
            </w:pPr>
            <w:r w:rsidRPr="00DB7BD9">
              <w:rPr>
                <w:rFonts w:ascii="Arial" w:hAnsi="Arial" w:cs="Arial"/>
              </w:rPr>
              <w:t>Within 1 working day of receipt</w:t>
            </w:r>
          </w:p>
        </w:tc>
        <w:tc>
          <w:tcPr>
            <w:tcW w:w="1134" w:type="dxa"/>
          </w:tcPr>
          <w:p w14:paraId="58779785"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7C98151D" w14:textId="77777777" w:rsidTr="00BC5DDC">
        <w:trPr>
          <w:trHeight w:val="366"/>
        </w:trPr>
        <w:tc>
          <w:tcPr>
            <w:tcW w:w="991" w:type="dxa"/>
          </w:tcPr>
          <w:p w14:paraId="3E3CB97F" w14:textId="77777777" w:rsidR="00BC5DDC" w:rsidRPr="00DB7BD9" w:rsidRDefault="00BC5DDC" w:rsidP="00BC5DDC">
            <w:pPr>
              <w:pStyle w:val="ListParagraph"/>
              <w:numPr>
                <w:ilvl w:val="0"/>
                <w:numId w:val="6"/>
              </w:numPr>
              <w:ind w:left="426" w:right="25"/>
              <w:rPr>
                <w:sz w:val="24"/>
                <w:szCs w:val="24"/>
              </w:rPr>
            </w:pPr>
          </w:p>
        </w:tc>
        <w:tc>
          <w:tcPr>
            <w:tcW w:w="3509" w:type="dxa"/>
          </w:tcPr>
          <w:p w14:paraId="3AA507B1" w14:textId="77777777" w:rsidR="00BC5DDC" w:rsidRPr="00DB7BD9" w:rsidRDefault="00BC5DDC" w:rsidP="00B275EE">
            <w:pPr>
              <w:ind w:left="17"/>
              <w:rPr>
                <w:rFonts w:ascii="Arial" w:hAnsi="Arial" w:cs="Arial"/>
              </w:rPr>
            </w:pPr>
            <w:r w:rsidRPr="00DB7BD9">
              <w:rPr>
                <w:rFonts w:ascii="Arial" w:hAnsi="Arial" w:cs="Arial"/>
              </w:rPr>
              <w:t>Resolution of email enquiries</w:t>
            </w:r>
          </w:p>
        </w:tc>
        <w:tc>
          <w:tcPr>
            <w:tcW w:w="3686" w:type="dxa"/>
          </w:tcPr>
          <w:p w14:paraId="6824E0DF" w14:textId="77777777" w:rsidR="00BC5DDC" w:rsidRPr="00DB7BD9" w:rsidRDefault="00BC5DDC" w:rsidP="00B275EE">
            <w:pPr>
              <w:ind w:left="9"/>
              <w:rPr>
                <w:rFonts w:ascii="Arial" w:hAnsi="Arial" w:cs="Arial"/>
              </w:rPr>
            </w:pPr>
            <w:r w:rsidRPr="00DB7BD9">
              <w:rPr>
                <w:rFonts w:ascii="Arial" w:hAnsi="Arial" w:cs="Arial"/>
              </w:rPr>
              <w:t>Within 4 working days of receipt</w:t>
            </w:r>
          </w:p>
        </w:tc>
        <w:tc>
          <w:tcPr>
            <w:tcW w:w="1134" w:type="dxa"/>
          </w:tcPr>
          <w:p w14:paraId="69D3C777"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65B6C2FC" w14:textId="77777777" w:rsidTr="00BC5DDC">
        <w:trPr>
          <w:trHeight w:val="366"/>
        </w:trPr>
        <w:tc>
          <w:tcPr>
            <w:tcW w:w="991" w:type="dxa"/>
          </w:tcPr>
          <w:p w14:paraId="716F0786" w14:textId="77777777" w:rsidR="00BC5DDC" w:rsidRPr="00DB7BD9" w:rsidRDefault="00BC5DDC" w:rsidP="00BC5DDC">
            <w:pPr>
              <w:pStyle w:val="ListParagraph"/>
              <w:numPr>
                <w:ilvl w:val="0"/>
                <w:numId w:val="6"/>
              </w:numPr>
              <w:ind w:left="426" w:right="25"/>
              <w:rPr>
                <w:sz w:val="24"/>
                <w:szCs w:val="24"/>
              </w:rPr>
            </w:pPr>
          </w:p>
        </w:tc>
        <w:tc>
          <w:tcPr>
            <w:tcW w:w="3509" w:type="dxa"/>
          </w:tcPr>
          <w:p w14:paraId="4B80819C" w14:textId="77777777" w:rsidR="00BC5DDC" w:rsidRPr="00DB7BD9" w:rsidRDefault="00BC5DDC" w:rsidP="00B275EE">
            <w:pPr>
              <w:ind w:left="17"/>
              <w:rPr>
                <w:rFonts w:ascii="Arial" w:hAnsi="Arial" w:cs="Arial"/>
              </w:rPr>
            </w:pPr>
            <w:r w:rsidRPr="00DB7BD9">
              <w:rPr>
                <w:rFonts w:ascii="Arial" w:hAnsi="Arial" w:cs="Arial"/>
              </w:rPr>
              <w:t>Acknowledgement of complaints</w:t>
            </w:r>
          </w:p>
        </w:tc>
        <w:tc>
          <w:tcPr>
            <w:tcW w:w="3686" w:type="dxa"/>
          </w:tcPr>
          <w:p w14:paraId="1BF92719" w14:textId="77777777" w:rsidR="00BC5DDC" w:rsidRPr="00DB7BD9" w:rsidRDefault="00BC5DDC" w:rsidP="00B275EE">
            <w:pPr>
              <w:ind w:left="9"/>
              <w:rPr>
                <w:rFonts w:ascii="Arial" w:hAnsi="Arial" w:cs="Arial"/>
              </w:rPr>
            </w:pPr>
            <w:r w:rsidRPr="00DB7BD9">
              <w:rPr>
                <w:rFonts w:ascii="Arial" w:hAnsi="Arial" w:cs="Arial"/>
              </w:rPr>
              <w:t>Within 1 working day of receipt</w:t>
            </w:r>
          </w:p>
        </w:tc>
        <w:tc>
          <w:tcPr>
            <w:tcW w:w="1134" w:type="dxa"/>
          </w:tcPr>
          <w:p w14:paraId="405DB35D"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3CDD0828" w14:textId="77777777" w:rsidTr="00BC5DDC">
        <w:trPr>
          <w:trHeight w:val="366"/>
        </w:trPr>
        <w:tc>
          <w:tcPr>
            <w:tcW w:w="991" w:type="dxa"/>
          </w:tcPr>
          <w:p w14:paraId="2F633356" w14:textId="77777777" w:rsidR="00BC5DDC" w:rsidRPr="00DB7BD9" w:rsidRDefault="00BC5DDC" w:rsidP="00BC5DDC">
            <w:pPr>
              <w:pStyle w:val="ListParagraph"/>
              <w:numPr>
                <w:ilvl w:val="0"/>
                <w:numId w:val="6"/>
              </w:numPr>
              <w:ind w:left="426" w:right="25"/>
              <w:rPr>
                <w:sz w:val="24"/>
                <w:szCs w:val="24"/>
              </w:rPr>
            </w:pPr>
          </w:p>
        </w:tc>
        <w:tc>
          <w:tcPr>
            <w:tcW w:w="3509" w:type="dxa"/>
          </w:tcPr>
          <w:p w14:paraId="0BB53267" w14:textId="77777777" w:rsidR="00BC5DDC" w:rsidRPr="00DB7BD9" w:rsidRDefault="00BC5DDC" w:rsidP="00B275EE">
            <w:pPr>
              <w:ind w:left="17"/>
              <w:rPr>
                <w:rFonts w:ascii="Arial" w:hAnsi="Arial" w:cs="Arial"/>
              </w:rPr>
            </w:pPr>
            <w:r w:rsidRPr="00DB7BD9">
              <w:rPr>
                <w:rFonts w:ascii="Arial" w:hAnsi="Arial" w:cs="Arial"/>
              </w:rPr>
              <w:t>Resolution of complaints</w:t>
            </w:r>
          </w:p>
        </w:tc>
        <w:tc>
          <w:tcPr>
            <w:tcW w:w="3686" w:type="dxa"/>
          </w:tcPr>
          <w:p w14:paraId="415B49D2" w14:textId="77777777" w:rsidR="00BC5DDC" w:rsidRPr="00DB7BD9" w:rsidRDefault="00BC5DDC" w:rsidP="00B275EE">
            <w:pPr>
              <w:ind w:left="9"/>
              <w:rPr>
                <w:rFonts w:ascii="Arial" w:hAnsi="Arial" w:cs="Arial"/>
              </w:rPr>
            </w:pPr>
            <w:r w:rsidRPr="00DB7BD9">
              <w:rPr>
                <w:rFonts w:ascii="Arial" w:hAnsi="Arial" w:cs="Arial"/>
              </w:rPr>
              <w:t>Within 5 working days of receipt</w:t>
            </w:r>
          </w:p>
        </w:tc>
        <w:tc>
          <w:tcPr>
            <w:tcW w:w="1134" w:type="dxa"/>
          </w:tcPr>
          <w:p w14:paraId="662BE42A"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7D257557" w14:textId="77777777" w:rsidTr="00BC5DDC">
        <w:trPr>
          <w:trHeight w:val="366"/>
        </w:trPr>
        <w:tc>
          <w:tcPr>
            <w:tcW w:w="991" w:type="dxa"/>
          </w:tcPr>
          <w:p w14:paraId="068ECBC3" w14:textId="77777777" w:rsidR="00BC5DDC" w:rsidRPr="00DB7BD9" w:rsidRDefault="00BC5DDC" w:rsidP="00BC5DDC">
            <w:pPr>
              <w:pStyle w:val="ListParagraph"/>
              <w:numPr>
                <w:ilvl w:val="0"/>
                <w:numId w:val="6"/>
              </w:numPr>
              <w:ind w:left="426" w:right="25"/>
              <w:rPr>
                <w:sz w:val="24"/>
                <w:szCs w:val="24"/>
              </w:rPr>
            </w:pPr>
          </w:p>
        </w:tc>
        <w:tc>
          <w:tcPr>
            <w:tcW w:w="3509" w:type="dxa"/>
          </w:tcPr>
          <w:p w14:paraId="2F2BBA87" w14:textId="77777777" w:rsidR="00BC5DDC" w:rsidRPr="00DB7BD9" w:rsidRDefault="00BC5DDC" w:rsidP="00B275EE">
            <w:pPr>
              <w:ind w:left="17"/>
              <w:rPr>
                <w:rFonts w:ascii="Arial" w:hAnsi="Arial" w:cs="Arial"/>
              </w:rPr>
            </w:pPr>
            <w:r w:rsidRPr="00DB7BD9">
              <w:rPr>
                <w:rFonts w:ascii="Arial" w:hAnsi="Arial" w:cs="Arial"/>
              </w:rPr>
              <w:t>Resolution of critical faults (any fault which is fatal or disables major functions of the Solution)</w:t>
            </w:r>
          </w:p>
        </w:tc>
        <w:tc>
          <w:tcPr>
            <w:tcW w:w="3686" w:type="dxa"/>
          </w:tcPr>
          <w:p w14:paraId="3B9F99D8" w14:textId="77777777" w:rsidR="00BC5DDC" w:rsidRPr="00DB7BD9" w:rsidRDefault="00BC5DDC" w:rsidP="00B275EE">
            <w:pPr>
              <w:ind w:left="9"/>
              <w:rPr>
                <w:rFonts w:ascii="Arial" w:hAnsi="Arial" w:cs="Arial"/>
              </w:rPr>
            </w:pPr>
            <w:r w:rsidRPr="00DB7BD9">
              <w:rPr>
                <w:rFonts w:ascii="Arial" w:hAnsi="Arial" w:cs="Arial"/>
              </w:rPr>
              <w:t xml:space="preserve">Within 5 hours of notification by the Authority </w:t>
            </w:r>
            <w:r w:rsidRPr="00DB7BD9">
              <w:rPr>
                <w:rFonts w:ascii="Tahoma" w:hAnsi="Tahoma" w:cs="Tahoma"/>
              </w:rPr>
              <w:t>(inclusive of weekends and bank holidays)</w:t>
            </w:r>
          </w:p>
        </w:tc>
        <w:tc>
          <w:tcPr>
            <w:tcW w:w="1134" w:type="dxa"/>
          </w:tcPr>
          <w:p w14:paraId="74DDD446"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2ACE3AE6" w14:textId="77777777" w:rsidTr="00BC5DDC">
        <w:trPr>
          <w:trHeight w:val="366"/>
        </w:trPr>
        <w:tc>
          <w:tcPr>
            <w:tcW w:w="991" w:type="dxa"/>
          </w:tcPr>
          <w:p w14:paraId="21138ACF" w14:textId="77777777" w:rsidR="00BC5DDC" w:rsidRPr="00DB7BD9" w:rsidRDefault="00BC5DDC" w:rsidP="00BC5DDC">
            <w:pPr>
              <w:pStyle w:val="ListParagraph"/>
              <w:numPr>
                <w:ilvl w:val="0"/>
                <w:numId w:val="6"/>
              </w:numPr>
              <w:ind w:left="426" w:right="25"/>
              <w:rPr>
                <w:sz w:val="24"/>
                <w:szCs w:val="24"/>
              </w:rPr>
            </w:pPr>
          </w:p>
        </w:tc>
        <w:tc>
          <w:tcPr>
            <w:tcW w:w="3509" w:type="dxa"/>
          </w:tcPr>
          <w:p w14:paraId="05C0F8F3" w14:textId="77777777" w:rsidR="00BC5DDC" w:rsidRPr="00DB7BD9" w:rsidRDefault="00BC5DDC" w:rsidP="00B275EE">
            <w:pPr>
              <w:ind w:left="17"/>
              <w:rPr>
                <w:rFonts w:ascii="Arial" w:hAnsi="Arial" w:cs="Arial"/>
              </w:rPr>
            </w:pPr>
            <w:r w:rsidRPr="00DB7BD9">
              <w:rPr>
                <w:rFonts w:ascii="Arial" w:hAnsi="Arial" w:cs="Arial"/>
              </w:rPr>
              <w:t>Resolution of important faults (a fault  that is affecting non-essential functions of the Solution)</w:t>
            </w:r>
          </w:p>
        </w:tc>
        <w:tc>
          <w:tcPr>
            <w:tcW w:w="3686" w:type="dxa"/>
          </w:tcPr>
          <w:p w14:paraId="571B3C45" w14:textId="77777777" w:rsidR="00BC5DDC" w:rsidRPr="00DB7BD9" w:rsidRDefault="00BC5DDC" w:rsidP="00B275EE">
            <w:pPr>
              <w:ind w:left="9"/>
              <w:rPr>
                <w:rFonts w:ascii="Arial" w:hAnsi="Arial" w:cs="Arial"/>
              </w:rPr>
            </w:pPr>
            <w:r w:rsidRPr="00DB7BD9">
              <w:rPr>
                <w:rFonts w:ascii="Arial" w:hAnsi="Arial" w:cs="Arial"/>
              </w:rPr>
              <w:t>Within 1 working day</w:t>
            </w:r>
          </w:p>
        </w:tc>
        <w:tc>
          <w:tcPr>
            <w:tcW w:w="1134" w:type="dxa"/>
          </w:tcPr>
          <w:p w14:paraId="4AE41389"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3095E98D" w14:textId="77777777" w:rsidTr="00BC5DDC">
        <w:trPr>
          <w:trHeight w:val="366"/>
        </w:trPr>
        <w:tc>
          <w:tcPr>
            <w:tcW w:w="991" w:type="dxa"/>
          </w:tcPr>
          <w:p w14:paraId="44B65203" w14:textId="77777777" w:rsidR="00BC5DDC" w:rsidRPr="00DB7BD9" w:rsidRDefault="00BC5DDC" w:rsidP="00BC5DDC">
            <w:pPr>
              <w:pStyle w:val="ListParagraph"/>
              <w:numPr>
                <w:ilvl w:val="0"/>
                <w:numId w:val="6"/>
              </w:numPr>
              <w:ind w:left="426" w:right="25"/>
              <w:rPr>
                <w:sz w:val="24"/>
                <w:szCs w:val="24"/>
              </w:rPr>
            </w:pPr>
          </w:p>
        </w:tc>
        <w:tc>
          <w:tcPr>
            <w:tcW w:w="3509" w:type="dxa"/>
          </w:tcPr>
          <w:p w14:paraId="2175095E" w14:textId="77777777" w:rsidR="00BC5DDC" w:rsidRPr="00DB7BD9" w:rsidRDefault="00BC5DDC" w:rsidP="00B275EE">
            <w:pPr>
              <w:ind w:left="17"/>
              <w:rPr>
                <w:rFonts w:ascii="Arial" w:hAnsi="Arial" w:cs="Arial"/>
              </w:rPr>
            </w:pPr>
            <w:r w:rsidRPr="00DB7BD9">
              <w:rPr>
                <w:rFonts w:ascii="Arial" w:hAnsi="Arial" w:cs="Arial"/>
              </w:rPr>
              <w:t>Resolution of minor faults (faults having a minimal impact on the usability of the Solution)</w:t>
            </w:r>
          </w:p>
        </w:tc>
        <w:tc>
          <w:tcPr>
            <w:tcW w:w="3686" w:type="dxa"/>
          </w:tcPr>
          <w:p w14:paraId="21F5318B" w14:textId="77777777" w:rsidR="00BC5DDC" w:rsidRPr="00DB7BD9" w:rsidRDefault="00BC5DDC" w:rsidP="00B275EE">
            <w:pPr>
              <w:ind w:left="9"/>
              <w:rPr>
                <w:rFonts w:ascii="Arial" w:hAnsi="Arial" w:cs="Arial"/>
              </w:rPr>
            </w:pPr>
            <w:r w:rsidRPr="00DB7BD9">
              <w:rPr>
                <w:rFonts w:ascii="Arial" w:hAnsi="Arial" w:cs="Arial"/>
              </w:rPr>
              <w:t>Within 3 working days</w:t>
            </w:r>
          </w:p>
        </w:tc>
        <w:tc>
          <w:tcPr>
            <w:tcW w:w="1134" w:type="dxa"/>
          </w:tcPr>
          <w:p w14:paraId="567A6588" w14:textId="77777777" w:rsidR="00BC5DDC" w:rsidRPr="00DB7BD9" w:rsidRDefault="00BC5DDC" w:rsidP="00B275EE">
            <w:pPr>
              <w:ind w:left="37"/>
              <w:rPr>
                <w:rFonts w:ascii="Arial" w:hAnsi="Arial" w:cs="Arial"/>
              </w:rPr>
            </w:pPr>
            <w:r w:rsidRPr="00DB7BD9">
              <w:rPr>
                <w:rFonts w:ascii="Arial" w:hAnsi="Arial" w:cs="Arial"/>
              </w:rPr>
              <w:t>95%</w:t>
            </w:r>
          </w:p>
        </w:tc>
      </w:tr>
      <w:tr w:rsidR="00DB7BD9" w:rsidRPr="00DB7BD9" w14:paraId="5888FEFE" w14:textId="77777777" w:rsidTr="00BC5DDC">
        <w:trPr>
          <w:trHeight w:val="366"/>
        </w:trPr>
        <w:tc>
          <w:tcPr>
            <w:tcW w:w="991" w:type="dxa"/>
          </w:tcPr>
          <w:p w14:paraId="022D8338" w14:textId="77777777" w:rsidR="00BC5DDC" w:rsidRPr="00DB7BD9" w:rsidRDefault="00BC5DDC" w:rsidP="00BC5DDC">
            <w:pPr>
              <w:pStyle w:val="ListParagraph"/>
              <w:numPr>
                <w:ilvl w:val="0"/>
                <w:numId w:val="6"/>
              </w:numPr>
              <w:ind w:left="426" w:right="25"/>
              <w:rPr>
                <w:sz w:val="24"/>
                <w:szCs w:val="24"/>
              </w:rPr>
            </w:pPr>
          </w:p>
        </w:tc>
        <w:tc>
          <w:tcPr>
            <w:tcW w:w="3509" w:type="dxa"/>
          </w:tcPr>
          <w:p w14:paraId="270FA947" w14:textId="77777777" w:rsidR="00BC5DDC" w:rsidRPr="00DB7BD9" w:rsidRDefault="00BC5DDC" w:rsidP="00B275EE">
            <w:pPr>
              <w:ind w:left="17"/>
              <w:rPr>
                <w:rFonts w:ascii="Arial" w:hAnsi="Arial" w:cs="Arial"/>
              </w:rPr>
            </w:pPr>
            <w:r w:rsidRPr="00DB7BD9">
              <w:rPr>
                <w:rFonts w:ascii="Arial" w:hAnsi="Arial" w:cs="Arial"/>
              </w:rPr>
              <w:t>Performance Management Information (MI) to be completed and delivered to the Authority, with evidence that data has been quality assured and MI is as accurate as possible.</w:t>
            </w:r>
          </w:p>
        </w:tc>
        <w:tc>
          <w:tcPr>
            <w:tcW w:w="3686" w:type="dxa"/>
          </w:tcPr>
          <w:p w14:paraId="1EDDC989" w14:textId="77777777" w:rsidR="00BC5DDC" w:rsidRPr="00DB7BD9" w:rsidRDefault="00BC5DDC" w:rsidP="00B275EE">
            <w:pPr>
              <w:ind w:left="9"/>
              <w:rPr>
                <w:rFonts w:ascii="Arial" w:hAnsi="Arial" w:cs="Arial"/>
              </w:rPr>
            </w:pPr>
            <w:r w:rsidRPr="00DB7BD9">
              <w:rPr>
                <w:rFonts w:ascii="Arial" w:hAnsi="Arial" w:cs="Arial"/>
              </w:rPr>
              <w:t>5th working day of the following month</w:t>
            </w:r>
          </w:p>
        </w:tc>
        <w:tc>
          <w:tcPr>
            <w:tcW w:w="1134" w:type="dxa"/>
          </w:tcPr>
          <w:p w14:paraId="3D8954DA" w14:textId="77777777" w:rsidR="00BC5DDC" w:rsidRPr="00DB7BD9" w:rsidRDefault="00BC5DDC" w:rsidP="00B275EE">
            <w:pPr>
              <w:ind w:left="37"/>
              <w:rPr>
                <w:rFonts w:ascii="Arial" w:hAnsi="Arial" w:cs="Arial"/>
              </w:rPr>
            </w:pPr>
            <w:r w:rsidRPr="00DB7BD9">
              <w:rPr>
                <w:rFonts w:ascii="Arial" w:hAnsi="Arial" w:cs="Arial"/>
              </w:rPr>
              <w:t>100%</w:t>
            </w:r>
          </w:p>
        </w:tc>
      </w:tr>
    </w:tbl>
    <w:p w14:paraId="28396A59" w14:textId="11284825" w:rsidR="00CA079E" w:rsidRDefault="00CD7298">
      <w:pPr>
        <w:spacing w:before="120" w:after="120" w:line="240" w:lineRule="auto"/>
      </w:pPr>
      <w:r>
        <w:t xml:space="preserve"> </w:t>
      </w:r>
    </w:p>
    <w:p w14:paraId="3AE6E957" w14:textId="77777777" w:rsidR="00AD7FCD" w:rsidRDefault="00AD7FCD">
      <w:pPr>
        <w:spacing w:after="0"/>
      </w:pPr>
    </w:p>
    <w:p w14:paraId="58A69052" w14:textId="77777777" w:rsidR="00AD7FCD" w:rsidRDefault="00AD7FCD">
      <w:pPr>
        <w:spacing w:after="0"/>
      </w:pPr>
    </w:p>
    <w:p w14:paraId="34FC71B7" w14:textId="77777777" w:rsidR="00AD7FCD" w:rsidRDefault="00AD7FCD">
      <w:pPr>
        <w:spacing w:after="0"/>
      </w:pPr>
    </w:p>
    <w:p w14:paraId="3D0AD397" w14:textId="77777777" w:rsidR="00AD7FCD" w:rsidRDefault="00AD7FCD">
      <w:pPr>
        <w:spacing w:after="0"/>
      </w:pPr>
    </w:p>
    <w:p w14:paraId="1153F386" w14:textId="77777777" w:rsidR="00AD7FCD" w:rsidRDefault="00AD7FCD">
      <w:pPr>
        <w:spacing w:after="0"/>
      </w:pPr>
    </w:p>
    <w:p w14:paraId="366C5E29" w14:textId="77777777" w:rsidR="00AD7FCD" w:rsidRDefault="00AD7FCD">
      <w:pPr>
        <w:spacing w:after="0"/>
      </w:pPr>
    </w:p>
    <w:p w14:paraId="2016FF4B" w14:textId="77777777" w:rsidR="00AD7FCD" w:rsidRDefault="00AD7FCD">
      <w:pPr>
        <w:spacing w:after="0"/>
      </w:pPr>
    </w:p>
    <w:p w14:paraId="6E1C6E41" w14:textId="77777777" w:rsidR="00AD7FCD" w:rsidRDefault="00AD7FCD">
      <w:pPr>
        <w:spacing w:after="0"/>
      </w:pPr>
    </w:p>
    <w:p w14:paraId="55E86BF7" w14:textId="77777777" w:rsidR="00AD7FCD" w:rsidRDefault="00AD7FCD">
      <w:pPr>
        <w:spacing w:after="0"/>
      </w:pPr>
    </w:p>
    <w:p w14:paraId="43F04E8C" w14:textId="77777777" w:rsidR="00AD7FCD" w:rsidRDefault="00AD7FCD">
      <w:pPr>
        <w:spacing w:after="0"/>
      </w:pPr>
    </w:p>
    <w:p w14:paraId="6CA623CC" w14:textId="77777777" w:rsidR="00AD7FCD" w:rsidRDefault="00AD7FCD">
      <w:pPr>
        <w:spacing w:after="0"/>
      </w:pPr>
    </w:p>
    <w:p w14:paraId="000D4B6C" w14:textId="77777777" w:rsidR="00AD7FCD" w:rsidRDefault="00AD7FCD">
      <w:pPr>
        <w:spacing w:after="0"/>
      </w:pPr>
    </w:p>
    <w:p w14:paraId="1014DCDE" w14:textId="77777777" w:rsidR="00AD7FCD" w:rsidRDefault="00AD7FCD">
      <w:pPr>
        <w:spacing w:after="0"/>
      </w:pPr>
    </w:p>
    <w:p w14:paraId="7B16EA18" w14:textId="77777777" w:rsidR="00AD7FCD" w:rsidRDefault="00AD7FCD">
      <w:pPr>
        <w:spacing w:after="0"/>
      </w:pPr>
    </w:p>
    <w:p w14:paraId="1FA58A80" w14:textId="77777777" w:rsidR="00AD7FCD" w:rsidRDefault="00AD7FCD">
      <w:pPr>
        <w:spacing w:after="0"/>
        <w:sectPr w:rsidR="00AD7FC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6B68E6D8" w14:textId="0B69F634" w:rsidR="00CA079E" w:rsidRPr="004C414A" w:rsidRDefault="004C414A">
      <w:pPr>
        <w:spacing w:after="0"/>
      </w:pPr>
      <w:r w:rsidRPr="004C414A">
        <w:lastRenderedPageBreak/>
        <w:t>Social Value</w:t>
      </w:r>
    </w:p>
    <w:p w14:paraId="0FB96677" w14:textId="77777777" w:rsidR="004C414A" w:rsidRPr="004C414A" w:rsidRDefault="004C414A">
      <w:pPr>
        <w:spacing w:after="0"/>
      </w:pPr>
    </w:p>
    <w:tbl>
      <w:tblPr>
        <w:tblW w:w="14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248"/>
        <w:gridCol w:w="2383"/>
        <w:gridCol w:w="2248"/>
        <w:gridCol w:w="2229"/>
        <w:gridCol w:w="1716"/>
        <w:gridCol w:w="1350"/>
      </w:tblGrid>
      <w:tr w:rsidR="00726FF1" w:rsidRPr="007C1EA6" w14:paraId="59835B91" w14:textId="77777777" w:rsidTr="00E04101">
        <w:trPr>
          <w:trHeight w:val="1500"/>
        </w:trPr>
        <w:tc>
          <w:tcPr>
            <w:tcW w:w="2320" w:type="dxa"/>
            <w:shd w:val="clear" w:color="009999" w:fill="009999"/>
            <w:vAlign w:val="center"/>
            <w:hideMark/>
          </w:tcPr>
          <w:p w14:paraId="0F45ABF7"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Commitment Title</w:t>
            </w:r>
          </w:p>
        </w:tc>
        <w:tc>
          <w:tcPr>
            <w:tcW w:w="2260" w:type="dxa"/>
            <w:shd w:val="clear" w:color="009999" w:fill="009999"/>
            <w:vAlign w:val="center"/>
            <w:hideMark/>
          </w:tcPr>
          <w:p w14:paraId="7EE2D275"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Commitment Description (What - will be delivered)</w:t>
            </w:r>
          </w:p>
        </w:tc>
        <w:tc>
          <w:tcPr>
            <w:tcW w:w="2400" w:type="dxa"/>
            <w:shd w:val="clear" w:color="009999" w:fill="009999"/>
            <w:vAlign w:val="center"/>
            <w:hideMark/>
          </w:tcPr>
          <w:p w14:paraId="5EB0C764"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Actions (How will the Commitment be delivered)</w:t>
            </w:r>
          </w:p>
        </w:tc>
        <w:tc>
          <w:tcPr>
            <w:tcW w:w="2260" w:type="dxa"/>
            <w:shd w:val="clear" w:color="009999" w:fill="009999"/>
            <w:vAlign w:val="center"/>
            <w:hideMark/>
          </w:tcPr>
          <w:p w14:paraId="3EDE2EF4"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 xml:space="preserve">Unit of Measurement </w:t>
            </w:r>
          </w:p>
        </w:tc>
        <w:tc>
          <w:tcPr>
            <w:tcW w:w="2240" w:type="dxa"/>
            <w:shd w:val="clear" w:color="009999" w:fill="009999"/>
            <w:vAlign w:val="center"/>
            <w:hideMark/>
          </w:tcPr>
          <w:p w14:paraId="6CBC287F"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Target(s) (Why - Benefits and Outcomes)</w:t>
            </w:r>
          </w:p>
        </w:tc>
        <w:tc>
          <w:tcPr>
            <w:tcW w:w="1720" w:type="dxa"/>
            <w:shd w:val="clear" w:color="009999" w:fill="009999"/>
            <w:vAlign w:val="center"/>
            <w:hideMark/>
          </w:tcPr>
          <w:p w14:paraId="096A7285"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Date/ Timescale for Completion (When)</w:t>
            </w:r>
          </w:p>
        </w:tc>
        <w:tc>
          <w:tcPr>
            <w:tcW w:w="1280" w:type="dxa"/>
            <w:shd w:val="clear" w:color="009999" w:fill="009999"/>
            <w:vAlign w:val="center"/>
            <w:hideMark/>
          </w:tcPr>
          <w:p w14:paraId="53B81ED3" w14:textId="77777777" w:rsidR="00726FF1" w:rsidRPr="007C1EA6" w:rsidRDefault="00726FF1" w:rsidP="00E04101">
            <w:pPr>
              <w:spacing w:after="0" w:line="240" w:lineRule="auto"/>
              <w:rPr>
                <w:rFonts w:eastAsia="Times New Roman" w:cs="Arial"/>
                <w:b/>
                <w:bCs/>
                <w:color w:val="FFFFFF"/>
                <w:lang w:eastAsia="en-GB"/>
              </w:rPr>
            </w:pPr>
            <w:r w:rsidRPr="007C1EA6">
              <w:rPr>
                <w:rFonts w:eastAsia="Times New Roman" w:cs="Arial"/>
                <w:b/>
                <w:bCs/>
                <w:color w:val="FFFFFF"/>
                <w:lang w:eastAsia="en-GB"/>
              </w:rPr>
              <w:t>Reporting Period</w:t>
            </w:r>
          </w:p>
        </w:tc>
      </w:tr>
      <w:tr w:rsidR="00726FF1" w:rsidRPr="007C1EA6" w14:paraId="3BAC9C9B" w14:textId="77777777" w:rsidTr="0030362B">
        <w:trPr>
          <w:trHeight w:val="699"/>
        </w:trPr>
        <w:tc>
          <w:tcPr>
            <w:tcW w:w="2320" w:type="dxa"/>
            <w:shd w:val="clear" w:color="auto" w:fill="auto"/>
            <w:hideMark/>
          </w:tcPr>
          <w:p w14:paraId="1F5CBE7E"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 xml:space="preserve"> Policy Outcome: For this contract how will you Increase supply chain resilience and capacity:</w:t>
            </w:r>
            <w:r w:rsidRPr="007C1EA6">
              <w:rPr>
                <w:rFonts w:ascii="Calibri" w:eastAsia="Times New Roman" w:hAnsi="Calibri" w:cs="Calibri"/>
                <w:color w:val="000000"/>
                <w:lang w:eastAsia="en-GB"/>
              </w:rPr>
              <w:br/>
              <w:t>MAC 3.3: Support the development of scalable and future-proofed new methods to modernise delivery and increase productivity.</w:t>
            </w:r>
          </w:p>
        </w:tc>
        <w:tc>
          <w:tcPr>
            <w:tcW w:w="2260" w:type="dxa"/>
            <w:shd w:val="clear" w:color="auto" w:fill="auto"/>
            <w:hideMark/>
          </w:tcPr>
          <w:p w14:paraId="4404A211"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To facilitate the development of scalable and future-proofed methods aimed at modernising delivery and boosting productivity, we will continue to maintain a close and strategic collaboration with our trusted cloud suppliers.</w:t>
            </w:r>
          </w:p>
        </w:tc>
        <w:tc>
          <w:tcPr>
            <w:tcW w:w="2400" w:type="dxa"/>
            <w:shd w:val="clear" w:color="auto" w:fill="auto"/>
            <w:hideMark/>
          </w:tcPr>
          <w:p w14:paraId="14B06F0F" w14:textId="2C2375B4" w:rsidR="00726FF1" w:rsidRDefault="00726FF1" w:rsidP="00726FF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our collaborative approach with cloud suppliers is underpinned by a structured and timed action plan, the use of relevant metrics, advanced tools and processes for data gathering, transparent reporting practices, a commitment to feedback-driven improvement, and unwavering transparency. These elements collectively contribute to the success of our joint efforts in developing scalable and future-</w:t>
            </w:r>
            <w:r w:rsidRPr="007C1EA6">
              <w:rPr>
                <w:rFonts w:ascii="Calibri" w:eastAsia="Times New Roman" w:hAnsi="Calibri" w:cs="Calibri"/>
                <w:color w:val="000000"/>
                <w:lang w:eastAsia="en-GB"/>
              </w:rPr>
              <w:lastRenderedPageBreak/>
              <w:t>proofed delivery methods.</w:t>
            </w:r>
          </w:p>
          <w:p w14:paraId="00CA4C28" w14:textId="64A7CEAB" w:rsidR="00726FF1" w:rsidRPr="00726FF1" w:rsidRDefault="00726FF1" w:rsidP="00726FF1">
            <w:pPr>
              <w:rPr>
                <w:rFonts w:ascii="Calibri" w:eastAsia="Times New Roman" w:hAnsi="Calibri" w:cs="Calibri"/>
                <w:lang w:eastAsia="en-GB"/>
              </w:rPr>
            </w:pPr>
          </w:p>
        </w:tc>
        <w:tc>
          <w:tcPr>
            <w:tcW w:w="2260" w:type="dxa"/>
            <w:shd w:val="clear" w:color="auto" w:fill="auto"/>
            <w:hideMark/>
          </w:tcPr>
          <w:p w14:paraId="6BD8562C"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lastRenderedPageBreak/>
              <w:t xml:space="preserve">We generate regular reports that encapsulate our progress, achievements, and areas for improvement. These reports are shared with our cloud suppliers and stakeholders to ensure alignment and foster a shared understanding of our </w:t>
            </w:r>
            <w:proofErr w:type="spellStart"/>
            <w:r w:rsidRPr="007C1EA6">
              <w:rPr>
                <w:rFonts w:ascii="Calibri" w:eastAsia="Times New Roman" w:hAnsi="Calibri" w:cs="Calibri"/>
                <w:color w:val="000000"/>
                <w:lang w:eastAsia="en-GB"/>
              </w:rPr>
              <w:t>endeavors</w:t>
            </w:r>
            <w:proofErr w:type="spellEnd"/>
            <w:r w:rsidRPr="007C1EA6">
              <w:rPr>
                <w:rFonts w:ascii="Calibri" w:eastAsia="Times New Roman" w:hAnsi="Calibri" w:cs="Calibri"/>
                <w:color w:val="000000"/>
                <w:lang w:eastAsia="en-GB"/>
              </w:rPr>
              <w:t>. They serve as a vital component of our reporting mechanism.</w:t>
            </w:r>
          </w:p>
        </w:tc>
        <w:tc>
          <w:tcPr>
            <w:tcW w:w="2240" w:type="dxa"/>
            <w:shd w:val="clear" w:color="auto" w:fill="auto"/>
            <w:hideMark/>
          </w:tcPr>
          <w:p w14:paraId="656EC64D"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The elements included in our current process collectively contribute to the future and present success of our joint efforts in developing scalable and future-proofed delivery methods.</w:t>
            </w:r>
          </w:p>
        </w:tc>
        <w:tc>
          <w:tcPr>
            <w:tcW w:w="1720" w:type="dxa"/>
            <w:shd w:val="clear" w:color="auto" w:fill="auto"/>
            <w:hideMark/>
          </w:tcPr>
          <w:p w14:paraId="65BA6823"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In process now and into the future.</w:t>
            </w:r>
          </w:p>
        </w:tc>
        <w:tc>
          <w:tcPr>
            <w:tcW w:w="1280" w:type="dxa"/>
            <w:shd w:val="clear" w:color="auto" w:fill="auto"/>
            <w:hideMark/>
          </w:tcPr>
          <w:p w14:paraId="3B3A03B2"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Annual</w:t>
            </w:r>
          </w:p>
        </w:tc>
      </w:tr>
      <w:tr w:rsidR="00726FF1" w:rsidRPr="007C1EA6" w14:paraId="56FCE4FA" w14:textId="77777777" w:rsidTr="00E04101">
        <w:trPr>
          <w:trHeight w:val="5835"/>
        </w:trPr>
        <w:tc>
          <w:tcPr>
            <w:tcW w:w="2320" w:type="dxa"/>
            <w:shd w:val="clear" w:color="auto" w:fill="auto"/>
            <w:hideMark/>
          </w:tcPr>
          <w:p w14:paraId="6800B116"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MAC2.3: Support educational attainment relevant to the Contract, including training schemes that address skills gaps and result in recognised qualifications.(</w:t>
            </w:r>
          </w:p>
        </w:tc>
        <w:tc>
          <w:tcPr>
            <w:tcW w:w="2260" w:type="dxa"/>
            <w:shd w:val="clear" w:color="auto" w:fill="auto"/>
            <w:hideMark/>
          </w:tcPr>
          <w:p w14:paraId="7D967D78"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By providing accessible learning resources, fostering industry collaboration, promoting diversity, and measuring impact, we aspire to empower individuals and contribute to economic recovery through cryptocurrency-related opportunities. Together, with our clients and partners we can build a brighter future for those affected by the pandemic.</w:t>
            </w:r>
          </w:p>
        </w:tc>
        <w:tc>
          <w:tcPr>
            <w:tcW w:w="2400" w:type="dxa"/>
            <w:shd w:val="clear" w:color="auto" w:fill="auto"/>
            <w:hideMark/>
          </w:tcPr>
          <w:p w14:paraId="115854B1"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 xml:space="preserve"> Utilizing our current best in industry Academy platform we will develop a user-friendly online portal offering educational resources, courses, and career guidance related to cryptocurrency and blockchain technology. This portal will serve as a one-stop destination for learners to access valuable content.</w:t>
            </w:r>
          </w:p>
        </w:tc>
        <w:tc>
          <w:tcPr>
            <w:tcW w:w="2260" w:type="dxa"/>
            <w:shd w:val="clear" w:color="auto" w:fill="auto"/>
            <w:hideMark/>
          </w:tcPr>
          <w:p w14:paraId="04B5B397"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Metrics and KPIs</w:t>
            </w:r>
          </w:p>
        </w:tc>
        <w:tc>
          <w:tcPr>
            <w:tcW w:w="2240" w:type="dxa"/>
            <w:shd w:val="clear" w:color="auto" w:fill="auto"/>
            <w:hideMark/>
          </w:tcPr>
          <w:p w14:paraId="49B75E8E"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By providing accessible learning resources, fostering industry collaboration, promoting diversity, and measuring impact, we aspire to empower individuals and contribute to economic recovery through cryptocurrency-related opportunities. Together, with our clients and partners we can build a brighter future for those affected by the pandemic.</w:t>
            </w:r>
          </w:p>
        </w:tc>
        <w:tc>
          <w:tcPr>
            <w:tcW w:w="1720" w:type="dxa"/>
            <w:shd w:val="clear" w:color="auto" w:fill="auto"/>
            <w:hideMark/>
          </w:tcPr>
          <w:p w14:paraId="1AB337FE"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1 year form onset.</w:t>
            </w:r>
          </w:p>
        </w:tc>
        <w:tc>
          <w:tcPr>
            <w:tcW w:w="1280" w:type="dxa"/>
            <w:shd w:val="clear" w:color="auto" w:fill="auto"/>
            <w:hideMark/>
          </w:tcPr>
          <w:p w14:paraId="6877CCE9" w14:textId="77777777" w:rsidR="00726FF1" w:rsidRPr="007C1EA6" w:rsidRDefault="00726FF1" w:rsidP="00E04101">
            <w:pPr>
              <w:spacing w:after="0" w:line="240" w:lineRule="auto"/>
              <w:rPr>
                <w:rFonts w:ascii="Calibri" w:eastAsia="Times New Roman" w:hAnsi="Calibri" w:cs="Calibri"/>
                <w:color w:val="000000"/>
                <w:lang w:eastAsia="en-GB"/>
              </w:rPr>
            </w:pPr>
            <w:r w:rsidRPr="007C1EA6">
              <w:rPr>
                <w:rFonts w:ascii="Calibri" w:eastAsia="Times New Roman" w:hAnsi="Calibri" w:cs="Calibri"/>
                <w:color w:val="000000"/>
                <w:lang w:eastAsia="en-GB"/>
              </w:rPr>
              <w:t>annually.</w:t>
            </w:r>
          </w:p>
        </w:tc>
      </w:tr>
    </w:tbl>
    <w:p w14:paraId="339B78D3" w14:textId="77777777" w:rsidR="00726FF1" w:rsidRDefault="00CD7298">
      <w:pPr>
        <w:keepNext/>
        <w:pBdr>
          <w:top w:val="nil"/>
          <w:left w:val="nil"/>
          <w:bottom w:val="nil"/>
          <w:right w:val="nil"/>
          <w:between w:val="nil"/>
        </w:pBdr>
        <w:sectPr w:rsidR="00726FF1" w:rsidSect="00AD7FCD">
          <w:pgSz w:w="16838" w:h="11906" w:orient="landscape"/>
          <w:pgMar w:top="1440" w:right="1440" w:bottom="1440" w:left="1440" w:header="709" w:footer="709" w:gutter="0"/>
          <w:pgNumType w:start="1"/>
          <w:cols w:space="720"/>
        </w:sectPr>
      </w:pPr>
      <w:r>
        <w:br w:type="page"/>
      </w:r>
    </w:p>
    <w:p w14:paraId="6467C011" w14:textId="77777777" w:rsidR="00CA079E" w:rsidRDefault="00CD72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w:t>
      </w:r>
      <w:bookmarkStart w:id="5" w:name="Part_B"/>
      <w:r w:rsidRPr="00147AB8">
        <w:rPr>
          <w:rFonts w:ascii="Arial Bold" w:eastAsia="Arial Bold" w:hAnsi="Arial Bold" w:cs="Arial Bold"/>
          <w:bCs/>
          <w:color w:val="000000"/>
          <w:sz w:val="36"/>
          <w:szCs w:val="36"/>
        </w:rPr>
        <w:t>B</w:t>
      </w:r>
      <w:bookmarkEnd w:id="5"/>
      <w:r>
        <w:rPr>
          <w:rFonts w:ascii="Arial Bold" w:eastAsia="Arial Bold" w:hAnsi="Arial Bold" w:cs="Arial Bold"/>
          <w:b/>
          <w:color w:val="000000"/>
          <w:sz w:val="36"/>
          <w:szCs w:val="36"/>
        </w:rPr>
        <w:t xml:space="preserve">: Performance Monitoring </w:t>
      </w:r>
    </w:p>
    <w:p w14:paraId="7B402D94" w14:textId="77777777" w:rsidR="00CA079E" w:rsidRDefault="00CD7298">
      <w:pPr>
        <w:keepNext/>
        <w:numPr>
          <w:ilvl w:val="0"/>
          <w:numId w:val="3"/>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Performance Monitoring and Performance Review</w:t>
      </w:r>
    </w:p>
    <w:p w14:paraId="68218C10" w14:textId="14877327" w:rsidR="00CA079E" w:rsidRDefault="00CD7298">
      <w:pPr>
        <w:numPr>
          <w:ilvl w:val="1"/>
          <w:numId w:val="3"/>
        </w:numPr>
        <w:pBdr>
          <w:top w:val="nil"/>
          <w:left w:val="nil"/>
          <w:bottom w:val="nil"/>
          <w:right w:val="nil"/>
          <w:between w:val="nil"/>
        </w:pBdr>
        <w:spacing w:before="120" w:after="120" w:line="240" w:lineRule="auto"/>
      </w:pPr>
      <w:bookmarkStart w:id="6" w:name="_Ref141096545"/>
      <w:r>
        <w:rPr>
          <w:rFonts w:eastAsia="Arial" w:cs="Arial"/>
          <w:color w:val="000000"/>
        </w:rPr>
        <w:t xml:space="preserve">Within twenty (20) Working Days of the </w:t>
      </w:r>
      <w:sdt>
        <w:sdtPr>
          <w:tag w:val="goog_rdk_7"/>
          <w:id w:val="-408533388"/>
        </w:sdtPr>
        <w:sdtEndPr/>
        <w:sdtContent>
          <w:r>
            <w:rPr>
              <w:rFonts w:eastAsia="Arial" w:cs="Arial"/>
              <w:color w:val="000000"/>
            </w:rPr>
            <w:t>Effective</w:t>
          </w:r>
        </w:sdtContent>
      </w:sdt>
      <w:r>
        <w:rPr>
          <w:rFonts w:eastAsia="Arial" w:cs="Arial"/>
          <w:color w:val="000000"/>
        </w:rPr>
        <w:t xml:space="preserve"> Date the Supplier shall provide the Buyer with details of how the process in respect of the monitoring and reporting of Service Levels will operate between the Parties and the Parties will endeavour to agree such process as soon as reasonably possible.</w:t>
      </w:r>
      <w:bookmarkEnd w:id="6"/>
    </w:p>
    <w:p w14:paraId="6A07210B" w14:textId="1B0D5A22"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Supplier shall provide the Buyer with performance monitoring reports ("</w:t>
      </w:r>
      <w:r>
        <w:rPr>
          <w:rFonts w:eastAsia="Arial" w:cs="Arial"/>
          <w:b/>
          <w:color w:val="000000"/>
        </w:rPr>
        <w:t>Performance Monitoring Reports</w:t>
      </w:r>
      <w:r>
        <w:rPr>
          <w:rFonts w:eastAsia="Arial" w:cs="Arial"/>
          <w:color w:val="000000"/>
        </w:rPr>
        <w:t xml:space="preserve">") in accordance with the process and timescales agreed pursuant to Paragraph </w:t>
      </w:r>
      <w:r w:rsidR="00147AB8">
        <w:rPr>
          <w:rFonts w:eastAsia="Arial" w:cs="Arial"/>
          <w:color w:val="000000"/>
        </w:rPr>
        <w:fldChar w:fldCharType="begin"/>
      </w:r>
      <w:r w:rsidR="00147AB8">
        <w:rPr>
          <w:rFonts w:eastAsia="Arial" w:cs="Arial"/>
          <w:color w:val="000000"/>
        </w:rPr>
        <w:instrText xml:space="preserve"> REF _Ref141096545 \n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1.1</w:t>
      </w:r>
      <w:r w:rsidR="00147AB8">
        <w:rPr>
          <w:rFonts w:eastAsia="Arial" w:cs="Arial"/>
          <w:color w:val="000000"/>
        </w:rPr>
        <w:fldChar w:fldCharType="end"/>
      </w:r>
      <w:r>
        <w:rPr>
          <w:rFonts w:eastAsia="Arial" w:cs="Arial"/>
          <w:color w:val="000000"/>
        </w:rPr>
        <w:t xml:space="preserve"> of </w:t>
      </w:r>
      <w:r w:rsidRPr="00147AB8">
        <w:rPr>
          <w:rFonts w:eastAsia="Arial" w:cs="Arial"/>
          <w:color w:val="000000"/>
        </w:rPr>
        <w:t>Part</w:t>
      </w:r>
      <w:r w:rsidR="00147AB8">
        <w:rPr>
          <w:rFonts w:eastAsia="Arial" w:cs="Arial"/>
          <w:color w:val="000000"/>
        </w:rPr>
        <w:t xml:space="preserve"> B</w:t>
      </w:r>
      <w:r w:rsidRPr="00147AB8">
        <w:rPr>
          <w:rFonts w:eastAsia="Arial" w:cs="Arial"/>
          <w:color w:val="000000"/>
        </w:rPr>
        <w:t xml:space="preserve"> of</w:t>
      </w:r>
      <w:r>
        <w:rPr>
          <w:rFonts w:eastAsia="Arial" w:cs="Arial"/>
          <w:color w:val="000000"/>
        </w:rPr>
        <w:t xml:space="preserve"> this Schedule which shall contain, as a minimum, the following information in respect of the relevant Service Period just ended:</w:t>
      </w:r>
    </w:p>
    <w:p w14:paraId="2E8B9E08"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for each Service Level, the actual performance achieved over the Service Level for the relevant Service </w:t>
      </w:r>
      <w:proofErr w:type="gramStart"/>
      <w:r>
        <w:rPr>
          <w:rFonts w:eastAsia="Arial" w:cs="Arial"/>
          <w:color w:val="000000"/>
        </w:rPr>
        <w:t>Period;</w:t>
      </w:r>
      <w:proofErr w:type="gramEnd"/>
    </w:p>
    <w:p w14:paraId="3D3A562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a summary of all failures to achieve Service Levels that occurred during that Service </w:t>
      </w:r>
      <w:proofErr w:type="gramStart"/>
      <w:r>
        <w:rPr>
          <w:rFonts w:eastAsia="Arial" w:cs="Arial"/>
          <w:color w:val="000000"/>
        </w:rPr>
        <w:t>Period;</w:t>
      </w:r>
      <w:proofErr w:type="gramEnd"/>
    </w:p>
    <w:p w14:paraId="0206CC77"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details of any Critical Service Level </w:t>
      </w:r>
      <w:proofErr w:type="gramStart"/>
      <w:r>
        <w:rPr>
          <w:rFonts w:eastAsia="Arial" w:cs="Arial"/>
          <w:color w:val="000000"/>
        </w:rPr>
        <w:t>Failures;</w:t>
      </w:r>
      <w:proofErr w:type="gramEnd"/>
    </w:p>
    <w:p w14:paraId="59DEA59B"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for any repeat failures, actions taken to resolve the underlying cause and prevent </w:t>
      </w:r>
      <w:proofErr w:type="gramStart"/>
      <w:r>
        <w:rPr>
          <w:rFonts w:eastAsia="Arial" w:cs="Arial"/>
          <w:color w:val="000000"/>
        </w:rPr>
        <w:t>recurrence;</w:t>
      </w:r>
      <w:proofErr w:type="gramEnd"/>
    </w:p>
    <w:p w14:paraId="4D8403E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the Service Credits to be applied in respect of the relevant period indicating the failures and Service Levels to which the Service Credits relate; and</w:t>
      </w:r>
    </w:p>
    <w:p w14:paraId="5C958DAD"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such other details as the Buyer may reasonably require from time to time.</w:t>
      </w:r>
    </w:p>
    <w:p w14:paraId="706915DD" w14:textId="77777777"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Parties shall attend meetings to discuss Performance Monitoring Reports ("</w:t>
      </w:r>
      <w:r>
        <w:rPr>
          <w:rFonts w:eastAsia="Arial" w:cs="Arial"/>
          <w:b/>
          <w:color w:val="000000"/>
        </w:rPr>
        <w:t>Performance Review Meetings</w:t>
      </w:r>
      <w:r>
        <w:rPr>
          <w:rFonts w:eastAsia="Arial" w:cs="Arial"/>
          <w:color w:val="000000"/>
        </w:rPr>
        <w:t>") on a Monthly basis. The Performance Review Meetings will be the forum for the review by the Supplier and the Buyer of the Performance Monitoring Reports.  The Performance Review Meetings shall:</w:t>
      </w:r>
    </w:p>
    <w:p w14:paraId="0A78AE55"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take place within one (1) week of the Performance Monitoring Reports being issued by the Supplier at such location and time (within normal business hours) as the Buyer shall reasonably </w:t>
      </w:r>
      <w:proofErr w:type="gramStart"/>
      <w:r>
        <w:rPr>
          <w:rFonts w:eastAsia="Arial" w:cs="Arial"/>
          <w:color w:val="000000"/>
        </w:rPr>
        <w:t>require;</w:t>
      </w:r>
      <w:proofErr w:type="gramEnd"/>
    </w:p>
    <w:p w14:paraId="52C4ADD9"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be attended by the Supplier's Representative and the Buyer’s Representative; and</w:t>
      </w:r>
    </w:p>
    <w:p w14:paraId="5E4E35CC"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be fully </w:t>
      </w:r>
      <w:proofErr w:type="spellStart"/>
      <w:r>
        <w:rPr>
          <w:rFonts w:eastAsia="Arial" w:cs="Arial"/>
          <w:color w:val="000000"/>
        </w:rPr>
        <w:t>minuted</w:t>
      </w:r>
      <w:proofErr w:type="spellEnd"/>
      <w:r>
        <w:rPr>
          <w:rFonts w:eastAsia="Arial" w:cs="Arial"/>
          <w:color w:val="000000"/>
        </w:rPr>
        <w:t xml:space="preserve"> by the Supplier and the minutes will be circulated by the Supplier to all attendees at the relevant meeting </w:t>
      </w:r>
      <w:proofErr w:type="gramStart"/>
      <w:r>
        <w:rPr>
          <w:rFonts w:eastAsia="Arial" w:cs="Arial"/>
          <w:color w:val="000000"/>
        </w:rPr>
        <w:t>and also</w:t>
      </w:r>
      <w:proofErr w:type="gramEnd"/>
      <w:r>
        <w:rPr>
          <w:rFonts w:eastAsia="Arial" w:cs="Arial"/>
          <w:color w:val="000000"/>
        </w:rPr>
        <w:t xml:space="preserve"> to the Buyer’s Representative and any other recipients agreed at the relevant meeting.  </w:t>
      </w:r>
    </w:p>
    <w:p w14:paraId="7972B663"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t>The minutes of the preceding Month's Performance Review Meeting will be agreed and signed by both the Supplier's Representative and the Buyer’s Representative at each meeting.</w:t>
      </w:r>
    </w:p>
    <w:p w14:paraId="40CBE7A8"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lastRenderedPageBreak/>
        <w:t xml:space="preserve">The Supplier shall provide to the Buyer such documentation as the Buyer may reasonably require </w:t>
      </w:r>
      <w:proofErr w:type="gramStart"/>
      <w:r>
        <w:rPr>
          <w:rFonts w:eastAsia="Arial" w:cs="Arial"/>
          <w:color w:val="000000"/>
        </w:rPr>
        <w:t>in order to</w:t>
      </w:r>
      <w:proofErr w:type="gramEnd"/>
      <w:r>
        <w:rPr>
          <w:rFonts w:eastAsia="Arial" w:cs="Arial"/>
          <w:color w:val="000000"/>
        </w:rPr>
        <w:t xml:space="preserve"> verify the level of the performance by the Supplier and the calculations of the amount of Service Credits for any specified Service Period.</w:t>
      </w:r>
    </w:p>
    <w:p w14:paraId="6982DCE3" w14:textId="77777777" w:rsidR="00CA079E" w:rsidRDefault="00CD7298">
      <w:pPr>
        <w:keepNext/>
        <w:numPr>
          <w:ilvl w:val="0"/>
          <w:numId w:val="3"/>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Satisfaction Surveys</w:t>
      </w:r>
    </w:p>
    <w:p w14:paraId="5C60EDE5" w14:textId="77777777" w:rsidR="00CA079E" w:rsidRDefault="00CD7298" w:rsidP="00147AB8">
      <w:pPr>
        <w:pBdr>
          <w:top w:val="nil"/>
          <w:left w:val="nil"/>
          <w:bottom w:val="nil"/>
          <w:right w:val="nil"/>
          <w:between w:val="nil"/>
        </w:pBdr>
        <w:spacing w:before="120" w:after="120" w:line="240" w:lineRule="auto"/>
        <w:ind w:left="426"/>
      </w:pPr>
      <w:r>
        <w:rPr>
          <w:rFonts w:eastAsia="Arial" w:cs="Arial"/>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9EE76A7" w14:textId="77777777" w:rsidR="00CA079E" w:rsidRDefault="00CA079E">
      <w:pPr>
        <w:spacing w:after="0"/>
      </w:pPr>
    </w:p>
    <w:sectPr w:rsidR="00CA079E" w:rsidSect="00726FF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D347" w14:textId="77777777" w:rsidR="00687DDC" w:rsidRDefault="00687DDC">
      <w:pPr>
        <w:spacing w:after="0" w:line="240" w:lineRule="auto"/>
      </w:pPr>
      <w:r>
        <w:separator/>
      </w:r>
    </w:p>
  </w:endnote>
  <w:endnote w:type="continuationSeparator" w:id="0">
    <w:p w14:paraId="57E09F6C" w14:textId="77777777" w:rsidR="00687DDC" w:rsidRDefault="00687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0B44" w14:textId="042173D7" w:rsidR="0001687F" w:rsidRDefault="001F705E">
    <w:pPr>
      <w:pStyle w:val="Footer"/>
    </w:pPr>
    <w:r>
      <w:rPr>
        <w:noProof/>
      </w:rPr>
      <mc:AlternateContent>
        <mc:Choice Requires="wps">
          <w:drawing>
            <wp:anchor distT="0" distB="0" distL="0" distR="0" simplePos="0" relativeHeight="251659264" behindDoc="0" locked="0" layoutInCell="1" allowOverlap="1" wp14:anchorId="1265A3C0" wp14:editId="4BD5F578">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77185D" w14:textId="04EE7A49" w:rsidR="001F705E" w:rsidRPr="001F705E" w:rsidRDefault="001F705E" w:rsidP="001F705E">
                          <w:pPr>
                            <w:spacing w:after="0"/>
                            <w:rPr>
                              <w:rFonts w:ascii="Calibri" w:hAnsi="Calibri" w:cs="Calibri"/>
                              <w:noProof/>
                              <w:color w:val="000000"/>
                              <w:sz w:val="20"/>
                              <w:szCs w:val="20"/>
                            </w:rPr>
                          </w:pPr>
                          <w:r w:rsidRPr="001F705E">
                            <w:rPr>
                              <w:rFonts w:ascii="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65A3C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577185D" w14:textId="04EE7A49" w:rsidR="001F705E" w:rsidRPr="001F705E" w:rsidRDefault="001F705E" w:rsidP="001F705E">
                    <w:pPr>
                      <w:spacing w:after="0"/>
                      <w:rPr>
                        <w:rFonts w:ascii="Calibri" w:hAnsi="Calibri" w:cs="Calibri"/>
                        <w:noProof/>
                        <w:color w:val="000000"/>
                        <w:sz w:val="20"/>
                        <w:szCs w:val="20"/>
                      </w:rPr>
                    </w:pPr>
                    <w:r w:rsidRPr="001F705E">
                      <w:rPr>
                        <w:rFonts w:ascii="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8A22" w14:textId="57C40FDA" w:rsidR="00CA079E" w:rsidRDefault="001F705E">
    <w:pPr>
      <w:tabs>
        <w:tab w:val="center" w:pos="4513"/>
        <w:tab w:val="right" w:pos="9026"/>
      </w:tabs>
      <w:spacing w:after="0" w:line="240" w:lineRule="auto"/>
      <w:jc w:val="both"/>
    </w:pPr>
    <w:r>
      <w:rPr>
        <w:noProof/>
      </w:rPr>
      <mc:AlternateContent>
        <mc:Choice Requires="wps">
          <w:drawing>
            <wp:anchor distT="0" distB="0" distL="0" distR="0" simplePos="0" relativeHeight="251660288" behindDoc="0" locked="0" layoutInCell="1" allowOverlap="1" wp14:anchorId="17A1102A" wp14:editId="63465935">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80FD12" w14:textId="627951DC" w:rsidR="001F705E" w:rsidRPr="001F705E" w:rsidRDefault="001F705E" w:rsidP="001F705E">
                          <w:pPr>
                            <w:spacing w:after="0"/>
                            <w:rPr>
                              <w:rFonts w:ascii="Calibri" w:hAnsi="Calibri" w:cs="Calibri"/>
                              <w:noProof/>
                              <w:color w:val="000000"/>
                              <w:sz w:val="20"/>
                              <w:szCs w:val="20"/>
                            </w:rPr>
                          </w:pPr>
                          <w:r w:rsidRPr="001F705E">
                            <w:rPr>
                              <w:rFonts w:ascii="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A1102A"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F80FD12" w14:textId="627951DC" w:rsidR="001F705E" w:rsidRPr="001F705E" w:rsidRDefault="001F705E" w:rsidP="001F705E">
                    <w:pPr>
                      <w:spacing w:after="0"/>
                      <w:rPr>
                        <w:rFonts w:ascii="Calibri" w:hAnsi="Calibri" w:cs="Calibri"/>
                        <w:noProof/>
                        <w:color w:val="000000"/>
                        <w:sz w:val="20"/>
                        <w:szCs w:val="20"/>
                      </w:rPr>
                    </w:pPr>
                    <w:r w:rsidRPr="001F705E">
                      <w:rPr>
                        <w:rFonts w:ascii="Calibri" w:hAnsi="Calibri" w:cs="Calibri"/>
                        <w:noProof/>
                        <w:color w:val="000000"/>
                        <w:sz w:val="20"/>
                        <w:szCs w:val="20"/>
                      </w:rPr>
                      <w:t>OFFICIAL</w:t>
                    </w:r>
                  </w:p>
                </w:txbxContent>
              </v:textbox>
              <w10:wrap anchorx="page" anchory="page"/>
            </v:shape>
          </w:pict>
        </mc:Fallback>
      </mc:AlternateContent>
    </w:r>
  </w:p>
  <w:p w14:paraId="4F24EF15" w14:textId="3DC90A3E" w:rsidR="00CA079E" w:rsidRDefault="00101CF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w:t>
    </w:r>
    <w:r w:rsidR="00CD7298">
      <w:rPr>
        <w:rFonts w:eastAsia="Arial" w:cs="Arial"/>
        <w:color w:val="000000"/>
        <w:sz w:val="20"/>
        <w:szCs w:val="20"/>
      </w:rPr>
      <w:t>1.</w:t>
    </w:r>
    <w:r w:rsidR="00147AB8">
      <w:rPr>
        <w:rFonts w:eastAsia="Arial" w:cs="Arial"/>
        <w:color w:val="000000"/>
        <w:sz w:val="20"/>
        <w:szCs w:val="20"/>
      </w:rPr>
      <w:t>2</w:t>
    </w:r>
    <w:r w:rsidR="00CD7298">
      <w:rPr>
        <w:rFonts w:eastAsia="Arial" w:cs="Arial"/>
        <w:color w:val="000000"/>
        <w:sz w:val="20"/>
        <w:szCs w:val="20"/>
      </w:rPr>
      <w:tab/>
    </w:r>
    <w:r w:rsidR="00CD7298">
      <w:rPr>
        <w:rFonts w:eastAsia="Arial" w:cs="Arial"/>
        <w:color w:val="000000"/>
        <w:sz w:val="20"/>
        <w:szCs w:val="20"/>
      </w:rPr>
      <w:tab/>
    </w:r>
    <w:r w:rsidR="00CD7298">
      <w:rPr>
        <w:rFonts w:eastAsia="Arial" w:cs="Arial"/>
        <w:color w:val="000000"/>
        <w:sz w:val="20"/>
        <w:szCs w:val="20"/>
      </w:rPr>
      <w:fldChar w:fldCharType="begin"/>
    </w:r>
    <w:r w:rsidR="00CD7298">
      <w:rPr>
        <w:rFonts w:eastAsia="Arial" w:cs="Arial"/>
        <w:color w:val="000000"/>
        <w:sz w:val="20"/>
        <w:szCs w:val="20"/>
      </w:rPr>
      <w:instrText>PAGE</w:instrText>
    </w:r>
    <w:r w:rsidR="00CD7298">
      <w:rPr>
        <w:rFonts w:eastAsia="Arial" w:cs="Arial"/>
        <w:color w:val="000000"/>
        <w:sz w:val="20"/>
        <w:szCs w:val="20"/>
      </w:rPr>
      <w:fldChar w:fldCharType="separate"/>
    </w:r>
    <w:r w:rsidR="00BB7123">
      <w:rPr>
        <w:rFonts w:eastAsia="Arial" w:cs="Arial"/>
        <w:noProof/>
        <w:color w:val="000000"/>
        <w:sz w:val="20"/>
        <w:szCs w:val="20"/>
      </w:rPr>
      <w:t>1</w:t>
    </w:r>
    <w:r w:rsidR="00CD7298">
      <w:rPr>
        <w:rFonts w:eastAsia="Arial" w:cs="Arial"/>
        <w:color w:val="000000"/>
        <w:sz w:val="20"/>
        <w:szCs w:val="20"/>
      </w:rPr>
      <w:fldChar w:fldCharType="end"/>
    </w:r>
  </w:p>
  <w:p w14:paraId="56F4C8A7" w14:textId="77777777" w:rsidR="00CA079E" w:rsidRDefault="00CA079E">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555" w14:textId="1EE72238" w:rsidR="00CA079E" w:rsidRDefault="001F705E">
    <w:pPr>
      <w:tabs>
        <w:tab w:val="center" w:pos="4513"/>
        <w:tab w:val="right" w:pos="9026"/>
      </w:tabs>
      <w:spacing w:after="0" w:line="240" w:lineRule="auto"/>
      <w:jc w:val="both"/>
    </w:pPr>
    <w:r>
      <w:rPr>
        <w:noProof/>
      </w:rPr>
      <mc:AlternateContent>
        <mc:Choice Requires="wps">
          <w:drawing>
            <wp:anchor distT="0" distB="0" distL="0" distR="0" simplePos="0" relativeHeight="251658240" behindDoc="0" locked="0" layoutInCell="1" allowOverlap="1" wp14:anchorId="24186F6C" wp14:editId="5D872F69">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1F7E36" w14:textId="6D39CD55" w:rsidR="001F705E" w:rsidRPr="001F705E" w:rsidRDefault="001F705E" w:rsidP="001F705E">
                          <w:pPr>
                            <w:spacing w:after="0"/>
                            <w:rPr>
                              <w:rFonts w:ascii="Calibri" w:hAnsi="Calibri" w:cs="Calibri"/>
                              <w:noProof/>
                              <w:color w:val="000000"/>
                              <w:sz w:val="20"/>
                              <w:szCs w:val="20"/>
                            </w:rPr>
                          </w:pPr>
                          <w:r w:rsidRPr="001F705E">
                            <w:rPr>
                              <w:rFonts w:ascii="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186F6C"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21F7E36" w14:textId="6D39CD55" w:rsidR="001F705E" w:rsidRPr="001F705E" w:rsidRDefault="001F705E" w:rsidP="001F705E">
                    <w:pPr>
                      <w:spacing w:after="0"/>
                      <w:rPr>
                        <w:rFonts w:ascii="Calibri" w:hAnsi="Calibri" w:cs="Calibri"/>
                        <w:noProof/>
                        <w:color w:val="000000"/>
                        <w:sz w:val="20"/>
                        <w:szCs w:val="20"/>
                      </w:rPr>
                    </w:pPr>
                    <w:r w:rsidRPr="001F705E">
                      <w:rPr>
                        <w:rFonts w:ascii="Calibri" w:hAnsi="Calibri" w:cs="Calibri"/>
                        <w:noProof/>
                        <w:color w:val="000000"/>
                        <w:sz w:val="20"/>
                        <w:szCs w:val="20"/>
                      </w:rPr>
                      <w:t>OFFICIAL</w:t>
                    </w:r>
                  </w:p>
                </w:txbxContent>
              </v:textbox>
              <w10:wrap anchorx="page" anchory="page"/>
            </v:shape>
          </w:pict>
        </mc:Fallback>
      </mc:AlternateContent>
    </w:r>
  </w:p>
  <w:p w14:paraId="21CEB15B"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sidR="00E16E76">
      <w:rPr>
        <w:rFonts w:eastAsia="Arial" w:cs="Arial"/>
        <w:color w:val="000000"/>
        <w:sz w:val="20"/>
        <w:szCs w:val="20"/>
      </w:rPr>
      <w:fldChar w:fldCharType="separate"/>
    </w:r>
    <w:r>
      <w:rPr>
        <w:rFonts w:eastAsia="Arial" w:cs="Arial"/>
        <w:color w:val="000000"/>
        <w:sz w:val="20"/>
        <w:szCs w:val="20"/>
      </w:rPr>
      <w:fldChar w:fldCharType="end"/>
    </w:r>
  </w:p>
  <w:p w14:paraId="13F2FC53"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21F22" w14:textId="77777777" w:rsidR="00687DDC" w:rsidRDefault="00687DDC">
      <w:pPr>
        <w:spacing w:after="0" w:line="240" w:lineRule="auto"/>
      </w:pPr>
      <w:r>
        <w:separator/>
      </w:r>
    </w:p>
  </w:footnote>
  <w:footnote w:type="continuationSeparator" w:id="0">
    <w:p w14:paraId="7C9CBB48" w14:textId="77777777" w:rsidR="00687DDC" w:rsidRDefault="00687D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5983" w14:textId="77777777" w:rsidR="0001687F" w:rsidRDefault="00016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9D00" w14:textId="5E69CDD8" w:rsidR="00147AB8" w:rsidRPr="00101CFB" w:rsidRDefault="00CD7298"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sidRPr="00101CFB">
      <w:rPr>
        <w:rFonts w:eastAsia="Arial" w:cs="Arial"/>
        <w:bCs/>
        <w:color w:val="000000"/>
        <w:sz w:val="20"/>
        <w:szCs w:val="20"/>
      </w:rPr>
      <w:t>Schedule 10 (Service Levels)</w:t>
    </w:r>
    <w:r w:rsidR="00101CFB" w:rsidRPr="00101CFB">
      <w:rPr>
        <w:rFonts w:eastAsia="Arial" w:cs="Arial"/>
        <w:bCs/>
        <w:color w:val="000000"/>
        <w:sz w:val="20"/>
        <w:szCs w:val="20"/>
      </w:rPr>
      <w:t xml:space="preserve">, </w:t>
    </w:r>
    <w:r w:rsidRPr="00101CFB">
      <w:rPr>
        <w:rFonts w:eastAsia="Arial" w:cs="Arial"/>
        <w:bCs/>
        <w:color w:val="000000"/>
        <w:sz w:val="20"/>
        <w:szCs w:val="20"/>
      </w:rPr>
      <w:t xml:space="preserve">Crown Copyright </w:t>
    </w:r>
    <w:r w:rsidRPr="00101CFB">
      <w:rPr>
        <w:rFonts w:eastAsia="Arial" w:cs="Arial"/>
        <w:bCs/>
        <w:color w:val="000000"/>
        <w:sz w:val="20"/>
        <w:szCs w:val="20"/>
      </w:rPr>
      <w:t>202</w:t>
    </w:r>
    <w:r w:rsidR="00147AB8" w:rsidRPr="00101CFB">
      <w:rPr>
        <w:rFonts w:eastAsia="Arial" w:cs="Arial"/>
        <w:bCs/>
        <w:color w:val="000000"/>
        <w:sz w:val="20"/>
        <w:szCs w:val="20"/>
      </w:rPr>
      <w:t>3</w:t>
    </w:r>
    <w:r w:rsidR="00101CFB" w:rsidRPr="00101CFB">
      <w:rPr>
        <w:rFonts w:eastAsia="Arial" w:cs="Arial"/>
        <w:bCs/>
        <w:color w:val="000000"/>
        <w:sz w:val="20"/>
        <w:szCs w:val="20"/>
      </w:rPr>
      <w:t>,</w:t>
    </w:r>
  </w:p>
  <w:p w14:paraId="2F2E1EA6" w14:textId="77777777" w:rsidR="00147AB8" w:rsidRDefault="00147AB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BA8A" w14:textId="77777777" w:rsidR="0001687F" w:rsidRDefault="00016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C965BC8"/>
    <w:multiLevelType w:val="multilevel"/>
    <w:tmpl w:val="B11642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7A93DB2"/>
    <w:multiLevelType w:val="hybridMultilevel"/>
    <w:tmpl w:val="CC7E7CC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26444324">
    <w:abstractNumId w:val="2"/>
  </w:num>
  <w:num w:numId="2" w16cid:durableId="2084990174">
    <w:abstractNumId w:val="5"/>
  </w:num>
  <w:num w:numId="3" w16cid:durableId="1798602698">
    <w:abstractNumId w:val="4"/>
  </w:num>
  <w:num w:numId="4" w16cid:durableId="642078720">
    <w:abstractNumId w:val="1"/>
  </w:num>
  <w:num w:numId="5" w16cid:durableId="1549609535">
    <w:abstractNumId w:val="0"/>
  </w:num>
  <w:num w:numId="6" w16cid:durableId="710466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9:30:42" w:val="V2 - Amend TRK NV"/>
    <w:docVar w:name="gemDocNotesCount" w:val="1"/>
  </w:docVars>
  <w:rsids>
    <w:rsidRoot w:val="00CA079E"/>
    <w:rsid w:val="00002C3D"/>
    <w:rsid w:val="0001687F"/>
    <w:rsid w:val="00043C0A"/>
    <w:rsid w:val="000E0514"/>
    <w:rsid w:val="00101CFB"/>
    <w:rsid w:val="00147AB8"/>
    <w:rsid w:val="001F705E"/>
    <w:rsid w:val="002A2411"/>
    <w:rsid w:val="002C098E"/>
    <w:rsid w:val="0030362B"/>
    <w:rsid w:val="00304DAA"/>
    <w:rsid w:val="00471F44"/>
    <w:rsid w:val="004C414A"/>
    <w:rsid w:val="00687DDC"/>
    <w:rsid w:val="006F4DA2"/>
    <w:rsid w:val="00726FF1"/>
    <w:rsid w:val="00AA778E"/>
    <w:rsid w:val="00AD7FCD"/>
    <w:rsid w:val="00BB7123"/>
    <w:rsid w:val="00BC5DDC"/>
    <w:rsid w:val="00BE61DD"/>
    <w:rsid w:val="00C56D01"/>
    <w:rsid w:val="00CA079E"/>
    <w:rsid w:val="00CA38BC"/>
    <w:rsid w:val="00CD7298"/>
    <w:rsid w:val="00D15C13"/>
    <w:rsid w:val="00D93490"/>
    <w:rsid w:val="00DB52D5"/>
    <w:rsid w:val="00DB7BD9"/>
    <w:rsid w:val="00DD65C5"/>
    <w:rsid w:val="00E16E76"/>
    <w:rsid w:val="00EA171A"/>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62A02"/>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aliases w:val="Numbered Para 1,Dot pt,No Spacing1,List Paragraph Char Char Char,Indicator Text,Bullet 1,List Paragraph1,Bullet Points,Legal numbered paragraph,aHeading 2 - Sussex,Normal SWO Bullets,F5 List Paragraph,Colorful List - Accent 11,SOW Bullets"/>
    <w:basedOn w:val="Normal"/>
    <w:link w:val="ListParagraphChar"/>
    <w:uiPriority w:val="34"/>
    <w:qFormat/>
    <w:rsid w:val="00BC5DDC"/>
    <w:pPr>
      <w:spacing w:after="0" w:line="240" w:lineRule="auto"/>
      <w:ind w:left="720"/>
      <w:contextualSpacing/>
    </w:pPr>
    <w:rPr>
      <w:rFonts w:eastAsia="Times New Roman" w:cs="Arial"/>
      <w:sz w:val="22"/>
      <w:szCs w:val="22"/>
      <w:lang w:eastAsia="en-GB"/>
    </w:rPr>
  </w:style>
  <w:style w:type="character" w:customStyle="1" w:styleId="ListParagraphChar">
    <w:name w:val="List Paragraph Char"/>
    <w:aliases w:val="Numbered Para 1 Char,Dot pt Char,No Spacing1 Char,List Paragraph Char Char Char Char,Indicator Text Char,Bullet 1 Char,List Paragraph1 Char,Bullet Points Char,Legal numbered paragraph Char,aHeading 2 - Sussex Char,SOW Bullets Char"/>
    <w:link w:val="ListParagraph"/>
    <w:uiPriority w:val="34"/>
    <w:qFormat/>
    <w:locked/>
    <w:rsid w:val="00BC5DDC"/>
    <w:rPr>
      <w:rFonts w:eastAsia="Times New Roman"/>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1789</Words>
  <Characters>10200</Characters>
  <Application>Microsoft Office Word</Application>
  <DocSecurity>0</DocSecurity>
  <Lines>85</Lines>
  <Paragraphs>23</Paragraphs>
  <ScaleCrop>false</ScaleCrop>
  <Company>DLA Piper</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17</cp:revision>
  <dcterms:created xsi:type="dcterms:W3CDTF">2023-10-12T10:59:00Z</dcterms:created>
  <dcterms:modified xsi:type="dcterms:W3CDTF">2024-03-19T14:22:00Z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2023-10-12T10:59:49Z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63b25903-54cf-4ed2-b009-8fd9f1a57140</vt:lpwstr>
  </property>
  <property fmtid="{D5CDD505-2E9C-101B-9397-08002B2CF9AE}" pid="12" name="MSIP_Label_f9af038e-07b4-4369-a678-c835687cb272_ContentBits">
    <vt:lpwstr>2</vt:lpwstr>
  </property>
</Properties>
</file>