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Style w:val="a0"/>
        <w:tblW w:w="8079" w:type="dxa"/>
        <w:tblInd w:w="993" w:type="dxa"/>
        <w:tblLayout w:type="fixed"/>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means, in relation to an entity, an undertaking in which the entity owns, directly or indirectly, </w:t>
            </w:r>
            <w:r>
              <w:rPr>
                <w:rFonts w:ascii="Arial" w:eastAsia="Arial" w:hAnsi="Arial" w:cs="Arial"/>
                <w:color w:val="000000"/>
                <w:sz w:val="24"/>
                <w:szCs w:val="24"/>
              </w:rPr>
              <w:lastRenderedPageBreak/>
              <w:t>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50B0F0E9" w14:textId="77777777" w:rsidTr="002C4779">
        <w:tc>
          <w:tcPr>
            <w:tcW w:w="2263" w:type="dxa"/>
          </w:tcPr>
          <w:p w14:paraId="0000004B" w14:textId="008E0BE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Existing IPR</w:t>
            </w:r>
            <w:r>
              <w:rPr>
                <w:rFonts w:ascii="Arial" w:eastAsia="Arial" w:hAnsi="Arial" w:cs="Arial"/>
                <w:b/>
                <w:color w:val="000000"/>
                <w:sz w:val="24"/>
                <w:szCs w:val="24"/>
              </w:rPr>
              <w:t>"</w:t>
            </w:r>
          </w:p>
        </w:tc>
        <w:tc>
          <w:tcPr>
            <w:tcW w:w="5816" w:type="dxa"/>
          </w:tcPr>
          <w:p w14:paraId="0000004C" w14:textId="18229CC5" w:rsidR="00C9157A" w:rsidRDefault="00FA3BA7" w:rsidP="00BB5AFE">
            <w:pPr>
              <w:keepNext/>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and all IPR that are owned by or licensed to the Buyer, and where the Buyer is a Crown Body, any Crown IPR, and which are or </w:t>
            </w:r>
            <w:r>
              <w:rPr>
                <w:rFonts w:ascii="Arial" w:eastAsia="Arial" w:hAnsi="Arial" w:cs="Arial"/>
                <w:color w:val="000000"/>
                <w:sz w:val="24"/>
                <w:szCs w:val="24"/>
              </w:rPr>
              <w:lastRenderedPageBreak/>
              <w:t xml:space="preserve">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r w:rsidR="00386A55">
              <w:rPr>
                <w:rFonts w:ascii="Arial" w:eastAsia="Arial" w:hAnsi="Arial" w:cs="Arial"/>
                <w:color w:val="000000"/>
                <w:sz w:val="24"/>
                <w:szCs w:val="24"/>
              </w:rPr>
              <w:t>;</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be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lastRenderedPageBreak/>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the cost to the Supplier or the Key Subcontractor (as the context requires), calculated per Work Day,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r>
              <w:rPr>
                <w:rFonts w:ascii="Arial" w:eastAsia="Arial" w:hAnsi="Arial" w:cs="Arial"/>
                <w:color w:val="000000"/>
                <w:sz w:val="24"/>
                <w:szCs w:val="24"/>
              </w:rPr>
              <w:t xml:space="preserve"> accommodation;</w:t>
            </w:r>
          </w:p>
          <w:p w14:paraId="00000088" w14:textId="573A1F8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place IT equipment and tools reasonably necessary to provide the 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276FE4D2"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w:t>
            </w:r>
            <w:r>
              <w:rPr>
                <w:rFonts w:ascii="Arial" w:eastAsia="Arial" w:hAnsi="Arial" w:cs="Arial"/>
                <w:color w:val="000000"/>
                <w:sz w:val="24"/>
                <w:szCs w:val="24"/>
              </w:rPr>
              <w:lastRenderedPageBreak/>
              <w:t>(a)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w:t>
            </w:r>
            <w:r>
              <w:rPr>
                <w:rFonts w:ascii="Arial" w:eastAsia="Arial" w:hAnsi="Arial" w:cs="Arial"/>
                <w:color w:val="000000"/>
                <w:sz w:val="24"/>
                <w:szCs w:val="24"/>
              </w:rPr>
              <w:lastRenderedPageBreak/>
              <w:t xml:space="preserve">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 xml:space="preserve">means a party that is accessing the Deliverables provided pursuant to this Contract (including the </w:t>
            </w:r>
            <w:r>
              <w:rPr>
                <w:rFonts w:ascii="Arial" w:eastAsia="Arial" w:hAnsi="Arial" w:cs="Arial"/>
                <w:color w:val="000000"/>
                <w:sz w:val="24"/>
                <w:szCs w:val="24"/>
              </w:rPr>
              <w:lastRenderedPageBreak/>
              <w:t>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directors and/or external auditors of any FDE Group entity conclude that a </w:t>
            </w:r>
            <w:r>
              <w:rPr>
                <w:rFonts w:ascii="Arial" w:eastAsia="Arial" w:hAnsi="Arial" w:cs="Arial"/>
                <w:color w:val="000000"/>
                <w:sz w:val="24"/>
                <w:szCs w:val="24"/>
              </w:rPr>
              <w:lastRenderedPageBreak/>
              <w:t>material uncertainty exists in relation to that FDE Group entity’s going concern in the annual report</w:t>
            </w:r>
            <w:r>
              <w:rPr>
                <w:rFonts w:ascii="Arial" w:eastAsia="Arial" w:hAnsi="Arial" w:cs="Arial"/>
                <w:color w:val="000000"/>
                <w:sz w:val="22"/>
                <w:szCs w:val="22"/>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787F37A5"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enabling the Buyer to demonstrate that it is achieving value for money for the tax payer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sz w:val="22"/>
                <w:szCs w:val="22"/>
              </w:rPr>
            </w:pPr>
            <w:r>
              <w:rPr>
                <w:rFonts w:ascii="Arial" w:eastAsia="Arial" w:hAnsi="Arial" w:cs="Arial"/>
                <w:color w:val="000000"/>
                <w:sz w:val="24"/>
                <w:szCs w:val="24"/>
              </w:rPr>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after="2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w:t>
            </w:r>
            <w:r>
              <w:rPr>
                <w:rFonts w:ascii="Arial" w:eastAsia="Arial" w:hAnsi="Arial" w:cs="Arial"/>
                <w:color w:val="000000"/>
                <w:sz w:val="24"/>
                <w:szCs w:val="24"/>
              </w:rPr>
              <w:lastRenderedPageBreak/>
              <w:t>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 xml:space="preserve">(being a company or an LLP) the holder of a qualifying floating charge over the assets of that person has become entitled to appoint or has </w:t>
            </w:r>
            <w:r>
              <w:rPr>
                <w:rFonts w:ascii="Arial" w:eastAsia="Arial" w:hAnsi="Arial" w:cs="Arial"/>
                <w:color w:val="000000"/>
                <w:sz w:val="24"/>
                <w:szCs w:val="24"/>
              </w:rPr>
              <w:lastRenderedPageBreak/>
              <w:t>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bookmarkStart w:id="9" w:name="_Ref141103044"/>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after="2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02AE8779" w14:textId="77777777" w:rsidTr="002C4779">
        <w:tc>
          <w:tcPr>
            <w:tcW w:w="2263" w:type="dxa"/>
          </w:tcPr>
          <w:p w14:paraId="00000199" w14:textId="4E15017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w:t>
            </w:r>
          </w:p>
        </w:tc>
        <w:tc>
          <w:tcPr>
            <w:tcW w:w="5816" w:type="dxa"/>
          </w:tcPr>
          <w:p w14:paraId="0000019A" w14:textId="321479FE"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items created by the Supplier (or by a third party on behalf of the Supplier) specifically for the purposes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updates and amendments of these items including database schema; and/or</w:t>
            </w:r>
          </w:p>
          <w:p w14:paraId="0000019B" w14:textId="5698E4A8"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all updates and amendments to the same; </w:t>
            </w:r>
          </w:p>
          <w:p w14:paraId="0000019C" w14:textId="1DC30CCA"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but shall not include the Supplier’s Existing IPR; </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the failure of an avoidance scheme which the Supplier was involved in, and which was, or should have been, notified to a Relevant Tax Authority </w:t>
            </w:r>
            <w:r>
              <w:rPr>
                <w:rFonts w:ascii="Arial" w:eastAsia="Arial" w:hAnsi="Arial" w:cs="Arial"/>
                <w:color w:val="000000"/>
                <w:sz w:val="24"/>
                <w:szCs w:val="24"/>
              </w:rPr>
              <w:lastRenderedPageBreak/>
              <w:t>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the 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practice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(i)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considers that the circumstances constitute an emergency despite the Supplier 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"Subprocessor"</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353CD499" w14:textId="77777777" w:rsidTr="002C4779">
        <w:tc>
          <w:tcPr>
            <w:tcW w:w="2263" w:type="dxa"/>
          </w:tcPr>
          <w:p w14:paraId="0478FDA9" w14:textId="1FB71A1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5816" w:type="dxa"/>
          </w:tcPr>
          <w:p w14:paraId="30A7ED06" w14:textId="69EEE1A8" w:rsidR="000F7B87" w:rsidRDefault="003C5AE1"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sidRPr="003C5AE1">
              <w:rPr>
                <w:rFonts w:ascii="Arial" w:eastAsia="Arial" w:hAnsi="Arial" w:cs="Arial"/>
                <w:color w:val="000000"/>
                <w:sz w:val="24"/>
                <w:szCs w:val="24"/>
              </w:rPr>
              <w:t>means a licence to be offered by the Supplier to the New IPR and Supplier Existing IPR as set out in Schedule 36 (Intellectual Property Rights);</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rsidP="00830667">
      <w:pPr>
        <w:spacing w:after="0" w:line="240" w:lineRule="auto"/>
        <w:rPr>
          <w:rFonts w:ascii="Arial" w:eastAsia="Arial" w:hAnsi="Arial" w:cs="Arial"/>
          <w:sz w:val="24"/>
          <w:szCs w:val="24"/>
        </w:rPr>
      </w:pPr>
    </w:p>
    <w:sectPr w:rsidR="00C9157A">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AD42" w14:textId="77777777" w:rsidR="00A47D61" w:rsidRDefault="00FA3BA7">
      <w:pPr>
        <w:spacing w:after="0" w:line="240" w:lineRule="auto"/>
      </w:pPr>
      <w:r>
        <w:separator/>
      </w:r>
    </w:p>
  </w:endnote>
  <w:endnote w:type="continuationSeparator" w:id="0">
    <w:p w14:paraId="49FE7390" w14:textId="77777777" w:rsidR="00A47D61" w:rsidRDefault="00FA3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6FDF" w14:textId="56DF863D" w:rsidR="00386A55" w:rsidRDefault="00B90D4F">
    <w:pPr>
      <w:pStyle w:val="Footer"/>
    </w:pPr>
    <w:r>
      <w:rPr>
        <w:noProof/>
      </w:rPr>
      <mc:AlternateContent>
        <mc:Choice Requires="wps">
          <w:drawing>
            <wp:anchor distT="0" distB="0" distL="0" distR="0" simplePos="0" relativeHeight="251659264" behindDoc="0" locked="0" layoutInCell="1" allowOverlap="1" wp14:anchorId="582DC22D" wp14:editId="1677F734">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AE53B1" w14:textId="27CD9FCB" w:rsidR="00B90D4F" w:rsidRPr="00B90D4F" w:rsidRDefault="00B90D4F" w:rsidP="00B90D4F">
                          <w:pPr>
                            <w:spacing w:after="0"/>
                            <w:rPr>
                              <w:noProof/>
                              <w:color w:val="000000"/>
                              <w:sz w:val="20"/>
                              <w:szCs w:val="20"/>
                            </w:rPr>
                          </w:pPr>
                          <w:r w:rsidRPr="00B90D4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2DC22D"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51AE53B1" w14:textId="27CD9FCB" w:rsidR="00B90D4F" w:rsidRPr="00B90D4F" w:rsidRDefault="00B90D4F" w:rsidP="00B90D4F">
                    <w:pPr>
                      <w:spacing w:after="0"/>
                      <w:rPr>
                        <w:noProof/>
                        <w:color w:val="000000"/>
                        <w:sz w:val="20"/>
                        <w:szCs w:val="20"/>
                      </w:rPr>
                    </w:pPr>
                    <w:r w:rsidRPr="00B90D4F">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7E841203" w:rsidR="002C4779" w:rsidRDefault="00B90D4F"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noProof/>
      </w:rPr>
      <mc:AlternateContent>
        <mc:Choice Requires="wps">
          <w:drawing>
            <wp:anchor distT="0" distB="0" distL="0" distR="0" simplePos="0" relativeHeight="251660288" behindDoc="0" locked="0" layoutInCell="1" allowOverlap="1" wp14:anchorId="2BB3E77D" wp14:editId="68BC79A9">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A59B0F" w14:textId="073A758E" w:rsidR="00B90D4F" w:rsidRPr="00B90D4F" w:rsidRDefault="00B90D4F" w:rsidP="00B90D4F">
                          <w:pPr>
                            <w:spacing w:after="0"/>
                            <w:rPr>
                              <w:noProof/>
                              <w:color w:val="000000"/>
                              <w:sz w:val="20"/>
                              <w:szCs w:val="20"/>
                            </w:rPr>
                          </w:pPr>
                          <w:r w:rsidRPr="00B90D4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B3E77D"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7A59B0F" w14:textId="073A758E" w:rsidR="00B90D4F" w:rsidRPr="00B90D4F" w:rsidRDefault="00B90D4F" w:rsidP="00B90D4F">
                    <w:pPr>
                      <w:spacing w:after="0"/>
                      <w:rPr>
                        <w:noProof/>
                        <w:color w:val="000000"/>
                        <w:sz w:val="20"/>
                        <w:szCs w:val="20"/>
                      </w:rPr>
                    </w:pPr>
                    <w:r w:rsidRPr="00B90D4F">
                      <w:rPr>
                        <w:noProof/>
                        <w:color w:val="000000"/>
                        <w:sz w:val="20"/>
                        <w:szCs w:val="20"/>
                      </w:rPr>
                      <w:t>OFFICIAL</w:t>
                    </w:r>
                  </w:p>
                </w:txbxContent>
              </v:textbox>
              <w10:wrap anchorx="page" anchory="page"/>
            </v:shape>
          </w:pict>
        </mc:Fallback>
      </mc:AlternateContent>
    </w: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4E28544E" w:rsidR="00C9157A" w:rsidRDefault="00B90D4F">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0" behindDoc="0" locked="0" layoutInCell="1" allowOverlap="1" wp14:anchorId="7C371F7B" wp14:editId="31E5D042">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49E931" w14:textId="2D83BC91" w:rsidR="00B90D4F" w:rsidRPr="00B90D4F" w:rsidRDefault="00B90D4F" w:rsidP="00B90D4F">
                          <w:pPr>
                            <w:spacing w:after="0"/>
                            <w:rPr>
                              <w:noProof/>
                              <w:color w:val="000000"/>
                              <w:sz w:val="20"/>
                              <w:szCs w:val="20"/>
                            </w:rPr>
                          </w:pPr>
                          <w:r w:rsidRPr="00B90D4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371F7B"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0B49E931" w14:textId="2D83BC91" w:rsidR="00B90D4F" w:rsidRPr="00B90D4F" w:rsidRDefault="00B90D4F" w:rsidP="00B90D4F">
                    <w:pPr>
                      <w:spacing w:after="0"/>
                      <w:rPr>
                        <w:noProof/>
                        <w:color w:val="000000"/>
                        <w:sz w:val="20"/>
                        <w:szCs w:val="20"/>
                      </w:rPr>
                    </w:pPr>
                    <w:r w:rsidRPr="00B90D4F">
                      <w:rPr>
                        <w:noProof/>
                        <w:color w:val="000000"/>
                        <w:sz w:val="20"/>
                        <w:szCs w:val="20"/>
                      </w:rPr>
                      <w:t>OFFICIAL</w:t>
                    </w:r>
                  </w:p>
                </w:txbxContent>
              </v:textbox>
              <w10:wrap anchorx="page" anchory="pag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D43947">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9EAFE" w14:textId="77777777" w:rsidR="00A47D61" w:rsidRDefault="00FA3BA7">
      <w:pPr>
        <w:spacing w:after="0" w:line="240" w:lineRule="auto"/>
      </w:pPr>
      <w:r>
        <w:separator/>
      </w:r>
    </w:p>
  </w:footnote>
  <w:footnote w:type="continuationSeparator" w:id="0">
    <w:p w14:paraId="4EDEAF9E" w14:textId="77777777" w:rsidR="00A47D61" w:rsidRDefault="00FA3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4B40CDA4" w:rsidR="00BB5AFE" w:rsidRPr="001945C1" w:rsidRDefault="00FA3BA7"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77777777" w:rsidR="00C9157A" w:rsidRDefault="00C9157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F7B87"/>
    <w:rsid w:val="00132950"/>
    <w:rsid w:val="001945C1"/>
    <w:rsid w:val="001E0DEF"/>
    <w:rsid w:val="0020023E"/>
    <w:rsid w:val="00205D1C"/>
    <w:rsid w:val="002547C5"/>
    <w:rsid w:val="00283C69"/>
    <w:rsid w:val="002C4779"/>
    <w:rsid w:val="00374B8C"/>
    <w:rsid w:val="00386A55"/>
    <w:rsid w:val="003C5AE1"/>
    <w:rsid w:val="004525FA"/>
    <w:rsid w:val="0047635C"/>
    <w:rsid w:val="004D417A"/>
    <w:rsid w:val="00532C8B"/>
    <w:rsid w:val="00575076"/>
    <w:rsid w:val="0057554F"/>
    <w:rsid w:val="0067323E"/>
    <w:rsid w:val="00723B30"/>
    <w:rsid w:val="00830667"/>
    <w:rsid w:val="0087019C"/>
    <w:rsid w:val="00873149"/>
    <w:rsid w:val="00973BA4"/>
    <w:rsid w:val="00A47D61"/>
    <w:rsid w:val="00B00CB1"/>
    <w:rsid w:val="00B04CBB"/>
    <w:rsid w:val="00B300CE"/>
    <w:rsid w:val="00B90D4F"/>
    <w:rsid w:val="00BB5AFE"/>
    <w:rsid w:val="00BF4EEA"/>
    <w:rsid w:val="00C329FE"/>
    <w:rsid w:val="00C64EFE"/>
    <w:rsid w:val="00C9157A"/>
    <w:rsid w:val="00CA327E"/>
    <w:rsid w:val="00D43947"/>
    <w:rsid w:val="00FA1785"/>
    <w:rsid w:val="00FA3BA7"/>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gov.uk/government/publications/open-standards-principles/open-standards-principles" TargetMode="Externa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40</Pages>
  <Words>10380</Words>
  <Characters>59172</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Allibhaye, Sajid (Commercial)</cp:lastModifiedBy>
  <cp:revision>12</cp:revision>
  <dcterms:created xsi:type="dcterms:W3CDTF">2023-10-18T13:43:00Z</dcterms:created>
  <dcterms:modified xsi:type="dcterms:W3CDTF">2024-03-19T14:21:00Z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2023-10-18T13:43:00Z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af6010b7-906d-469d-88ba-26766b013f03</vt:lpwstr>
  </property>
  <property fmtid="{D5CDD505-2E9C-101B-9397-08002B2CF9AE}" pid="12" name="MSIP_Label_f9af038e-07b4-4369-a678-c835687cb272_ContentBits">
    <vt:lpwstr>2</vt:lpwstr>
  </property>
</Properties>
</file>