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4A9817CA" w14:textId="77777777" w:rsidR="00430BC5"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8591530" w:history="1">
        <w:r w:rsidR="00430BC5" w:rsidRPr="00C740B3">
          <w:rPr>
            <w:rStyle w:val="Hyperlink"/>
            <w:noProof/>
          </w:rPr>
          <w:t>1.</w:t>
        </w:r>
        <w:r w:rsidR="00430BC5">
          <w:rPr>
            <w:rFonts w:asciiTheme="minorHAnsi" w:eastAsiaTheme="minorEastAsia" w:hAnsiTheme="minorHAnsi" w:cstheme="minorBidi"/>
            <w:caps w:val="0"/>
            <w:noProof/>
            <w:szCs w:val="22"/>
            <w:lang w:eastAsia="en-GB"/>
          </w:rPr>
          <w:tab/>
        </w:r>
        <w:r w:rsidR="00430BC5" w:rsidRPr="00C740B3">
          <w:rPr>
            <w:rStyle w:val="Hyperlink"/>
            <w:noProof/>
          </w:rPr>
          <w:t>PURPOSE</w:t>
        </w:r>
        <w:r w:rsidR="00430BC5">
          <w:rPr>
            <w:noProof/>
            <w:webHidden/>
          </w:rPr>
          <w:tab/>
        </w:r>
        <w:r w:rsidR="00430BC5">
          <w:rPr>
            <w:noProof/>
            <w:webHidden/>
          </w:rPr>
          <w:fldChar w:fldCharType="begin"/>
        </w:r>
        <w:r w:rsidR="00430BC5">
          <w:rPr>
            <w:noProof/>
            <w:webHidden/>
          </w:rPr>
          <w:instrText xml:space="preserve"> PAGEREF _Toc498591530 \h </w:instrText>
        </w:r>
        <w:r w:rsidR="00430BC5">
          <w:rPr>
            <w:noProof/>
            <w:webHidden/>
          </w:rPr>
        </w:r>
        <w:r w:rsidR="00430BC5">
          <w:rPr>
            <w:noProof/>
            <w:webHidden/>
          </w:rPr>
          <w:fldChar w:fldCharType="separate"/>
        </w:r>
        <w:r w:rsidR="00B67704">
          <w:rPr>
            <w:noProof/>
            <w:webHidden/>
          </w:rPr>
          <w:t>2</w:t>
        </w:r>
        <w:r w:rsidR="00430BC5">
          <w:rPr>
            <w:noProof/>
            <w:webHidden/>
          </w:rPr>
          <w:fldChar w:fldCharType="end"/>
        </w:r>
      </w:hyperlink>
    </w:p>
    <w:p w14:paraId="47D5738E" w14:textId="77777777" w:rsidR="00430BC5" w:rsidRDefault="00885C2F">
      <w:pPr>
        <w:pStyle w:val="TOC1"/>
        <w:rPr>
          <w:rFonts w:asciiTheme="minorHAnsi" w:eastAsiaTheme="minorEastAsia" w:hAnsiTheme="minorHAnsi" w:cstheme="minorBidi"/>
          <w:caps w:val="0"/>
          <w:noProof/>
          <w:szCs w:val="22"/>
          <w:lang w:eastAsia="en-GB"/>
        </w:rPr>
      </w:pPr>
      <w:hyperlink w:anchor="_Toc498591531" w:history="1">
        <w:r w:rsidR="00430BC5" w:rsidRPr="00C740B3">
          <w:rPr>
            <w:rStyle w:val="Hyperlink"/>
            <w:noProof/>
          </w:rPr>
          <w:t>2.</w:t>
        </w:r>
        <w:r w:rsidR="00430BC5">
          <w:rPr>
            <w:rFonts w:asciiTheme="minorHAnsi" w:eastAsiaTheme="minorEastAsia" w:hAnsiTheme="minorHAnsi" w:cstheme="minorBidi"/>
            <w:caps w:val="0"/>
            <w:noProof/>
            <w:szCs w:val="22"/>
            <w:lang w:eastAsia="en-GB"/>
          </w:rPr>
          <w:tab/>
        </w:r>
        <w:r w:rsidR="00430BC5" w:rsidRPr="00C740B3">
          <w:rPr>
            <w:rStyle w:val="Hyperlink"/>
            <w:noProof/>
          </w:rPr>
          <w:t>BACKGROUND TO THE CONTRACTING aUTHORITY</w:t>
        </w:r>
        <w:r w:rsidR="00430BC5">
          <w:rPr>
            <w:noProof/>
            <w:webHidden/>
          </w:rPr>
          <w:tab/>
        </w:r>
        <w:r w:rsidR="00430BC5">
          <w:rPr>
            <w:noProof/>
            <w:webHidden/>
          </w:rPr>
          <w:fldChar w:fldCharType="begin"/>
        </w:r>
        <w:r w:rsidR="00430BC5">
          <w:rPr>
            <w:noProof/>
            <w:webHidden/>
          </w:rPr>
          <w:instrText xml:space="preserve"> PAGEREF _Toc498591531 \h </w:instrText>
        </w:r>
        <w:r w:rsidR="00430BC5">
          <w:rPr>
            <w:noProof/>
            <w:webHidden/>
          </w:rPr>
        </w:r>
        <w:r w:rsidR="00430BC5">
          <w:rPr>
            <w:noProof/>
            <w:webHidden/>
          </w:rPr>
          <w:fldChar w:fldCharType="separate"/>
        </w:r>
        <w:r w:rsidR="00B67704">
          <w:rPr>
            <w:noProof/>
            <w:webHidden/>
          </w:rPr>
          <w:t>2</w:t>
        </w:r>
        <w:r w:rsidR="00430BC5">
          <w:rPr>
            <w:noProof/>
            <w:webHidden/>
          </w:rPr>
          <w:fldChar w:fldCharType="end"/>
        </w:r>
      </w:hyperlink>
    </w:p>
    <w:p w14:paraId="62BED9E3" w14:textId="77777777" w:rsidR="00430BC5" w:rsidRDefault="00885C2F">
      <w:pPr>
        <w:pStyle w:val="TOC1"/>
        <w:rPr>
          <w:rFonts w:asciiTheme="minorHAnsi" w:eastAsiaTheme="minorEastAsia" w:hAnsiTheme="minorHAnsi" w:cstheme="minorBidi"/>
          <w:caps w:val="0"/>
          <w:noProof/>
          <w:szCs w:val="22"/>
          <w:lang w:eastAsia="en-GB"/>
        </w:rPr>
      </w:pPr>
      <w:hyperlink w:anchor="_Toc498591532" w:history="1">
        <w:r w:rsidR="00430BC5" w:rsidRPr="00C740B3">
          <w:rPr>
            <w:rStyle w:val="Hyperlink"/>
            <w:noProof/>
          </w:rPr>
          <w:t>3.</w:t>
        </w:r>
        <w:r w:rsidR="00430BC5">
          <w:rPr>
            <w:rFonts w:asciiTheme="minorHAnsi" w:eastAsiaTheme="minorEastAsia" w:hAnsiTheme="minorHAnsi" w:cstheme="minorBidi"/>
            <w:caps w:val="0"/>
            <w:noProof/>
            <w:szCs w:val="22"/>
            <w:lang w:eastAsia="en-GB"/>
          </w:rPr>
          <w:tab/>
        </w:r>
        <w:r w:rsidR="00430BC5" w:rsidRPr="00C740B3">
          <w:rPr>
            <w:rStyle w:val="Hyperlink"/>
            <w:noProof/>
          </w:rPr>
          <w:t>Background to requirement/OVERVIEW of requirement</w:t>
        </w:r>
        <w:r w:rsidR="00430BC5">
          <w:rPr>
            <w:noProof/>
            <w:webHidden/>
          </w:rPr>
          <w:tab/>
        </w:r>
        <w:r w:rsidR="00430BC5">
          <w:rPr>
            <w:noProof/>
            <w:webHidden/>
          </w:rPr>
          <w:fldChar w:fldCharType="begin"/>
        </w:r>
        <w:r w:rsidR="00430BC5">
          <w:rPr>
            <w:noProof/>
            <w:webHidden/>
          </w:rPr>
          <w:instrText xml:space="preserve"> PAGEREF _Toc498591532 \h </w:instrText>
        </w:r>
        <w:r w:rsidR="00430BC5">
          <w:rPr>
            <w:noProof/>
            <w:webHidden/>
          </w:rPr>
        </w:r>
        <w:r w:rsidR="00430BC5">
          <w:rPr>
            <w:noProof/>
            <w:webHidden/>
          </w:rPr>
          <w:fldChar w:fldCharType="separate"/>
        </w:r>
        <w:r w:rsidR="00B67704">
          <w:rPr>
            <w:noProof/>
            <w:webHidden/>
          </w:rPr>
          <w:t>2</w:t>
        </w:r>
        <w:r w:rsidR="00430BC5">
          <w:rPr>
            <w:noProof/>
            <w:webHidden/>
          </w:rPr>
          <w:fldChar w:fldCharType="end"/>
        </w:r>
      </w:hyperlink>
    </w:p>
    <w:p w14:paraId="4EB9C85C" w14:textId="77777777" w:rsidR="00430BC5" w:rsidRDefault="00885C2F">
      <w:pPr>
        <w:pStyle w:val="TOC1"/>
        <w:rPr>
          <w:rFonts w:asciiTheme="minorHAnsi" w:eastAsiaTheme="minorEastAsia" w:hAnsiTheme="minorHAnsi" w:cstheme="minorBidi"/>
          <w:caps w:val="0"/>
          <w:noProof/>
          <w:szCs w:val="22"/>
          <w:lang w:eastAsia="en-GB"/>
        </w:rPr>
      </w:pPr>
      <w:hyperlink w:anchor="_Toc498591533" w:history="1">
        <w:r w:rsidR="00430BC5" w:rsidRPr="00C740B3">
          <w:rPr>
            <w:rStyle w:val="Hyperlink"/>
            <w:noProof/>
          </w:rPr>
          <w:t>4.</w:t>
        </w:r>
        <w:r w:rsidR="00430BC5">
          <w:rPr>
            <w:rFonts w:asciiTheme="minorHAnsi" w:eastAsiaTheme="minorEastAsia" w:hAnsiTheme="minorHAnsi" w:cstheme="minorBidi"/>
            <w:caps w:val="0"/>
            <w:noProof/>
            <w:szCs w:val="22"/>
            <w:lang w:eastAsia="en-GB"/>
          </w:rPr>
          <w:tab/>
        </w:r>
        <w:r w:rsidR="00430BC5" w:rsidRPr="00C740B3">
          <w:rPr>
            <w:rStyle w:val="Hyperlink"/>
            <w:noProof/>
          </w:rPr>
          <w:t>definitions</w:t>
        </w:r>
        <w:r w:rsidR="00430BC5">
          <w:rPr>
            <w:noProof/>
            <w:webHidden/>
          </w:rPr>
          <w:tab/>
        </w:r>
        <w:r w:rsidR="00430BC5">
          <w:rPr>
            <w:noProof/>
            <w:webHidden/>
          </w:rPr>
          <w:fldChar w:fldCharType="begin"/>
        </w:r>
        <w:r w:rsidR="00430BC5">
          <w:rPr>
            <w:noProof/>
            <w:webHidden/>
          </w:rPr>
          <w:instrText xml:space="preserve"> PAGEREF _Toc498591533 \h </w:instrText>
        </w:r>
        <w:r w:rsidR="00430BC5">
          <w:rPr>
            <w:noProof/>
            <w:webHidden/>
          </w:rPr>
        </w:r>
        <w:r w:rsidR="00430BC5">
          <w:rPr>
            <w:noProof/>
            <w:webHidden/>
          </w:rPr>
          <w:fldChar w:fldCharType="separate"/>
        </w:r>
        <w:r w:rsidR="00B67704">
          <w:rPr>
            <w:noProof/>
            <w:webHidden/>
          </w:rPr>
          <w:t>2</w:t>
        </w:r>
        <w:r w:rsidR="00430BC5">
          <w:rPr>
            <w:noProof/>
            <w:webHidden/>
          </w:rPr>
          <w:fldChar w:fldCharType="end"/>
        </w:r>
      </w:hyperlink>
    </w:p>
    <w:p w14:paraId="484844AB" w14:textId="77777777" w:rsidR="00430BC5" w:rsidRDefault="00885C2F">
      <w:pPr>
        <w:pStyle w:val="TOC1"/>
        <w:rPr>
          <w:rFonts w:asciiTheme="minorHAnsi" w:eastAsiaTheme="minorEastAsia" w:hAnsiTheme="minorHAnsi" w:cstheme="minorBidi"/>
          <w:caps w:val="0"/>
          <w:noProof/>
          <w:szCs w:val="22"/>
          <w:lang w:eastAsia="en-GB"/>
        </w:rPr>
      </w:pPr>
      <w:hyperlink w:anchor="_Toc498591534" w:history="1">
        <w:r w:rsidR="00430BC5" w:rsidRPr="00C740B3">
          <w:rPr>
            <w:rStyle w:val="Hyperlink"/>
            <w:noProof/>
          </w:rPr>
          <w:t>5.</w:t>
        </w:r>
        <w:r w:rsidR="00430BC5">
          <w:rPr>
            <w:rFonts w:asciiTheme="minorHAnsi" w:eastAsiaTheme="minorEastAsia" w:hAnsiTheme="minorHAnsi" w:cstheme="minorBidi"/>
            <w:caps w:val="0"/>
            <w:noProof/>
            <w:szCs w:val="22"/>
            <w:lang w:eastAsia="en-GB"/>
          </w:rPr>
          <w:tab/>
        </w:r>
        <w:r w:rsidR="00430BC5" w:rsidRPr="00C740B3">
          <w:rPr>
            <w:rStyle w:val="Hyperlink"/>
            <w:noProof/>
          </w:rPr>
          <w:t>scope of requirement</w:t>
        </w:r>
        <w:r w:rsidR="00430BC5">
          <w:rPr>
            <w:noProof/>
            <w:webHidden/>
          </w:rPr>
          <w:tab/>
        </w:r>
        <w:r w:rsidR="00430BC5">
          <w:rPr>
            <w:noProof/>
            <w:webHidden/>
          </w:rPr>
          <w:fldChar w:fldCharType="begin"/>
        </w:r>
        <w:r w:rsidR="00430BC5">
          <w:rPr>
            <w:noProof/>
            <w:webHidden/>
          </w:rPr>
          <w:instrText xml:space="preserve"> PAGEREF _Toc498591534 \h </w:instrText>
        </w:r>
        <w:r w:rsidR="00430BC5">
          <w:rPr>
            <w:noProof/>
            <w:webHidden/>
          </w:rPr>
        </w:r>
        <w:r w:rsidR="00430BC5">
          <w:rPr>
            <w:noProof/>
            <w:webHidden/>
          </w:rPr>
          <w:fldChar w:fldCharType="separate"/>
        </w:r>
        <w:r w:rsidR="00B67704">
          <w:rPr>
            <w:noProof/>
            <w:webHidden/>
          </w:rPr>
          <w:t>2</w:t>
        </w:r>
        <w:r w:rsidR="00430BC5">
          <w:rPr>
            <w:noProof/>
            <w:webHidden/>
          </w:rPr>
          <w:fldChar w:fldCharType="end"/>
        </w:r>
      </w:hyperlink>
    </w:p>
    <w:p w14:paraId="177F2665" w14:textId="77777777" w:rsidR="00430BC5" w:rsidRDefault="00885C2F">
      <w:pPr>
        <w:pStyle w:val="TOC1"/>
        <w:rPr>
          <w:rFonts w:asciiTheme="minorHAnsi" w:eastAsiaTheme="minorEastAsia" w:hAnsiTheme="minorHAnsi" w:cstheme="minorBidi"/>
          <w:caps w:val="0"/>
          <w:noProof/>
          <w:szCs w:val="22"/>
          <w:lang w:eastAsia="en-GB"/>
        </w:rPr>
      </w:pPr>
      <w:hyperlink w:anchor="_Toc498591535" w:history="1">
        <w:r w:rsidR="00430BC5" w:rsidRPr="00C740B3">
          <w:rPr>
            <w:rStyle w:val="Hyperlink"/>
            <w:noProof/>
          </w:rPr>
          <w:t>6.</w:t>
        </w:r>
        <w:r w:rsidR="00430BC5">
          <w:rPr>
            <w:rFonts w:asciiTheme="minorHAnsi" w:eastAsiaTheme="minorEastAsia" w:hAnsiTheme="minorHAnsi" w:cstheme="minorBidi"/>
            <w:caps w:val="0"/>
            <w:noProof/>
            <w:szCs w:val="22"/>
            <w:lang w:eastAsia="en-GB"/>
          </w:rPr>
          <w:tab/>
        </w:r>
        <w:r w:rsidR="00430BC5" w:rsidRPr="00C740B3">
          <w:rPr>
            <w:rStyle w:val="Hyperlink"/>
            <w:noProof/>
          </w:rPr>
          <w:t>The requirement</w:t>
        </w:r>
        <w:r w:rsidR="00430BC5">
          <w:rPr>
            <w:noProof/>
            <w:webHidden/>
          </w:rPr>
          <w:tab/>
        </w:r>
        <w:r w:rsidR="00430BC5">
          <w:rPr>
            <w:noProof/>
            <w:webHidden/>
          </w:rPr>
          <w:fldChar w:fldCharType="begin"/>
        </w:r>
        <w:r w:rsidR="00430BC5">
          <w:rPr>
            <w:noProof/>
            <w:webHidden/>
          </w:rPr>
          <w:instrText xml:space="preserve"> PAGEREF _Toc498591535 \h </w:instrText>
        </w:r>
        <w:r w:rsidR="00430BC5">
          <w:rPr>
            <w:noProof/>
            <w:webHidden/>
          </w:rPr>
        </w:r>
        <w:r w:rsidR="00430BC5">
          <w:rPr>
            <w:noProof/>
            <w:webHidden/>
          </w:rPr>
          <w:fldChar w:fldCharType="separate"/>
        </w:r>
        <w:r w:rsidR="00B67704">
          <w:rPr>
            <w:noProof/>
            <w:webHidden/>
          </w:rPr>
          <w:t>3</w:t>
        </w:r>
        <w:r w:rsidR="00430BC5">
          <w:rPr>
            <w:noProof/>
            <w:webHidden/>
          </w:rPr>
          <w:fldChar w:fldCharType="end"/>
        </w:r>
      </w:hyperlink>
    </w:p>
    <w:p w14:paraId="03F0B51B" w14:textId="77777777" w:rsidR="00430BC5" w:rsidRDefault="00885C2F">
      <w:pPr>
        <w:pStyle w:val="TOC1"/>
        <w:rPr>
          <w:rFonts w:asciiTheme="minorHAnsi" w:eastAsiaTheme="minorEastAsia" w:hAnsiTheme="minorHAnsi" w:cstheme="minorBidi"/>
          <w:caps w:val="0"/>
          <w:noProof/>
          <w:szCs w:val="22"/>
          <w:lang w:eastAsia="en-GB"/>
        </w:rPr>
      </w:pPr>
      <w:hyperlink w:anchor="_Toc498591536" w:history="1">
        <w:r w:rsidR="00430BC5" w:rsidRPr="00C740B3">
          <w:rPr>
            <w:rStyle w:val="Hyperlink"/>
            <w:noProof/>
          </w:rPr>
          <w:t>7.</w:t>
        </w:r>
        <w:r w:rsidR="00430BC5">
          <w:rPr>
            <w:rFonts w:asciiTheme="minorHAnsi" w:eastAsiaTheme="minorEastAsia" w:hAnsiTheme="minorHAnsi" w:cstheme="minorBidi"/>
            <w:caps w:val="0"/>
            <w:noProof/>
            <w:szCs w:val="22"/>
            <w:lang w:eastAsia="en-GB"/>
          </w:rPr>
          <w:tab/>
        </w:r>
        <w:r w:rsidR="00430BC5" w:rsidRPr="00C740B3">
          <w:rPr>
            <w:rStyle w:val="Hyperlink"/>
            <w:noProof/>
          </w:rPr>
          <w:t>key milestones</w:t>
        </w:r>
        <w:r w:rsidR="00430BC5">
          <w:rPr>
            <w:noProof/>
            <w:webHidden/>
          </w:rPr>
          <w:tab/>
        </w:r>
        <w:r w:rsidR="00430BC5">
          <w:rPr>
            <w:noProof/>
            <w:webHidden/>
          </w:rPr>
          <w:fldChar w:fldCharType="begin"/>
        </w:r>
        <w:r w:rsidR="00430BC5">
          <w:rPr>
            <w:noProof/>
            <w:webHidden/>
          </w:rPr>
          <w:instrText xml:space="preserve"> PAGEREF _Toc498591536 \h </w:instrText>
        </w:r>
        <w:r w:rsidR="00430BC5">
          <w:rPr>
            <w:noProof/>
            <w:webHidden/>
          </w:rPr>
        </w:r>
        <w:r w:rsidR="00430BC5">
          <w:rPr>
            <w:noProof/>
            <w:webHidden/>
          </w:rPr>
          <w:fldChar w:fldCharType="separate"/>
        </w:r>
        <w:r w:rsidR="00B67704">
          <w:rPr>
            <w:noProof/>
            <w:webHidden/>
          </w:rPr>
          <w:t>4</w:t>
        </w:r>
        <w:r w:rsidR="00430BC5">
          <w:rPr>
            <w:noProof/>
            <w:webHidden/>
          </w:rPr>
          <w:fldChar w:fldCharType="end"/>
        </w:r>
      </w:hyperlink>
    </w:p>
    <w:p w14:paraId="4437ACED" w14:textId="77777777" w:rsidR="00430BC5" w:rsidRDefault="00885C2F">
      <w:pPr>
        <w:pStyle w:val="TOC1"/>
        <w:rPr>
          <w:rFonts w:asciiTheme="minorHAnsi" w:eastAsiaTheme="minorEastAsia" w:hAnsiTheme="minorHAnsi" w:cstheme="minorBidi"/>
          <w:caps w:val="0"/>
          <w:noProof/>
          <w:szCs w:val="22"/>
          <w:lang w:eastAsia="en-GB"/>
        </w:rPr>
      </w:pPr>
      <w:hyperlink w:anchor="_Toc498591538" w:history="1">
        <w:r w:rsidR="00430BC5" w:rsidRPr="00C740B3">
          <w:rPr>
            <w:rStyle w:val="Hyperlink"/>
            <w:rFonts w:cs="Arial"/>
            <w:noProof/>
          </w:rPr>
          <w:t>8.</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authority’s responsibilities</w:t>
        </w:r>
        <w:r w:rsidR="00430BC5">
          <w:rPr>
            <w:noProof/>
            <w:webHidden/>
          </w:rPr>
          <w:tab/>
        </w:r>
        <w:r w:rsidR="00430BC5">
          <w:rPr>
            <w:noProof/>
            <w:webHidden/>
          </w:rPr>
          <w:fldChar w:fldCharType="begin"/>
        </w:r>
        <w:r w:rsidR="00430BC5">
          <w:rPr>
            <w:noProof/>
            <w:webHidden/>
          </w:rPr>
          <w:instrText xml:space="preserve"> PAGEREF _Toc498591538 \h </w:instrText>
        </w:r>
        <w:r w:rsidR="00430BC5">
          <w:rPr>
            <w:noProof/>
            <w:webHidden/>
          </w:rPr>
        </w:r>
        <w:r w:rsidR="00430BC5">
          <w:rPr>
            <w:noProof/>
            <w:webHidden/>
          </w:rPr>
          <w:fldChar w:fldCharType="separate"/>
        </w:r>
        <w:r w:rsidR="00B67704">
          <w:rPr>
            <w:noProof/>
            <w:webHidden/>
          </w:rPr>
          <w:t>4</w:t>
        </w:r>
        <w:r w:rsidR="00430BC5">
          <w:rPr>
            <w:noProof/>
            <w:webHidden/>
          </w:rPr>
          <w:fldChar w:fldCharType="end"/>
        </w:r>
      </w:hyperlink>
    </w:p>
    <w:p w14:paraId="26F1D644" w14:textId="77777777" w:rsidR="00430BC5" w:rsidRDefault="00885C2F">
      <w:pPr>
        <w:pStyle w:val="TOC1"/>
        <w:rPr>
          <w:rFonts w:asciiTheme="minorHAnsi" w:eastAsiaTheme="minorEastAsia" w:hAnsiTheme="minorHAnsi" w:cstheme="minorBidi"/>
          <w:caps w:val="0"/>
          <w:noProof/>
          <w:szCs w:val="22"/>
          <w:lang w:eastAsia="en-GB"/>
        </w:rPr>
      </w:pPr>
      <w:hyperlink w:anchor="_Toc498591539" w:history="1">
        <w:r w:rsidR="00430BC5" w:rsidRPr="00C740B3">
          <w:rPr>
            <w:rStyle w:val="Hyperlink"/>
            <w:rFonts w:cs="Arial"/>
            <w:noProof/>
          </w:rPr>
          <w:t>9.</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reporting</w:t>
        </w:r>
        <w:r w:rsidR="00430BC5">
          <w:rPr>
            <w:noProof/>
            <w:webHidden/>
          </w:rPr>
          <w:tab/>
        </w:r>
        <w:r w:rsidR="00430BC5">
          <w:rPr>
            <w:noProof/>
            <w:webHidden/>
          </w:rPr>
          <w:fldChar w:fldCharType="begin"/>
        </w:r>
        <w:r w:rsidR="00430BC5">
          <w:rPr>
            <w:noProof/>
            <w:webHidden/>
          </w:rPr>
          <w:instrText xml:space="preserve"> PAGEREF _Toc498591539 \h </w:instrText>
        </w:r>
        <w:r w:rsidR="00430BC5">
          <w:rPr>
            <w:noProof/>
            <w:webHidden/>
          </w:rPr>
        </w:r>
        <w:r w:rsidR="00430BC5">
          <w:rPr>
            <w:noProof/>
            <w:webHidden/>
          </w:rPr>
          <w:fldChar w:fldCharType="separate"/>
        </w:r>
        <w:r w:rsidR="00B67704">
          <w:rPr>
            <w:noProof/>
            <w:webHidden/>
          </w:rPr>
          <w:t>4</w:t>
        </w:r>
        <w:r w:rsidR="00430BC5">
          <w:rPr>
            <w:noProof/>
            <w:webHidden/>
          </w:rPr>
          <w:fldChar w:fldCharType="end"/>
        </w:r>
      </w:hyperlink>
    </w:p>
    <w:p w14:paraId="26B5C433" w14:textId="77777777" w:rsidR="00430BC5" w:rsidRDefault="00885C2F">
      <w:pPr>
        <w:pStyle w:val="TOC1"/>
        <w:rPr>
          <w:rFonts w:asciiTheme="minorHAnsi" w:eastAsiaTheme="minorEastAsia" w:hAnsiTheme="minorHAnsi" w:cstheme="minorBidi"/>
          <w:caps w:val="0"/>
          <w:noProof/>
          <w:szCs w:val="22"/>
          <w:lang w:eastAsia="en-GB"/>
        </w:rPr>
      </w:pPr>
      <w:hyperlink w:anchor="_Toc498591540" w:history="1">
        <w:r w:rsidR="00430BC5" w:rsidRPr="00C740B3">
          <w:rPr>
            <w:rStyle w:val="Hyperlink"/>
            <w:rFonts w:cs="Arial"/>
            <w:noProof/>
          </w:rPr>
          <w:t>10.</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volumes</w:t>
        </w:r>
        <w:r w:rsidR="00430BC5">
          <w:rPr>
            <w:noProof/>
            <w:webHidden/>
          </w:rPr>
          <w:tab/>
        </w:r>
        <w:r w:rsidR="00430BC5">
          <w:rPr>
            <w:noProof/>
            <w:webHidden/>
          </w:rPr>
          <w:fldChar w:fldCharType="begin"/>
        </w:r>
        <w:r w:rsidR="00430BC5">
          <w:rPr>
            <w:noProof/>
            <w:webHidden/>
          </w:rPr>
          <w:instrText xml:space="preserve"> PAGEREF _Toc498591540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263495AC" w14:textId="77777777" w:rsidR="00430BC5" w:rsidRDefault="00885C2F">
      <w:pPr>
        <w:pStyle w:val="TOC1"/>
        <w:rPr>
          <w:rFonts w:asciiTheme="minorHAnsi" w:eastAsiaTheme="minorEastAsia" w:hAnsiTheme="minorHAnsi" w:cstheme="minorBidi"/>
          <w:caps w:val="0"/>
          <w:noProof/>
          <w:szCs w:val="22"/>
          <w:lang w:eastAsia="en-GB"/>
        </w:rPr>
      </w:pPr>
      <w:hyperlink w:anchor="_Toc498591541" w:history="1">
        <w:r w:rsidR="00430BC5" w:rsidRPr="00C740B3">
          <w:rPr>
            <w:rStyle w:val="Hyperlink"/>
            <w:rFonts w:cs="Arial"/>
            <w:noProof/>
          </w:rPr>
          <w:t>11.</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continuous improvement</w:t>
        </w:r>
        <w:r w:rsidR="00430BC5">
          <w:rPr>
            <w:noProof/>
            <w:webHidden/>
          </w:rPr>
          <w:tab/>
        </w:r>
        <w:r w:rsidR="00430BC5">
          <w:rPr>
            <w:noProof/>
            <w:webHidden/>
          </w:rPr>
          <w:fldChar w:fldCharType="begin"/>
        </w:r>
        <w:r w:rsidR="00430BC5">
          <w:rPr>
            <w:noProof/>
            <w:webHidden/>
          </w:rPr>
          <w:instrText xml:space="preserve"> PAGEREF _Toc498591541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4A5EA35A" w14:textId="77777777" w:rsidR="00430BC5" w:rsidRDefault="00885C2F">
      <w:pPr>
        <w:pStyle w:val="TOC1"/>
        <w:rPr>
          <w:rFonts w:asciiTheme="minorHAnsi" w:eastAsiaTheme="minorEastAsia" w:hAnsiTheme="minorHAnsi" w:cstheme="minorBidi"/>
          <w:caps w:val="0"/>
          <w:noProof/>
          <w:szCs w:val="22"/>
          <w:lang w:eastAsia="en-GB"/>
        </w:rPr>
      </w:pPr>
      <w:hyperlink w:anchor="_Toc498591542" w:history="1">
        <w:r w:rsidR="00430BC5" w:rsidRPr="00C740B3">
          <w:rPr>
            <w:rStyle w:val="Hyperlink"/>
            <w:noProof/>
          </w:rPr>
          <w:t>12.</w:t>
        </w:r>
        <w:r w:rsidR="00430BC5">
          <w:rPr>
            <w:rFonts w:asciiTheme="minorHAnsi" w:eastAsiaTheme="minorEastAsia" w:hAnsiTheme="minorHAnsi" w:cstheme="minorBidi"/>
            <w:caps w:val="0"/>
            <w:noProof/>
            <w:szCs w:val="22"/>
            <w:lang w:eastAsia="en-GB"/>
          </w:rPr>
          <w:tab/>
        </w:r>
        <w:r w:rsidR="00430BC5" w:rsidRPr="00C740B3">
          <w:rPr>
            <w:rStyle w:val="Hyperlink"/>
            <w:noProof/>
          </w:rPr>
          <w:t>Sustainability</w:t>
        </w:r>
        <w:r w:rsidR="00430BC5">
          <w:rPr>
            <w:noProof/>
            <w:webHidden/>
          </w:rPr>
          <w:tab/>
        </w:r>
        <w:r w:rsidR="00430BC5">
          <w:rPr>
            <w:noProof/>
            <w:webHidden/>
          </w:rPr>
          <w:fldChar w:fldCharType="begin"/>
        </w:r>
        <w:r w:rsidR="00430BC5">
          <w:rPr>
            <w:noProof/>
            <w:webHidden/>
          </w:rPr>
          <w:instrText xml:space="preserve"> PAGEREF _Toc498591542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2BAD928E" w14:textId="77777777" w:rsidR="00430BC5" w:rsidRDefault="00885C2F">
      <w:pPr>
        <w:pStyle w:val="TOC1"/>
        <w:rPr>
          <w:rFonts w:asciiTheme="minorHAnsi" w:eastAsiaTheme="minorEastAsia" w:hAnsiTheme="minorHAnsi" w:cstheme="minorBidi"/>
          <w:caps w:val="0"/>
          <w:noProof/>
          <w:szCs w:val="22"/>
          <w:lang w:eastAsia="en-GB"/>
        </w:rPr>
      </w:pPr>
      <w:hyperlink w:anchor="_Toc498591543" w:history="1">
        <w:r w:rsidR="00430BC5" w:rsidRPr="00C740B3">
          <w:rPr>
            <w:rStyle w:val="Hyperlink"/>
            <w:rFonts w:cs="Arial"/>
            <w:noProof/>
          </w:rPr>
          <w:t>13.</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quality</w:t>
        </w:r>
        <w:r w:rsidR="00430BC5">
          <w:rPr>
            <w:noProof/>
            <w:webHidden/>
          </w:rPr>
          <w:tab/>
        </w:r>
        <w:r w:rsidR="00430BC5">
          <w:rPr>
            <w:noProof/>
            <w:webHidden/>
          </w:rPr>
          <w:fldChar w:fldCharType="begin"/>
        </w:r>
        <w:r w:rsidR="00430BC5">
          <w:rPr>
            <w:noProof/>
            <w:webHidden/>
          </w:rPr>
          <w:instrText xml:space="preserve"> PAGEREF _Toc498591543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3CDC29C7" w14:textId="77777777" w:rsidR="00430BC5" w:rsidRDefault="00885C2F">
      <w:pPr>
        <w:pStyle w:val="TOC1"/>
        <w:rPr>
          <w:rFonts w:asciiTheme="minorHAnsi" w:eastAsiaTheme="minorEastAsia" w:hAnsiTheme="minorHAnsi" w:cstheme="minorBidi"/>
          <w:caps w:val="0"/>
          <w:noProof/>
          <w:szCs w:val="22"/>
          <w:lang w:eastAsia="en-GB"/>
        </w:rPr>
      </w:pPr>
      <w:hyperlink w:anchor="_Toc498591544" w:history="1">
        <w:r w:rsidR="00430BC5" w:rsidRPr="00C740B3">
          <w:rPr>
            <w:rStyle w:val="Hyperlink"/>
            <w:rFonts w:cs="Arial"/>
            <w:noProof/>
          </w:rPr>
          <w:t>14.</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PRICE</w:t>
        </w:r>
        <w:r w:rsidR="00430BC5">
          <w:rPr>
            <w:noProof/>
            <w:webHidden/>
          </w:rPr>
          <w:tab/>
        </w:r>
        <w:r w:rsidR="00430BC5">
          <w:rPr>
            <w:noProof/>
            <w:webHidden/>
          </w:rPr>
          <w:fldChar w:fldCharType="begin"/>
        </w:r>
        <w:r w:rsidR="00430BC5">
          <w:rPr>
            <w:noProof/>
            <w:webHidden/>
          </w:rPr>
          <w:instrText xml:space="preserve"> PAGEREF _Toc498591544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653B891D" w14:textId="77777777" w:rsidR="00430BC5" w:rsidRDefault="00885C2F">
      <w:pPr>
        <w:pStyle w:val="TOC1"/>
        <w:rPr>
          <w:rFonts w:asciiTheme="minorHAnsi" w:eastAsiaTheme="minorEastAsia" w:hAnsiTheme="minorHAnsi" w:cstheme="minorBidi"/>
          <w:caps w:val="0"/>
          <w:noProof/>
          <w:szCs w:val="22"/>
          <w:lang w:eastAsia="en-GB"/>
        </w:rPr>
      </w:pPr>
      <w:hyperlink w:anchor="_Toc498591545" w:history="1">
        <w:r w:rsidR="00430BC5" w:rsidRPr="00C740B3">
          <w:rPr>
            <w:rStyle w:val="Hyperlink"/>
            <w:rFonts w:cs="Arial"/>
            <w:noProof/>
          </w:rPr>
          <w:t>15.</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STAFF AND CUSTOMER SERVICE</w:t>
        </w:r>
        <w:r w:rsidR="00430BC5">
          <w:rPr>
            <w:noProof/>
            <w:webHidden/>
          </w:rPr>
          <w:tab/>
        </w:r>
        <w:r w:rsidR="00430BC5">
          <w:rPr>
            <w:noProof/>
            <w:webHidden/>
          </w:rPr>
          <w:fldChar w:fldCharType="begin"/>
        </w:r>
        <w:r w:rsidR="00430BC5">
          <w:rPr>
            <w:noProof/>
            <w:webHidden/>
          </w:rPr>
          <w:instrText xml:space="preserve"> PAGEREF _Toc498591545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380804DD" w14:textId="77777777" w:rsidR="00430BC5" w:rsidRDefault="00885C2F">
      <w:pPr>
        <w:pStyle w:val="TOC1"/>
        <w:rPr>
          <w:rFonts w:asciiTheme="minorHAnsi" w:eastAsiaTheme="minorEastAsia" w:hAnsiTheme="minorHAnsi" w:cstheme="minorBidi"/>
          <w:caps w:val="0"/>
          <w:noProof/>
          <w:szCs w:val="22"/>
          <w:lang w:eastAsia="en-GB"/>
        </w:rPr>
      </w:pPr>
      <w:hyperlink w:anchor="_Toc498591546" w:history="1">
        <w:r w:rsidR="00430BC5" w:rsidRPr="00C740B3">
          <w:rPr>
            <w:rStyle w:val="Hyperlink"/>
            <w:rFonts w:cs="Arial"/>
            <w:noProof/>
          </w:rPr>
          <w:t>16.</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service levels and performance</w:t>
        </w:r>
        <w:r w:rsidR="00430BC5">
          <w:rPr>
            <w:noProof/>
            <w:webHidden/>
          </w:rPr>
          <w:tab/>
        </w:r>
        <w:r w:rsidR="00430BC5">
          <w:rPr>
            <w:noProof/>
            <w:webHidden/>
          </w:rPr>
          <w:fldChar w:fldCharType="begin"/>
        </w:r>
        <w:r w:rsidR="00430BC5">
          <w:rPr>
            <w:noProof/>
            <w:webHidden/>
          </w:rPr>
          <w:instrText xml:space="preserve"> PAGEREF _Toc498591546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26AF5845" w14:textId="77777777" w:rsidR="00430BC5" w:rsidRDefault="00885C2F">
      <w:pPr>
        <w:pStyle w:val="TOC1"/>
        <w:rPr>
          <w:rFonts w:asciiTheme="minorHAnsi" w:eastAsiaTheme="minorEastAsia" w:hAnsiTheme="minorHAnsi" w:cstheme="minorBidi"/>
          <w:caps w:val="0"/>
          <w:noProof/>
          <w:szCs w:val="22"/>
          <w:lang w:eastAsia="en-GB"/>
        </w:rPr>
      </w:pPr>
      <w:hyperlink w:anchor="_Toc498591547" w:history="1">
        <w:r w:rsidR="00430BC5" w:rsidRPr="00C740B3">
          <w:rPr>
            <w:rStyle w:val="Hyperlink"/>
            <w:noProof/>
          </w:rPr>
          <w:t>17.</w:t>
        </w:r>
        <w:r w:rsidR="00430BC5">
          <w:rPr>
            <w:rFonts w:asciiTheme="minorHAnsi" w:eastAsiaTheme="minorEastAsia" w:hAnsiTheme="minorHAnsi" w:cstheme="minorBidi"/>
            <w:caps w:val="0"/>
            <w:noProof/>
            <w:szCs w:val="22"/>
            <w:lang w:eastAsia="en-GB"/>
          </w:rPr>
          <w:tab/>
        </w:r>
        <w:r w:rsidR="00430BC5" w:rsidRPr="00C740B3">
          <w:rPr>
            <w:rStyle w:val="Hyperlink"/>
            <w:noProof/>
          </w:rPr>
          <w:t>Security requirements</w:t>
        </w:r>
        <w:r w:rsidR="00430BC5">
          <w:rPr>
            <w:noProof/>
            <w:webHidden/>
          </w:rPr>
          <w:tab/>
        </w:r>
        <w:r w:rsidR="00430BC5">
          <w:rPr>
            <w:noProof/>
            <w:webHidden/>
          </w:rPr>
          <w:fldChar w:fldCharType="begin"/>
        </w:r>
        <w:r w:rsidR="00430BC5">
          <w:rPr>
            <w:noProof/>
            <w:webHidden/>
          </w:rPr>
          <w:instrText xml:space="preserve"> PAGEREF _Toc498591547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2FDA1B92" w14:textId="77777777" w:rsidR="00430BC5" w:rsidRDefault="00885C2F">
      <w:pPr>
        <w:pStyle w:val="TOC1"/>
        <w:rPr>
          <w:rFonts w:asciiTheme="minorHAnsi" w:eastAsiaTheme="minorEastAsia" w:hAnsiTheme="minorHAnsi" w:cstheme="minorBidi"/>
          <w:caps w:val="0"/>
          <w:noProof/>
          <w:szCs w:val="22"/>
          <w:lang w:eastAsia="en-GB"/>
        </w:rPr>
      </w:pPr>
      <w:hyperlink w:anchor="_Toc498591548" w:history="1">
        <w:r w:rsidR="00430BC5" w:rsidRPr="00C740B3">
          <w:rPr>
            <w:rStyle w:val="Hyperlink"/>
            <w:rFonts w:cs="Arial"/>
            <w:noProof/>
          </w:rPr>
          <w:t>18.</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intellectual property rights (ipr)</w:t>
        </w:r>
        <w:r w:rsidR="00430BC5">
          <w:rPr>
            <w:noProof/>
            <w:webHidden/>
          </w:rPr>
          <w:tab/>
        </w:r>
        <w:r w:rsidR="00430BC5">
          <w:rPr>
            <w:noProof/>
            <w:webHidden/>
          </w:rPr>
          <w:fldChar w:fldCharType="begin"/>
        </w:r>
        <w:r w:rsidR="00430BC5">
          <w:rPr>
            <w:noProof/>
            <w:webHidden/>
          </w:rPr>
          <w:instrText xml:space="preserve"> PAGEREF _Toc498591548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5D6074F9" w14:textId="77777777" w:rsidR="00430BC5" w:rsidRDefault="00885C2F">
      <w:pPr>
        <w:pStyle w:val="TOC1"/>
        <w:rPr>
          <w:rFonts w:asciiTheme="minorHAnsi" w:eastAsiaTheme="minorEastAsia" w:hAnsiTheme="minorHAnsi" w:cstheme="minorBidi"/>
          <w:caps w:val="0"/>
          <w:noProof/>
          <w:szCs w:val="22"/>
          <w:lang w:eastAsia="en-GB"/>
        </w:rPr>
      </w:pPr>
      <w:hyperlink w:anchor="_Toc498591549" w:history="1">
        <w:r w:rsidR="00430BC5" w:rsidRPr="00C740B3">
          <w:rPr>
            <w:rStyle w:val="Hyperlink"/>
            <w:rFonts w:cs="Arial"/>
            <w:noProof/>
          </w:rPr>
          <w:t>19.</w:t>
        </w:r>
        <w:r w:rsidR="00430BC5">
          <w:rPr>
            <w:rFonts w:asciiTheme="minorHAnsi" w:eastAsiaTheme="minorEastAsia" w:hAnsiTheme="minorHAnsi" w:cstheme="minorBidi"/>
            <w:caps w:val="0"/>
            <w:noProof/>
            <w:szCs w:val="22"/>
            <w:lang w:eastAsia="en-GB"/>
          </w:rPr>
          <w:tab/>
        </w:r>
        <w:r w:rsidR="00430BC5" w:rsidRPr="00C740B3">
          <w:rPr>
            <w:rStyle w:val="Hyperlink"/>
            <w:rFonts w:cs="Arial"/>
            <w:noProof/>
          </w:rPr>
          <w:t>payment</w:t>
        </w:r>
        <w:r w:rsidR="00430BC5">
          <w:rPr>
            <w:noProof/>
            <w:webHidden/>
          </w:rPr>
          <w:tab/>
        </w:r>
        <w:r w:rsidR="00430BC5">
          <w:rPr>
            <w:noProof/>
            <w:webHidden/>
          </w:rPr>
          <w:fldChar w:fldCharType="begin"/>
        </w:r>
        <w:r w:rsidR="00430BC5">
          <w:rPr>
            <w:noProof/>
            <w:webHidden/>
          </w:rPr>
          <w:instrText xml:space="preserve"> PAGEREF _Toc498591549 \h </w:instrText>
        </w:r>
        <w:r w:rsidR="00430BC5">
          <w:rPr>
            <w:noProof/>
            <w:webHidden/>
          </w:rPr>
        </w:r>
        <w:r w:rsidR="00430BC5">
          <w:rPr>
            <w:noProof/>
            <w:webHidden/>
          </w:rPr>
          <w:fldChar w:fldCharType="separate"/>
        </w:r>
        <w:r w:rsidR="00B67704">
          <w:rPr>
            <w:noProof/>
            <w:webHidden/>
          </w:rPr>
          <w:t>5</w:t>
        </w:r>
        <w:r w:rsidR="00430BC5">
          <w:rPr>
            <w:noProof/>
            <w:webHidden/>
          </w:rPr>
          <w:fldChar w:fldCharType="end"/>
        </w:r>
      </w:hyperlink>
    </w:p>
    <w:p w14:paraId="5874527E" w14:textId="77777777" w:rsidR="00430BC5" w:rsidRDefault="00885C2F">
      <w:pPr>
        <w:pStyle w:val="TOC1"/>
        <w:rPr>
          <w:rFonts w:asciiTheme="minorHAnsi" w:eastAsiaTheme="minorEastAsia" w:hAnsiTheme="minorHAnsi" w:cstheme="minorBidi"/>
          <w:caps w:val="0"/>
          <w:noProof/>
          <w:szCs w:val="22"/>
          <w:lang w:eastAsia="en-GB"/>
        </w:rPr>
      </w:pPr>
      <w:hyperlink w:anchor="_Toc498591550" w:history="1">
        <w:r w:rsidR="00430BC5" w:rsidRPr="00C740B3">
          <w:rPr>
            <w:rStyle w:val="Hyperlink"/>
            <w:noProof/>
          </w:rPr>
          <w:t>20.</w:t>
        </w:r>
        <w:r w:rsidR="00430BC5">
          <w:rPr>
            <w:rFonts w:asciiTheme="minorHAnsi" w:eastAsiaTheme="minorEastAsia" w:hAnsiTheme="minorHAnsi" w:cstheme="minorBidi"/>
            <w:caps w:val="0"/>
            <w:noProof/>
            <w:szCs w:val="22"/>
            <w:lang w:eastAsia="en-GB"/>
          </w:rPr>
          <w:tab/>
        </w:r>
        <w:r w:rsidR="00430BC5" w:rsidRPr="00C740B3">
          <w:rPr>
            <w:rStyle w:val="Hyperlink"/>
            <w:noProof/>
          </w:rPr>
          <w:t>Location</w:t>
        </w:r>
        <w:r w:rsidR="00430BC5">
          <w:rPr>
            <w:noProof/>
            <w:webHidden/>
          </w:rPr>
          <w:tab/>
        </w:r>
        <w:r w:rsidR="00430BC5">
          <w:rPr>
            <w:noProof/>
            <w:webHidden/>
          </w:rPr>
          <w:fldChar w:fldCharType="begin"/>
        </w:r>
        <w:r w:rsidR="00430BC5">
          <w:rPr>
            <w:noProof/>
            <w:webHidden/>
          </w:rPr>
          <w:instrText xml:space="preserve"> PAGEREF _Toc498591550 \h </w:instrText>
        </w:r>
        <w:r w:rsidR="00430BC5">
          <w:rPr>
            <w:noProof/>
            <w:webHidden/>
          </w:rPr>
        </w:r>
        <w:r w:rsidR="00430BC5">
          <w:rPr>
            <w:noProof/>
            <w:webHidden/>
          </w:rPr>
          <w:fldChar w:fldCharType="separate"/>
        </w:r>
        <w:r w:rsidR="00B67704">
          <w:rPr>
            <w:noProof/>
            <w:webHidden/>
          </w:rPr>
          <w:t>6</w:t>
        </w:r>
        <w:r w:rsidR="00430BC5">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98591530"/>
      <w:r w:rsidRPr="00CE295C">
        <w:rPr>
          <w:caps w:val="0"/>
          <w:szCs w:val="22"/>
        </w:rPr>
        <w:lastRenderedPageBreak/>
        <w:t>PURPOSE</w:t>
      </w:r>
      <w:bookmarkEnd w:id="0"/>
      <w:bookmarkEnd w:id="1"/>
      <w:bookmarkEnd w:id="2"/>
    </w:p>
    <w:p w14:paraId="3BDB92AC" w14:textId="001BB3F5" w:rsidR="00FE18AC" w:rsidRPr="00BC0AC6" w:rsidRDefault="00BC0AC6" w:rsidP="00BC0AC6">
      <w:pPr>
        <w:pStyle w:val="Heading2"/>
        <w:overflowPunct w:val="0"/>
        <w:autoSpaceDE w:val="0"/>
        <w:autoSpaceDN w:val="0"/>
        <w:spacing w:after="120"/>
        <w:ind w:left="709" w:hanging="709"/>
        <w:textAlignment w:val="baseline"/>
        <w:rPr>
          <w:szCs w:val="22"/>
        </w:rPr>
      </w:pPr>
      <w:bookmarkStart w:id="3" w:name="_Toc296415791"/>
      <w:r w:rsidRPr="00837F76">
        <w:rPr>
          <w:szCs w:val="22"/>
        </w:rPr>
        <w:t>The Authority requires an external organisation with experience in diversity in recruitment to conduct a review of its graduate recruitment process, from the attraction of candidates through to the point at which job offers are accepted.</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98591531"/>
      <w:bookmarkStart w:id="6" w:name="_Toc297554773"/>
      <w:bookmarkStart w:id="7" w:name="_Toc296415805"/>
      <w:bookmarkStart w:id="8" w:name="_Toc296415793"/>
      <w:bookmarkEnd w:id="3"/>
      <w:r w:rsidRPr="004E78BC">
        <w:rPr>
          <w:szCs w:val="22"/>
        </w:rPr>
        <w:t>BACKGROUND TO THE CONTRACTING aUTHORITY</w:t>
      </w:r>
      <w:bookmarkEnd w:id="4"/>
      <w:bookmarkEnd w:id="5"/>
    </w:p>
    <w:p w14:paraId="3D1977ED" w14:textId="1A04B41F" w:rsidR="00671798" w:rsidRPr="00BC0AC6" w:rsidRDefault="00BC0AC6" w:rsidP="00BC0AC6">
      <w:pPr>
        <w:pStyle w:val="Heading2"/>
        <w:spacing w:after="120"/>
        <w:ind w:left="709" w:hanging="709"/>
      </w:pPr>
      <w:r w:rsidRPr="00837F76">
        <w:t>The Authority</w:t>
      </w:r>
      <w:r w:rsidR="00556C03">
        <w:t xml:space="preserve"> is the government’s Economics and Finance M</w:t>
      </w:r>
      <w:r w:rsidRPr="00837F76">
        <w:t>inistry.  We carry out an annual graduate recruitment campaign to bring in c.70 – 100+ new policy advisors, who join the department in two intakes in April and September each year.</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98591532"/>
      <w:r>
        <w:rPr>
          <w:szCs w:val="22"/>
        </w:rPr>
        <w:t>Background to requirement/</w:t>
      </w:r>
      <w:r w:rsidRPr="002C546C">
        <w:rPr>
          <w:szCs w:val="22"/>
        </w:rPr>
        <w:t>OVERVIEW</w:t>
      </w:r>
      <w:bookmarkEnd w:id="6"/>
      <w:r>
        <w:rPr>
          <w:szCs w:val="22"/>
        </w:rPr>
        <w:t xml:space="preserve"> of requirement</w:t>
      </w:r>
      <w:bookmarkEnd w:id="9"/>
      <w:bookmarkEnd w:id="10"/>
    </w:p>
    <w:p w14:paraId="481A921E" w14:textId="77777777" w:rsidR="00BC0AC6" w:rsidRPr="00837F76" w:rsidRDefault="00BC0AC6" w:rsidP="00BC0AC6">
      <w:pPr>
        <w:pStyle w:val="Heading2"/>
        <w:tabs>
          <w:tab w:val="clear" w:pos="720"/>
          <w:tab w:val="num" w:pos="709"/>
        </w:tabs>
        <w:spacing w:after="120"/>
        <w:ind w:left="709" w:hanging="709"/>
      </w:pPr>
      <w:bookmarkStart w:id="11" w:name="_Toc297554774"/>
      <w:bookmarkEnd w:id="7"/>
      <w:r w:rsidRPr="00837F76">
        <w:t>Since the introduction of the Authority’s graduate recruitment programme three years ago, there has been a corresponding evolution of our graduate outreach and selection activities.  Our focus has increasingly been on improving the diversity of our intake.</w:t>
      </w:r>
    </w:p>
    <w:p w14:paraId="2189EF62" w14:textId="2829B522" w:rsidR="00CC05D0" w:rsidRPr="00BC0AC6" w:rsidRDefault="00BC0AC6" w:rsidP="00BC0AC6">
      <w:pPr>
        <w:pStyle w:val="Heading2"/>
        <w:spacing w:after="120"/>
        <w:ind w:left="709" w:hanging="709"/>
      </w:pPr>
      <w:r w:rsidRPr="00837F76">
        <w:t xml:space="preserve">Increasing the diversity of our intake is critical to the ongoing work of the department: we need the widest mix of Policy Advisers to ensure our policy work is informed by the most diverse approaches and experiences.  The commitment to increasing diversity across the entire department is </w:t>
      </w:r>
      <w:r>
        <w:t>championed by the most senior management of the Authority, who are seeking to promote a culture which values difference and recognises that diversity enriches decision making and delivery</w:t>
      </w:r>
      <w:r w:rsidRPr="00837F76">
        <w:t>.</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2" w:name="_Toc498591533"/>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BC0AC6">
        <w:tc>
          <w:tcPr>
            <w:tcW w:w="1841" w:type="dxa"/>
            <w:shd w:val="clear" w:color="auto" w:fill="C6D9F1" w:themeFill="text2" w:themeFillTint="33"/>
          </w:tcPr>
          <w:p w14:paraId="2E04E555" w14:textId="1E410DA5" w:rsidR="00106F24" w:rsidRPr="00BC0AC6" w:rsidRDefault="00106F24" w:rsidP="0081061A">
            <w:pPr>
              <w:pStyle w:val="Heading2"/>
              <w:numPr>
                <w:ilvl w:val="0"/>
                <w:numId w:val="0"/>
              </w:numPr>
              <w:spacing w:after="120"/>
              <w:ind w:left="18" w:hanging="18"/>
              <w:jc w:val="left"/>
              <w:outlineLvl w:val="1"/>
            </w:pPr>
            <w:r w:rsidRPr="00BC0AC6">
              <w:t>Expression</w:t>
            </w:r>
            <w:r w:rsidR="0081061A" w:rsidRPr="00BC0AC6">
              <w:t xml:space="preserve"> or </w:t>
            </w:r>
            <w:r w:rsidRPr="00BC0AC6">
              <w:t>Acronym</w:t>
            </w:r>
          </w:p>
        </w:tc>
        <w:tc>
          <w:tcPr>
            <w:tcW w:w="6458" w:type="dxa"/>
            <w:shd w:val="clear" w:color="auto" w:fill="C6D9F1" w:themeFill="text2" w:themeFillTint="33"/>
          </w:tcPr>
          <w:p w14:paraId="0CDEAA6D" w14:textId="00739683" w:rsidR="00106F24" w:rsidRPr="00BC0AC6" w:rsidRDefault="00106F24" w:rsidP="0081061A">
            <w:pPr>
              <w:pStyle w:val="Heading2"/>
              <w:numPr>
                <w:ilvl w:val="0"/>
                <w:numId w:val="0"/>
              </w:numPr>
              <w:spacing w:after="120"/>
              <w:ind w:left="720" w:hanging="720"/>
              <w:outlineLvl w:val="1"/>
            </w:pPr>
            <w:r w:rsidRPr="00BC0AC6">
              <w:t>Definition</w:t>
            </w:r>
          </w:p>
        </w:tc>
      </w:tr>
      <w:tr w:rsidR="00556C03" w14:paraId="6C08712D" w14:textId="77777777" w:rsidTr="00BC0AC6">
        <w:tc>
          <w:tcPr>
            <w:tcW w:w="1841" w:type="dxa"/>
          </w:tcPr>
          <w:p w14:paraId="63A3CA78" w14:textId="1AEABDC4" w:rsidR="00556C03" w:rsidRPr="00BC0AC6" w:rsidRDefault="00556C03" w:rsidP="00BC0AC6">
            <w:pPr>
              <w:pStyle w:val="Heading2"/>
              <w:numPr>
                <w:ilvl w:val="0"/>
                <w:numId w:val="0"/>
              </w:numPr>
              <w:spacing w:after="120"/>
              <w:ind w:left="720" w:hanging="720"/>
              <w:outlineLvl w:val="1"/>
            </w:pPr>
            <w:r>
              <w:t>HMT</w:t>
            </w:r>
          </w:p>
        </w:tc>
        <w:tc>
          <w:tcPr>
            <w:tcW w:w="6458" w:type="dxa"/>
          </w:tcPr>
          <w:p w14:paraId="1D9B5B40" w14:textId="41BBBC1E" w:rsidR="00556C03" w:rsidRPr="00BC0AC6" w:rsidRDefault="00556C03" w:rsidP="00BC0AC6">
            <w:pPr>
              <w:pStyle w:val="Heading2"/>
              <w:numPr>
                <w:ilvl w:val="0"/>
                <w:numId w:val="0"/>
              </w:numPr>
              <w:spacing w:after="120"/>
              <w:outlineLvl w:val="1"/>
            </w:pPr>
            <w:r>
              <w:t>Her Majesty’s Treasury.</w:t>
            </w:r>
          </w:p>
        </w:tc>
      </w:tr>
      <w:tr w:rsidR="00106F24" w14:paraId="722819D3" w14:textId="77777777" w:rsidTr="00BC0AC6">
        <w:tc>
          <w:tcPr>
            <w:tcW w:w="1841" w:type="dxa"/>
          </w:tcPr>
          <w:p w14:paraId="18A7B53F" w14:textId="7396F708" w:rsidR="00106F24" w:rsidRPr="00BC0AC6" w:rsidRDefault="00BC0AC6" w:rsidP="00BC0AC6">
            <w:pPr>
              <w:pStyle w:val="Heading2"/>
              <w:numPr>
                <w:ilvl w:val="0"/>
                <w:numId w:val="0"/>
              </w:numPr>
              <w:spacing w:after="120"/>
              <w:ind w:left="720" w:hanging="720"/>
              <w:outlineLvl w:val="1"/>
            </w:pPr>
            <w:r w:rsidRPr="00BC0AC6">
              <w:t>GDP</w:t>
            </w:r>
          </w:p>
        </w:tc>
        <w:tc>
          <w:tcPr>
            <w:tcW w:w="6458" w:type="dxa"/>
          </w:tcPr>
          <w:p w14:paraId="74E0E117" w14:textId="48AB3DD1" w:rsidR="00106F24" w:rsidRPr="00BC0AC6" w:rsidRDefault="0036555C" w:rsidP="00BC0AC6">
            <w:pPr>
              <w:pStyle w:val="Heading2"/>
              <w:numPr>
                <w:ilvl w:val="0"/>
                <w:numId w:val="0"/>
              </w:numPr>
              <w:spacing w:after="120"/>
              <w:outlineLvl w:val="1"/>
            </w:pPr>
            <w:r w:rsidRPr="00BC0AC6">
              <w:t xml:space="preserve">means </w:t>
            </w:r>
            <w:r w:rsidR="00BC0AC6" w:rsidRPr="00BC0AC6">
              <w:t>Graduate Development Programme which is the three years of work and training which new graduate entrants undertake on joining HMT.</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98591534"/>
      <w:bookmarkStart w:id="15" w:name="_GoBack"/>
      <w:bookmarkEnd w:id="15"/>
      <w:r w:rsidRPr="00B9425F">
        <w:rPr>
          <w:szCs w:val="22"/>
        </w:rPr>
        <w:t>scope of requirement</w:t>
      </w:r>
      <w:bookmarkEnd w:id="11"/>
      <w:bookmarkEnd w:id="13"/>
      <w:bookmarkEnd w:id="14"/>
      <w:r w:rsidRPr="00B9425F">
        <w:rPr>
          <w:szCs w:val="22"/>
        </w:rPr>
        <w:t xml:space="preserve"> </w:t>
      </w:r>
    </w:p>
    <w:bookmarkEnd w:id="8"/>
    <w:p w14:paraId="62A5C1A2" w14:textId="77777777" w:rsidR="00BC0AC6" w:rsidRPr="00837F76" w:rsidRDefault="00BC0AC6" w:rsidP="00BC0AC6">
      <w:pPr>
        <w:pStyle w:val="Heading2"/>
        <w:tabs>
          <w:tab w:val="clear" w:pos="720"/>
          <w:tab w:val="num" w:pos="862"/>
        </w:tabs>
        <w:overflowPunct w:val="0"/>
        <w:autoSpaceDE w:val="0"/>
        <w:autoSpaceDN w:val="0"/>
        <w:spacing w:after="120"/>
        <w:ind w:left="709" w:hanging="709"/>
        <w:textAlignment w:val="baseline"/>
        <w:rPr>
          <w:szCs w:val="22"/>
        </w:rPr>
      </w:pPr>
      <w:r w:rsidRPr="00837F76">
        <w:rPr>
          <w:szCs w:val="22"/>
        </w:rPr>
        <w:t>The requirement is for the review output to be a report which comments on what the Authority is doing well and what it could do better in its efforts to attract and hire a diverse set of people.  The report should include recommendations on steps which the Authority could take to improve diversity in its applicants and hires.</w:t>
      </w:r>
    </w:p>
    <w:p w14:paraId="0C02494F" w14:textId="77777777" w:rsidR="00BC0AC6" w:rsidRPr="00837F76" w:rsidRDefault="00BC0AC6" w:rsidP="00BC0AC6">
      <w:pPr>
        <w:pStyle w:val="Heading2"/>
      </w:pPr>
      <w:r w:rsidRPr="00837F76">
        <w:t>In scope and to be included in the review are:</w:t>
      </w:r>
    </w:p>
    <w:p w14:paraId="4EC30CED" w14:textId="77777777" w:rsidR="00BC0AC6" w:rsidRPr="00837F76" w:rsidRDefault="00BC0AC6" w:rsidP="00BC0AC6">
      <w:pPr>
        <w:pStyle w:val="Heading3"/>
        <w:spacing w:after="120"/>
      </w:pPr>
      <w:r w:rsidRPr="00837F76">
        <w:t xml:space="preserve">all marketing and attraction materials and methods to include early engagement at universities; </w:t>
      </w:r>
    </w:p>
    <w:p w14:paraId="2BD3C6E7" w14:textId="77777777" w:rsidR="00BC0AC6" w:rsidRPr="00837F76" w:rsidRDefault="00BC0AC6" w:rsidP="00BC0AC6">
      <w:pPr>
        <w:pStyle w:val="Heading3"/>
        <w:spacing w:after="120"/>
      </w:pPr>
      <w:r w:rsidRPr="00837F76">
        <w:t>all of the selection process: what is assessed and by what methods, from application to assessment centre; and</w:t>
      </w:r>
    </w:p>
    <w:p w14:paraId="7682477C" w14:textId="77777777" w:rsidR="00BC0AC6" w:rsidRPr="00837F76" w:rsidRDefault="00BC0AC6" w:rsidP="00BC0AC6">
      <w:pPr>
        <w:pStyle w:val="Heading3"/>
        <w:spacing w:after="120"/>
      </w:pPr>
      <w:r w:rsidRPr="00837F76">
        <w:t>the potential to use different methods of assessment or different assessment criteria.</w:t>
      </w:r>
    </w:p>
    <w:p w14:paraId="7EFD4964" w14:textId="77777777" w:rsidR="00BC0AC6" w:rsidRPr="00837F76" w:rsidRDefault="00BC0AC6" w:rsidP="00BC0AC6">
      <w:pPr>
        <w:pStyle w:val="Heading2"/>
      </w:pPr>
      <w:r w:rsidRPr="00837F76">
        <w:t>Out of scope and to be excluded are:</w:t>
      </w:r>
    </w:p>
    <w:p w14:paraId="07B642AA" w14:textId="77777777" w:rsidR="00BC0AC6" w:rsidRPr="00837F76" w:rsidRDefault="00BC0AC6" w:rsidP="00BC0AC6">
      <w:pPr>
        <w:pStyle w:val="Heading3"/>
      </w:pPr>
      <w:r w:rsidRPr="00837F76">
        <w:lastRenderedPageBreak/>
        <w:t>the experience of recruits once they are working at HMT, including issues around retention and promotion: the review is of recruitment and how people are brought into HMT - what happens within the organisation will not be part of this review; and</w:t>
      </w:r>
    </w:p>
    <w:p w14:paraId="1DBE9CCA" w14:textId="63C4F5E1" w:rsidR="00671798" w:rsidRPr="00BC0AC6" w:rsidRDefault="00BC0AC6" w:rsidP="00BC0AC6">
      <w:pPr>
        <w:pStyle w:val="Heading3"/>
      </w:pPr>
      <w:r w:rsidRPr="00837F76">
        <w:t>the use of methods or processes which would involve assessing different candidates in different ways, applying different criteria to different candidates, or applying criteria or methods of assessment which are not transparent to candidates – none of this is possible for HMT as these activities are not permitted under the Civil Service Recruitment Principles which are statutory and binding.</w:t>
      </w:r>
    </w:p>
    <w:p w14:paraId="3491B80B" w14:textId="77777777" w:rsidR="00671798" w:rsidRDefault="00FE18AC">
      <w:pPr>
        <w:pStyle w:val="Heading1"/>
        <w:spacing w:after="120"/>
      </w:pPr>
      <w:bookmarkStart w:id="16" w:name="_Toc368573031"/>
      <w:bookmarkStart w:id="17" w:name="_Toc498591535"/>
      <w:r w:rsidRPr="00BE6EE0">
        <w:t>The requirement</w:t>
      </w:r>
      <w:bookmarkEnd w:id="16"/>
      <w:bookmarkEnd w:id="17"/>
    </w:p>
    <w:p w14:paraId="5BF0351A" w14:textId="77777777" w:rsidR="003D3D89" w:rsidRPr="00837F76" w:rsidRDefault="003D3D89" w:rsidP="003D3D89">
      <w:pPr>
        <w:pStyle w:val="Heading2"/>
        <w:tabs>
          <w:tab w:val="clear" w:pos="720"/>
          <w:tab w:val="num" w:pos="709"/>
        </w:tabs>
        <w:spacing w:after="120"/>
        <w:ind w:left="709" w:hanging="709"/>
      </w:pPr>
      <w:r w:rsidRPr="00837F76">
        <w:t xml:space="preserve">The Successful Supplier is required to provide a detailed report outlining its review of the Authority’s graduate recruitment process, to include: </w:t>
      </w:r>
    </w:p>
    <w:p w14:paraId="2931FF16" w14:textId="77777777" w:rsidR="003D3D89" w:rsidRPr="00837F76" w:rsidRDefault="003D3D89" w:rsidP="003D3D89">
      <w:pPr>
        <w:pStyle w:val="Heading2"/>
        <w:numPr>
          <w:ilvl w:val="0"/>
          <w:numId w:val="33"/>
        </w:numPr>
        <w:spacing w:after="120"/>
      </w:pPr>
      <w:r w:rsidRPr="00837F76">
        <w:t xml:space="preserve">a review of marketing and attraction materials and early engagement at universities; </w:t>
      </w:r>
    </w:p>
    <w:p w14:paraId="7E13C442" w14:textId="77777777" w:rsidR="003D3D89" w:rsidRPr="00837F76" w:rsidRDefault="003D3D89" w:rsidP="003D3D89">
      <w:pPr>
        <w:pStyle w:val="Heading2"/>
        <w:numPr>
          <w:ilvl w:val="0"/>
          <w:numId w:val="33"/>
        </w:numPr>
        <w:spacing w:after="120"/>
      </w:pPr>
      <w:r w:rsidRPr="00837F76">
        <w:t xml:space="preserve">a review of information on how the selection process is conducted, what is assessed, and anonymised candidate scores and diversity outcomes; </w:t>
      </w:r>
    </w:p>
    <w:p w14:paraId="575D0CF0" w14:textId="77777777" w:rsidR="003D3D89" w:rsidRPr="00837F76" w:rsidRDefault="003D3D89" w:rsidP="003D3D89">
      <w:pPr>
        <w:pStyle w:val="Heading2"/>
        <w:numPr>
          <w:ilvl w:val="0"/>
          <w:numId w:val="33"/>
        </w:numPr>
        <w:spacing w:after="120"/>
      </w:pPr>
      <w:r w:rsidRPr="00837F76">
        <w:t>talking to no more than 10 assessors from assessment centres (the most effective means or format of doing this to be determined by the successful supplier)</w:t>
      </w:r>
      <w:r>
        <w:t>;</w:t>
      </w:r>
    </w:p>
    <w:p w14:paraId="27C641DC" w14:textId="77777777" w:rsidR="003D3D89" w:rsidRDefault="003D3D89" w:rsidP="003D3D89">
      <w:pPr>
        <w:pStyle w:val="Heading2"/>
        <w:numPr>
          <w:ilvl w:val="0"/>
          <w:numId w:val="33"/>
        </w:numPr>
        <w:spacing w:after="120"/>
      </w:pPr>
      <w:r w:rsidRPr="00837F76">
        <w:t xml:space="preserve">talking to no more than </w:t>
      </w:r>
      <w:r>
        <w:t>30</w:t>
      </w:r>
      <w:r w:rsidRPr="00837F76">
        <w:t xml:space="preserve"> staff recruited by the Authority through the graduate recruitment programme (the most effective means or format of doing this to be determined by the successful supplier)</w:t>
      </w:r>
      <w:r>
        <w:t>;</w:t>
      </w:r>
    </w:p>
    <w:p w14:paraId="7BD95342" w14:textId="77777777" w:rsidR="003D3D89" w:rsidRPr="00837F76" w:rsidRDefault="003D3D89" w:rsidP="003D3D89">
      <w:pPr>
        <w:pStyle w:val="Heading2"/>
        <w:numPr>
          <w:ilvl w:val="0"/>
          <w:numId w:val="33"/>
        </w:numPr>
        <w:spacing w:after="120"/>
      </w:pPr>
      <w:r>
        <w:t>talking to no more than 5 members of the Senior Civil Service (the most effective means or format of doing this to be determined by the successful supplier);</w:t>
      </w:r>
    </w:p>
    <w:p w14:paraId="5B5C0FF9" w14:textId="77777777" w:rsidR="003D3D89" w:rsidRPr="00837F76" w:rsidRDefault="003D3D89" w:rsidP="003D3D89">
      <w:pPr>
        <w:pStyle w:val="Heading2"/>
        <w:numPr>
          <w:ilvl w:val="0"/>
          <w:numId w:val="33"/>
        </w:numPr>
        <w:spacing w:after="120"/>
      </w:pPr>
      <w:r w:rsidRPr="00837F76">
        <w:t xml:space="preserve">recommendations and insights based on </w:t>
      </w:r>
      <w:r>
        <w:t xml:space="preserve">feedback from staff engagement and </w:t>
      </w:r>
      <w:r w:rsidRPr="00837F76">
        <w:t>research on best practice in graduate recruitment and the experience of other organisations</w:t>
      </w:r>
      <w:r>
        <w:t>, to include an analysis of the risks and benefits to the Authority in adopting any recommendations</w:t>
      </w:r>
      <w:r w:rsidRPr="00837F76">
        <w:t>.</w:t>
      </w:r>
    </w:p>
    <w:p w14:paraId="554E3C7C" w14:textId="4FF12358" w:rsidR="00671798" w:rsidRPr="003D3D89" w:rsidRDefault="003D3D89" w:rsidP="003D3D89">
      <w:pPr>
        <w:pStyle w:val="Heading2"/>
      </w:pPr>
      <w:r w:rsidRPr="00837F76">
        <w:t xml:space="preserve">It is critical that the report and its recommendations are drafted in recognition of the constraints placed on the Authority by the </w:t>
      </w:r>
      <w:hyperlink r:id="rId8" w:history="1">
        <w:r w:rsidRPr="00837F76">
          <w:rPr>
            <w:rStyle w:val="Hyperlink"/>
          </w:rPr>
          <w:t>Civil Service Recruitment Principles</w:t>
        </w:r>
      </w:hyperlink>
      <w:r w:rsidRPr="00837F76">
        <w:rPr>
          <w:rStyle w:val="FootnoteReference"/>
        </w:rPr>
        <w:footnoteReference w:id="2"/>
      </w:r>
      <w:r w:rsidRPr="00837F76">
        <w:t xml:space="preserve"> which are statutory and binding; the report must not make any recommendations which would lead to the Authority breaching them if implemented.</w:t>
      </w:r>
    </w:p>
    <w:p w14:paraId="6EE7C8C4" w14:textId="71D30B5F" w:rsidR="00671798" w:rsidRPr="00A137C0" w:rsidRDefault="00FE18AC" w:rsidP="00A137C0">
      <w:pPr>
        <w:pStyle w:val="Heading1"/>
        <w:spacing w:after="120"/>
      </w:pPr>
      <w:bookmarkStart w:id="18" w:name="_Toc368573032"/>
      <w:bookmarkStart w:id="19" w:name="_Toc498591536"/>
      <w:r>
        <w:t>key milestones</w:t>
      </w:r>
      <w:bookmarkEnd w:id="18"/>
      <w:bookmarkEnd w:id="19"/>
    </w:p>
    <w:p w14:paraId="4D0E0CBA" w14:textId="33DF39C6"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231"/>
        <w:gridCol w:w="3372"/>
        <w:gridCol w:w="2208"/>
        <w:gridCol w:w="2208"/>
      </w:tblGrid>
      <w:tr w:rsidR="00A137C0" w:rsidRPr="00297CF4" w14:paraId="6BF78E35" w14:textId="004F580E" w:rsidTr="00A137C0">
        <w:tc>
          <w:tcPr>
            <w:tcW w:w="682" w:type="pct"/>
            <w:shd w:val="clear" w:color="auto" w:fill="C6D9F1" w:themeFill="text2" w:themeFillTint="33"/>
            <w:vAlign w:val="center"/>
          </w:tcPr>
          <w:p w14:paraId="2F0B096C" w14:textId="77777777" w:rsidR="00A137C0" w:rsidRPr="00811462" w:rsidRDefault="00A137C0">
            <w:pPr>
              <w:pStyle w:val="Heading3"/>
              <w:numPr>
                <w:ilvl w:val="0"/>
                <w:numId w:val="0"/>
              </w:numPr>
              <w:spacing w:after="120"/>
              <w:jc w:val="center"/>
              <w:outlineLvl w:val="2"/>
              <w:rPr>
                <w:b/>
                <w:szCs w:val="24"/>
              </w:rPr>
            </w:pPr>
            <w:r w:rsidRPr="00811462">
              <w:rPr>
                <w:b/>
              </w:rPr>
              <w:t>Milestone</w:t>
            </w:r>
          </w:p>
        </w:tc>
        <w:tc>
          <w:tcPr>
            <w:tcW w:w="1870" w:type="pct"/>
            <w:shd w:val="clear" w:color="auto" w:fill="C6D9F1" w:themeFill="text2" w:themeFillTint="33"/>
            <w:vAlign w:val="center"/>
          </w:tcPr>
          <w:p w14:paraId="55754382" w14:textId="77777777" w:rsidR="00A137C0" w:rsidRPr="00811462" w:rsidRDefault="00A137C0">
            <w:pPr>
              <w:pStyle w:val="Heading3"/>
              <w:numPr>
                <w:ilvl w:val="0"/>
                <w:numId w:val="0"/>
              </w:numPr>
              <w:spacing w:after="120"/>
              <w:jc w:val="center"/>
              <w:outlineLvl w:val="2"/>
              <w:rPr>
                <w:b/>
                <w:szCs w:val="24"/>
              </w:rPr>
            </w:pPr>
            <w:r w:rsidRPr="00811462">
              <w:rPr>
                <w:b/>
              </w:rPr>
              <w:t>Description</w:t>
            </w:r>
          </w:p>
        </w:tc>
        <w:tc>
          <w:tcPr>
            <w:tcW w:w="1224" w:type="pct"/>
            <w:shd w:val="clear" w:color="auto" w:fill="C6D9F1" w:themeFill="text2" w:themeFillTint="33"/>
            <w:vAlign w:val="center"/>
          </w:tcPr>
          <w:p w14:paraId="0EABB2D0" w14:textId="77777777" w:rsidR="00A137C0" w:rsidRPr="00811462" w:rsidRDefault="00A137C0">
            <w:pPr>
              <w:pStyle w:val="Heading3"/>
              <w:numPr>
                <w:ilvl w:val="0"/>
                <w:numId w:val="0"/>
              </w:numPr>
              <w:spacing w:after="120"/>
              <w:jc w:val="center"/>
              <w:outlineLvl w:val="2"/>
              <w:rPr>
                <w:b/>
                <w:szCs w:val="24"/>
              </w:rPr>
            </w:pPr>
            <w:r w:rsidRPr="00811462">
              <w:rPr>
                <w:b/>
              </w:rPr>
              <w:t>Timeframe</w:t>
            </w:r>
          </w:p>
        </w:tc>
        <w:tc>
          <w:tcPr>
            <w:tcW w:w="1224" w:type="pct"/>
            <w:shd w:val="clear" w:color="auto" w:fill="C6D9F1" w:themeFill="text2" w:themeFillTint="33"/>
          </w:tcPr>
          <w:p w14:paraId="7EF1AF47" w14:textId="28FBA936" w:rsidR="00A137C0" w:rsidRPr="00811462" w:rsidRDefault="00A137C0">
            <w:pPr>
              <w:pStyle w:val="Heading3"/>
              <w:numPr>
                <w:ilvl w:val="0"/>
                <w:numId w:val="0"/>
              </w:numPr>
              <w:spacing w:after="120"/>
              <w:jc w:val="center"/>
              <w:outlineLvl w:val="2"/>
              <w:rPr>
                <w:b/>
              </w:rPr>
            </w:pPr>
            <w:r w:rsidRPr="00811462">
              <w:rPr>
                <w:b/>
              </w:rPr>
              <w:t>Payment</w:t>
            </w:r>
          </w:p>
        </w:tc>
      </w:tr>
      <w:tr w:rsidR="00A137C0" w:rsidRPr="00297CF4" w14:paraId="2B6EAC37" w14:textId="18DE3EB8" w:rsidTr="00811462">
        <w:tc>
          <w:tcPr>
            <w:tcW w:w="682" w:type="pct"/>
          </w:tcPr>
          <w:p w14:paraId="13176D62" w14:textId="77777777" w:rsidR="00A137C0" w:rsidRPr="00811462" w:rsidRDefault="00A137C0" w:rsidP="00811462">
            <w:pPr>
              <w:pStyle w:val="Heading3"/>
              <w:numPr>
                <w:ilvl w:val="0"/>
                <w:numId w:val="0"/>
              </w:numPr>
              <w:spacing w:after="120"/>
              <w:jc w:val="center"/>
              <w:outlineLvl w:val="2"/>
              <w:rPr>
                <w:szCs w:val="24"/>
              </w:rPr>
            </w:pPr>
            <w:r w:rsidRPr="00811462">
              <w:lastRenderedPageBreak/>
              <w:t>1</w:t>
            </w:r>
          </w:p>
        </w:tc>
        <w:tc>
          <w:tcPr>
            <w:tcW w:w="1870" w:type="pct"/>
            <w:vAlign w:val="center"/>
          </w:tcPr>
          <w:p w14:paraId="04CC1243" w14:textId="52D93FE1" w:rsidR="00A137C0" w:rsidRPr="00811462" w:rsidRDefault="00A137C0" w:rsidP="00A137C0">
            <w:pPr>
              <w:pStyle w:val="Heading3"/>
              <w:numPr>
                <w:ilvl w:val="0"/>
                <w:numId w:val="0"/>
              </w:numPr>
              <w:spacing w:after="120"/>
              <w:jc w:val="left"/>
              <w:outlineLvl w:val="2"/>
              <w:rPr>
                <w:szCs w:val="24"/>
              </w:rPr>
            </w:pPr>
            <w:r w:rsidRPr="00811462">
              <w:t>Kick off meeting to take place in London</w:t>
            </w:r>
          </w:p>
        </w:tc>
        <w:tc>
          <w:tcPr>
            <w:tcW w:w="1224" w:type="pct"/>
            <w:vAlign w:val="center"/>
          </w:tcPr>
          <w:p w14:paraId="23E536A9" w14:textId="22973FE6" w:rsidR="00A137C0" w:rsidRPr="00811462" w:rsidRDefault="008A1B23" w:rsidP="00A137C0">
            <w:pPr>
              <w:pStyle w:val="Heading3"/>
              <w:numPr>
                <w:ilvl w:val="0"/>
                <w:numId w:val="0"/>
              </w:numPr>
              <w:spacing w:after="120"/>
              <w:jc w:val="center"/>
              <w:outlineLvl w:val="2"/>
              <w:rPr>
                <w:szCs w:val="24"/>
              </w:rPr>
            </w:pPr>
            <w:r>
              <w:t>20</w:t>
            </w:r>
            <w:r w:rsidRPr="008A1B23">
              <w:rPr>
                <w:vertAlign w:val="superscript"/>
              </w:rPr>
              <w:t>th</w:t>
            </w:r>
            <w:r>
              <w:t xml:space="preserve"> or 21</w:t>
            </w:r>
            <w:r w:rsidRPr="008A1B23">
              <w:rPr>
                <w:vertAlign w:val="superscript"/>
              </w:rPr>
              <w:t>st</w:t>
            </w:r>
            <w:r>
              <w:t xml:space="preserve"> </w:t>
            </w:r>
            <w:r w:rsidR="00811462">
              <w:t xml:space="preserve"> </w:t>
            </w:r>
            <w:r w:rsidR="00A137C0" w:rsidRPr="00811462">
              <w:t xml:space="preserve">December 2017 </w:t>
            </w:r>
          </w:p>
        </w:tc>
        <w:tc>
          <w:tcPr>
            <w:tcW w:w="1224" w:type="pct"/>
          </w:tcPr>
          <w:p w14:paraId="2118C760" w14:textId="77777777" w:rsidR="00A137C0" w:rsidRPr="00811462" w:rsidRDefault="00A137C0" w:rsidP="00A137C0">
            <w:pPr>
              <w:pStyle w:val="Heading3"/>
              <w:numPr>
                <w:ilvl w:val="0"/>
                <w:numId w:val="0"/>
              </w:numPr>
              <w:spacing w:after="120"/>
              <w:jc w:val="center"/>
              <w:outlineLvl w:val="2"/>
            </w:pPr>
          </w:p>
        </w:tc>
      </w:tr>
      <w:tr w:rsidR="00A137C0" w:rsidRPr="00297CF4" w14:paraId="16F113EC" w14:textId="4EA57FFF" w:rsidTr="00811462">
        <w:tc>
          <w:tcPr>
            <w:tcW w:w="682" w:type="pct"/>
          </w:tcPr>
          <w:p w14:paraId="4FD18402" w14:textId="77777777" w:rsidR="00A137C0" w:rsidRPr="00811462" w:rsidRDefault="00A137C0" w:rsidP="00811462">
            <w:pPr>
              <w:pStyle w:val="Heading3"/>
              <w:numPr>
                <w:ilvl w:val="0"/>
                <w:numId w:val="0"/>
              </w:numPr>
              <w:spacing w:after="120"/>
              <w:jc w:val="center"/>
              <w:outlineLvl w:val="2"/>
              <w:rPr>
                <w:szCs w:val="24"/>
              </w:rPr>
            </w:pPr>
            <w:r w:rsidRPr="00811462">
              <w:t>2</w:t>
            </w:r>
          </w:p>
        </w:tc>
        <w:tc>
          <w:tcPr>
            <w:tcW w:w="1870" w:type="pct"/>
            <w:vAlign w:val="center"/>
          </w:tcPr>
          <w:p w14:paraId="33C22C40" w14:textId="38171E1F" w:rsidR="00A137C0" w:rsidRPr="00811462" w:rsidRDefault="00A137C0" w:rsidP="00A137C0">
            <w:pPr>
              <w:pStyle w:val="Heading3"/>
              <w:numPr>
                <w:ilvl w:val="0"/>
                <w:numId w:val="0"/>
              </w:numPr>
              <w:spacing w:after="120"/>
              <w:jc w:val="left"/>
              <w:outlineLvl w:val="2"/>
              <w:rPr>
                <w:szCs w:val="24"/>
              </w:rPr>
            </w:pPr>
            <w:r w:rsidRPr="00811462">
              <w:t>Delivery of schedule to carry out preparatory work for review to include consideration of all materials and staff engagement</w:t>
            </w:r>
          </w:p>
        </w:tc>
        <w:tc>
          <w:tcPr>
            <w:tcW w:w="1224" w:type="pct"/>
          </w:tcPr>
          <w:p w14:paraId="3B285FD4" w14:textId="2073195E" w:rsidR="00A137C0" w:rsidRPr="00811462" w:rsidRDefault="00A137C0" w:rsidP="00811462">
            <w:pPr>
              <w:pStyle w:val="Heading3"/>
              <w:numPr>
                <w:ilvl w:val="0"/>
                <w:numId w:val="0"/>
              </w:numPr>
              <w:spacing w:after="120"/>
              <w:jc w:val="center"/>
              <w:outlineLvl w:val="2"/>
              <w:rPr>
                <w:szCs w:val="24"/>
              </w:rPr>
            </w:pPr>
            <w:r w:rsidRPr="00811462">
              <w:t>Within 2 weeks of Contract Award</w:t>
            </w:r>
          </w:p>
        </w:tc>
        <w:tc>
          <w:tcPr>
            <w:tcW w:w="1224" w:type="pct"/>
          </w:tcPr>
          <w:p w14:paraId="3E2C3679" w14:textId="1D2ACB1B" w:rsidR="00A137C0" w:rsidRPr="00811462" w:rsidRDefault="00A137C0">
            <w:pPr>
              <w:pStyle w:val="Heading3"/>
              <w:numPr>
                <w:ilvl w:val="0"/>
                <w:numId w:val="0"/>
              </w:numPr>
              <w:spacing w:after="120"/>
              <w:jc w:val="center"/>
              <w:outlineLvl w:val="2"/>
            </w:pPr>
            <w:r w:rsidRPr="00811462">
              <w:t>20% of total contract price</w:t>
            </w:r>
          </w:p>
        </w:tc>
      </w:tr>
      <w:tr w:rsidR="00A137C0" w:rsidRPr="00297CF4" w14:paraId="3FD394DC" w14:textId="41329BD2" w:rsidTr="00811462">
        <w:tc>
          <w:tcPr>
            <w:tcW w:w="682" w:type="pct"/>
          </w:tcPr>
          <w:p w14:paraId="3995F849" w14:textId="77777777" w:rsidR="00A137C0" w:rsidRPr="00811462" w:rsidRDefault="00A137C0" w:rsidP="00811462">
            <w:pPr>
              <w:pStyle w:val="Heading3"/>
              <w:numPr>
                <w:ilvl w:val="0"/>
                <w:numId w:val="0"/>
              </w:numPr>
              <w:spacing w:after="120"/>
              <w:jc w:val="center"/>
              <w:outlineLvl w:val="2"/>
              <w:rPr>
                <w:szCs w:val="24"/>
              </w:rPr>
            </w:pPr>
            <w:r w:rsidRPr="00811462">
              <w:t>3</w:t>
            </w:r>
          </w:p>
        </w:tc>
        <w:tc>
          <w:tcPr>
            <w:tcW w:w="1870" w:type="pct"/>
          </w:tcPr>
          <w:p w14:paraId="4962E129" w14:textId="1F56ECAE" w:rsidR="00A137C0" w:rsidRPr="00811462" w:rsidRDefault="00A137C0" w:rsidP="00811462">
            <w:pPr>
              <w:pStyle w:val="Heading3"/>
              <w:numPr>
                <w:ilvl w:val="0"/>
                <w:numId w:val="0"/>
              </w:numPr>
              <w:spacing w:after="120"/>
              <w:jc w:val="left"/>
              <w:outlineLvl w:val="2"/>
              <w:rPr>
                <w:szCs w:val="24"/>
              </w:rPr>
            </w:pPr>
            <w:r w:rsidRPr="00811462">
              <w:t>Delivery of draft report</w:t>
            </w:r>
          </w:p>
        </w:tc>
        <w:tc>
          <w:tcPr>
            <w:tcW w:w="1224" w:type="pct"/>
            <w:vAlign w:val="center"/>
          </w:tcPr>
          <w:p w14:paraId="7164B729" w14:textId="0DFEA07C" w:rsidR="00A137C0" w:rsidRPr="00811462" w:rsidRDefault="00A137C0" w:rsidP="00811462">
            <w:pPr>
              <w:pStyle w:val="Heading3"/>
              <w:numPr>
                <w:ilvl w:val="0"/>
                <w:numId w:val="0"/>
              </w:numPr>
              <w:spacing w:after="120"/>
              <w:jc w:val="center"/>
              <w:outlineLvl w:val="2"/>
              <w:rPr>
                <w:szCs w:val="24"/>
              </w:rPr>
            </w:pPr>
            <w:r w:rsidRPr="00811462">
              <w:t>By 28</w:t>
            </w:r>
            <w:r w:rsidR="00811462" w:rsidRPr="00811462">
              <w:rPr>
                <w:vertAlign w:val="superscript"/>
              </w:rPr>
              <w:t>th</w:t>
            </w:r>
            <w:r w:rsidR="00811462">
              <w:t xml:space="preserve"> </w:t>
            </w:r>
            <w:r w:rsidRPr="00811462">
              <w:t>February 2018</w:t>
            </w:r>
          </w:p>
        </w:tc>
        <w:tc>
          <w:tcPr>
            <w:tcW w:w="1224" w:type="pct"/>
          </w:tcPr>
          <w:p w14:paraId="4D90954A" w14:textId="33686F94" w:rsidR="00A137C0" w:rsidRPr="00811462" w:rsidRDefault="00A137C0">
            <w:pPr>
              <w:pStyle w:val="Heading3"/>
              <w:numPr>
                <w:ilvl w:val="0"/>
                <w:numId w:val="0"/>
              </w:numPr>
              <w:spacing w:after="120"/>
              <w:jc w:val="center"/>
              <w:outlineLvl w:val="2"/>
            </w:pPr>
            <w:r w:rsidRPr="00811462">
              <w:t>40% of total contract price</w:t>
            </w:r>
          </w:p>
        </w:tc>
      </w:tr>
      <w:tr w:rsidR="00A137C0" w14:paraId="6A3230F6" w14:textId="3EBC1518" w:rsidTr="00811462">
        <w:tc>
          <w:tcPr>
            <w:tcW w:w="682" w:type="pct"/>
          </w:tcPr>
          <w:p w14:paraId="3302843B" w14:textId="77777777" w:rsidR="00A137C0" w:rsidRPr="00811462" w:rsidRDefault="00A137C0" w:rsidP="00811462">
            <w:pPr>
              <w:pStyle w:val="Heading3"/>
              <w:numPr>
                <w:ilvl w:val="0"/>
                <w:numId w:val="0"/>
              </w:numPr>
              <w:spacing w:after="120"/>
              <w:jc w:val="center"/>
              <w:outlineLvl w:val="2"/>
              <w:rPr>
                <w:szCs w:val="24"/>
              </w:rPr>
            </w:pPr>
            <w:r w:rsidRPr="00811462">
              <w:t>4</w:t>
            </w:r>
          </w:p>
        </w:tc>
        <w:tc>
          <w:tcPr>
            <w:tcW w:w="1870" w:type="pct"/>
          </w:tcPr>
          <w:p w14:paraId="029789C7" w14:textId="38069B1B" w:rsidR="00A137C0" w:rsidRPr="00811462" w:rsidRDefault="00A137C0" w:rsidP="00811462">
            <w:pPr>
              <w:pStyle w:val="Heading3"/>
              <w:numPr>
                <w:ilvl w:val="0"/>
                <w:numId w:val="0"/>
              </w:numPr>
              <w:spacing w:after="120"/>
              <w:jc w:val="left"/>
              <w:outlineLvl w:val="2"/>
              <w:rPr>
                <w:szCs w:val="24"/>
              </w:rPr>
            </w:pPr>
            <w:r w:rsidRPr="00811462">
              <w:t>Delivery of final report</w:t>
            </w:r>
          </w:p>
        </w:tc>
        <w:tc>
          <w:tcPr>
            <w:tcW w:w="1224" w:type="pct"/>
          </w:tcPr>
          <w:p w14:paraId="0A8D4F91" w14:textId="42659939" w:rsidR="00A137C0" w:rsidRPr="00811462" w:rsidRDefault="00A137C0" w:rsidP="00811462">
            <w:pPr>
              <w:pStyle w:val="Heading3"/>
              <w:numPr>
                <w:ilvl w:val="0"/>
                <w:numId w:val="0"/>
              </w:numPr>
              <w:spacing w:after="120"/>
              <w:jc w:val="center"/>
              <w:outlineLvl w:val="2"/>
              <w:rPr>
                <w:szCs w:val="24"/>
              </w:rPr>
            </w:pPr>
            <w:r w:rsidRPr="00811462">
              <w:t>Within 2 weeks of receipt of feedback from the Authority</w:t>
            </w:r>
          </w:p>
        </w:tc>
        <w:tc>
          <w:tcPr>
            <w:tcW w:w="1224" w:type="pct"/>
          </w:tcPr>
          <w:p w14:paraId="5082120F" w14:textId="3EFD545D" w:rsidR="00A137C0" w:rsidRPr="00811462" w:rsidRDefault="00A137C0">
            <w:pPr>
              <w:pStyle w:val="Heading3"/>
              <w:numPr>
                <w:ilvl w:val="0"/>
                <w:numId w:val="0"/>
              </w:numPr>
              <w:spacing w:after="120"/>
              <w:jc w:val="center"/>
              <w:outlineLvl w:val="2"/>
            </w:pPr>
            <w:r w:rsidRPr="00811462">
              <w:t>40% of total contract price subject to delivery of a report with recommendations which meet the criteria set out in section 6.1 and meet the quality criteria set out in paragraph 13</w:t>
            </w:r>
          </w:p>
        </w:tc>
      </w:tr>
    </w:tbl>
    <w:p w14:paraId="07BD5D8A" w14:textId="77777777" w:rsidR="007764E0" w:rsidRDefault="007764E0" w:rsidP="007764E0">
      <w:pPr>
        <w:pStyle w:val="Heading1"/>
        <w:numPr>
          <w:ilvl w:val="0"/>
          <w:numId w:val="0"/>
        </w:numPr>
        <w:overflowPunct w:val="0"/>
        <w:autoSpaceDE w:val="0"/>
        <w:autoSpaceDN w:val="0"/>
        <w:spacing w:after="120"/>
        <w:textAlignment w:val="baseline"/>
        <w:rPr>
          <w:rFonts w:cs="Arial"/>
          <w:szCs w:val="22"/>
        </w:rPr>
      </w:pPr>
      <w:bookmarkStart w:id="20" w:name="_Toc302637211"/>
    </w:p>
    <w:p w14:paraId="06BA1B41" w14:textId="50B624FB" w:rsidR="007764E0" w:rsidRDefault="008A1B23" w:rsidP="007764E0">
      <w:pPr>
        <w:pStyle w:val="Heading1"/>
        <w:numPr>
          <w:ilvl w:val="0"/>
          <w:numId w:val="0"/>
        </w:numPr>
        <w:overflowPunct w:val="0"/>
        <w:autoSpaceDE w:val="0"/>
        <w:autoSpaceDN w:val="0"/>
        <w:spacing w:after="120"/>
        <w:textAlignment w:val="baseline"/>
        <w:rPr>
          <w:rFonts w:cs="Arial"/>
          <w:szCs w:val="22"/>
        </w:rPr>
      </w:pPr>
      <w:bookmarkStart w:id="21" w:name="_Toc498591537"/>
      <w:r>
        <w:rPr>
          <w:rFonts w:cs="Arial"/>
          <w:b w:val="0"/>
          <w:szCs w:val="22"/>
        </w:rPr>
        <w:t>7.2</w:t>
      </w:r>
      <w:r w:rsidR="007764E0">
        <w:rPr>
          <w:rFonts w:cs="Arial"/>
          <w:b w:val="0"/>
          <w:szCs w:val="22"/>
        </w:rPr>
        <w:tab/>
      </w:r>
      <w:r w:rsidR="007764E0">
        <w:rPr>
          <w:rFonts w:cs="Arial"/>
          <w:b w:val="0"/>
          <w:caps w:val="0"/>
          <w:szCs w:val="22"/>
        </w:rPr>
        <w:t>The Successful Supplier may be required to present its findings to Authority staff</w:t>
      </w:r>
      <w:bookmarkEnd w:id="21"/>
      <w:r w:rsidR="00096BD5">
        <w:rPr>
          <w:rFonts w:cs="Arial"/>
          <w:b w:val="0"/>
          <w:caps w:val="0"/>
          <w:szCs w:val="22"/>
        </w:rPr>
        <w:t>.</w:t>
      </w:r>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98591538"/>
      <w:bookmarkStart w:id="23" w:name="_Toc368573033"/>
      <w:r>
        <w:rPr>
          <w:rFonts w:cs="Arial"/>
          <w:szCs w:val="22"/>
        </w:rPr>
        <w:t>authority’s responsibilities</w:t>
      </w:r>
      <w:bookmarkEnd w:id="22"/>
    </w:p>
    <w:p w14:paraId="6417A944" w14:textId="11CB8CEC" w:rsidR="00106F24" w:rsidRPr="007764E0" w:rsidRDefault="007764E0" w:rsidP="007764E0">
      <w:pPr>
        <w:pStyle w:val="Heading2"/>
      </w:pPr>
      <w:r w:rsidRPr="00837F76">
        <w:t>The Authority will make available any materials and staff pertinent to the delivery of the review.</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98591539"/>
      <w:r w:rsidRPr="00BE6EE0">
        <w:rPr>
          <w:rFonts w:cs="Arial"/>
          <w:szCs w:val="22"/>
        </w:rPr>
        <w:t>reporting</w:t>
      </w:r>
      <w:bookmarkEnd w:id="23"/>
      <w:bookmarkEnd w:id="24"/>
    </w:p>
    <w:p w14:paraId="21F2ADCC" w14:textId="77777777" w:rsidR="007764E0" w:rsidRPr="00837F76" w:rsidRDefault="007764E0" w:rsidP="007764E0">
      <w:pPr>
        <w:pStyle w:val="Heading2"/>
        <w:tabs>
          <w:tab w:val="clear" w:pos="720"/>
          <w:tab w:val="num" w:pos="709"/>
        </w:tabs>
        <w:spacing w:after="120"/>
        <w:ind w:left="709" w:hanging="709"/>
      </w:pPr>
      <w:r w:rsidRPr="00837F76">
        <w:t xml:space="preserve">It is critical that the report and its recommendations are drafted in recognition of the constraints placed on the Authority by the </w:t>
      </w:r>
      <w:hyperlink r:id="rId9" w:history="1">
        <w:r w:rsidRPr="00837F76">
          <w:rPr>
            <w:rStyle w:val="Hyperlink"/>
          </w:rPr>
          <w:t>Civil Service Recruitment Principles</w:t>
        </w:r>
      </w:hyperlink>
      <w:r w:rsidRPr="00837F76">
        <w:rPr>
          <w:rStyle w:val="FootnoteReference"/>
        </w:rPr>
        <w:footnoteReference w:id="3"/>
      </w:r>
      <w:r w:rsidRPr="00837F76">
        <w:t xml:space="preserve"> which are statutory and binding; the report must not make any recommendations which would lead to the Authority breaching them if implemented.</w:t>
      </w:r>
    </w:p>
    <w:p w14:paraId="76023895" w14:textId="77777777" w:rsidR="007764E0" w:rsidRPr="00837F76" w:rsidRDefault="007764E0" w:rsidP="007764E0">
      <w:pPr>
        <w:pStyle w:val="Heading2"/>
        <w:tabs>
          <w:tab w:val="clear" w:pos="720"/>
          <w:tab w:val="num" w:pos="709"/>
        </w:tabs>
        <w:spacing w:after="120"/>
        <w:ind w:left="709" w:hanging="709"/>
      </w:pPr>
      <w:r w:rsidRPr="00837F76">
        <w:t>The Successful Supplier will be expected to attend weekly catch ups with the Authority during the course of the contract, to take place in person or by telephone as agreed.</w:t>
      </w:r>
    </w:p>
    <w:p w14:paraId="22C08F65" w14:textId="7345E2BE" w:rsidR="00671798" w:rsidRPr="007764E0" w:rsidRDefault="007764E0" w:rsidP="007764E0">
      <w:pPr>
        <w:pStyle w:val="Heading2"/>
        <w:spacing w:after="120"/>
        <w:ind w:left="709" w:hanging="709"/>
      </w:pPr>
      <w:r w:rsidRPr="00837F76">
        <w:t>The final report will not contain any personally identifiable data.</w:t>
      </w:r>
    </w:p>
    <w:p w14:paraId="5049CFE9" w14:textId="77777777" w:rsidR="00FE18AC" w:rsidRPr="00BB747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4"/>
      <w:bookmarkStart w:id="26" w:name="_Toc498591540"/>
      <w:r w:rsidRPr="00BB7477">
        <w:rPr>
          <w:rFonts w:cs="Arial"/>
          <w:szCs w:val="22"/>
        </w:rPr>
        <w:t>volumes</w:t>
      </w:r>
      <w:bookmarkEnd w:id="25"/>
      <w:bookmarkEnd w:id="26"/>
    </w:p>
    <w:p w14:paraId="3AB9FCA7" w14:textId="1A6978F9" w:rsidR="00671798" w:rsidRPr="00BB7477" w:rsidRDefault="00BB7477">
      <w:pPr>
        <w:pStyle w:val="Heading2"/>
        <w:tabs>
          <w:tab w:val="clear" w:pos="720"/>
          <w:tab w:val="num" w:pos="709"/>
        </w:tabs>
        <w:spacing w:after="120"/>
        <w:ind w:left="709" w:hanging="709"/>
      </w:pPr>
      <w:r w:rsidRPr="00BB7477">
        <w:t>Not Applicable</w:t>
      </w:r>
    </w:p>
    <w:p w14:paraId="080CF3B1" w14:textId="367DFA23" w:rsidR="00671798" w:rsidRPr="007764E0" w:rsidRDefault="00FE18AC" w:rsidP="007764E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5"/>
      <w:bookmarkStart w:id="28" w:name="_Toc498591541"/>
      <w:r w:rsidRPr="00BB7477">
        <w:rPr>
          <w:rFonts w:cs="Arial"/>
          <w:szCs w:val="22"/>
        </w:rPr>
        <w:t>continuous</w:t>
      </w:r>
      <w:r w:rsidRPr="00BE6EE0">
        <w:rPr>
          <w:rFonts w:cs="Arial"/>
          <w:szCs w:val="22"/>
        </w:rPr>
        <w:t xml:space="preserve"> improvement</w:t>
      </w:r>
      <w:bookmarkEnd w:id="27"/>
      <w:bookmarkEnd w:id="28"/>
    </w:p>
    <w:p w14:paraId="73ED8F03" w14:textId="16BD45CD"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031D2B5A" w14:textId="6E1F43DF" w:rsidR="00671798" w:rsidRPr="004C7979" w:rsidRDefault="00FE18AC">
      <w:pPr>
        <w:pStyle w:val="Heading2"/>
        <w:tabs>
          <w:tab w:val="clear" w:pos="720"/>
          <w:tab w:val="num" w:pos="709"/>
        </w:tabs>
        <w:spacing w:after="120"/>
        <w:ind w:left="709" w:hanging="709"/>
      </w:pPr>
      <w:r w:rsidRPr="008104E0">
        <w:lastRenderedPageBreak/>
        <w:t>Changes to the way in which the Services are to be delivered must be brought to the</w:t>
      </w:r>
      <w:r>
        <w:t xml:space="preserve"> </w:t>
      </w:r>
      <w:r w:rsidRPr="004C7979">
        <w:t>Authority’s attention and agreed prior to any changes being implemented.</w:t>
      </w:r>
    </w:p>
    <w:p w14:paraId="7CC141C7" w14:textId="3806E783" w:rsidR="004E78BC" w:rsidRPr="004C7979" w:rsidRDefault="004E78BC" w:rsidP="004E78BC">
      <w:pPr>
        <w:pStyle w:val="Heading1"/>
      </w:pPr>
      <w:bookmarkStart w:id="29" w:name="_Toc498591542"/>
      <w:r w:rsidRPr="004C7979">
        <w:t>Sustainability</w:t>
      </w:r>
      <w:bookmarkEnd w:id="29"/>
    </w:p>
    <w:p w14:paraId="2E637186" w14:textId="673F0DA9" w:rsidR="004E78BC" w:rsidRPr="004C7979" w:rsidRDefault="007764E0" w:rsidP="004E78BC">
      <w:pPr>
        <w:pStyle w:val="Heading2"/>
      </w:pPr>
      <w:r w:rsidRPr="004C7979">
        <w:t>N</w:t>
      </w:r>
      <w:r w:rsidR="004C7979" w:rsidRPr="004C7979">
        <w:t>ot Applicable</w:t>
      </w:r>
    </w:p>
    <w:p w14:paraId="1114BE17" w14:textId="77777777" w:rsidR="00FE18AC" w:rsidRPr="004C7979"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6"/>
      <w:bookmarkStart w:id="31" w:name="_Toc498591543"/>
      <w:r w:rsidRPr="004C7979">
        <w:rPr>
          <w:rFonts w:cs="Arial"/>
          <w:szCs w:val="22"/>
        </w:rPr>
        <w:t>quality</w:t>
      </w:r>
      <w:bookmarkEnd w:id="30"/>
      <w:bookmarkEnd w:id="31"/>
    </w:p>
    <w:p w14:paraId="63CD3A25" w14:textId="38E0BD61" w:rsidR="00671798" w:rsidRPr="007764E0" w:rsidRDefault="007764E0" w:rsidP="007764E0">
      <w:pPr>
        <w:pStyle w:val="Heading2"/>
        <w:spacing w:after="120"/>
        <w:ind w:left="709" w:hanging="709"/>
      </w:pPr>
      <w:r w:rsidRPr="004C7979">
        <w:t>The</w:t>
      </w:r>
      <w:r w:rsidRPr="00837F76">
        <w:t xml:space="preserve"> Successful Supplier will build on, and incorporate as appropriate, feedback on earlier drafts from the Authority when delivering future drafts.</w:t>
      </w:r>
    </w:p>
    <w:p w14:paraId="522EB186" w14:textId="585CF0DC" w:rsidR="00671798" w:rsidRPr="007764E0" w:rsidRDefault="00FE18AC" w:rsidP="007764E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7"/>
      <w:bookmarkStart w:id="33" w:name="_Toc498591544"/>
      <w:r w:rsidRPr="00BE6EE0">
        <w:rPr>
          <w:rFonts w:cs="Arial"/>
          <w:szCs w:val="22"/>
        </w:rPr>
        <w:t>PRIC</w:t>
      </w:r>
      <w:bookmarkEnd w:id="32"/>
      <w:r w:rsidR="007764E0">
        <w:rPr>
          <w:rFonts w:cs="Arial"/>
          <w:szCs w:val="22"/>
        </w:rPr>
        <w:t>E</w:t>
      </w:r>
      <w:bookmarkEnd w:id="33"/>
    </w:p>
    <w:p w14:paraId="645D51EC" w14:textId="602D36F9" w:rsidR="00671798" w:rsidRPr="004C7979" w:rsidRDefault="00FE18AC">
      <w:pPr>
        <w:pStyle w:val="Heading2"/>
        <w:tabs>
          <w:tab w:val="clear" w:pos="720"/>
          <w:tab w:val="num" w:pos="709"/>
        </w:tabs>
        <w:spacing w:after="120"/>
        <w:ind w:left="709" w:hanging="709"/>
      </w:pPr>
      <w:r w:rsidRPr="004C7979">
        <w:t>Prices are to be submitted via the e</w:t>
      </w:r>
      <w:r w:rsidR="00F44D62" w:rsidRPr="004C7979">
        <w:t>-</w:t>
      </w:r>
      <w:r w:rsidRPr="004C7979">
        <w:t>Sourcing Suite</w:t>
      </w:r>
      <w:r w:rsidR="004C7979" w:rsidRPr="004C7979">
        <w:t xml:space="preserve"> </w:t>
      </w:r>
      <w:r w:rsidRPr="004C7979">
        <w:t>excluding VAT</w:t>
      </w:r>
      <w:r w:rsidR="00AE3C65" w:rsidRPr="004C7979">
        <w:t>.</w:t>
      </w:r>
    </w:p>
    <w:p w14:paraId="4572269C" w14:textId="485F1CEB" w:rsidR="00671798" w:rsidRPr="004C7979" w:rsidRDefault="00FE18AC" w:rsidP="002F275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8"/>
      <w:bookmarkStart w:id="35" w:name="_Toc498591545"/>
      <w:r w:rsidRPr="004C7979">
        <w:rPr>
          <w:rFonts w:cs="Arial"/>
          <w:szCs w:val="22"/>
        </w:rPr>
        <w:t>STAFF AND CUSTOMER SERVICE</w:t>
      </w:r>
      <w:bookmarkEnd w:id="34"/>
      <w:bookmarkEnd w:id="35"/>
    </w:p>
    <w:p w14:paraId="473FF9D3" w14:textId="6CD02C66"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w:t>
      </w:r>
      <w:r w:rsidR="004C7979">
        <w:t xml:space="preserve"> </w:t>
      </w:r>
      <w:r>
        <w:t>Contract in order to consistently deliver a quality service to all Parties.</w:t>
      </w:r>
    </w:p>
    <w:p w14:paraId="7C5FF49B" w14:textId="19DFD536" w:rsidR="00671798" w:rsidRDefault="00FE18AC">
      <w:pPr>
        <w:pStyle w:val="Heading2"/>
        <w:tabs>
          <w:tab w:val="clear" w:pos="720"/>
          <w:tab w:val="num" w:pos="709"/>
        </w:tabs>
        <w:spacing w:after="120"/>
        <w:ind w:left="709" w:hanging="709"/>
      </w:pPr>
      <w:r>
        <w:t>Potential Provider’s staff assigned to the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9"/>
      <w:bookmarkStart w:id="37" w:name="_Toc498591546"/>
      <w:r w:rsidRPr="004E1D36">
        <w:rPr>
          <w:rFonts w:cs="Arial"/>
          <w:szCs w:val="22"/>
        </w:rPr>
        <w:t>service levels a</w:t>
      </w:r>
      <w:r>
        <w:rPr>
          <w:rFonts w:cs="Arial"/>
          <w:szCs w:val="22"/>
        </w:rPr>
        <w:t>nd performance</w:t>
      </w:r>
      <w:bookmarkEnd w:id="36"/>
      <w:bookmarkEnd w:id="37"/>
    </w:p>
    <w:p w14:paraId="03E53246" w14:textId="46E873A4" w:rsidR="002F2750" w:rsidRDefault="002F2750" w:rsidP="002F2750">
      <w:pPr>
        <w:pStyle w:val="Heading2"/>
      </w:pPr>
      <w:r>
        <w:t>Not Applicable.</w:t>
      </w:r>
    </w:p>
    <w:p w14:paraId="3F767EF8" w14:textId="77777777" w:rsidR="00671798" w:rsidRDefault="00FE18AC">
      <w:pPr>
        <w:pStyle w:val="Heading1"/>
        <w:spacing w:after="120"/>
      </w:pPr>
      <w:bookmarkStart w:id="38" w:name="_Toc368573040"/>
      <w:bookmarkStart w:id="39" w:name="_Toc498591547"/>
      <w:r>
        <w:t>Security requirements</w:t>
      </w:r>
      <w:bookmarkEnd w:id="38"/>
      <w:bookmarkEnd w:id="39"/>
    </w:p>
    <w:p w14:paraId="644747CD" w14:textId="54F8E4B8" w:rsidR="002F2750" w:rsidRDefault="003136EA" w:rsidP="002F2750">
      <w:pPr>
        <w:pStyle w:val="Heading2"/>
      </w:pPr>
      <w:r>
        <w:t>The Supplier will be escorted when visiting the Authority’s premises.</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368573041"/>
      <w:bookmarkStart w:id="41" w:name="_Toc498591548"/>
      <w:r>
        <w:rPr>
          <w:rFonts w:cs="Arial"/>
          <w:szCs w:val="22"/>
        </w:rPr>
        <w:t>intellectual property rights (ipr)</w:t>
      </w:r>
      <w:bookmarkEnd w:id="40"/>
      <w:bookmarkEnd w:id="41"/>
    </w:p>
    <w:p w14:paraId="0D3D9F89" w14:textId="77777777" w:rsidR="00CA453C" w:rsidRDefault="00CA453C" w:rsidP="00CA453C">
      <w:pPr>
        <w:pStyle w:val="Heading2"/>
      </w:pPr>
      <w:bookmarkStart w:id="42" w:name="_Toc498591549"/>
      <w:bookmarkStart w:id="43" w:name="_Toc368573042"/>
      <w:r>
        <w:rPr>
          <w:rFonts w:cs="Arial"/>
          <w:color w:val="000000"/>
          <w:szCs w:val="22"/>
          <w:shd w:val="clear" w:color="auto" w:fill="FFFFFF"/>
        </w:rPr>
        <w:t>The Intellectual Property Rights on all work undertaken under this contract, including the project reports and any spreadsheets developed will be in line with the contracts standard terms and conditions</w:t>
      </w:r>
    </w:p>
    <w:p w14:paraId="65283656" w14:textId="2FA53B3D" w:rsidR="0081061A"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874062">
        <w:rPr>
          <w:rFonts w:cs="Arial"/>
          <w:szCs w:val="22"/>
        </w:rPr>
        <w:t>payment</w:t>
      </w:r>
      <w:bookmarkEnd w:id="42"/>
    </w:p>
    <w:p w14:paraId="06D10041" w14:textId="2DEB139F" w:rsidR="002F2750" w:rsidRPr="00837F76" w:rsidRDefault="002F2750" w:rsidP="002F2750">
      <w:pPr>
        <w:pStyle w:val="Heading2"/>
      </w:pPr>
      <w:r w:rsidRPr="00837F76">
        <w:t>Please see the payment profi</w:t>
      </w:r>
      <w:r w:rsidR="008A1B23">
        <w:t>le attached to milestones at 7.1</w:t>
      </w:r>
      <w:r w:rsidRPr="00837F76">
        <w:t>.</w:t>
      </w:r>
    </w:p>
    <w:p w14:paraId="1B03725E" w14:textId="77777777" w:rsidR="002F2750" w:rsidRPr="00837F76" w:rsidRDefault="002F2750" w:rsidP="002F2750">
      <w:pPr>
        <w:pStyle w:val="Heading2"/>
        <w:rPr>
          <w:szCs w:val="22"/>
        </w:rPr>
      </w:pPr>
      <w:r w:rsidRPr="00837F76">
        <w:rPr>
          <w:rFonts w:cs="Arial"/>
          <w:color w:val="000000"/>
          <w:szCs w:val="22"/>
          <w:shd w:val="clear" w:color="auto" w:fill="FFFFFF"/>
        </w:rPr>
        <w:t xml:space="preserve">Payment can only be made following satisfactory delivery of pre-agreed certified products and deliverables. </w:t>
      </w:r>
    </w:p>
    <w:p w14:paraId="6202B251" w14:textId="3A1E84FA" w:rsidR="002F2750" w:rsidRPr="00DC6E5D" w:rsidRDefault="002F2750" w:rsidP="00DC6E5D">
      <w:pPr>
        <w:pStyle w:val="Heading2"/>
        <w:rPr>
          <w:szCs w:val="22"/>
        </w:rPr>
      </w:pPr>
      <w:r w:rsidRPr="00837F76">
        <w:rPr>
          <w:rFonts w:cs="Arial"/>
          <w:color w:val="000000"/>
          <w:szCs w:val="22"/>
          <w:shd w:val="clear" w:color="auto" w:fill="FFFFFF"/>
        </w:rPr>
        <w:t xml:space="preserve">Before payment can be considered, each invoice must include a detailed elemental breakdown of work completed and the associated costs. </w:t>
      </w:r>
    </w:p>
    <w:p w14:paraId="04BBE808" w14:textId="77777777" w:rsidR="00671798" w:rsidRDefault="00FE18AC">
      <w:pPr>
        <w:pStyle w:val="Heading1"/>
        <w:spacing w:after="120"/>
      </w:pPr>
      <w:bookmarkStart w:id="44" w:name="_Toc368573043"/>
      <w:bookmarkStart w:id="45" w:name="_Toc498591550"/>
      <w:bookmarkEnd w:id="20"/>
      <w:bookmarkEnd w:id="43"/>
      <w:r>
        <w:lastRenderedPageBreak/>
        <w:t>Location</w:t>
      </w:r>
      <w:bookmarkEnd w:id="44"/>
      <w:bookmarkEnd w:id="45"/>
      <w:r>
        <w:t xml:space="preserve"> </w:t>
      </w:r>
    </w:p>
    <w:p w14:paraId="37C13A5F" w14:textId="3DB8420A" w:rsidR="00671798" w:rsidRDefault="00AE4A2C" w:rsidP="00AE4A2C">
      <w:pPr>
        <w:pStyle w:val="Heading2"/>
        <w:spacing w:after="120"/>
        <w:ind w:left="709" w:hanging="709"/>
      </w:pPr>
      <w:r>
        <w:t>The location of the Services will be carried out at the Supplier’s premises with meetings held at the</w:t>
      </w:r>
      <w:r w:rsidR="003136EA">
        <w:t xml:space="preserve"> Authority’s premises as needed, at 1 Horse Guards Road, London, SW1A 2HQ.</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7EE53" w14:textId="77777777" w:rsidR="00885C2F" w:rsidRDefault="00885C2F">
      <w:pPr>
        <w:spacing w:line="20" w:lineRule="exact"/>
      </w:pPr>
    </w:p>
  </w:endnote>
  <w:endnote w:type="continuationSeparator" w:id="0">
    <w:p w14:paraId="4523566F" w14:textId="77777777" w:rsidR="00885C2F" w:rsidRDefault="00885C2F">
      <w:pPr>
        <w:spacing w:line="20" w:lineRule="exact"/>
      </w:pPr>
      <w:r>
        <w:t xml:space="preserve"> </w:t>
      </w:r>
    </w:p>
  </w:endnote>
  <w:endnote w:type="continuationNotice" w:id="1">
    <w:p w14:paraId="60FD1171" w14:textId="77777777" w:rsidR="00885C2F" w:rsidRDefault="00885C2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862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AD4A20" w:rsidRDefault="00362A29">
        <w:pPr>
          <w:pStyle w:val="Footer"/>
          <w:rPr>
            <w:sz w:val="20"/>
            <w:szCs w:val="20"/>
          </w:rPr>
        </w:pPr>
        <w:r w:rsidRPr="00AD4A20">
          <w:rPr>
            <w:sz w:val="20"/>
            <w:szCs w:val="20"/>
          </w:rPr>
          <w:t>Appendix B – Statement of Requirements</w:t>
        </w:r>
      </w:p>
      <w:p w14:paraId="5D89FCCB" w14:textId="302E2ADD" w:rsidR="00362A29" w:rsidRPr="00AD4A20" w:rsidRDefault="00AD4A20">
        <w:pPr>
          <w:pStyle w:val="Footer"/>
          <w:rPr>
            <w:sz w:val="20"/>
            <w:szCs w:val="20"/>
          </w:rPr>
        </w:pPr>
        <w:r w:rsidRPr="00AD4A20">
          <w:rPr>
            <w:sz w:val="20"/>
            <w:szCs w:val="20"/>
          </w:rPr>
          <w:t>Nick Williams</w:t>
        </w:r>
      </w:p>
      <w:p w14:paraId="1CB7D5DC" w14:textId="191B7152" w:rsidR="00362A29" w:rsidRPr="00985B4D" w:rsidRDefault="00362A29">
        <w:pPr>
          <w:pStyle w:val="Footer"/>
          <w:rPr>
            <w:sz w:val="20"/>
            <w:szCs w:val="20"/>
          </w:rPr>
        </w:pPr>
        <w:r w:rsidRPr="00AD4A20">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42D6E6E6" w14:textId="6A3F1DD7" w:rsidR="00362A29" w:rsidRPr="00985B4D" w:rsidRDefault="006E6911" w:rsidP="00985B4D">
        <w:pPr>
          <w:pStyle w:val="Footer"/>
          <w:jc w:val="right"/>
          <w:rPr>
            <w:sz w:val="20"/>
            <w:szCs w:val="20"/>
          </w:rPr>
        </w:pPr>
        <w:r>
          <w:rPr>
            <w:sz w:val="20"/>
            <w:szCs w:val="20"/>
          </w:rPr>
          <w:t>V1.0</w:t>
        </w:r>
        <w:r w:rsidR="00AD4A20">
          <w:rPr>
            <w:sz w:val="20"/>
            <w:szCs w:val="20"/>
          </w:rPr>
          <w:t xml:space="preserve"> 16</w:t>
        </w:r>
        <w:r w:rsidR="00AD4A20" w:rsidRPr="00AD4A20">
          <w:rPr>
            <w:sz w:val="20"/>
            <w:szCs w:val="20"/>
            <w:vertAlign w:val="superscript"/>
          </w:rPr>
          <w:t>th</w:t>
        </w:r>
        <w:r w:rsidR="00AD4A20">
          <w:rPr>
            <w:sz w:val="20"/>
            <w:szCs w:val="20"/>
          </w:rPr>
          <w:t xml:space="preserve"> November 2017</w:t>
        </w:r>
      </w:p>
      <w:p w14:paraId="5214230D" w14:textId="4ECA52C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2E6C63">
          <w:rPr>
            <w:noProof/>
            <w:sz w:val="20"/>
            <w:szCs w:val="20"/>
          </w:rPr>
          <w:t>2</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D8412" w14:textId="77777777" w:rsidR="00885C2F" w:rsidRDefault="00885C2F">
      <w:r>
        <w:separator/>
      </w:r>
    </w:p>
  </w:footnote>
  <w:footnote w:type="continuationSeparator" w:id="0">
    <w:p w14:paraId="3AD4B8A8" w14:textId="77777777" w:rsidR="00885C2F" w:rsidRDefault="00885C2F">
      <w:r>
        <w:continuationSeparator/>
      </w:r>
    </w:p>
  </w:footnote>
  <w:footnote w:type="continuationNotice" w:id="1">
    <w:p w14:paraId="1FFE76DC" w14:textId="77777777" w:rsidR="00885C2F" w:rsidRDefault="00885C2F"/>
  </w:footnote>
  <w:footnote w:id="2">
    <w:p w14:paraId="5449A2DD" w14:textId="16D2CE1F" w:rsidR="003D3D89" w:rsidRDefault="00885C2F" w:rsidP="00187A42">
      <w:pPr>
        <w:pStyle w:val="FootnoteText"/>
        <w:numPr>
          <w:ilvl w:val="0"/>
          <w:numId w:val="34"/>
        </w:numPr>
      </w:pPr>
      <w:hyperlink r:id="rId1" w:history="1">
        <w:r w:rsidR="003D3D89" w:rsidRPr="00187A42">
          <w:rPr>
            <w:rStyle w:val="Hyperlink"/>
          </w:rPr>
          <w:t>http://civilservicecommission.independent.gov.uk/wp-content/uploads/2017/01/RECRUITMENT-PRINCIPLES-April-2015-as-of-January-2017.pdf</w:t>
        </w:r>
      </w:hyperlink>
    </w:p>
  </w:footnote>
  <w:footnote w:id="3">
    <w:p w14:paraId="476ED6C8" w14:textId="121AD1C6" w:rsidR="007764E0" w:rsidRDefault="007764E0" w:rsidP="007764E0">
      <w:pPr>
        <w:pStyle w:val="FootnoteText"/>
      </w:pPr>
      <w:r>
        <w:rPr>
          <w:rStyle w:val="FootnoteReference"/>
        </w:rPr>
        <w:footnoteRef/>
      </w:r>
      <w:r>
        <w:t xml:space="preserve"> </w:t>
      </w:r>
      <w:hyperlink r:id="rId2" w:history="1">
        <w:r w:rsidRPr="00096BD5">
          <w:rPr>
            <w:rStyle w:val="Hyperlink"/>
          </w:rPr>
          <w:t>http://civilservicecommission.independent.gov.uk/wp-content/uploads/2017/01/RECRUITMENT-PRINCIPLES-April-2015-as-of-January-2017.pdf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362A29" w:rsidRDefault="00362A29"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FFA1B3E" w14:textId="04EE7045" w:rsidR="00362A29" w:rsidRPr="00AD4A20" w:rsidRDefault="00AD4A20" w:rsidP="005334EA">
    <w:pPr>
      <w:tabs>
        <w:tab w:val="center" w:pos="4153"/>
        <w:tab w:val="right" w:pos="8306"/>
      </w:tabs>
      <w:ind w:left="720"/>
      <w:jc w:val="center"/>
      <w:rPr>
        <w:rFonts w:cs="Arial"/>
        <w:sz w:val="20"/>
        <w:szCs w:val="20"/>
      </w:rPr>
    </w:pPr>
    <w:r w:rsidRPr="00AD4A20">
      <w:rPr>
        <w:rFonts w:cs="Arial"/>
        <w:sz w:val="20"/>
        <w:szCs w:val="20"/>
      </w:rPr>
      <w:t>Provision of Consultancy for</w:t>
    </w:r>
  </w:p>
  <w:p w14:paraId="5611D392" w14:textId="4A55AD94" w:rsidR="00AD4A20" w:rsidRPr="00AD4A20" w:rsidRDefault="00AD4A20" w:rsidP="005334EA">
    <w:pPr>
      <w:tabs>
        <w:tab w:val="center" w:pos="4153"/>
        <w:tab w:val="right" w:pos="8306"/>
      </w:tabs>
      <w:ind w:left="720"/>
      <w:jc w:val="center"/>
      <w:rPr>
        <w:rFonts w:cs="Arial"/>
        <w:sz w:val="20"/>
        <w:szCs w:val="20"/>
      </w:rPr>
    </w:pPr>
    <w:r w:rsidRPr="00AD4A20">
      <w:rPr>
        <w:rFonts w:cs="Arial"/>
        <w:sz w:val="20"/>
        <w:szCs w:val="20"/>
      </w:rPr>
      <w:t>Graduate Recruitment Programme</w:t>
    </w:r>
  </w:p>
  <w:p w14:paraId="3CFCFA88" w14:textId="725A122C" w:rsidR="00362A29" w:rsidRPr="005334EA" w:rsidRDefault="00AD4A20" w:rsidP="005334EA">
    <w:pPr>
      <w:tabs>
        <w:tab w:val="center" w:pos="4153"/>
        <w:tab w:val="right" w:pos="8306"/>
      </w:tabs>
      <w:ind w:left="720"/>
      <w:jc w:val="center"/>
      <w:rPr>
        <w:sz w:val="20"/>
        <w:szCs w:val="20"/>
      </w:rPr>
    </w:pPr>
    <w:r>
      <w:rPr>
        <w:rFonts w:cs="Arial"/>
        <w:sz w:val="20"/>
        <w:szCs w:val="20"/>
      </w:rPr>
      <w:t xml:space="preserve">        Con</w:t>
    </w:r>
    <w:r w:rsidRPr="00AD4A20">
      <w:rPr>
        <w:rFonts w:cs="Arial"/>
        <w:sz w:val="20"/>
        <w:szCs w:val="20"/>
      </w:rPr>
      <w:t>tract Reference:</w:t>
    </w:r>
    <w:r w:rsidR="00811462">
      <w:rPr>
        <w:rFonts w:cs="Arial"/>
        <w:sz w:val="20"/>
        <w:szCs w:val="20"/>
      </w:rPr>
      <w:t xml:space="preserve"> </w:t>
    </w:r>
    <w:r w:rsidRPr="00AD4A20">
      <w:rPr>
        <w:rFonts w:cs="Arial"/>
        <w:sz w:val="20"/>
        <w:szCs w:val="20"/>
      </w:rPr>
      <w:t>CCCC17B33</w:t>
    </w:r>
  </w:p>
  <w:p w14:paraId="605B3446" w14:textId="1C5596A0" w:rsidR="00362A29" w:rsidRPr="009D0EAE" w:rsidRDefault="00362A29" w:rsidP="00F946AC">
    <w:pPr>
      <w:pStyle w:val="Header"/>
      <w:jc w:val="center"/>
      <w:rPr>
        <w:rFonts w:cs="Arial"/>
        <w:sz w:val="20"/>
        <w:szCs w:val="20"/>
        <w:highlight w:val="yellow"/>
      </w:rPr>
    </w:pP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AF52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039433E"/>
    <w:multiLevelType w:val="hybridMultilevel"/>
    <w:tmpl w:val="3F563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EF65DD4"/>
    <w:multiLevelType w:val="hybridMultilevel"/>
    <w:tmpl w:val="CFCC61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4"/>
  </w:num>
  <w:num w:numId="4">
    <w:abstractNumId w:val="15"/>
  </w:num>
  <w:num w:numId="5">
    <w:abstractNumId w:val="5"/>
  </w:num>
  <w:num w:numId="6">
    <w:abstractNumId w:val="21"/>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34"/>
  </w:num>
  <w:num w:numId="15">
    <w:abstractNumId w:val="9"/>
  </w:num>
  <w:num w:numId="16">
    <w:abstractNumId w:val="30"/>
  </w:num>
  <w:num w:numId="17">
    <w:abstractNumId w:val="8"/>
  </w:num>
  <w:num w:numId="18">
    <w:abstractNumId w:val="19"/>
  </w:num>
  <w:num w:numId="19">
    <w:abstractNumId w:val="17"/>
  </w:num>
  <w:num w:numId="20">
    <w:abstractNumId w:val="27"/>
  </w:num>
  <w:num w:numId="21">
    <w:abstractNumId w:val="12"/>
  </w:num>
  <w:num w:numId="22">
    <w:abstractNumId w:val="32"/>
  </w:num>
  <w:num w:numId="23">
    <w:abstractNumId w:val="22"/>
  </w:num>
  <w:num w:numId="24">
    <w:abstractNumId w:val="11"/>
  </w:num>
  <w:num w:numId="25">
    <w:abstractNumId w:val="31"/>
  </w:num>
  <w:num w:numId="26">
    <w:abstractNumId w:val="7"/>
  </w:num>
  <w:num w:numId="27">
    <w:abstractNumId w:val="26"/>
  </w:num>
  <w:num w:numId="28">
    <w:abstractNumId w:val="20"/>
  </w:num>
  <w:num w:numId="29">
    <w:abstractNumId w:val="3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28"/>
  </w:num>
  <w:num w:numId="3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BD5"/>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87A42"/>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E6C63"/>
    <w:rsid w:val="002F13FD"/>
    <w:rsid w:val="002F1F7F"/>
    <w:rsid w:val="002F2750"/>
    <w:rsid w:val="002F3129"/>
    <w:rsid w:val="002F42F4"/>
    <w:rsid w:val="002F7AA1"/>
    <w:rsid w:val="0030038A"/>
    <w:rsid w:val="0030185A"/>
    <w:rsid w:val="0030285B"/>
    <w:rsid w:val="0030439A"/>
    <w:rsid w:val="003047E0"/>
    <w:rsid w:val="0030606A"/>
    <w:rsid w:val="003136E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A76AC"/>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3D89"/>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0BC5"/>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32A9"/>
    <w:rsid w:val="00476F39"/>
    <w:rsid w:val="004771C4"/>
    <w:rsid w:val="00477C7D"/>
    <w:rsid w:val="00480506"/>
    <w:rsid w:val="00480E50"/>
    <w:rsid w:val="0048180C"/>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C7979"/>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6C03"/>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E6911"/>
    <w:rsid w:val="006F098A"/>
    <w:rsid w:val="006F0C06"/>
    <w:rsid w:val="006F0FEE"/>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764E0"/>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462"/>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85C2F"/>
    <w:rsid w:val="00890886"/>
    <w:rsid w:val="008916A4"/>
    <w:rsid w:val="00897DB5"/>
    <w:rsid w:val="008A004A"/>
    <w:rsid w:val="008A17B5"/>
    <w:rsid w:val="008A1B23"/>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5F0A"/>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37C0"/>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4A20"/>
    <w:rsid w:val="00AD54FB"/>
    <w:rsid w:val="00AD5F2B"/>
    <w:rsid w:val="00AD6003"/>
    <w:rsid w:val="00AD6C7F"/>
    <w:rsid w:val="00AE0361"/>
    <w:rsid w:val="00AE169A"/>
    <w:rsid w:val="00AE1C64"/>
    <w:rsid w:val="00AE2742"/>
    <w:rsid w:val="00AE2E10"/>
    <w:rsid w:val="00AE3547"/>
    <w:rsid w:val="00AE36E5"/>
    <w:rsid w:val="00AE3C65"/>
    <w:rsid w:val="00AE4A2C"/>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704"/>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477"/>
    <w:rsid w:val="00BB7AA8"/>
    <w:rsid w:val="00BC0359"/>
    <w:rsid w:val="00BC0AC6"/>
    <w:rsid w:val="00BC1EBF"/>
    <w:rsid w:val="00BC2E68"/>
    <w:rsid w:val="00BC44B6"/>
    <w:rsid w:val="00BC79C0"/>
    <w:rsid w:val="00BD1D37"/>
    <w:rsid w:val="00BD212B"/>
    <w:rsid w:val="00BD42DB"/>
    <w:rsid w:val="00BD6245"/>
    <w:rsid w:val="00BE1049"/>
    <w:rsid w:val="00BE17A9"/>
    <w:rsid w:val="00BE231E"/>
    <w:rsid w:val="00BE407A"/>
    <w:rsid w:val="00BF0DC3"/>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453C"/>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0B7F"/>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C6E5D"/>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780"/>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vilservicecommission.independent.gov.uk/wp-content/uploads/2017/01/RECRUITMENT-PRINCIPLES-April-2015-as-of-January-201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ivilservicecommission.independent.gov.uk/wp-content/uploads/2017/01/RECRUITMENT-PRINCIPLES-April-2015-as-of-January-201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civilservicecommission.independent.gov.uk/wp-content/uploads/2017/01/RECRUITMENT-PRINCIPLES-April-2015-as-of-January-2017.pdf" TargetMode="External"/><Relationship Id="rId1" Type="http://schemas.openxmlformats.org/officeDocument/2006/relationships/hyperlink" Target="http://civilservicecommission.independent.gov.uk/wp-content/uploads/2017/01/RECRUITMENT-PRINCIPLES-April-2015-as-of-January-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A28F0-0AB0-49E3-A27E-71F8308E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8</cp:revision>
  <dcterms:created xsi:type="dcterms:W3CDTF">2017-11-16T15:23:00Z</dcterms:created>
  <dcterms:modified xsi:type="dcterms:W3CDTF">2017-11-24T10:34:00Z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