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color w:val="000000"/>
          <w:sz w:val="24"/>
          <w:szCs w:val="24"/>
        </w:rPr>
      </w:pPr>
      <w:r w:rsidDel="00000000" w:rsidR="00000000" w:rsidRPr="00000000">
        <w:rPr>
          <w:color w:val="000000"/>
          <w:sz w:val="24"/>
          <w:szCs w:val="24"/>
          <w:rtl w:val="0"/>
        </w:rPr>
        <w:t xml:space="preserve">In this attachment and Attachment 5 -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6116, Network Services 3: </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the following words shall have the following meanings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highlight w:val="white"/>
          <w:rtl w:val="0"/>
        </w:rPr>
        <w:t xml:space="preserve">(version 4.3.1)</w:t>
      </w:r>
      <w:r w:rsidDel="00000000" w:rsidR="00000000" w:rsidRPr="00000000">
        <w:rPr>
          <w:color w:val="000000"/>
          <w:sz w:val="24"/>
          <w:szCs w:val="24"/>
          <w:highlight w:val="white"/>
          <w:rtl w:val="0"/>
        </w:rPr>
        <w:t xml:space="preserve"> as the basis to conduct a financial assessment on all Bids. The </w:t>
      </w:r>
      <w:r w:rsidDel="00000000" w:rsidR="00000000" w:rsidRPr="00000000">
        <w:rPr>
          <w:highlight w:val="white"/>
          <w:rtl w:val="0"/>
        </w:rPr>
        <w:t xml:space="preserve">RM6116 - Network Services 3 </w:t>
      </w:r>
      <w:r w:rsidDel="00000000" w:rsidR="00000000" w:rsidRPr="00000000">
        <w:rPr>
          <w:color w:val="000000"/>
          <w:sz w:val="24"/>
          <w:szCs w:val="24"/>
          <w:highlight w:val="white"/>
          <w:rtl w:val="0"/>
        </w:rPr>
        <w:t xml:space="preserve">FVRA Tool is provided at Attachment 5a – Fi</w:t>
      </w:r>
      <w:r w:rsidDel="00000000" w:rsidR="00000000" w:rsidRPr="00000000">
        <w:rPr>
          <w:color w:val="000000"/>
          <w:sz w:val="24"/>
          <w:szCs w:val="24"/>
          <w:rtl w:val="0"/>
        </w:rPr>
        <w:t xml:space="preserve">nancial Viability Risk Assessment Tool and is to be completed and submitted by Bidders.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68" w:line="246"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highlight w:val="yellow"/>
        </w:rPr>
      </w:pPr>
      <w:r w:rsidDel="00000000" w:rsidR="00000000" w:rsidRPr="00000000">
        <w:rPr>
          <w:color w:val="000000"/>
          <w:sz w:val="24"/>
          <w:szCs w:val="24"/>
          <w:highlight w:val="white"/>
          <w:rtl w:val="0"/>
        </w:rPr>
        <w:t xml:space="preserve">RM6116 Network Services 3, </w:t>
      </w:r>
      <w:r w:rsidDel="00000000" w:rsidR="00000000" w:rsidRPr="00000000">
        <w:rPr>
          <w:sz w:val="24"/>
          <w:szCs w:val="24"/>
          <w:highlight w:val="white"/>
          <w:rtl w:val="0"/>
        </w:rPr>
        <w:t xml:space="preserve">Lots 1a, 1c, 1d, 2a, 3a, 3b, 4b, 4c and 4d</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have been</w:t>
      </w:r>
      <w:r w:rsidDel="00000000" w:rsidR="00000000" w:rsidRPr="00000000">
        <w:rPr>
          <w:color w:val="000000"/>
          <w:sz w:val="24"/>
          <w:szCs w:val="24"/>
          <w:highlight w:val="white"/>
          <w:rtl w:val="0"/>
        </w:rPr>
        <w:t xml:space="preserve"> classified as 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co</w:t>
      </w:r>
      <w:r w:rsidDel="00000000" w:rsidR="00000000" w:rsidRPr="00000000">
        <w:rPr>
          <w:color w:val="000000"/>
          <w:sz w:val="24"/>
          <w:szCs w:val="24"/>
          <w:rtl w:val="0"/>
        </w:rPr>
        <w:t xml:space="preserve">ntract, and Lots  1b, 4a and 4e have been classified as </w:t>
      </w:r>
      <w:r w:rsidDel="00000000" w:rsidR="00000000" w:rsidRPr="00000000">
        <w:rPr>
          <w:b w:val="1"/>
          <w:sz w:val="24"/>
          <w:szCs w:val="24"/>
          <w:rtl w:val="0"/>
        </w:rPr>
        <w:t xml:space="preserve">Silver </w:t>
      </w:r>
      <w:r w:rsidDel="00000000" w:rsidR="00000000" w:rsidRPr="00000000">
        <w:rPr>
          <w:sz w:val="24"/>
          <w:szCs w:val="24"/>
          <w:rtl w:val="0"/>
        </w:rPr>
        <w:t xml:space="preserve">contracts, using </w:t>
      </w:r>
      <w:r w:rsidDel="00000000" w:rsidR="00000000" w:rsidRPr="00000000">
        <w:rPr>
          <w:color w:val="000000"/>
          <w:sz w:val="24"/>
          <w:szCs w:val="24"/>
          <w:rtl w:val="0"/>
        </w:rPr>
        <w:t xml:space="preserve"> the Contract Tiering Tool. All B</w:t>
      </w:r>
      <w:r w:rsidDel="00000000" w:rsidR="00000000" w:rsidRPr="00000000">
        <w:rPr>
          <w:sz w:val="24"/>
          <w:szCs w:val="24"/>
          <w:rtl w:val="0"/>
        </w:rPr>
        <w:t xml:space="preserve">idders tendering for this framework are required to complete Attachment 5a - Financial Viability Assessment Tool and upload it to Part 1.19 of Attachment 2a Selection Questionnaire in the eSourcing suite. The ratios used for both Gold and Silver are the same.</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color w:val="000000"/>
          <w:sz w:val="24"/>
          <w:szCs w:val="24"/>
          <w:highlight w:val="white"/>
          <w:rtl w:val="0"/>
        </w:rPr>
        <w:t xml:space="preserve">Gold/Silver</w:t>
      </w:r>
      <w:r w:rsidDel="00000000" w:rsidR="00000000" w:rsidRPr="00000000">
        <w:rPr>
          <w:b w:val="1"/>
          <w:color w:val="000000"/>
          <w:sz w:val="24"/>
          <w:szCs w:val="24"/>
          <w:highlight w:val="white"/>
          <w:rtl w:val="0"/>
        </w:rPr>
        <w:t xml:space="preserve"> </w:t>
      </w:r>
      <w:r w:rsidDel="00000000" w:rsidR="00000000" w:rsidRPr="00000000">
        <w:rPr>
          <w:color w:val="000000"/>
          <w:sz w:val="24"/>
          <w:szCs w:val="24"/>
          <w:rtl w:val="0"/>
        </w:rPr>
        <w:t xml:space="preserve">Bidders must correctly and accurately complete Attachment 5a –Financial Viability Risk Assessment Tool</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46" w:lineRule="auto"/>
        <w:ind w:left="283" w:right="544" w:firstLine="1.0000000000000142"/>
        <w:rPr>
          <w:color w:val="000000"/>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31"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w:t>
      </w:r>
      <w:r w:rsidDel="00000000" w:rsidR="00000000" w:rsidRPr="00000000">
        <w:rPr>
          <w:sz w:val="24"/>
          <w:szCs w:val="24"/>
          <w:highlight w:val="white"/>
          <w:rtl w:val="0"/>
        </w:rPr>
        <w:t xml:space="preserve">RM6116</w:t>
      </w:r>
      <w:r w:rsidDel="00000000" w:rsidR="00000000" w:rsidRPr="00000000">
        <w:rPr>
          <w:sz w:val="24"/>
          <w:szCs w:val="24"/>
          <w:rtl w:val="0"/>
        </w:rPr>
        <w:t xml:space="preserve"> Financial Viability Risk Assessment Tool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3" w:line="246" w:lineRule="auto"/>
        <w:ind w:left="730" w:right="308" w:firstLine="14.000000000000057"/>
        <w:rPr>
          <w:sz w:val="24"/>
          <w:szCs w:val="24"/>
        </w:rPr>
      </w:pPr>
      <w:r w:rsidDel="00000000" w:rsidR="00000000" w:rsidRPr="00000000">
        <w:rPr>
          <w:rtl w:val="0"/>
        </w:rPr>
      </w:r>
    </w:p>
    <w:p w:rsidR="00000000" w:rsidDel="00000000" w:rsidP="00000000" w:rsidRDefault="00000000" w:rsidRPr="00000000" w14:paraId="00000047">
      <w:pPr>
        <w:rPr>
          <w:b w:val="1"/>
          <w:color w:val="000000"/>
          <w:sz w:val="28"/>
          <w:szCs w:val="28"/>
        </w:rPr>
      </w:pPr>
      <w:r w:rsidDel="00000000" w:rsidR="00000000" w:rsidRPr="00000000">
        <w:rPr>
          <w:b w:val="1"/>
          <w:color w:val="000000"/>
          <w:sz w:val="28"/>
          <w:szCs w:val="28"/>
          <w:rtl w:val="0"/>
        </w:rPr>
        <w:t xml:space="preserve">Prior to award of Framework Contracts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8">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6"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color w:val="000000"/>
          <w:sz w:val="24"/>
          <w:szCs w:val="24"/>
          <w:rtl w:val="0"/>
        </w:rPr>
        <w:t xml:space="preserve">Risk thresholds for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6116 Network Services 3</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(i</w:t>
      </w:r>
      <w:r w:rsidDel="00000000" w:rsidR="00000000" w:rsidRPr="00000000">
        <w:rPr>
          <w:sz w:val="24"/>
          <w:szCs w:val="24"/>
          <w:rtl w:val="0"/>
        </w:rPr>
        <w:t xml:space="preserve">n</w:t>
      </w:r>
      <w:r w:rsidDel="00000000" w:rsidR="00000000" w:rsidRPr="00000000">
        <w:rPr>
          <w:color w:val="000000"/>
          <w:sz w:val="24"/>
          <w:szCs w:val="24"/>
          <w:rtl w:val="0"/>
        </w:rPr>
        <w:t xml:space="preserve"> line with tab 2 of Attachment 5a –Financial Viability Risk Assessment Tool)</w:t>
      </w:r>
      <w:r w:rsidDel="00000000" w:rsidR="00000000" w:rsidRPr="00000000">
        <w:rPr>
          <w:sz w:val="24"/>
          <w:szCs w:val="24"/>
          <w:rtl w:val="0"/>
        </w:rPr>
        <w:t xml:space="preserve">, which apply to Gold and Silver contracts</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71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0"/>
        <w:gridCol w:w="930"/>
        <w:gridCol w:w="990"/>
        <w:gridCol w:w="975"/>
        <w:gridCol w:w="1275"/>
        <w:tblGridChange w:id="0">
          <w:tblGrid>
            <w:gridCol w:w="450"/>
            <w:gridCol w:w="2520"/>
            <w:gridCol w:w="930"/>
            <w:gridCol w:w="990"/>
            <w:gridCol w:w="975"/>
            <w:gridCol w:w="1275"/>
          </w:tblGrid>
        </w:tblGridChange>
      </w:tblGrid>
      <w:tr>
        <w:trPr>
          <w:cantSplit w:val="0"/>
          <w:trHeight w:val="432.978515625" w:hRule="atLeast"/>
          <w:tblHeader w:val="0"/>
        </w:trPr>
        <w:tc>
          <w:tcPr>
            <w:shd w:fill="ffffff" w:val="clear"/>
          </w:tcPr>
          <w:p w:rsidR="00000000" w:rsidDel="00000000" w:rsidP="00000000" w:rsidRDefault="00000000" w:rsidRPr="00000000" w14:paraId="0000005E">
            <w:pPr>
              <w:widowControl w:val="0"/>
              <w:rPr/>
            </w:pPr>
            <w:r w:rsidDel="00000000" w:rsidR="00000000" w:rsidRPr="00000000">
              <w:rPr>
                <w:rtl w:val="0"/>
              </w:rPr>
            </w:r>
          </w:p>
        </w:tc>
        <w:tc>
          <w:tcPr>
            <w:shd w:fill="ffffff" w:val="clear"/>
          </w:tcPr>
          <w:p w:rsidR="00000000" w:rsidDel="00000000" w:rsidP="00000000" w:rsidRDefault="00000000" w:rsidRPr="00000000" w14:paraId="0000005F">
            <w:pPr>
              <w:widowControl w:val="0"/>
              <w:rPr/>
            </w:pPr>
            <w:r w:rsidDel="00000000" w:rsidR="00000000" w:rsidRPr="00000000">
              <w:rPr>
                <w:rtl w:val="0"/>
              </w:rPr>
            </w:r>
          </w:p>
        </w:tc>
        <w:tc>
          <w:tcPr>
            <w:gridSpan w:val="3"/>
            <w:shd w:fill="ffffff" w:val="clear"/>
          </w:tcPr>
          <w:p w:rsidR="00000000" w:rsidDel="00000000" w:rsidP="00000000" w:rsidRDefault="00000000" w:rsidRPr="00000000" w14:paraId="00000060">
            <w:pPr>
              <w:widowControl w:val="0"/>
              <w:jc w:val="center"/>
              <w:rPr>
                <w:sz w:val="20"/>
                <w:szCs w:val="20"/>
                <w:highlight w:val="white"/>
              </w:rPr>
            </w:pPr>
            <w:r w:rsidDel="00000000" w:rsidR="00000000" w:rsidRPr="00000000">
              <w:rPr>
                <w:sz w:val="20"/>
                <w:szCs w:val="20"/>
                <w:highlight w:val="white"/>
                <w:rtl w:val="0"/>
              </w:rPr>
              <w:t xml:space="preserve">RM6116</w:t>
            </w:r>
          </w:p>
        </w:tc>
        <w:tc>
          <w:tcPr>
            <w:shd w:fill="ffffff" w:val="clear"/>
          </w:tcPr>
          <w:p w:rsidR="00000000" w:rsidDel="00000000" w:rsidP="00000000" w:rsidRDefault="00000000" w:rsidRPr="00000000" w14:paraId="00000063">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4">
            <w:pPr>
              <w:widowControl w:val="0"/>
              <w:rPr/>
            </w:pPr>
            <w:r w:rsidDel="00000000" w:rsidR="00000000" w:rsidRPr="00000000">
              <w:rPr>
                <w:rtl w:val="0"/>
              </w:rPr>
            </w:r>
          </w:p>
        </w:tc>
        <w:tc>
          <w:tcPr>
            <w:shd w:fill="ffffff" w:val="clear"/>
          </w:tcPr>
          <w:p w:rsidR="00000000" w:rsidDel="00000000" w:rsidP="00000000" w:rsidRDefault="00000000" w:rsidRPr="00000000" w14:paraId="00000065">
            <w:pPr>
              <w:widowControl w:val="0"/>
              <w:rPr/>
            </w:pPr>
            <w:r w:rsidDel="00000000" w:rsidR="00000000" w:rsidRPr="00000000">
              <w:rPr>
                <w:rtl w:val="0"/>
              </w:rPr>
            </w:r>
          </w:p>
        </w:tc>
        <w:tc>
          <w:tcPr>
            <w:shd w:fill="ffffff" w:val="clear"/>
          </w:tcPr>
          <w:p w:rsidR="00000000" w:rsidDel="00000000" w:rsidP="00000000" w:rsidRDefault="00000000" w:rsidRPr="00000000" w14:paraId="00000066">
            <w:pPr>
              <w:widowControl w:val="0"/>
              <w:jc w:val="center"/>
              <w:rPr/>
            </w:pPr>
            <w:r w:rsidDel="00000000" w:rsidR="00000000" w:rsidRPr="00000000">
              <w:rPr>
                <w:rtl w:val="0"/>
              </w:rPr>
              <w:t xml:space="preserve">Low Risk (G)</w:t>
            </w:r>
          </w:p>
        </w:tc>
        <w:tc>
          <w:tcPr>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Med Risk (A)</w:t>
            </w:r>
          </w:p>
        </w:tc>
        <w:tc>
          <w:tcPr>
            <w:shd w:fill="ffffff" w:val="clear"/>
          </w:tcPr>
          <w:p w:rsidR="00000000" w:rsidDel="00000000" w:rsidP="00000000" w:rsidRDefault="00000000" w:rsidRPr="00000000" w14:paraId="00000068">
            <w:pPr>
              <w:widowControl w:val="0"/>
              <w:jc w:val="center"/>
              <w:rPr/>
            </w:pPr>
            <w:r w:rsidDel="00000000" w:rsidR="00000000" w:rsidRPr="00000000">
              <w:rPr>
                <w:rtl w:val="0"/>
              </w:rPr>
              <w:t xml:space="preserve">High Risk</w:t>
            </w:r>
          </w:p>
          <w:p w:rsidR="00000000" w:rsidDel="00000000" w:rsidP="00000000" w:rsidRDefault="00000000" w:rsidRPr="00000000" w14:paraId="00000069">
            <w:pPr>
              <w:widowControl w:val="0"/>
              <w:jc w:val="center"/>
              <w:rPr/>
            </w:pPr>
            <w:r w:rsidDel="00000000" w:rsidR="00000000" w:rsidRPr="00000000">
              <w:rPr>
                <w:rtl w:val="0"/>
              </w:rPr>
              <w:t xml:space="preserve">(R)</w:t>
            </w:r>
          </w:p>
        </w:tc>
        <w:tc>
          <w:tcPr>
            <w:shd w:fill="ffffff" w:val="clear"/>
          </w:tcPr>
          <w:p w:rsidR="00000000" w:rsidDel="00000000" w:rsidP="00000000" w:rsidRDefault="00000000" w:rsidRPr="00000000" w14:paraId="0000006A">
            <w:pPr>
              <w:widowControl w:val="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B">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D">
            <w:pPr>
              <w:widowControl w:val="0"/>
              <w:jc w:val="center"/>
              <w:rPr>
                <w:sz w:val="20"/>
                <w:szCs w:val="20"/>
                <w:highlight w:val="white"/>
              </w:rPr>
            </w:pPr>
            <w:r w:rsidDel="00000000" w:rsidR="00000000" w:rsidRPr="00000000">
              <w:rPr>
                <w:sz w:val="20"/>
                <w:szCs w:val="20"/>
                <w:rtl w:val="0"/>
              </w:rPr>
              <w:t xml:space="preserve">&gt;2.0x</w:t>
            </w:r>
            <w:r w:rsidDel="00000000" w:rsidR="00000000" w:rsidRPr="00000000">
              <w:rPr>
                <w:sz w:val="20"/>
                <w:szCs w:val="20"/>
                <w:highlight w:val="white"/>
                <w:rtl w:val="0"/>
              </w:rPr>
              <w:t xml:space="preserve"> x</w:t>
            </w:r>
          </w:p>
        </w:tc>
        <w:tc>
          <w:tcPr>
            <w:shd w:fill="ffffff" w:val="clear"/>
            <w:vAlign w:val="center"/>
          </w:tcPr>
          <w:p w:rsidR="00000000" w:rsidDel="00000000" w:rsidP="00000000" w:rsidRDefault="00000000" w:rsidRPr="00000000" w14:paraId="0000006E">
            <w:pPr>
              <w:widowControl w:val="0"/>
              <w:jc w:val="center"/>
              <w:rPr>
                <w:sz w:val="20"/>
                <w:szCs w:val="20"/>
                <w:highlight w:val="white"/>
              </w:rPr>
            </w:pPr>
            <w:r w:rsidDel="00000000" w:rsidR="00000000" w:rsidRPr="00000000">
              <w:rPr>
                <w:sz w:val="20"/>
                <w:szCs w:val="20"/>
                <w:highlight w:val="white"/>
                <w:rtl w:val="0"/>
              </w:rPr>
              <w:t xml:space="preserve">1.5 - 2.0x</w:t>
            </w:r>
          </w:p>
        </w:tc>
        <w:tc>
          <w:tcPr>
            <w:shd w:fill="ffffff" w:val="clear"/>
            <w:vAlign w:val="center"/>
          </w:tcPr>
          <w:p w:rsidR="00000000" w:rsidDel="00000000" w:rsidP="00000000" w:rsidRDefault="00000000" w:rsidRPr="00000000" w14:paraId="0000006F">
            <w:pPr>
              <w:widowControl w:val="0"/>
              <w:spacing w:line="276" w:lineRule="auto"/>
              <w:jc w:val="center"/>
              <w:rPr>
                <w:sz w:val="20"/>
                <w:szCs w:val="20"/>
                <w:highlight w:val="white"/>
              </w:rPr>
            </w:pPr>
            <w:r w:rsidDel="00000000" w:rsidR="00000000" w:rsidRPr="00000000">
              <w:rPr>
                <w:sz w:val="20"/>
                <w:szCs w:val="20"/>
                <w:rtl w:val="0"/>
              </w:rPr>
              <w:t xml:space="preserve">&lt;1.5x</w:t>
            </w:r>
            <w:r w:rsidDel="00000000" w:rsidR="00000000" w:rsidRPr="00000000">
              <w:rPr>
                <w:rtl w:val="0"/>
              </w:rPr>
            </w:r>
          </w:p>
        </w:tc>
        <w:tc>
          <w:tcPr>
            <w:shd w:fill="d9d9d9" w:val="clear"/>
            <w:vAlign w:val="center"/>
          </w:tcPr>
          <w:p w:rsidR="00000000" w:rsidDel="00000000" w:rsidP="00000000" w:rsidRDefault="00000000" w:rsidRPr="00000000" w14:paraId="00000070">
            <w:pPr>
              <w:widowControl w:val="0"/>
              <w:jc w:val="center"/>
              <w:rPr>
                <w:sz w:val="20"/>
                <w:szCs w:val="20"/>
                <w:highlight w:val="whit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1">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73">
            <w:pPr>
              <w:widowControl w:val="0"/>
              <w:jc w:val="center"/>
              <w:rPr>
                <w:sz w:val="20"/>
                <w:szCs w:val="20"/>
                <w:highlight w:val="yellow"/>
              </w:rPr>
            </w:pPr>
            <w:r w:rsidDel="00000000" w:rsidR="00000000" w:rsidRPr="00000000">
              <w:rPr>
                <w:sz w:val="20"/>
                <w:szCs w:val="20"/>
                <w:rtl w:val="0"/>
              </w:rPr>
              <w:t xml:space="preserve">&gt;7%</w:t>
            </w:r>
            <w:r w:rsidDel="00000000" w:rsidR="00000000" w:rsidRPr="00000000">
              <w:rPr>
                <w:rtl w:val="0"/>
              </w:rPr>
            </w:r>
          </w:p>
        </w:tc>
        <w:tc>
          <w:tcPr>
            <w:shd w:fill="ffffff" w:val="clear"/>
            <w:vAlign w:val="center"/>
          </w:tcPr>
          <w:p w:rsidR="00000000" w:rsidDel="00000000" w:rsidP="00000000" w:rsidRDefault="00000000" w:rsidRPr="00000000" w14:paraId="00000074">
            <w:pPr>
              <w:widowControl w:val="0"/>
              <w:jc w:val="center"/>
              <w:rPr>
                <w:sz w:val="20"/>
                <w:szCs w:val="20"/>
                <w:highlight w:val="yellow"/>
              </w:rPr>
            </w:pPr>
            <w:r w:rsidDel="00000000" w:rsidR="00000000" w:rsidRPr="00000000">
              <w:rPr>
                <w:sz w:val="20"/>
                <w:szCs w:val="20"/>
                <w:rtl w:val="0"/>
              </w:rPr>
              <w:t xml:space="preserve">4-7%</w:t>
            </w:r>
            <w:r w:rsidDel="00000000" w:rsidR="00000000" w:rsidRPr="00000000">
              <w:rPr>
                <w:rtl w:val="0"/>
              </w:rPr>
            </w:r>
          </w:p>
        </w:tc>
        <w:tc>
          <w:tcPr>
            <w:shd w:fill="ffffff" w:val="clear"/>
            <w:vAlign w:val="center"/>
          </w:tcPr>
          <w:p w:rsidR="00000000" w:rsidDel="00000000" w:rsidP="00000000" w:rsidRDefault="00000000" w:rsidRPr="00000000" w14:paraId="00000075">
            <w:pPr>
              <w:widowControl w:val="0"/>
              <w:spacing w:line="276" w:lineRule="auto"/>
              <w:jc w:val="center"/>
              <w:rPr>
                <w:sz w:val="20"/>
                <w:szCs w:val="20"/>
                <w:highlight w:val="yellow"/>
              </w:rPr>
            </w:pPr>
            <w:r w:rsidDel="00000000" w:rsidR="00000000" w:rsidRPr="00000000">
              <w:rPr>
                <w:sz w:val="20"/>
                <w:szCs w:val="20"/>
                <w:rtl w:val="0"/>
              </w:rPr>
              <w:t xml:space="preserve">&lt;4%</w:t>
            </w:r>
            <w:r w:rsidDel="00000000" w:rsidR="00000000" w:rsidRPr="00000000">
              <w:rPr>
                <w:rtl w:val="0"/>
              </w:rPr>
            </w:r>
          </w:p>
        </w:tc>
        <w:tc>
          <w:tcPr>
            <w:shd w:fill="d9d9d9"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7">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79">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A">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B">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7C">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D">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F">
            <w:pPr>
              <w:widowControl w:val="0"/>
              <w:spacing w:line="276" w:lineRule="auto"/>
              <w:jc w:val="center"/>
              <w:rPr>
                <w:sz w:val="20"/>
                <w:szCs w:val="20"/>
                <w:highlight w:val="yellow"/>
              </w:rPr>
            </w:pPr>
            <w:r w:rsidDel="00000000" w:rsidR="00000000" w:rsidRPr="00000000">
              <w:rPr>
                <w:sz w:val="20"/>
                <w:szCs w:val="20"/>
                <w:rtl w:val="0"/>
              </w:rPr>
              <w:t xml:space="preserve">&lt;3.0x</w:t>
            </w:r>
            <w:r w:rsidDel="00000000" w:rsidR="00000000" w:rsidRPr="00000000">
              <w:rPr>
                <w:rtl w:val="0"/>
              </w:rPr>
            </w:r>
          </w:p>
        </w:tc>
        <w:tc>
          <w:tcPr>
            <w:shd w:fill="ffffff" w:val="clear"/>
            <w:vAlign w:val="center"/>
          </w:tcPr>
          <w:p w:rsidR="00000000" w:rsidDel="00000000" w:rsidP="00000000" w:rsidRDefault="00000000" w:rsidRPr="00000000" w14:paraId="00000080">
            <w:pPr>
              <w:widowControl w:val="0"/>
              <w:spacing w:line="276" w:lineRule="auto"/>
              <w:jc w:val="center"/>
              <w:rPr>
                <w:sz w:val="20"/>
                <w:szCs w:val="20"/>
                <w:highlight w:val="yellow"/>
              </w:rPr>
            </w:pPr>
            <w:r w:rsidDel="00000000" w:rsidR="00000000" w:rsidRPr="00000000">
              <w:rPr>
                <w:sz w:val="20"/>
                <w:szCs w:val="20"/>
                <w:rtl w:val="0"/>
              </w:rPr>
              <w:t xml:space="preserve">3.0 - 3.5x</w:t>
            </w:r>
            <w:r w:rsidDel="00000000" w:rsidR="00000000" w:rsidRPr="00000000">
              <w:rPr>
                <w:rtl w:val="0"/>
              </w:rPr>
            </w:r>
          </w:p>
        </w:tc>
        <w:tc>
          <w:tcPr>
            <w:shd w:fill="ffffff" w:val="clear"/>
            <w:vAlign w:val="center"/>
          </w:tcPr>
          <w:p w:rsidR="00000000" w:rsidDel="00000000" w:rsidP="00000000" w:rsidRDefault="00000000" w:rsidRPr="00000000" w14:paraId="00000081">
            <w:pPr>
              <w:widowControl w:val="0"/>
              <w:spacing w:line="276" w:lineRule="auto"/>
              <w:jc w:val="center"/>
              <w:rPr>
                <w:sz w:val="20"/>
                <w:szCs w:val="20"/>
                <w:highlight w:val="yellow"/>
              </w:rPr>
            </w:pPr>
            <w:r w:rsidDel="00000000" w:rsidR="00000000" w:rsidRPr="00000000">
              <w:rPr>
                <w:sz w:val="20"/>
                <w:szCs w:val="20"/>
                <w:rtl w:val="0"/>
              </w:rPr>
              <w:t xml:space="preserve">&gt;3.5x</w:t>
            </w:r>
            <w:r w:rsidDel="00000000" w:rsidR="00000000" w:rsidRPr="00000000">
              <w:rPr>
                <w:rtl w:val="0"/>
              </w:rPr>
            </w:r>
          </w:p>
        </w:tc>
        <w:tc>
          <w:tcPr>
            <w:shd w:fill="d9d9d9" w:val="clear"/>
            <w:vAlign w:val="center"/>
          </w:tcPr>
          <w:p w:rsidR="00000000" w:rsidDel="00000000" w:rsidP="00000000" w:rsidRDefault="00000000" w:rsidRPr="00000000" w14:paraId="00000082">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3">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85">
            <w:pPr>
              <w:widowControl w:val="0"/>
              <w:spacing w:line="276" w:lineRule="auto"/>
              <w:jc w:val="center"/>
              <w:rPr>
                <w:sz w:val="20"/>
                <w:szCs w:val="20"/>
                <w:highlight w:val="yellow"/>
              </w:rPr>
            </w:pPr>
            <w:r w:rsidDel="00000000" w:rsidR="00000000" w:rsidRPr="00000000">
              <w:rPr>
                <w:sz w:val="20"/>
                <w:szCs w:val="20"/>
                <w:rtl w:val="0"/>
              </w:rPr>
              <w:t xml:space="preserve">&lt;4.5x</w:t>
            </w:r>
            <w:r w:rsidDel="00000000" w:rsidR="00000000" w:rsidRPr="00000000">
              <w:rPr>
                <w:rtl w:val="0"/>
              </w:rPr>
            </w:r>
          </w:p>
        </w:tc>
        <w:tc>
          <w:tcPr>
            <w:shd w:fill="ffffff" w:val="clear"/>
            <w:vAlign w:val="center"/>
          </w:tcPr>
          <w:p w:rsidR="00000000" w:rsidDel="00000000" w:rsidP="00000000" w:rsidRDefault="00000000" w:rsidRPr="00000000" w14:paraId="00000086">
            <w:pPr>
              <w:widowControl w:val="0"/>
              <w:spacing w:line="276" w:lineRule="auto"/>
              <w:jc w:val="center"/>
              <w:rPr>
                <w:sz w:val="20"/>
                <w:szCs w:val="20"/>
                <w:highlight w:val="yellow"/>
              </w:rPr>
            </w:pPr>
            <w:r w:rsidDel="00000000" w:rsidR="00000000" w:rsidRPr="00000000">
              <w:rPr>
                <w:sz w:val="20"/>
                <w:szCs w:val="20"/>
                <w:rtl w:val="0"/>
              </w:rPr>
              <w:t xml:space="preserve">4.5 - 5.0</w:t>
            </w:r>
            <w:r w:rsidDel="00000000" w:rsidR="00000000" w:rsidRPr="00000000">
              <w:rPr>
                <w:rtl w:val="0"/>
              </w:rPr>
            </w:r>
          </w:p>
        </w:tc>
        <w:tc>
          <w:tcPr>
            <w:shd w:fill="ffffff" w:val="clear"/>
            <w:vAlign w:val="center"/>
          </w:tcPr>
          <w:p w:rsidR="00000000" w:rsidDel="00000000" w:rsidP="00000000" w:rsidRDefault="00000000" w:rsidRPr="00000000" w14:paraId="00000087">
            <w:pPr>
              <w:widowControl w:val="0"/>
              <w:spacing w:line="276" w:lineRule="auto"/>
              <w:jc w:val="center"/>
              <w:rPr>
                <w:sz w:val="20"/>
                <w:szCs w:val="20"/>
                <w:highlight w:val="yellow"/>
              </w:rPr>
            </w:pPr>
            <w:r w:rsidDel="00000000" w:rsidR="00000000" w:rsidRPr="00000000">
              <w:rPr>
                <w:sz w:val="20"/>
                <w:szCs w:val="20"/>
                <w:rtl w:val="0"/>
              </w:rPr>
              <w:t xml:space="preserve">&gt;5.0x</w:t>
            </w:r>
            <w:r w:rsidDel="00000000" w:rsidR="00000000" w:rsidRPr="00000000">
              <w:rPr>
                <w:rtl w:val="0"/>
              </w:rPr>
            </w:r>
          </w:p>
        </w:tc>
        <w:tc>
          <w:tcPr>
            <w:shd w:fill="d9d9d9" w:val="clear"/>
            <w:vAlign w:val="center"/>
          </w:tcPr>
          <w:p w:rsidR="00000000" w:rsidDel="00000000" w:rsidP="00000000" w:rsidRDefault="00000000" w:rsidRPr="00000000" w14:paraId="00000088">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9">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8B">
            <w:pPr>
              <w:widowControl w:val="0"/>
              <w:spacing w:line="276" w:lineRule="auto"/>
              <w:jc w:val="center"/>
              <w:rPr>
                <w:sz w:val="20"/>
                <w:szCs w:val="20"/>
                <w:highlight w:val="yellow"/>
              </w:rPr>
            </w:pPr>
            <w:r w:rsidDel="00000000" w:rsidR="00000000" w:rsidRPr="00000000">
              <w:rPr>
                <w:sz w:val="20"/>
                <w:szCs w:val="20"/>
                <w:rtl w:val="0"/>
              </w:rPr>
              <w:t xml:space="preserve">&gt;4.5x</w:t>
            </w:r>
            <w:r w:rsidDel="00000000" w:rsidR="00000000" w:rsidRPr="00000000">
              <w:rPr>
                <w:rtl w:val="0"/>
              </w:rPr>
            </w:r>
          </w:p>
        </w:tc>
        <w:tc>
          <w:tcPr>
            <w:shd w:fill="ffffff" w:val="clear"/>
            <w:vAlign w:val="center"/>
          </w:tcPr>
          <w:p w:rsidR="00000000" w:rsidDel="00000000" w:rsidP="00000000" w:rsidRDefault="00000000" w:rsidRPr="00000000" w14:paraId="0000008C">
            <w:pPr>
              <w:widowControl w:val="0"/>
              <w:spacing w:line="276" w:lineRule="auto"/>
              <w:jc w:val="center"/>
              <w:rPr>
                <w:sz w:val="20"/>
                <w:szCs w:val="20"/>
                <w:highlight w:val="yellow"/>
              </w:rPr>
            </w:pPr>
            <w:r w:rsidDel="00000000" w:rsidR="00000000" w:rsidRPr="00000000">
              <w:rPr>
                <w:sz w:val="20"/>
                <w:szCs w:val="20"/>
                <w:rtl w:val="0"/>
              </w:rPr>
              <w:t xml:space="preserve">3.0 - 4.5x</w:t>
            </w:r>
            <w:r w:rsidDel="00000000" w:rsidR="00000000" w:rsidRPr="00000000">
              <w:rPr>
                <w:rtl w:val="0"/>
              </w:rPr>
            </w:r>
          </w:p>
        </w:tc>
        <w:tc>
          <w:tcPr>
            <w:shd w:fill="ffffff" w:val="clear"/>
            <w:vAlign w:val="center"/>
          </w:tcPr>
          <w:p w:rsidR="00000000" w:rsidDel="00000000" w:rsidP="00000000" w:rsidRDefault="00000000" w:rsidRPr="00000000" w14:paraId="0000008D">
            <w:pPr>
              <w:widowControl w:val="0"/>
              <w:spacing w:line="276" w:lineRule="auto"/>
              <w:jc w:val="center"/>
              <w:rPr>
                <w:sz w:val="20"/>
                <w:szCs w:val="20"/>
                <w:highlight w:val="yellow"/>
              </w:rPr>
            </w:pPr>
            <w:r w:rsidDel="00000000" w:rsidR="00000000" w:rsidRPr="00000000">
              <w:rPr>
                <w:sz w:val="20"/>
                <w:szCs w:val="20"/>
                <w:rtl w:val="0"/>
              </w:rPr>
              <w:t xml:space="preserve">&lt;3.0x</w:t>
            </w:r>
            <w:r w:rsidDel="00000000" w:rsidR="00000000" w:rsidRPr="00000000">
              <w:rPr>
                <w:rtl w:val="0"/>
              </w:rPr>
            </w:r>
          </w:p>
        </w:tc>
        <w:tc>
          <w:tcPr>
            <w:shd w:fill="d9d9d9" w:val="clear"/>
            <w:vAlign w:val="center"/>
          </w:tcPr>
          <w:p w:rsidR="00000000" w:rsidDel="00000000" w:rsidP="00000000" w:rsidRDefault="00000000" w:rsidRPr="00000000" w14:paraId="0000008E">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F">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91">
            <w:pPr>
              <w:widowControl w:val="0"/>
              <w:spacing w:line="276" w:lineRule="auto"/>
              <w:jc w:val="center"/>
              <w:rPr>
                <w:sz w:val="20"/>
                <w:szCs w:val="20"/>
                <w:highlight w:val="yellow"/>
              </w:rPr>
            </w:pPr>
            <w:r w:rsidDel="00000000" w:rsidR="00000000" w:rsidRPr="00000000">
              <w:rPr>
                <w:sz w:val="20"/>
                <w:szCs w:val="20"/>
                <w:rtl w:val="0"/>
              </w:rPr>
              <w:t xml:space="preserve">&gt;1.0</w:t>
            </w:r>
            <w:r w:rsidDel="00000000" w:rsidR="00000000" w:rsidRPr="00000000">
              <w:rPr>
                <w:rtl w:val="0"/>
              </w:rPr>
            </w:r>
          </w:p>
        </w:tc>
        <w:tc>
          <w:tcPr>
            <w:shd w:fill="ffffff" w:val="clear"/>
            <w:vAlign w:val="center"/>
          </w:tcPr>
          <w:p w:rsidR="00000000" w:rsidDel="00000000" w:rsidP="00000000" w:rsidRDefault="00000000" w:rsidRPr="00000000" w14:paraId="00000092">
            <w:pPr>
              <w:widowControl w:val="0"/>
              <w:spacing w:line="276" w:lineRule="auto"/>
              <w:jc w:val="center"/>
              <w:rPr>
                <w:sz w:val="20"/>
                <w:szCs w:val="20"/>
                <w:highlight w:val="yellow"/>
              </w:rPr>
            </w:pPr>
            <w:r w:rsidDel="00000000" w:rsidR="00000000" w:rsidRPr="00000000">
              <w:rPr>
                <w:sz w:val="20"/>
                <w:szCs w:val="20"/>
                <w:rtl w:val="0"/>
              </w:rPr>
              <w:t xml:space="preserve">0.8 - 1.0</w:t>
            </w:r>
            <w:r w:rsidDel="00000000" w:rsidR="00000000" w:rsidRPr="00000000">
              <w:rPr>
                <w:rtl w:val="0"/>
              </w:rPr>
            </w:r>
          </w:p>
        </w:tc>
        <w:tc>
          <w:tcPr>
            <w:shd w:fill="ffffff" w:val="clear"/>
            <w:vAlign w:val="center"/>
          </w:tcPr>
          <w:p w:rsidR="00000000" w:rsidDel="00000000" w:rsidP="00000000" w:rsidRDefault="00000000" w:rsidRPr="00000000" w14:paraId="00000093">
            <w:pPr>
              <w:widowControl w:val="0"/>
              <w:spacing w:line="276" w:lineRule="auto"/>
              <w:jc w:val="center"/>
              <w:rPr>
                <w:sz w:val="20"/>
                <w:szCs w:val="20"/>
                <w:highlight w:val="yellow"/>
              </w:rPr>
            </w:pPr>
            <w:r w:rsidDel="00000000" w:rsidR="00000000" w:rsidRPr="00000000">
              <w:rPr>
                <w:sz w:val="20"/>
                <w:szCs w:val="20"/>
                <w:rtl w:val="0"/>
              </w:rPr>
              <w:t xml:space="preserve">&lt;0.8</w:t>
            </w:r>
            <w:r w:rsidDel="00000000" w:rsidR="00000000" w:rsidRPr="00000000">
              <w:rPr>
                <w:rtl w:val="0"/>
              </w:rPr>
            </w:r>
          </w:p>
        </w:tc>
        <w:tc>
          <w:tcPr>
            <w:shd w:fill="d9d9d9" w:val="clear"/>
            <w:vAlign w:val="center"/>
          </w:tcPr>
          <w:p w:rsidR="00000000" w:rsidDel="00000000" w:rsidP="00000000" w:rsidRDefault="00000000" w:rsidRPr="00000000" w14:paraId="00000094">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5">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97">
            <w:pPr>
              <w:widowControl w:val="0"/>
              <w:spacing w:line="276" w:lineRule="auto"/>
              <w:jc w:val="center"/>
              <w:rPr>
                <w:color w:val="000000"/>
                <w:sz w:val="20"/>
                <w:szCs w:val="20"/>
                <w:highlight w:val="yellow"/>
              </w:rPr>
            </w:pPr>
            <w:r w:rsidDel="00000000" w:rsidR="00000000" w:rsidRPr="00000000">
              <w:rPr>
                <w:sz w:val="20"/>
                <w:szCs w:val="20"/>
                <w:rtl w:val="0"/>
              </w:rPr>
              <w:t xml:space="preserve">&gt; Nil</w:t>
            </w:r>
            <w:r w:rsidDel="00000000" w:rsidR="00000000" w:rsidRPr="00000000">
              <w:rPr>
                <w:rtl w:val="0"/>
              </w:rPr>
            </w:r>
          </w:p>
        </w:tc>
        <w:tc>
          <w:tcPr>
            <w:shd w:fill="ffffff" w:val="clear"/>
            <w:vAlign w:val="center"/>
          </w:tcPr>
          <w:p w:rsidR="00000000" w:rsidDel="00000000" w:rsidP="00000000" w:rsidRDefault="00000000" w:rsidRPr="00000000" w14:paraId="00000098">
            <w:pPr>
              <w:widowControl w:val="0"/>
              <w:spacing w:line="276" w:lineRule="auto"/>
              <w:jc w:val="center"/>
              <w:rPr>
                <w:sz w:val="20"/>
                <w:szCs w:val="20"/>
                <w:highlight w:val="yellow"/>
              </w:rPr>
            </w:pPr>
            <w:r w:rsidDel="00000000" w:rsidR="00000000" w:rsidRPr="00000000">
              <w:rPr>
                <w:sz w:val="20"/>
                <w:szCs w:val="20"/>
                <w:rtl w:val="0"/>
              </w:rPr>
              <w:t xml:space="preserve">&gt; Nil</w:t>
            </w:r>
            <w:r w:rsidDel="00000000" w:rsidR="00000000" w:rsidRPr="00000000">
              <w:rPr>
                <w:rtl w:val="0"/>
              </w:rPr>
            </w:r>
          </w:p>
        </w:tc>
        <w:tc>
          <w:tcPr>
            <w:shd w:fill="ffffff" w:val="clear"/>
            <w:vAlign w:val="center"/>
          </w:tcPr>
          <w:p w:rsidR="00000000" w:rsidDel="00000000" w:rsidP="00000000" w:rsidRDefault="00000000" w:rsidRPr="00000000" w14:paraId="00000099">
            <w:pPr>
              <w:widowControl w:val="0"/>
              <w:spacing w:line="276" w:lineRule="auto"/>
              <w:jc w:val="center"/>
              <w:rPr>
                <w:color w:val="000000"/>
                <w:sz w:val="20"/>
                <w:szCs w:val="20"/>
                <w:highlight w:val="yellow"/>
              </w:rPr>
            </w:pPr>
            <w:r w:rsidDel="00000000" w:rsidR="00000000" w:rsidRPr="00000000">
              <w:rPr>
                <w:sz w:val="20"/>
                <w:szCs w:val="20"/>
                <w:rtl w:val="0"/>
              </w:rPr>
              <w:t xml:space="preserve">&gt; Nil</w:t>
            </w:r>
            <w:r w:rsidDel="00000000" w:rsidR="00000000" w:rsidRPr="00000000">
              <w:rPr>
                <w:rtl w:val="0"/>
              </w:rPr>
            </w:r>
          </w:p>
        </w:tc>
        <w:tc>
          <w:tcPr>
            <w:shd w:fill="d9d9d9" w:val="clear"/>
            <w:vAlign w:val="center"/>
          </w:tcPr>
          <w:p w:rsidR="00000000" w:rsidDel="00000000" w:rsidP="00000000" w:rsidRDefault="00000000" w:rsidRPr="00000000" w14:paraId="0000009A">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B">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9C">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9D">
            <w:pPr>
              <w:widowControl w:val="0"/>
              <w:spacing w:line="276" w:lineRule="auto"/>
              <w:jc w:val="center"/>
              <w:rPr>
                <w:color w:val="000000"/>
                <w:sz w:val="20"/>
                <w:szCs w:val="20"/>
                <w:highlight w:val="yellow"/>
              </w:rPr>
            </w:pPr>
            <w:r w:rsidDel="00000000" w:rsidR="00000000" w:rsidRPr="00000000">
              <w:rPr>
                <w:sz w:val="20"/>
                <w:szCs w:val="20"/>
                <w:rtl w:val="0"/>
              </w:rPr>
              <w:t xml:space="preserve">&lt;25%</w:t>
            </w:r>
            <w:r w:rsidDel="00000000" w:rsidR="00000000" w:rsidRPr="00000000">
              <w:rPr>
                <w:rtl w:val="0"/>
              </w:rPr>
            </w:r>
          </w:p>
        </w:tc>
        <w:tc>
          <w:tcPr>
            <w:shd w:fill="ffffff" w:val="clear"/>
            <w:vAlign w:val="center"/>
          </w:tcPr>
          <w:p w:rsidR="00000000" w:rsidDel="00000000" w:rsidP="00000000" w:rsidRDefault="00000000" w:rsidRPr="00000000" w14:paraId="0000009E">
            <w:pPr>
              <w:widowControl w:val="0"/>
              <w:spacing w:line="276" w:lineRule="auto"/>
              <w:jc w:val="center"/>
              <w:rPr>
                <w:sz w:val="20"/>
                <w:szCs w:val="20"/>
                <w:highlight w:val="yellow"/>
              </w:rPr>
            </w:pPr>
            <w:r w:rsidDel="00000000" w:rsidR="00000000" w:rsidRPr="00000000">
              <w:rPr>
                <w:sz w:val="20"/>
                <w:szCs w:val="20"/>
                <w:rtl w:val="0"/>
              </w:rPr>
              <w:t xml:space="preserve">25 - 50%</w:t>
            </w:r>
            <w:r w:rsidDel="00000000" w:rsidR="00000000" w:rsidRPr="00000000">
              <w:rPr>
                <w:rtl w:val="0"/>
              </w:rPr>
            </w:r>
          </w:p>
        </w:tc>
        <w:tc>
          <w:tcPr>
            <w:shd w:fill="ffffff" w:val="clear"/>
            <w:vAlign w:val="center"/>
          </w:tcPr>
          <w:p w:rsidR="00000000" w:rsidDel="00000000" w:rsidP="00000000" w:rsidRDefault="00000000" w:rsidRPr="00000000" w14:paraId="0000009F">
            <w:pPr>
              <w:widowControl w:val="0"/>
              <w:spacing w:line="276" w:lineRule="auto"/>
              <w:jc w:val="center"/>
              <w:rPr>
                <w:color w:val="000000"/>
                <w:sz w:val="20"/>
                <w:szCs w:val="20"/>
                <w:highlight w:val="yellow"/>
              </w:rPr>
            </w:pPr>
            <w:r w:rsidDel="00000000" w:rsidR="00000000" w:rsidRPr="00000000">
              <w:rPr>
                <w:sz w:val="20"/>
                <w:szCs w:val="20"/>
                <w:rtl w:val="0"/>
              </w:rPr>
              <w:t xml:space="preserve">&gt;50%</w:t>
            </w:r>
            <w:r w:rsidDel="00000000" w:rsidR="00000000" w:rsidRPr="00000000">
              <w:rPr>
                <w:rtl w:val="0"/>
              </w:rPr>
            </w:r>
          </w:p>
        </w:tc>
        <w:tc>
          <w:tcPr>
            <w:shd w:fill="d9d9d9" w:val="clear"/>
            <w:vAlign w:val="center"/>
          </w:tcPr>
          <w:p w:rsidR="00000000" w:rsidDel="00000000" w:rsidP="00000000" w:rsidRDefault="00000000" w:rsidRPr="00000000" w14:paraId="000000A0">
            <w:pPr>
              <w:widowControl w:val="0"/>
              <w:jc w:val="center"/>
              <w:rPr>
                <w:sz w:val="20"/>
                <w:szCs w:val="20"/>
              </w:rPr>
            </w:pPr>
            <w:r w:rsidDel="00000000" w:rsidR="00000000" w:rsidRPr="00000000">
              <w:rPr>
                <w:rtl w:val="0"/>
              </w:rPr>
            </w:r>
          </w:p>
        </w:tc>
      </w:tr>
    </w:tbl>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3"/>
        <w:tblW w:w="34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1140"/>
        <w:gridCol w:w="1140"/>
        <w:tblGridChange w:id="0">
          <w:tblGrid>
            <w:gridCol w:w="1140"/>
            <w:gridCol w:w="1140"/>
            <w:gridCol w:w="114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jc w:val="center"/>
              <w:rPr>
                <w:sz w:val="20"/>
                <w:szCs w:val="20"/>
              </w:rPr>
            </w:pPr>
            <w:r w:rsidDel="00000000" w:rsidR="00000000" w:rsidRPr="00000000">
              <w:rPr>
                <w:rtl w:val="0"/>
              </w:rPr>
            </w:r>
          </w:p>
        </w:tc>
      </w:tr>
    </w:tb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AA">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9">
      <w:pPr>
        <w:widowControl w:val="0"/>
        <w:spacing w:line="231" w:lineRule="auto"/>
        <w:ind w:right="175" w:firstLine="20"/>
        <w:rPr>
          <w:sz w:val="19"/>
          <w:szCs w:val="19"/>
        </w:rPr>
      </w:pPr>
      <w:r w:rsidDel="00000000" w:rsidR="00000000" w:rsidRPr="00000000">
        <w:rPr>
          <w:rtl w:val="0"/>
        </w:rPr>
      </w:r>
    </w:p>
    <w:tbl>
      <w:tblPr>
        <w:tblStyle w:val="Table5"/>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3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0FC">
            <w:pPr>
              <w:widowControl w:val="0"/>
              <w:spacing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0FE">
            <w:pPr>
              <w:widowControl w:val="0"/>
              <w:spacing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0FF">
            <w:pPr>
              <w:widowControl w:val="0"/>
              <w:spacing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100">
            <w:pPr>
              <w:widowControl w:val="0"/>
              <w:spacing w:line="229"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101">
            <w:pPr>
              <w:widowControl w:val="0"/>
              <w:spacing w:before="6"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29"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104">
            <w:pPr>
              <w:widowControl w:val="0"/>
              <w:spacing w:before="2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5">
            <w:pPr>
              <w:widowControl w:val="0"/>
              <w:spacing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106">
            <w:pPr>
              <w:widowControl w:val="0"/>
              <w:spacing w:before="1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7">
            <w:pPr>
              <w:widowControl w:val="0"/>
              <w:spacing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108">
            <w:pPr>
              <w:widowControl w:val="0"/>
              <w:spacing w:before="1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9">
            <w:pPr>
              <w:widowControl w:val="0"/>
              <w:spacing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10A">
            <w:pPr>
              <w:widowControl w:val="0"/>
              <w:spacing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10C">
            <w:pPr>
              <w:widowControl w:val="0"/>
              <w:spacing w:line="229"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29"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110">
            <w:pPr>
              <w:widowControl w:val="0"/>
              <w:spacing w:before="6"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111">
            <w:pPr>
              <w:widowControl w:val="0"/>
              <w:spacing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113">
            <w:pPr>
              <w:widowControl w:val="0"/>
              <w:spacing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117">
            <w:pPr>
              <w:widowControl w:val="0"/>
              <w:spacing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118">
            <w:pPr>
              <w:widowControl w:val="0"/>
              <w:spacing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119">
            <w:pPr>
              <w:widowControl w:val="0"/>
              <w:spacing w:line="229"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11A">
            <w:pPr>
              <w:widowControl w:val="0"/>
              <w:spacing w:before="6"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11B">
            <w:pPr>
              <w:widowControl w:val="0"/>
              <w:spacing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1D">
            <w:pPr>
              <w:widowControl w:val="0"/>
              <w:spacing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1E">
            <w:pPr>
              <w:widowControl w:val="0"/>
              <w:spacing w:before="271"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1F">
            <w:pPr>
              <w:widowControl w:val="0"/>
              <w:spacing w:line="459"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29"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21">
            <w:pPr>
              <w:widowControl w:val="0"/>
              <w:spacing w:before="6"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ind w:left="121" w:firstLine="0"/>
              <w:rPr>
                <w:sz w:val="24"/>
                <w:szCs w:val="24"/>
              </w:rPr>
            </w:pPr>
            <w:bookmarkStart w:colFirst="0" w:colLast="0" w:name="_heading=h.30j0zll" w:id="1"/>
            <w:bookmarkEnd w:id="1"/>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23">
      <w:pPr>
        <w:widowControl w:val="0"/>
        <w:rPr/>
      </w:pPr>
      <w:r w:rsidDel="00000000" w:rsidR="00000000" w:rsidRPr="00000000">
        <w:rPr>
          <w:rtl w:val="0"/>
        </w:rPr>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y16BpTy8pypo5XKsvXM4OrX6qg==">AMUW2mXhSWJa931QKC2zdCdPbvKnMq4oCNbgz7KzWRDiAeUYrk2V7ZBNvp3dfWyQNJNn74t2qpKHOLdWgK8CL56FFwSYPsPOQ9RkMH9TO05BqS5KrdsR4ZdQoZDtrhn1P2ycaYkFnm+I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