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0BC" w:rsidRPr="00724ADE" w:rsidRDefault="00674D07" w:rsidP="00164796">
      <w:pPr>
        <w:pStyle w:val="Title"/>
      </w:pPr>
      <w:r>
        <w:t>HLF 2019 – A vision for our next strategic framework</w:t>
      </w:r>
      <w:r w:rsidR="00724ADE" w:rsidRPr="00724ADE">
        <w:t xml:space="preserve"> </w:t>
      </w:r>
    </w:p>
    <w:p w:rsidR="002A3C07" w:rsidRPr="002A3C07" w:rsidRDefault="002A3C07" w:rsidP="002A3C07"/>
    <w:p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Pr="007C40BC">
        <w:rPr>
          <w:rStyle w:val="Strong"/>
          <w:b w:val="0"/>
        </w:rPr>
        <w:t>Heritage Lottery Fund</w:t>
      </w:r>
    </w:p>
    <w:p w:rsidR="007C40BC" w:rsidRDefault="007C40BC" w:rsidP="007C40BC">
      <w:pPr>
        <w:tabs>
          <w:tab w:val="left" w:pos="567"/>
          <w:tab w:val="left" w:pos="4111"/>
        </w:tabs>
        <w:spacing w:after="240"/>
      </w:pPr>
      <w:r w:rsidRPr="00234ED8">
        <w:rPr>
          <w:b/>
        </w:rPr>
        <w:t>Department</w:t>
      </w:r>
      <w:r w:rsidRPr="00B230B6">
        <w:tab/>
      </w:r>
      <w:r>
        <w:t xml:space="preserve">Strategy &amp; Business Development </w:t>
      </w:r>
    </w:p>
    <w:p w:rsidR="007C40BC" w:rsidRPr="009E6389" w:rsidRDefault="007C40BC" w:rsidP="00674D07">
      <w:pPr>
        <w:tabs>
          <w:tab w:val="left" w:pos="567"/>
          <w:tab w:val="left" w:pos="4111"/>
        </w:tabs>
        <w:spacing w:after="240"/>
        <w:ind w:left="4111" w:hanging="4111"/>
        <w:rPr>
          <w:rStyle w:val="Strong"/>
          <w:b w:val="0"/>
          <w:bCs/>
        </w:rPr>
      </w:pPr>
      <w:r w:rsidRPr="0061657B">
        <w:rPr>
          <w:rStyle w:val="Strong"/>
        </w:rPr>
        <w:t>Title of procurement</w:t>
      </w:r>
      <w:r w:rsidRPr="00B230B6">
        <w:rPr>
          <w:rStyle w:val="Strong"/>
        </w:rPr>
        <w:tab/>
      </w:r>
      <w:r w:rsidR="00674D07">
        <w:rPr>
          <w:rStyle w:val="Strong"/>
        </w:rPr>
        <w:t>HLF 2019 – A vision for our next strategic framework</w:t>
      </w:r>
    </w:p>
    <w:p w:rsidR="007C40BC" w:rsidRDefault="007C40BC" w:rsidP="007C40BC">
      <w:pPr>
        <w:tabs>
          <w:tab w:val="left" w:pos="567"/>
          <w:tab w:val="left" w:pos="4111"/>
        </w:tabs>
        <w:spacing w:after="240"/>
        <w:ind w:left="4110" w:hanging="4110"/>
      </w:pPr>
      <w:r w:rsidRPr="00A87B76">
        <w:rPr>
          <w:b/>
        </w:rPr>
        <w:t>Brief description of supply</w:t>
      </w:r>
      <w:r w:rsidR="00674D07">
        <w:tab/>
        <w:t>Research with the public on priorities for Lottery funding for heritage post 2019</w:t>
      </w:r>
    </w:p>
    <w:p w:rsidR="007C40BC" w:rsidRDefault="007C40BC" w:rsidP="007C40BC">
      <w:pPr>
        <w:tabs>
          <w:tab w:val="left" w:pos="567"/>
          <w:tab w:val="left" w:pos="4111"/>
        </w:tabs>
        <w:spacing w:after="240"/>
      </w:pPr>
      <w:r>
        <w:rPr>
          <w:b/>
        </w:rPr>
        <w:t>Estimated v</w:t>
      </w:r>
      <w:r w:rsidRPr="00A87B76">
        <w:rPr>
          <w:b/>
        </w:rPr>
        <w:t>alue of tender</w:t>
      </w:r>
      <w:r w:rsidRPr="00B230B6">
        <w:tab/>
      </w:r>
      <w:r w:rsidR="00674D07">
        <w:t>£1</w:t>
      </w:r>
      <w:r w:rsidR="00B00F1A">
        <w:t>00</w:t>
      </w:r>
      <w:r w:rsidR="00674D07">
        <w:t>,000</w:t>
      </w:r>
      <w:r w:rsidR="00D86155">
        <w:t xml:space="preserve"> including all expenses and VAT</w:t>
      </w:r>
    </w:p>
    <w:p w:rsidR="00617D51" w:rsidRDefault="007C40BC" w:rsidP="007C40BC">
      <w:pPr>
        <w:tabs>
          <w:tab w:val="left" w:pos="567"/>
          <w:tab w:val="left" w:pos="4111"/>
        </w:tabs>
        <w:spacing w:after="240"/>
      </w:pPr>
      <w:r w:rsidRPr="00A87B76">
        <w:rPr>
          <w:b/>
        </w:rPr>
        <w:t xml:space="preserve">Estimated </w:t>
      </w:r>
      <w:r>
        <w:rPr>
          <w:b/>
        </w:rPr>
        <w:t>duration</w:t>
      </w:r>
      <w:r w:rsidRPr="00B230B6">
        <w:tab/>
      </w:r>
      <w:r w:rsidR="00674D07">
        <w:t>October 2016 – March 2017</w:t>
      </w:r>
    </w:p>
    <w:p w:rsidR="007C40BC" w:rsidRDefault="007C40BC" w:rsidP="007C40BC">
      <w:pPr>
        <w:tabs>
          <w:tab w:val="left" w:pos="567"/>
          <w:tab w:val="left" w:pos="4111"/>
        </w:tabs>
        <w:spacing w:after="240"/>
      </w:pPr>
      <w:r w:rsidRPr="00A87B76">
        <w:rPr>
          <w:b/>
        </w:rPr>
        <w:t xml:space="preserve">Name of </w:t>
      </w:r>
      <w:r>
        <w:rPr>
          <w:b/>
        </w:rPr>
        <w:t>HL</w:t>
      </w:r>
      <w:r w:rsidRPr="00A87B76">
        <w:rPr>
          <w:b/>
        </w:rPr>
        <w:t>F Contact</w:t>
      </w:r>
      <w:r w:rsidRPr="00EE3B0C">
        <w:tab/>
      </w:r>
      <w:r w:rsidR="00674D07">
        <w:t>Gareth Maeer, Head of Research</w:t>
      </w:r>
    </w:p>
    <w:p w:rsidR="003F5DFB" w:rsidRDefault="007C40BC" w:rsidP="003F5DFB">
      <w:pPr>
        <w:tabs>
          <w:tab w:val="left" w:pos="4111"/>
        </w:tabs>
        <w:spacing w:after="240"/>
        <w:ind w:left="4111" w:hanging="4111"/>
      </w:pPr>
      <w:r w:rsidRPr="008A4DA4">
        <w:rPr>
          <w:b/>
        </w:rPr>
        <w:t>Timetable</w:t>
      </w:r>
      <w:r w:rsidR="00697E37">
        <w:tab/>
      </w:r>
      <w:r w:rsidR="003F5DFB">
        <w:t xml:space="preserve">Response deadline: 5 October </w:t>
      </w:r>
    </w:p>
    <w:p w:rsidR="003F5DFB" w:rsidRDefault="003F5DFB" w:rsidP="003F5DFB">
      <w:pPr>
        <w:tabs>
          <w:tab w:val="left" w:pos="4111"/>
        </w:tabs>
        <w:spacing w:after="240"/>
        <w:ind w:left="4111"/>
      </w:pPr>
      <w:r>
        <w:t xml:space="preserve">Interviews: w/c 17 October </w:t>
      </w:r>
    </w:p>
    <w:p w:rsidR="003F5DFB" w:rsidRDefault="003F5DFB" w:rsidP="003F5DFB">
      <w:pPr>
        <w:tabs>
          <w:tab w:val="left" w:pos="4111"/>
        </w:tabs>
        <w:spacing w:after="240"/>
        <w:ind w:left="4110"/>
      </w:pPr>
      <w:r>
        <w:tab/>
        <w:t>Confirmation of contract: 24 October 2016</w:t>
      </w:r>
    </w:p>
    <w:p w:rsidR="003F5DFB" w:rsidRDefault="003F5DFB" w:rsidP="003F5DFB">
      <w:pPr>
        <w:tabs>
          <w:tab w:val="left" w:pos="4111"/>
        </w:tabs>
        <w:spacing w:after="240"/>
        <w:ind w:left="4110"/>
      </w:pPr>
      <w:r>
        <w:t>Completion of research: 31 March 2017</w:t>
      </w:r>
    </w:p>
    <w:p w:rsidR="0082194B" w:rsidRPr="003F5DFB" w:rsidRDefault="007C40BC" w:rsidP="00A612E0">
      <w:pPr>
        <w:pStyle w:val="Heading1"/>
      </w:pPr>
      <w:r>
        <w:br w:type="page"/>
      </w:r>
      <w:r w:rsidR="003F5DFB" w:rsidRPr="003F5DFB">
        <w:lastRenderedPageBreak/>
        <w:t>1.</w:t>
      </w:r>
      <w:r w:rsidR="003F5DFB" w:rsidRPr="003F5DFB">
        <w:tab/>
      </w:r>
      <w:r w:rsidR="0082194B" w:rsidRPr="00A612E0">
        <w:t>Overview</w:t>
      </w:r>
    </w:p>
    <w:p w:rsidR="0082194B" w:rsidRPr="00A64998" w:rsidRDefault="0082194B" w:rsidP="0082194B">
      <w:pPr>
        <w:numPr>
          <w:ilvl w:val="1"/>
          <w:numId w:val="2"/>
        </w:numPr>
        <w:spacing w:after="240" w:line="276" w:lineRule="auto"/>
        <w:rPr>
          <w:rFonts w:cs="Arial"/>
          <w:szCs w:val="22"/>
        </w:rPr>
      </w:pPr>
      <w:r w:rsidRPr="00A64998">
        <w:rPr>
          <w:rFonts w:cs="Arial"/>
          <w:szCs w:val="22"/>
          <w:lang w:val="en-US"/>
        </w:rPr>
        <w:t xml:space="preserve">The Heritage Lottery Fund (HLF) </w:t>
      </w:r>
      <w:r w:rsidRPr="00A64998">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sidRPr="00A64998">
        <w:rPr>
          <w:rFonts w:cs="Arial"/>
          <w:szCs w:val="22"/>
        </w:rPr>
        <w:t>orial Fund (NHMF). Since April 2013 we have</w:t>
      </w:r>
      <w:r w:rsidRPr="00A64998">
        <w:rPr>
          <w:rFonts w:cs="Arial"/>
          <w:szCs w:val="22"/>
        </w:rPr>
        <w:t xml:space="preserve"> b</w:t>
      </w:r>
      <w:r w:rsidR="00481AC9" w:rsidRPr="00A64998">
        <w:rPr>
          <w:rFonts w:cs="Arial"/>
          <w:szCs w:val="22"/>
        </w:rPr>
        <w:t xml:space="preserve">een </w:t>
      </w:r>
      <w:r w:rsidRPr="00A64998">
        <w:rPr>
          <w:rFonts w:cs="Arial"/>
          <w:szCs w:val="22"/>
        </w:rPr>
        <w:t xml:space="preserve">operating under our </w:t>
      </w:r>
      <w:r w:rsidR="00AE2088" w:rsidRPr="00A64998">
        <w:rPr>
          <w:rFonts w:cs="Arial"/>
          <w:szCs w:val="22"/>
        </w:rPr>
        <w:t xml:space="preserve">current </w:t>
      </w:r>
      <w:r w:rsidRPr="00A64998">
        <w:rPr>
          <w:rFonts w:cs="Arial"/>
          <w:szCs w:val="22"/>
        </w:rPr>
        <w:t xml:space="preserve">Strategic Framework: ‘A lasting difference for heritage and people’. See the </w:t>
      </w:r>
      <w:hyperlink r:id="rId9" w:history="1">
        <w:r w:rsidRPr="00A64998">
          <w:rPr>
            <w:rFonts w:cs="Arial"/>
            <w:szCs w:val="22"/>
            <w:u w:val="single"/>
          </w:rPr>
          <w:t>HLF website</w:t>
        </w:r>
      </w:hyperlink>
      <w:r w:rsidRPr="00A64998">
        <w:rPr>
          <w:rFonts w:cs="Arial"/>
          <w:szCs w:val="22"/>
        </w:rPr>
        <w:t xml:space="preserve"> for more details.</w:t>
      </w:r>
    </w:p>
    <w:p w:rsidR="0082194B" w:rsidRPr="00A64998" w:rsidRDefault="0082194B" w:rsidP="0082194B">
      <w:pPr>
        <w:numPr>
          <w:ilvl w:val="1"/>
          <w:numId w:val="2"/>
        </w:numPr>
        <w:spacing w:after="240" w:line="276" w:lineRule="auto"/>
        <w:rPr>
          <w:rFonts w:cs="Arial"/>
          <w:szCs w:val="22"/>
        </w:rPr>
      </w:pPr>
      <w:r w:rsidRPr="00A64998">
        <w:rPr>
          <w:rFonts w:cs="Arial"/>
          <w:szCs w:val="22"/>
        </w:rPr>
        <w:t>HLF invests in the full breadth of the UK’s heritage and</w:t>
      </w:r>
      <w:r w:rsidR="00AE2088" w:rsidRPr="00A64998">
        <w:rPr>
          <w:rFonts w:cs="Arial"/>
          <w:szCs w:val="22"/>
        </w:rPr>
        <w:t>,</w:t>
      </w:r>
      <w:r w:rsidRPr="00A64998">
        <w:rPr>
          <w:rFonts w:cs="Arial"/>
          <w:szCs w:val="22"/>
        </w:rPr>
        <w:t xml:space="preserve"> through our </w:t>
      </w:r>
      <w:proofErr w:type="gramStart"/>
      <w:r w:rsidRPr="00A64998">
        <w:rPr>
          <w:rFonts w:cs="Arial"/>
          <w:szCs w:val="22"/>
        </w:rPr>
        <w:t>funding</w:t>
      </w:r>
      <w:r w:rsidR="00AE2088" w:rsidRPr="00A64998">
        <w:rPr>
          <w:rFonts w:cs="Arial"/>
          <w:szCs w:val="22"/>
        </w:rPr>
        <w:t>,</w:t>
      </w:r>
      <w:proofErr w:type="gramEnd"/>
      <w:r w:rsidRPr="00A64998">
        <w:rPr>
          <w:rFonts w:cs="Arial"/>
          <w:szCs w:val="22"/>
        </w:rPr>
        <w:t xml:space="preserve"> we aim to make a lasting difference for heritage and people. This is reflected in the outcomes for heritage, people and communities which underpin our grant-making.</w:t>
      </w:r>
    </w:p>
    <w:p w:rsidR="00AE30CA" w:rsidRPr="00AE30CA" w:rsidRDefault="00724ADE" w:rsidP="00AE30CA">
      <w:pPr>
        <w:numPr>
          <w:ilvl w:val="1"/>
          <w:numId w:val="2"/>
        </w:numPr>
        <w:spacing w:after="240" w:line="276" w:lineRule="auto"/>
        <w:rPr>
          <w:rFonts w:cs="Arial"/>
          <w:szCs w:val="22"/>
        </w:rPr>
      </w:pPr>
      <w:r w:rsidRPr="00A64998">
        <w:rPr>
          <w:rFonts w:cs="Arial"/>
          <w:iCs/>
          <w:szCs w:val="22"/>
        </w:rPr>
        <w:t>Our current strategic framework runs until</w:t>
      </w:r>
      <w:r w:rsidR="00F503E7" w:rsidRPr="00A64998">
        <w:rPr>
          <w:rFonts w:cs="Arial"/>
          <w:iCs/>
          <w:szCs w:val="22"/>
        </w:rPr>
        <w:t xml:space="preserve"> 2019</w:t>
      </w:r>
      <w:r w:rsidRPr="00A64998">
        <w:rPr>
          <w:rFonts w:cs="Arial"/>
          <w:iCs/>
          <w:szCs w:val="22"/>
        </w:rPr>
        <w:t xml:space="preserve">, and we are beginning to plan our strategic priorities for the period </w:t>
      </w:r>
      <w:r w:rsidR="00F503E7" w:rsidRPr="00A64998">
        <w:rPr>
          <w:rFonts w:cs="Arial"/>
          <w:iCs/>
          <w:szCs w:val="22"/>
        </w:rPr>
        <w:t xml:space="preserve">beyond that to </w:t>
      </w:r>
      <w:r w:rsidRPr="00A64998">
        <w:rPr>
          <w:rFonts w:cs="Arial"/>
          <w:iCs/>
          <w:szCs w:val="22"/>
        </w:rPr>
        <w:t>2024</w:t>
      </w:r>
      <w:r w:rsidR="00441942" w:rsidRPr="00A64998">
        <w:rPr>
          <w:rFonts w:cs="Arial"/>
          <w:iCs/>
          <w:szCs w:val="22"/>
        </w:rPr>
        <w:t>.</w:t>
      </w:r>
      <w:r w:rsidRPr="00A64998">
        <w:rPr>
          <w:rFonts w:cs="Arial"/>
          <w:iCs/>
          <w:szCs w:val="22"/>
        </w:rPr>
        <w:t xml:space="preserve"> Although we believe there is much </w:t>
      </w:r>
      <w:r w:rsidR="00602787" w:rsidRPr="00A64998">
        <w:rPr>
          <w:rFonts w:cs="Arial"/>
          <w:iCs/>
          <w:szCs w:val="22"/>
        </w:rPr>
        <w:t xml:space="preserve">that is very </w:t>
      </w:r>
      <w:r w:rsidRPr="00A64998">
        <w:rPr>
          <w:rFonts w:cs="Arial"/>
          <w:iCs/>
          <w:szCs w:val="22"/>
        </w:rPr>
        <w:t>positive to take forward from our current</w:t>
      </w:r>
      <w:r w:rsidR="00602787" w:rsidRPr="00A64998">
        <w:rPr>
          <w:rFonts w:cs="Arial"/>
          <w:iCs/>
          <w:szCs w:val="22"/>
        </w:rPr>
        <w:t xml:space="preserve"> framework</w:t>
      </w:r>
      <w:r w:rsidRPr="00A64998">
        <w:rPr>
          <w:rFonts w:cs="Arial"/>
          <w:iCs/>
          <w:szCs w:val="22"/>
        </w:rPr>
        <w:t xml:space="preserve">, we do want </w:t>
      </w:r>
      <w:r w:rsidR="00991003">
        <w:rPr>
          <w:rFonts w:cs="Arial"/>
          <w:iCs/>
          <w:szCs w:val="22"/>
        </w:rPr>
        <w:t xml:space="preserve">to </w:t>
      </w:r>
      <w:r w:rsidRPr="00A64998">
        <w:rPr>
          <w:rFonts w:cs="Arial"/>
          <w:iCs/>
          <w:szCs w:val="22"/>
        </w:rPr>
        <w:t>refresh our approach to funding</w:t>
      </w:r>
      <w:r w:rsidR="00F503E7" w:rsidRPr="00A64998">
        <w:rPr>
          <w:rFonts w:cs="Arial"/>
          <w:iCs/>
          <w:szCs w:val="22"/>
        </w:rPr>
        <w:t xml:space="preserve">, </w:t>
      </w:r>
      <w:r w:rsidR="00610522">
        <w:rPr>
          <w:rFonts w:cs="Arial"/>
          <w:iCs/>
          <w:szCs w:val="22"/>
        </w:rPr>
        <w:t xml:space="preserve">and to check that </w:t>
      </w:r>
      <w:r w:rsidR="00F503E7" w:rsidRPr="00A64998">
        <w:rPr>
          <w:rFonts w:cs="Arial"/>
          <w:iCs/>
          <w:szCs w:val="22"/>
        </w:rPr>
        <w:t xml:space="preserve">it matches the expectations Lottery players have of us. </w:t>
      </w:r>
      <w:r w:rsidR="00A326E7" w:rsidRPr="00AE30CA">
        <w:rPr>
          <w:rFonts w:cs="Arial"/>
          <w:iCs/>
          <w:szCs w:val="22"/>
        </w:rPr>
        <w:t xml:space="preserve">We want our new strategy to set a bold and ambitious direction for our </w:t>
      </w:r>
      <w:r w:rsidR="0032711C" w:rsidRPr="00AE30CA">
        <w:rPr>
          <w:rFonts w:cs="Arial"/>
          <w:iCs/>
          <w:szCs w:val="22"/>
        </w:rPr>
        <w:t xml:space="preserve">future </w:t>
      </w:r>
      <w:r w:rsidR="00A326E7" w:rsidRPr="00AE30CA">
        <w:rPr>
          <w:rFonts w:cs="Arial"/>
          <w:iCs/>
          <w:szCs w:val="22"/>
        </w:rPr>
        <w:t>funding and to be underpinned by an agreed vision</w:t>
      </w:r>
      <w:r w:rsidR="00610522">
        <w:rPr>
          <w:rFonts w:cs="Arial"/>
          <w:iCs/>
          <w:szCs w:val="22"/>
        </w:rPr>
        <w:t xml:space="preserve"> </w:t>
      </w:r>
      <w:r w:rsidR="00AE30CA" w:rsidRPr="00AE30CA">
        <w:rPr>
          <w:rFonts w:cs="Arial"/>
          <w:iCs/>
          <w:szCs w:val="22"/>
        </w:rPr>
        <w:t xml:space="preserve">that </w:t>
      </w:r>
      <w:r w:rsidR="0032711C" w:rsidRPr="00AE30CA">
        <w:rPr>
          <w:rFonts w:cs="Arial"/>
          <w:iCs/>
          <w:szCs w:val="22"/>
        </w:rPr>
        <w:t xml:space="preserve">puts </w:t>
      </w:r>
      <w:r w:rsidR="00D07FA5" w:rsidRPr="00AE30CA">
        <w:rPr>
          <w:rFonts w:cs="Arial"/>
          <w:iCs/>
          <w:szCs w:val="22"/>
        </w:rPr>
        <w:t xml:space="preserve">the public </w:t>
      </w:r>
      <w:r w:rsidR="0032711C" w:rsidRPr="00AE30CA">
        <w:rPr>
          <w:rFonts w:cs="Arial"/>
          <w:iCs/>
          <w:szCs w:val="22"/>
        </w:rPr>
        <w:t>at the heart of what we do</w:t>
      </w:r>
      <w:r w:rsidR="00AE30CA" w:rsidRPr="00AE30CA">
        <w:rPr>
          <w:rFonts w:cs="Arial"/>
          <w:iCs/>
          <w:szCs w:val="22"/>
        </w:rPr>
        <w:t>,</w:t>
      </w:r>
      <w:r w:rsidR="00674D07" w:rsidRPr="00AE30CA">
        <w:rPr>
          <w:rFonts w:cs="Arial"/>
          <w:iCs/>
          <w:szCs w:val="22"/>
        </w:rPr>
        <w:t xml:space="preserve"> and </w:t>
      </w:r>
      <w:r w:rsidR="00CE419F" w:rsidRPr="00AE30CA">
        <w:rPr>
          <w:rFonts w:cs="Arial"/>
          <w:iCs/>
          <w:szCs w:val="22"/>
        </w:rPr>
        <w:t xml:space="preserve">is based on the notion of </w:t>
      </w:r>
      <w:r w:rsidR="00A326E7" w:rsidRPr="00AE30CA">
        <w:rPr>
          <w:rFonts w:cs="Arial"/>
          <w:iCs/>
          <w:szCs w:val="22"/>
        </w:rPr>
        <w:t>heritage a</w:t>
      </w:r>
      <w:r w:rsidR="0032711C" w:rsidRPr="00AE30CA">
        <w:rPr>
          <w:rFonts w:cs="Arial"/>
          <w:iCs/>
          <w:szCs w:val="22"/>
        </w:rPr>
        <w:t>s</w:t>
      </w:r>
      <w:r w:rsidR="00A326E7" w:rsidRPr="00AE30CA">
        <w:rPr>
          <w:rFonts w:cs="Arial"/>
          <w:iCs/>
          <w:szCs w:val="22"/>
        </w:rPr>
        <w:t xml:space="preserve"> </w:t>
      </w:r>
      <w:r w:rsidR="009C4E18" w:rsidRPr="00AE30CA">
        <w:rPr>
          <w:rFonts w:cs="Arial"/>
          <w:iCs/>
          <w:szCs w:val="22"/>
        </w:rPr>
        <w:t>a force for social good</w:t>
      </w:r>
      <w:r w:rsidR="0032711C" w:rsidRPr="00AE30CA">
        <w:rPr>
          <w:rFonts w:cs="Arial"/>
          <w:iCs/>
          <w:szCs w:val="22"/>
        </w:rPr>
        <w:t xml:space="preserve">. </w:t>
      </w:r>
    </w:p>
    <w:p w:rsidR="00F64895" w:rsidRPr="00BA1EC9" w:rsidRDefault="00F503E7" w:rsidP="00BA1EC9">
      <w:pPr>
        <w:numPr>
          <w:ilvl w:val="1"/>
          <w:numId w:val="2"/>
        </w:numPr>
        <w:spacing w:after="240" w:line="276" w:lineRule="auto"/>
        <w:rPr>
          <w:rFonts w:cs="Arial"/>
          <w:szCs w:val="22"/>
        </w:rPr>
      </w:pPr>
      <w:r w:rsidRPr="00A64998">
        <w:rPr>
          <w:rFonts w:cs="Arial"/>
          <w:iCs/>
          <w:szCs w:val="22"/>
        </w:rPr>
        <w:t>As</w:t>
      </w:r>
      <w:r w:rsidR="0032711C">
        <w:rPr>
          <w:rFonts w:cs="Arial"/>
          <w:iCs/>
          <w:szCs w:val="22"/>
        </w:rPr>
        <w:t xml:space="preserve"> preparation for introducing </w:t>
      </w:r>
      <w:r w:rsidR="008D345F">
        <w:rPr>
          <w:rFonts w:cs="Arial"/>
          <w:iCs/>
          <w:szCs w:val="22"/>
        </w:rPr>
        <w:t xml:space="preserve">and testing </w:t>
      </w:r>
      <w:r w:rsidR="0032711C">
        <w:rPr>
          <w:rFonts w:cs="Arial"/>
          <w:iCs/>
          <w:szCs w:val="22"/>
        </w:rPr>
        <w:t>this new framework</w:t>
      </w:r>
      <w:r w:rsidR="008D345F">
        <w:rPr>
          <w:rFonts w:cs="Arial"/>
          <w:iCs/>
          <w:szCs w:val="22"/>
        </w:rPr>
        <w:t xml:space="preserve"> and vision</w:t>
      </w:r>
      <w:r w:rsidR="00991003">
        <w:rPr>
          <w:rFonts w:cs="Arial"/>
          <w:iCs/>
          <w:szCs w:val="22"/>
        </w:rPr>
        <w:t>,</w:t>
      </w:r>
      <w:r w:rsidR="0032711C">
        <w:rPr>
          <w:rFonts w:cs="Arial"/>
          <w:iCs/>
          <w:szCs w:val="22"/>
        </w:rPr>
        <w:t xml:space="preserve"> </w:t>
      </w:r>
      <w:r w:rsidR="00724ADE" w:rsidRPr="00A64998">
        <w:rPr>
          <w:rFonts w:cs="Arial"/>
          <w:iCs/>
          <w:szCs w:val="22"/>
        </w:rPr>
        <w:t xml:space="preserve">we want to </w:t>
      </w:r>
      <w:r w:rsidR="00991003">
        <w:rPr>
          <w:rFonts w:cs="Arial"/>
          <w:iCs/>
          <w:szCs w:val="22"/>
        </w:rPr>
        <w:t>listen</w:t>
      </w:r>
      <w:r w:rsidR="00724ADE" w:rsidRPr="00A64998">
        <w:rPr>
          <w:rFonts w:cs="Arial"/>
          <w:iCs/>
          <w:szCs w:val="22"/>
        </w:rPr>
        <w:t xml:space="preserve"> to the view</w:t>
      </w:r>
      <w:r w:rsidR="00991003">
        <w:rPr>
          <w:rFonts w:cs="Arial"/>
          <w:iCs/>
          <w:szCs w:val="22"/>
        </w:rPr>
        <w:t>s of the Lottery playing public</w:t>
      </w:r>
      <w:r w:rsidR="00724ADE" w:rsidRPr="00A64998">
        <w:rPr>
          <w:rFonts w:cs="Arial"/>
          <w:iCs/>
          <w:szCs w:val="22"/>
        </w:rPr>
        <w:t xml:space="preserve"> </w:t>
      </w:r>
      <w:r w:rsidR="00991003">
        <w:rPr>
          <w:rFonts w:cs="Arial"/>
          <w:iCs/>
          <w:szCs w:val="22"/>
        </w:rPr>
        <w:t>and discuss</w:t>
      </w:r>
      <w:r w:rsidRPr="00A64998">
        <w:rPr>
          <w:rFonts w:cs="Arial"/>
          <w:iCs/>
          <w:szCs w:val="22"/>
        </w:rPr>
        <w:t xml:space="preserve"> what </w:t>
      </w:r>
      <w:r w:rsidR="00724ADE" w:rsidRPr="00A64998">
        <w:rPr>
          <w:rFonts w:cs="Arial"/>
          <w:iCs/>
          <w:szCs w:val="22"/>
        </w:rPr>
        <w:t xml:space="preserve">they see </w:t>
      </w:r>
      <w:r w:rsidRPr="00A64998">
        <w:rPr>
          <w:rFonts w:cs="Arial"/>
          <w:iCs/>
          <w:szCs w:val="22"/>
        </w:rPr>
        <w:t xml:space="preserve">as </w:t>
      </w:r>
      <w:r w:rsidR="00724ADE" w:rsidRPr="00A64998">
        <w:rPr>
          <w:rFonts w:cs="Arial"/>
          <w:iCs/>
          <w:szCs w:val="22"/>
        </w:rPr>
        <w:t>the priorities for us</w:t>
      </w:r>
      <w:r w:rsidRPr="00A64998">
        <w:rPr>
          <w:rFonts w:cs="Arial"/>
          <w:iCs/>
          <w:szCs w:val="22"/>
        </w:rPr>
        <w:t xml:space="preserve">ing </w:t>
      </w:r>
      <w:r w:rsidR="00724ADE" w:rsidRPr="00A64998">
        <w:rPr>
          <w:rFonts w:cs="Arial"/>
          <w:iCs/>
          <w:szCs w:val="22"/>
        </w:rPr>
        <w:t xml:space="preserve">the income generated for the heritage ‘good cause’ through the National Lottery. </w:t>
      </w:r>
      <w:r w:rsidR="000749F5">
        <w:rPr>
          <w:rFonts w:cs="Arial"/>
          <w:iCs/>
          <w:szCs w:val="22"/>
        </w:rPr>
        <w:t xml:space="preserve">Although we have carried out some work of this kind in the past, </w:t>
      </w:r>
      <w:r w:rsidR="00D86155">
        <w:rPr>
          <w:rFonts w:cs="Arial"/>
          <w:iCs/>
          <w:szCs w:val="22"/>
        </w:rPr>
        <w:t xml:space="preserve">most recently </w:t>
      </w:r>
      <w:r w:rsidR="000749F5">
        <w:rPr>
          <w:rFonts w:cs="Arial"/>
          <w:iCs/>
          <w:szCs w:val="22"/>
        </w:rPr>
        <w:t xml:space="preserve">through the </w:t>
      </w:r>
      <w:r w:rsidR="000749F5" w:rsidRPr="00991003">
        <w:rPr>
          <w:rFonts w:cs="Arial"/>
          <w:i/>
          <w:iCs/>
          <w:szCs w:val="22"/>
        </w:rPr>
        <w:t>20 years in 12 places</w:t>
      </w:r>
      <w:r w:rsidR="000749F5">
        <w:rPr>
          <w:rFonts w:cs="Arial"/>
          <w:iCs/>
          <w:szCs w:val="22"/>
        </w:rPr>
        <w:t xml:space="preserve"> research </w:t>
      </w:r>
      <w:r w:rsidR="00D86155">
        <w:rPr>
          <w:rFonts w:cs="Arial"/>
          <w:iCs/>
          <w:szCs w:val="22"/>
        </w:rPr>
        <w:t xml:space="preserve">we carried out in </w:t>
      </w:r>
      <w:r w:rsidR="000749F5">
        <w:rPr>
          <w:rFonts w:cs="Arial"/>
          <w:iCs/>
          <w:szCs w:val="22"/>
        </w:rPr>
        <w:t>2014/15, this will be the first time we have explicitly linked public consultation to the preparation of a new strategic plan.</w:t>
      </w:r>
      <w:r w:rsidR="00D86155">
        <w:rPr>
          <w:rFonts w:cs="Arial"/>
          <w:iCs/>
          <w:szCs w:val="22"/>
        </w:rPr>
        <w:t xml:space="preserve"> The results from the </w:t>
      </w:r>
      <w:hyperlink r:id="rId10" w:history="1">
        <w:r w:rsidR="00D86155" w:rsidRPr="00C41C0E">
          <w:rPr>
            <w:rStyle w:val="Hyperlink"/>
            <w:rFonts w:cs="Arial"/>
            <w:i/>
            <w:iCs/>
            <w:szCs w:val="22"/>
          </w:rPr>
          <w:t>20 years in 12</w:t>
        </w:r>
      </w:hyperlink>
      <w:r w:rsidR="00D86155" w:rsidRPr="00C41C0E">
        <w:rPr>
          <w:rFonts w:cs="Arial"/>
          <w:i/>
          <w:iCs/>
          <w:szCs w:val="22"/>
        </w:rPr>
        <w:t xml:space="preserve"> </w:t>
      </w:r>
      <w:r w:rsidR="00D86155">
        <w:rPr>
          <w:rFonts w:cs="Arial"/>
          <w:iCs/>
          <w:szCs w:val="22"/>
        </w:rPr>
        <w:t xml:space="preserve">places research can be found on our website, along with the other </w:t>
      </w:r>
      <w:hyperlink r:id="rId11" w:history="1">
        <w:r w:rsidR="00D86155" w:rsidRPr="00D86155">
          <w:rPr>
            <w:rStyle w:val="Hyperlink"/>
            <w:rFonts w:cs="Arial"/>
            <w:iCs/>
            <w:szCs w:val="22"/>
          </w:rPr>
          <w:t>social benefit</w:t>
        </w:r>
      </w:hyperlink>
      <w:r w:rsidR="00D86155">
        <w:rPr>
          <w:rFonts w:cs="Arial"/>
          <w:iCs/>
          <w:szCs w:val="22"/>
        </w:rPr>
        <w:t xml:space="preserve"> research reports we have produced.</w:t>
      </w:r>
      <w:r w:rsidR="00AE30CA">
        <w:rPr>
          <w:rFonts w:cs="Arial"/>
          <w:iCs/>
          <w:szCs w:val="22"/>
        </w:rPr>
        <w:t xml:space="preserve"> Respondents to this brief should use this work to inform their proposed approach.</w:t>
      </w:r>
    </w:p>
    <w:p w:rsidR="00A64998" w:rsidRPr="00AE30CA" w:rsidRDefault="00F503E7" w:rsidP="00AE30CA">
      <w:pPr>
        <w:numPr>
          <w:ilvl w:val="1"/>
          <w:numId w:val="2"/>
        </w:numPr>
        <w:spacing w:after="240" w:line="276" w:lineRule="auto"/>
        <w:rPr>
          <w:rFonts w:cs="Arial"/>
          <w:szCs w:val="22"/>
        </w:rPr>
      </w:pPr>
      <w:r w:rsidRPr="00AE30CA">
        <w:rPr>
          <w:rFonts w:cs="Arial"/>
          <w:iCs/>
          <w:szCs w:val="22"/>
        </w:rPr>
        <w:t xml:space="preserve">The </w:t>
      </w:r>
      <w:r w:rsidR="00AE30CA" w:rsidRPr="00AE30CA">
        <w:rPr>
          <w:rFonts w:cs="Arial"/>
          <w:iCs/>
          <w:szCs w:val="22"/>
        </w:rPr>
        <w:t xml:space="preserve">research will run from </w:t>
      </w:r>
      <w:r w:rsidR="00A64998" w:rsidRPr="00AE30CA">
        <w:rPr>
          <w:rFonts w:cs="Arial"/>
          <w:iCs/>
          <w:szCs w:val="22"/>
        </w:rPr>
        <w:t xml:space="preserve">October 2016 to </w:t>
      </w:r>
      <w:r w:rsidR="00AE30CA">
        <w:rPr>
          <w:rFonts w:cs="Arial"/>
          <w:iCs/>
          <w:szCs w:val="22"/>
        </w:rPr>
        <w:t xml:space="preserve">March </w:t>
      </w:r>
      <w:r w:rsidR="00A64998" w:rsidRPr="00AE30CA">
        <w:rPr>
          <w:rFonts w:cs="Arial"/>
          <w:iCs/>
          <w:szCs w:val="22"/>
        </w:rPr>
        <w:t>2017</w:t>
      </w:r>
      <w:r w:rsidR="000F2C31" w:rsidRPr="00AE30CA">
        <w:rPr>
          <w:rFonts w:cs="Arial"/>
          <w:iCs/>
          <w:szCs w:val="22"/>
        </w:rPr>
        <w:t>.</w:t>
      </w:r>
    </w:p>
    <w:p w:rsidR="00AE30CA" w:rsidRPr="00A64998" w:rsidRDefault="00AE30CA" w:rsidP="00A612E0">
      <w:pPr>
        <w:pStyle w:val="Heading1"/>
      </w:pPr>
      <w:r>
        <w:t>2.</w:t>
      </w:r>
      <w:r>
        <w:tab/>
        <w:t>Methodology</w:t>
      </w:r>
    </w:p>
    <w:p w:rsidR="000E28D7" w:rsidRDefault="00AE30CA" w:rsidP="00354CDA">
      <w:pPr>
        <w:spacing w:after="240" w:line="276" w:lineRule="auto"/>
        <w:ind w:left="709" w:hanging="709"/>
        <w:rPr>
          <w:rFonts w:cs="Arial"/>
          <w:szCs w:val="22"/>
        </w:rPr>
      </w:pPr>
      <w:r>
        <w:rPr>
          <w:rFonts w:cs="Arial"/>
          <w:iCs/>
          <w:szCs w:val="22"/>
        </w:rPr>
        <w:t>2.</w:t>
      </w:r>
      <w:r w:rsidR="003F5DFB">
        <w:rPr>
          <w:rFonts w:cs="Arial"/>
          <w:iCs/>
          <w:szCs w:val="22"/>
        </w:rPr>
        <w:t>1</w:t>
      </w:r>
      <w:r>
        <w:rPr>
          <w:rFonts w:cs="Arial"/>
          <w:iCs/>
          <w:szCs w:val="22"/>
        </w:rPr>
        <w:t xml:space="preserve"> </w:t>
      </w:r>
      <w:r>
        <w:rPr>
          <w:rFonts w:cs="Arial"/>
          <w:szCs w:val="22"/>
        </w:rPr>
        <w:tab/>
        <w:t xml:space="preserve">The </w:t>
      </w:r>
      <w:r w:rsidRPr="00135C3E">
        <w:rPr>
          <w:rFonts w:cs="Arial"/>
          <w:i/>
          <w:szCs w:val="22"/>
        </w:rPr>
        <w:t>20 years in 12 places</w:t>
      </w:r>
      <w:r>
        <w:rPr>
          <w:rFonts w:cs="Arial"/>
          <w:szCs w:val="22"/>
        </w:rPr>
        <w:t xml:space="preserve"> research </w:t>
      </w:r>
      <w:r w:rsidR="000E28D7">
        <w:rPr>
          <w:rFonts w:cs="Arial"/>
          <w:szCs w:val="22"/>
        </w:rPr>
        <w:t>gave us a strong</w:t>
      </w:r>
      <w:r w:rsidR="00AA368F">
        <w:rPr>
          <w:rFonts w:cs="Arial"/>
          <w:szCs w:val="22"/>
        </w:rPr>
        <w:t xml:space="preserve"> public endorsement </w:t>
      </w:r>
      <w:r w:rsidR="000E28D7">
        <w:rPr>
          <w:rFonts w:cs="Arial"/>
          <w:szCs w:val="22"/>
        </w:rPr>
        <w:t>of the way that HLF had allocated National Lottery funding for heritage from 1994 to 2014. It told us that p</w:t>
      </w:r>
      <w:r w:rsidR="000E28D7" w:rsidRPr="000E28D7">
        <w:rPr>
          <w:rFonts w:cs="Arial"/>
          <w:szCs w:val="22"/>
        </w:rPr>
        <w:t>eople see heritage: delivering benefits that relate directly to their quality of life; bringing economic benefits</w:t>
      </w:r>
      <w:r w:rsidR="00C41C0E">
        <w:rPr>
          <w:rFonts w:cs="Arial"/>
          <w:szCs w:val="22"/>
        </w:rPr>
        <w:t xml:space="preserve">, such as </w:t>
      </w:r>
      <w:r w:rsidR="000E28D7" w:rsidRPr="000E28D7">
        <w:rPr>
          <w:rFonts w:cs="Arial"/>
          <w:szCs w:val="22"/>
        </w:rPr>
        <w:t xml:space="preserve">tourism and </w:t>
      </w:r>
      <w:r w:rsidR="00C41C0E">
        <w:rPr>
          <w:rFonts w:cs="Arial"/>
          <w:szCs w:val="22"/>
        </w:rPr>
        <w:t xml:space="preserve">the creation of </w:t>
      </w:r>
      <w:r w:rsidR="000E28D7" w:rsidRPr="000E28D7">
        <w:rPr>
          <w:rFonts w:cs="Arial"/>
          <w:szCs w:val="22"/>
        </w:rPr>
        <w:t>good jobs; making places more visually attractive; providing family leisure opportunities; helping people to understand where they come from, instilling local pride and encouraging social cohesion</w:t>
      </w:r>
      <w:r w:rsidR="000E28D7">
        <w:rPr>
          <w:rFonts w:cs="Arial"/>
          <w:szCs w:val="22"/>
        </w:rPr>
        <w:t>.</w:t>
      </w:r>
      <w:r w:rsidR="00BD63E9">
        <w:rPr>
          <w:rFonts w:cs="Arial"/>
          <w:szCs w:val="22"/>
        </w:rPr>
        <w:t xml:space="preserve"> </w:t>
      </w:r>
    </w:p>
    <w:p w:rsidR="00354CDA" w:rsidRDefault="000E28D7" w:rsidP="00354CDA">
      <w:pPr>
        <w:spacing w:after="240" w:line="276" w:lineRule="auto"/>
        <w:ind w:left="709" w:hanging="709"/>
        <w:rPr>
          <w:rFonts w:cs="Arial"/>
          <w:szCs w:val="22"/>
        </w:rPr>
      </w:pPr>
      <w:r>
        <w:rPr>
          <w:rFonts w:cs="Arial"/>
          <w:szCs w:val="22"/>
        </w:rPr>
        <w:t>2.</w:t>
      </w:r>
      <w:r w:rsidR="003F5DFB">
        <w:rPr>
          <w:rFonts w:cs="Arial"/>
          <w:szCs w:val="22"/>
        </w:rPr>
        <w:t>2</w:t>
      </w:r>
      <w:r>
        <w:rPr>
          <w:rFonts w:cs="Arial"/>
          <w:szCs w:val="22"/>
        </w:rPr>
        <w:tab/>
      </w:r>
      <w:r w:rsidR="00BD63E9">
        <w:rPr>
          <w:rFonts w:cs="Arial"/>
          <w:szCs w:val="22"/>
        </w:rPr>
        <w:t>The research we a</w:t>
      </w:r>
      <w:r w:rsidR="00AA368F">
        <w:rPr>
          <w:rFonts w:cs="Arial"/>
          <w:szCs w:val="22"/>
        </w:rPr>
        <w:t xml:space="preserve">re now commissioning </w:t>
      </w:r>
      <w:r w:rsidR="00BD63E9">
        <w:rPr>
          <w:rFonts w:cs="Arial"/>
          <w:szCs w:val="22"/>
        </w:rPr>
        <w:t xml:space="preserve">should </w:t>
      </w:r>
      <w:r w:rsidR="00AE30CA">
        <w:rPr>
          <w:rFonts w:cs="Arial"/>
          <w:szCs w:val="22"/>
        </w:rPr>
        <w:t>start from th</w:t>
      </w:r>
      <w:r w:rsidR="00354CDA">
        <w:rPr>
          <w:rFonts w:cs="Arial"/>
          <w:szCs w:val="22"/>
        </w:rPr>
        <w:t>at</w:t>
      </w:r>
      <w:r w:rsidR="00AE30CA">
        <w:rPr>
          <w:rFonts w:cs="Arial"/>
          <w:szCs w:val="22"/>
        </w:rPr>
        <w:t xml:space="preserve"> knowledge base</w:t>
      </w:r>
      <w:r w:rsidR="00BD63E9">
        <w:rPr>
          <w:rFonts w:cs="Arial"/>
          <w:szCs w:val="22"/>
        </w:rPr>
        <w:t xml:space="preserve">. It will re-visit the notion of </w:t>
      </w:r>
      <w:r w:rsidR="00C41C0E">
        <w:rPr>
          <w:rFonts w:cs="Arial"/>
          <w:szCs w:val="22"/>
        </w:rPr>
        <w:t>what people value as heritage</w:t>
      </w:r>
      <w:r w:rsidR="00BD63E9">
        <w:rPr>
          <w:rFonts w:cs="Arial"/>
          <w:szCs w:val="22"/>
        </w:rPr>
        <w:t xml:space="preserve"> but needs to add to our existing research </w:t>
      </w:r>
      <w:r w:rsidR="00354CDA">
        <w:rPr>
          <w:rFonts w:cs="Arial"/>
          <w:szCs w:val="22"/>
        </w:rPr>
        <w:t xml:space="preserve">by </w:t>
      </w:r>
      <w:r w:rsidR="00AE30CA">
        <w:rPr>
          <w:rFonts w:cs="Arial"/>
          <w:szCs w:val="22"/>
        </w:rPr>
        <w:t>explor</w:t>
      </w:r>
      <w:r w:rsidR="00354CDA">
        <w:rPr>
          <w:rFonts w:cs="Arial"/>
          <w:szCs w:val="22"/>
        </w:rPr>
        <w:t>ing</w:t>
      </w:r>
      <w:r w:rsidR="00AE30CA">
        <w:rPr>
          <w:rFonts w:cs="Arial"/>
          <w:szCs w:val="22"/>
        </w:rPr>
        <w:t xml:space="preserve"> the ways that people </w:t>
      </w:r>
      <w:r>
        <w:rPr>
          <w:rFonts w:cs="Arial"/>
          <w:szCs w:val="22"/>
        </w:rPr>
        <w:t xml:space="preserve">believe heritage should </w:t>
      </w:r>
      <w:r w:rsidR="00AA368F">
        <w:rPr>
          <w:rFonts w:cs="Arial"/>
          <w:szCs w:val="22"/>
        </w:rPr>
        <w:t xml:space="preserve">be </w:t>
      </w:r>
      <w:r w:rsidR="00AA368F">
        <w:rPr>
          <w:rFonts w:cs="Arial"/>
          <w:szCs w:val="22"/>
        </w:rPr>
        <w:lastRenderedPageBreak/>
        <w:t>c</w:t>
      </w:r>
      <w:r w:rsidR="00354CDA">
        <w:rPr>
          <w:rFonts w:cs="Arial"/>
          <w:szCs w:val="22"/>
        </w:rPr>
        <w:t>ontribut</w:t>
      </w:r>
      <w:r w:rsidR="00AA368F">
        <w:rPr>
          <w:rFonts w:cs="Arial"/>
          <w:szCs w:val="22"/>
        </w:rPr>
        <w:t xml:space="preserve">ing </w:t>
      </w:r>
      <w:r w:rsidR="00BD63E9">
        <w:rPr>
          <w:rFonts w:cs="Arial"/>
          <w:szCs w:val="22"/>
        </w:rPr>
        <w:t xml:space="preserve">to social </w:t>
      </w:r>
      <w:r w:rsidR="00354CDA">
        <w:rPr>
          <w:rFonts w:cs="Arial"/>
          <w:szCs w:val="22"/>
        </w:rPr>
        <w:t>challenges and opportunities</w:t>
      </w:r>
      <w:r w:rsidR="00BD63E9">
        <w:rPr>
          <w:rFonts w:cs="Arial"/>
          <w:szCs w:val="22"/>
        </w:rPr>
        <w:t xml:space="preserve">, </w:t>
      </w:r>
      <w:r>
        <w:rPr>
          <w:rFonts w:cs="Arial"/>
          <w:szCs w:val="22"/>
        </w:rPr>
        <w:t>at a</w:t>
      </w:r>
      <w:r w:rsidR="00354CDA">
        <w:rPr>
          <w:rFonts w:cs="Arial"/>
          <w:szCs w:val="22"/>
        </w:rPr>
        <w:t xml:space="preserve"> local neighbourhood </w:t>
      </w:r>
      <w:r>
        <w:rPr>
          <w:rFonts w:cs="Arial"/>
          <w:szCs w:val="22"/>
        </w:rPr>
        <w:t xml:space="preserve">level through to the </w:t>
      </w:r>
      <w:r w:rsidR="00354CDA">
        <w:rPr>
          <w:rFonts w:cs="Arial"/>
          <w:szCs w:val="22"/>
        </w:rPr>
        <w:t>national scale</w:t>
      </w:r>
      <w:r w:rsidR="00AA368F">
        <w:rPr>
          <w:rFonts w:cs="Arial"/>
          <w:szCs w:val="22"/>
        </w:rPr>
        <w:t xml:space="preserve">, </w:t>
      </w:r>
      <w:r w:rsidR="00BD63E9">
        <w:rPr>
          <w:rFonts w:cs="Arial"/>
          <w:szCs w:val="22"/>
        </w:rPr>
        <w:t xml:space="preserve">in </w:t>
      </w:r>
      <w:r w:rsidR="00AA368F">
        <w:rPr>
          <w:rFonts w:cs="Arial"/>
          <w:szCs w:val="22"/>
        </w:rPr>
        <w:t>the period 2019 to 202</w:t>
      </w:r>
      <w:r w:rsidR="00C41C0E">
        <w:rPr>
          <w:rFonts w:cs="Arial"/>
          <w:szCs w:val="22"/>
        </w:rPr>
        <w:t>4</w:t>
      </w:r>
      <w:r w:rsidR="00354CDA">
        <w:rPr>
          <w:rFonts w:cs="Arial"/>
          <w:szCs w:val="22"/>
        </w:rPr>
        <w:t>.</w:t>
      </w:r>
    </w:p>
    <w:p w:rsidR="00BA0ED9" w:rsidRDefault="00AA368F" w:rsidP="00BA0ED9">
      <w:pPr>
        <w:spacing w:after="240" w:line="276" w:lineRule="auto"/>
        <w:ind w:left="709" w:hanging="709"/>
        <w:rPr>
          <w:rFonts w:cs="Arial"/>
          <w:szCs w:val="22"/>
        </w:rPr>
      </w:pPr>
      <w:r>
        <w:rPr>
          <w:rFonts w:cs="Arial"/>
          <w:szCs w:val="22"/>
        </w:rPr>
        <w:t>2.</w:t>
      </w:r>
      <w:r w:rsidR="003F5DFB">
        <w:rPr>
          <w:rFonts w:cs="Arial"/>
          <w:szCs w:val="22"/>
        </w:rPr>
        <w:t>3</w:t>
      </w:r>
      <w:r>
        <w:rPr>
          <w:rFonts w:cs="Arial"/>
          <w:szCs w:val="22"/>
        </w:rPr>
        <w:tab/>
      </w:r>
      <w:r w:rsidR="00BA0ED9">
        <w:rPr>
          <w:rFonts w:cs="Arial"/>
          <w:szCs w:val="22"/>
        </w:rPr>
        <w:t>We are looking for proposals th</w:t>
      </w:r>
      <w:r>
        <w:rPr>
          <w:rFonts w:cs="Arial"/>
          <w:szCs w:val="22"/>
        </w:rPr>
        <w:t>at use creative ways to explore</w:t>
      </w:r>
      <w:r w:rsidR="00C41C0E">
        <w:rPr>
          <w:rFonts w:cs="Arial"/>
          <w:szCs w:val="22"/>
        </w:rPr>
        <w:t>:</w:t>
      </w:r>
      <w:r w:rsidR="00135C3E">
        <w:rPr>
          <w:rFonts w:cs="Arial"/>
          <w:szCs w:val="22"/>
        </w:rPr>
        <w:t xml:space="preserve"> </w:t>
      </w:r>
      <w:r w:rsidR="00BA0ED9">
        <w:rPr>
          <w:rFonts w:cs="Arial"/>
          <w:szCs w:val="22"/>
        </w:rPr>
        <w:t>whether the public believes HLF should</w:t>
      </w:r>
      <w:r w:rsidR="00135C3E">
        <w:rPr>
          <w:rFonts w:cs="Arial"/>
          <w:szCs w:val="22"/>
        </w:rPr>
        <w:t xml:space="preserve"> </w:t>
      </w:r>
      <w:r w:rsidR="00BA0ED9">
        <w:rPr>
          <w:rFonts w:cs="Arial"/>
          <w:szCs w:val="22"/>
        </w:rPr>
        <w:t>ha</w:t>
      </w:r>
      <w:r>
        <w:rPr>
          <w:rFonts w:cs="Arial"/>
          <w:szCs w:val="22"/>
        </w:rPr>
        <w:t>ve different funding priorities,</w:t>
      </w:r>
      <w:r w:rsidR="00135C3E">
        <w:rPr>
          <w:rFonts w:cs="Arial"/>
          <w:szCs w:val="22"/>
        </w:rPr>
        <w:t xml:space="preserve"> whether we should </w:t>
      </w:r>
      <w:r>
        <w:rPr>
          <w:rFonts w:cs="Arial"/>
          <w:szCs w:val="22"/>
        </w:rPr>
        <w:t xml:space="preserve">go about </w:t>
      </w:r>
      <w:r w:rsidR="00135C3E">
        <w:rPr>
          <w:rFonts w:cs="Arial"/>
          <w:szCs w:val="22"/>
        </w:rPr>
        <w:t xml:space="preserve">our work as a funder </w:t>
      </w:r>
      <w:r>
        <w:rPr>
          <w:rFonts w:cs="Arial"/>
          <w:szCs w:val="22"/>
        </w:rPr>
        <w:t xml:space="preserve">in </w:t>
      </w:r>
      <w:r w:rsidR="000E28D7">
        <w:rPr>
          <w:rFonts w:cs="Arial"/>
          <w:szCs w:val="22"/>
        </w:rPr>
        <w:t xml:space="preserve">different ways, </w:t>
      </w:r>
      <w:r w:rsidR="00135C3E">
        <w:rPr>
          <w:rFonts w:cs="Arial"/>
          <w:szCs w:val="22"/>
        </w:rPr>
        <w:t xml:space="preserve">or if there are </w:t>
      </w:r>
      <w:r w:rsidR="00BA0ED9">
        <w:rPr>
          <w:rFonts w:cs="Arial"/>
          <w:szCs w:val="22"/>
        </w:rPr>
        <w:t xml:space="preserve">new ideas </w:t>
      </w:r>
      <w:r>
        <w:rPr>
          <w:rFonts w:cs="Arial"/>
          <w:szCs w:val="22"/>
        </w:rPr>
        <w:t xml:space="preserve">that </w:t>
      </w:r>
      <w:r w:rsidR="00BA0ED9">
        <w:rPr>
          <w:rFonts w:cs="Arial"/>
          <w:szCs w:val="22"/>
        </w:rPr>
        <w:t>people have</w:t>
      </w:r>
      <w:r>
        <w:rPr>
          <w:rFonts w:cs="Arial"/>
          <w:szCs w:val="22"/>
        </w:rPr>
        <w:t xml:space="preserve"> for heritage funding that </w:t>
      </w:r>
      <w:r w:rsidR="00BA0ED9">
        <w:rPr>
          <w:rFonts w:cs="Arial"/>
          <w:szCs w:val="22"/>
        </w:rPr>
        <w:t xml:space="preserve">we have not </w:t>
      </w:r>
      <w:r>
        <w:rPr>
          <w:rFonts w:cs="Arial"/>
          <w:szCs w:val="22"/>
        </w:rPr>
        <w:t xml:space="preserve">previously </w:t>
      </w:r>
      <w:r w:rsidR="00BA0ED9">
        <w:rPr>
          <w:rFonts w:cs="Arial"/>
          <w:szCs w:val="22"/>
        </w:rPr>
        <w:t>heard.</w:t>
      </w:r>
    </w:p>
    <w:p w:rsidR="00354CDA" w:rsidRDefault="00AA368F" w:rsidP="00C41C0E">
      <w:pPr>
        <w:spacing w:after="240" w:line="276" w:lineRule="auto"/>
        <w:ind w:left="709" w:hanging="709"/>
        <w:rPr>
          <w:rFonts w:cs="Arial"/>
          <w:szCs w:val="22"/>
        </w:rPr>
      </w:pPr>
      <w:r>
        <w:rPr>
          <w:rFonts w:cs="Arial"/>
          <w:szCs w:val="22"/>
        </w:rPr>
        <w:t>2.</w:t>
      </w:r>
      <w:r w:rsidR="003F5DFB">
        <w:rPr>
          <w:rFonts w:cs="Arial"/>
          <w:szCs w:val="22"/>
        </w:rPr>
        <w:t>4</w:t>
      </w:r>
      <w:r>
        <w:rPr>
          <w:rFonts w:cs="Arial"/>
          <w:szCs w:val="22"/>
        </w:rPr>
        <w:tab/>
      </w:r>
      <w:r w:rsidR="00C41C0E">
        <w:rPr>
          <w:rFonts w:cs="Arial"/>
          <w:szCs w:val="22"/>
        </w:rPr>
        <w:t>Directly with the public, th</w:t>
      </w:r>
      <w:r w:rsidR="00354CDA">
        <w:rPr>
          <w:rFonts w:cs="Arial"/>
          <w:szCs w:val="22"/>
        </w:rPr>
        <w:t xml:space="preserve">e research should </w:t>
      </w:r>
      <w:r w:rsidR="00BA0ED9">
        <w:rPr>
          <w:rFonts w:cs="Arial"/>
          <w:szCs w:val="22"/>
        </w:rPr>
        <w:t>explore</w:t>
      </w:r>
      <w:r w:rsidR="00C41C0E">
        <w:rPr>
          <w:rFonts w:cs="Arial"/>
          <w:szCs w:val="22"/>
        </w:rPr>
        <w:t xml:space="preserve"> </w:t>
      </w:r>
      <w:r w:rsidR="00354CDA">
        <w:rPr>
          <w:rFonts w:cs="Arial"/>
          <w:szCs w:val="22"/>
        </w:rPr>
        <w:t xml:space="preserve">the alternative </w:t>
      </w:r>
      <w:r w:rsidR="00BA0ED9">
        <w:rPr>
          <w:rFonts w:cs="Arial"/>
          <w:szCs w:val="22"/>
        </w:rPr>
        <w:t xml:space="preserve">strategic </w:t>
      </w:r>
      <w:r w:rsidR="00354CDA">
        <w:rPr>
          <w:rFonts w:cs="Arial"/>
          <w:szCs w:val="22"/>
        </w:rPr>
        <w:t xml:space="preserve">options that </w:t>
      </w:r>
      <w:r w:rsidR="00BA0ED9">
        <w:rPr>
          <w:rFonts w:cs="Arial"/>
          <w:szCs w:val="22"/>
        </w:rPr>
        <w:t xml:space="preserve">are open to </w:t>
      </w:r>
      <w:r w:rsidR="00354CDA">
        <w:rPr>
          <w:rFonts w:cs="Arial"/>
          <w:szCs w:val="22"/>
        </w:rPr>
        <w:t>HLF</w:t>
      </w:r>
      <w:r>
        <w:rPr>
          <w:rFonts w:cs="Arial"/>
          <w:szCs w:val="22"/>
        </w:rPr>
        <w:t xml:space="preserve"> in deciding how </w:t>
      </w:r>
      <w:r w:rsidR="00354CDA">
        <w:rPr>
          <w:rFonts w:cs="Arial"/>
          <w:szCs w:val="22"/>
        </w:rPr>
        <w:t>National Lottery funding for heritage</w:t>
      </w:r>
      <w:r>
        <w:rPr>
          <w:rFonts w:cs="Arial"/>
          <w:szCs w:val="22"/>
        </w:rPr>
        <w:t xml:space="preserve"> is allocated</w:t>
      </w:r>
      <w:r w:rsidR="00BA0ED9">
        <w:rPr>
          <w:rFonts w:cs="Arial"/>
          <w:szCs w:val="22"/>
        </w:rPr>
        <w:t>, and the trade-offs that these might entail</w:t>
      </w:r>
      <w:r w:rsidR="00354CDA">
        <w:rPr>
          <w:rFonts w:cs="Arial"/>
          <w:szCs w:val="22"/>
        </w:rPr>
        <w:t>. These questions will need to b</w:t>
      </w:r>
      <w:r w:rsidR="00C41C0E">
        <w:rPr>
          <w:rFonts w:cs="Arial"/>
          <w:szCs w:val="22"/>
        </w:rPr>
        <w:t>e discussed in advance with HLF</w:t>
      </w:r>
      <w:r w:rsidR="00354CDA">
        <w:rPr>
          <w:rFonts w:cs="Arial"/>
          <w:szCs w:val="22"/>
        </w:rPr>
        <w:t xml:space="preserve"> but respondents should include their own preliminary ideas within proposals. </w:t>
      </w:r>
      <w:r w:rsidR="00C41C0E">
        <w:rPr>
          <w:rFonts w:cs="Arial"/>
          <w:szCs w:val="22"/>
        </w:rPr>
        <w:t>There</w:t>
      </w:r>
      <w:r w:rsidR="00B543F6">
        <w:rPr>
          <w:rFonts w:cs="Arial"/>
          <w:szCs w:val="22"/>
        </w:rPr>
        <w:t xml:space="preserve"> might, for example, </w:t>
      </w:r>
      <w:r w:rsidR="00BD6603">
        <w:rPr>
          <w:rFonts w:cs="Arial"/>
          <w:szCs w:val="22"/>
        </w:rPr>
        <w:t xml:space="preserve">be </w:t>
      </w:r>
      <w:r w:rsidR="00B543F6">
        <w:rPr>
          <w:rFonts w:cs="Arial"/>
          <w:szCs w:val="22"/>
        </w:rPr>
        <w:t>q</w:t>
      </w:r>
      <w:r w:rsidR="00BD6603">
        <w:rPr>
          <w:rFonts w:cs="Arial"/>
          <w:szCs w:val="22"/>
        </w:rPr>
        <w:t>u</w:t>
      </w:r>
      <w:r w:rsidR="00B543F6">
        <w:rPr>
          <w:rFonts w:cs="Arial"/>
          <w:szCs w:val="22"/>
        </w:rPr>
        <w:t xml:space="preserve">estions </w:t>
      </w:r>
      <w:r w:rsidR="00BD6603">
        <w:rPr>
          <w:rFonts w:cs="Arial"/>
          <w:szCs w:val="22"/>
        </w:rPr>
        <w:t>about</w:t>
      </w:r>
      <w:r w:rsidR="00C41C0E">
        <w:rPr>
          <w:rFonts w:cs="Arial"/>
          <w:szCs w:val="22"/>
        </w:rPr>
        <w:t>:</w:t>
      </w:r>
      <w:r w:rsidR="00BD6603">
        <w:rPr>
          <w:rFonts w:cs="Arial"/>
          <w:szCs w:val="22"/>
        </w:rPr>
        <w:t xml:space="preserve"> </w:t>
      </w:r>
      <w:r w:rsidR="00C41C0E">
        <w:rPr>
          <w:rFonts w:cs="Arial"/>
          <w:szCs w:val="22"/>
        </w:rPr>
        <w:t>how funding decisions</w:t>
      </w:r>
      <w:r w:rsidR="00BD6603">
        <w:rPr>
          <w:rFonts w:cs="Arial"/>
          <w:szCs w:val="22"/>
        </w:rPr>
        <w:t xml:space="preserve"> are made; </w:t>
      </w:r>
      <w:r w:rsidR="00B543F6">
        <w:t>what HLF funds</w:t>
      </w:r>
      <w:r w:rsidR="00C41C0E">
        <w:t>;</w:t>
      </w:r>
      <w:r w:rsidR="00B543F6">
        <w:t xml:space="preserve"> </w:t>
      </w:r>
      <w:r w:rsidR="00BD6603">
        <w:t>and/or</w:t>
      </w:r>
      <w:r w:rsidR="00B543F6">
        <w:t xml:space="preserve"> what </w:t>
      </w:r>
      <w:r w:rsidR="00BD6603">
        <w:t>social and economic benefits we expect projects to achieve.</w:t>
      </w:r>
    </w:p>
    <w:p w:rsidR="00AA368F" w:rsidRDefault="00AA368F" w:rsidP="00AA368F">
      <w:pPr>
        <w:spacing w:after="240" w:line="276" w:lineRule="auto"/>
        <w:ind w:left="709" w:hanging="709"/>
        <w:rPr>
          <w:rFonts w:cs="Arial"/>
          <w:szCs w:val="22"/>
        </w:rPr>
      </w:pPr>
      <w:r>
        <w:rPr>
          <w:rFonts w:cs="Arial"/>
          <w:szCs w:val="22"/>
        </w:rPr>
        <w:t>2.</w:t>
      </w:r>
      <w:r w:rsidR="003F5DFB">
        <w:rPr>
          <w:rFonts w:cs="Arial"/>
          <w:szCs w:val="22"/>
        </w:rPr>
        <w:t>5</w:t>
      </w:r>
      <w:r>
        <w:rPr>
          <w:rFonts w:cs="Arial"/>
          <w:szCs w:val="22"/>
        </w:rPr>
        <w:tab/>
      </w:r>
      <w:r w:rsidR="00A64998" w:rsidRPr="002C7B29">
        <w:rPr>
          <w:rFonts w:cs="Arial"/>
          <w:szCs w:val="22"/>
        </w:rPr>
        <w:t xml:space="preserve">The </w:t>
      </w:r>
      <w:r w:rsidR="00AA7BD2" w:rsidRPr="002C7B29">
        <w:rPr>
          <w:rFonts w:cs="Arial"/>
          <w:szCs w:val="22"/>
        </w:rPr>
        <w:t xml:space="preserve">method for </w:t>
      </w:r>
      <w:r w:rsidR="00BA0ED9">
        <w:rPr>
          <w:rFonts w:cs="Arial"/>
          <w:szCs w:val="22"/>
        </w:rPr>
        <w:t xml:space="preserve">undertaking </w:t>
      </w:r>
      <w:r w:rsidR="00AA7BD2" w:rsidRPr="002C7B29">
        <w:rPr>
          <w:rFonts w:cs="Arial"/>
          <w:szCs w:val="22"/>
        </w:rPr>
        <w:t>th</w:t>
      </w:r>
      <w:r w:rsidR="000E28D7">
        <w:rPr>
          <w:rFonts w:cs="Arial"/>
          <w:szCs w:val="22"/>
        </w:rPr>
        <w:t xml:space="preserve">e </w:t>
      </w:r>
      <w:r w:rsidR="00AA7BD2" w:rsidRPr="002C7B29">
        <w:rPr>
          <w:rFonts w:cs="Arial"/>
          <w:szCs w:val="22"/>
        </w:rPr>
        <w:t>work is open for consultants to propose</w:t>
      </w:r>
      <w:r w:rsidR="00A64998" w:rsidRPr="002C7B29">
        <w:rPr>
          <w:rFonts w:cs="Arial"/>
          <w:szCs w:val="22"/>
        </w:rPr>
        <w:t xml:space="preserve"> but we envisage</w:t>
      </w:r>
      <w:r w:rsidR="00354CDA">
        <w:rPr>
          <w:rFonts w:cs="Arial"/>
          <w:szCs w:val="22"/>
        </w:rPr>
        <w:t xml:space="preserve"> a number of </w:t>
      </w:r>
      <w:r w:rsidR="002C7B29" w:rsidRPr="002C7B29">
        <w:rPr>
          <w:rFonts w:cs="Arial"/>
          <w:szCs w:val="22"/>
        </w:rPr>
        <w:t xml:space="preserve">public discussion events across the UK. </w:t>
      </w:r>
      <w:r w:rsidR="00BA0ED9">
        <w:rPr>
          <w:rFonts w:cs="Arial"/>
          <w:szCs w:val="22"/>
        </w:rPr>
        <w:t>These events can make use of information about HLF funding</w:t>
      </w:r>
      <w:r w:rsidR="00116520">
        <w:rPr>
          <w:rFonts w:cs="Arial"/>
          <w:szCs w:val="22"/>
        </w:rPr>
        <w:t xml:space="preserve">. </w:t>
      </w:r>
      <w:r w:rsidR="00BA0ED9">
        <w:rPr>
          <w:rFonts w:cs="Arial"/>
          <w:szCs w:val="22"/>
        </w:rPr>
        <w:t>HLF will be able to collaborate with researchers in making this information available.</w:t>
      </w:r>
      <w:r w:rsidR="002C7B29" w:rsidRPr="002C7B29">
        <w:rPr>
          <w:rFonts w:cs="Arial"/>
          <w:szCs w:val="22"/>
        </w:rPr>
        <w:t xml:space="preserve"> </w:t>
      </w:r>
    </w:p>
    <w:p w:rsidR="00AA368F" w:rsidRPr="000E28D7" w:rsidRDefault="00AA368F" w:rsidP="00AA368F">
      <w:pPr>
        <w:spacing w:after="240" w:line="276" w:lineRule="auto"/>
        <w:ind w:left="709" w:hanging="709"/>
        <w:rPr>
          <w:rFonts w:cs="Arial"/>
          <w:szCs w:val="22"/>
        </w:rPr>
      </w:pPr>
      <w:r>
        <w:rPr>
          <w:rFonts w:cs="Arial"/>
          <w:szCs w:val="22"/>
        </w:rPr>
        <w:t>2.</w:t>
      </w:r>
      <w:r w:rsidR="003F5DFB">
        <w:rPr>
          <w:rFonts w:cs="Arial"/>
          <w:szCs w:val="22"/>
        </w:rPr>
        <w:t>6</w:t>
      </w:r>
      <w:r>
        <w:rPr>
          <w:rFonts w:cs="Arial"/>
          <w:szCs w:val="22"/>
        </w:rPr>
        <w:tab/>
        <w:t xml:space="preserve">To provide context for the discussion, we also see a role for </w:t>
      </w:r>
      <w:r w:rsidRPr="000E28D7">
        <w:rPr>
          <w:rFonts w:cs="Arial"/>
          <w:iCs/>
          <w:szCs w:val="22"/>
        </w:rPr>
        <w:t>social</w:t>
      </w:r>
      <w:r>
        <w:rPr>
          <w:rFonts w:cs="Arial"/>
          <w:iCs/>
          <w:szCs w:val="22"/>
        </w:rPr>
        <w:t xml:space="preserve"> and economic policy experts in </w:t>
      </w:r>
      <w:r w:rsidRPr="000E28D7">
        <w:rPr>
          <w:rFonts w:cs="Arial"/>
          <w:iCs/>
          <w:szCs w:val="22"/>
        </w:rPr>
        <w:t>areas</w:t>
      </w:r>
      <w:r w:rsidR="00116520">
        <w:rPr>
          <w:rFonts w:cs="Arial"/>
          <w:iCs/>
          <w:szCs w:val="22"/>
        </w:rPr>
        <w:t>,</w:t>
      </w:r>
      <w:r w:rsidRPr="000E28D7">
        <w:rPr>
          <w:rFonts w:cs="Arial"/>
          <w:iCs/>
          <w:szCs w:val="22"/>
        </w:rPr>
        <w:t xml:space="preserve"> such as community development, economic growth, social inclusion and environmental sustainability</w:t>
      </w:r>
      <w:r>
        <w:rPr>
          <w:rFonts w:cs="Arial"/>
          <w:iCs/>
          <w:szCs w:val="22"/>
        </w:rPr>
        <w:t>. Similarly</w:t>
      </w:r>
      <w:r w:rsidR="00116520">
        <w:rPr>
          <w:rFonts w:cs="Arial"/>
          <w:iCs/>
          <w:szCs w:val="22"/>
        </w:rPr>
        <w:t>,</w:t>
      </w:r>
      <w:r>
        <w:rPr>
          <w:rFonts w:cs="Arial"/>
          <w:iCs/>
          <w:szCs w:val="22"/>
        </w:rPr>
        <w:t xml:space="preserve"> r</w:t>
      </w:r>
      <w:r w:rsidRPr="000E28D7">
        <w:rPr>
          <w:rFonts w:cs="Arial"/>
          <w:iCs/>
          <w:szCs w:val="22"/>
        </w:rPr>
        <w:t>epresentatives of key heritage sector organisations</w:t>
      </w:r>
      <w:r>
        <w:rPr>
          <w:rFonts w:cs="Arial"/>
          <w:iCs/>
          <w:szCs w:val="22"/>
        </w:rPr>
        <w:t xml:space="preserve"> could be involved</w:t>
      </w:r>
      <w:r w:rsidRPr="000E28D7">
        <w:rPr>
          <w:rFonts w:cs="Arial"/>
          <w:iCs/>
          <w:szCs w:val="22"/>
        </w:rPr>
        <w:t>.</w:t>
      </w:r>
      <w:r>
        <w:rPr>
          <w:rFonts w:cs="Arial"/>
          <w:iCs/>
          <w:szCs w:val="22"/>
        </w:rPr>
        <w:t xml:space="preserve"> </w:t>
      </w:r>
      <w:r w:rsidRPr="000E28D7">
        <w:rPr>
          <w:rFonts w:cs="Arial"/>
          <w:iCs/>
          <w:szCs w:val="22"/>
        </w:rPr>
        <w:t xml:space="preserve"> </w:t>
      </w:r>
    </w:p>
    <w:p w:rsidR="00674D07" w:rsidRPr="00674D07" w:rsidRDefault="00AE30CA" w:rsidP="00A612E0">
      <w:pPr>
        <w:pStyle w:val="Heading1"/>
      </w:pPr>
      <w:r>
        <w:t>3</w:t>
      </w:r>
      <w:r>
        <w:tab/>
      </w:r>
      <w:r w:rsidR="00674D07" w:rsidRPr="00674D07">
        <w:t>Outputs</w:t>
      </w:r>
    </w:p>
    <w:p w:rsidR="00674D07" w:rsidRPr="00674D07" w:rsidRDefault="00AE30CA" w:rsidP="00AE30CA">
      <w:pPr>
        <w:spacing w:after="240"/>
        <w:rPr>
          <w:rFonts w:cs="Arial"/>
          <w:szCs w:val="22"/>
        </w:rPr>
      </w:pPr>
      <w:r>
        <w:rPr>
          <w:rFonts w:cs="Arial"/>
          <w:szCs w:val="22"/>
        </w:rPr>
        <w:t>3.</w:t>
      </w:r>
      <w:r w:rsidR="003F5DFB">
        <w:rPr>
          <w:rFonts w:cs="Arial"/>
          <w:szCs w:val="22"/>
        </w:rPr>
        <w:t>1</w:t>
      </w:r>
      <w:r>
        <w:rPr>
          <w:rFonts w:cs="Arial"/>
          <w:szCs w:val="22"/>
        </w:rPr>
        <w:tab/>
      </w:r>
      <w:r w:rsidR="00674D07" w:rsidRPr="00674D07">
        <w:rPr>
          <w:rFonts w:cs="Arial"/>
          <w:szCs w:val="22"/>
        </w:rPr>
        <w:t>The following outputs will be required:</w:t>
      </w:r>
    </w:p>
    <w:p w:rsidR="00674D07" w:rsidRPr="00674D07" w:rsidRDefault="00674D07" w:rsidP="00674D07">
      <w:pPr>
        <w:numPr>
          <w:ilvl w:val="0"/>
          <w:numId w:val="40"/>
        </w:numPr>
        <w:spacing w:after="240"/>
        <w:rPr>
          <w:rFonts w:cs="Arial"/>
          <w:szCs w:val="22"/>
        </w:rPr>
      </w:pPr>
      <w:r w:rsidRPr="00674D07">
        <w:rPr>
          <w:rFonts w:cs="Arial"/>
          <w:szCs w:val="22"/>
        </w:rPr>
        <w:t>a draft final report;</w:t>
      </w:r>
    </w:p>
    <w:p w:rsidR="00674D07" w:rsidRPr="00674D07" w:rsidRDefault="00674D07" w:rsidP="00674D07">
      <w:pPr>
        <w:numPr>
          <w:ilvl w:val="0"/>
          <w:numId w:val="40"/>
        </w:numPr>
        <w:spacing w:after="240"/>
        <w:rPr>
          <w:rFonts w:cs="Arial"/>
          <w:szCs w:val="22"/>
        </w:rPr>
      </w:pPr>
      <w:r w:rsidRPr="00674D07">
        <w:rPr>
          <w:rFonts w:cs="Arial"/>
          <w:szCs w:val="22"/>
        </w:rPr>
        <w:t>a final report with a short standalone executive summary</w:t>
      </w:r>
      <w:r w:rsidR="00AA368F">
        <w:rPr>
          <w:rFonts w:cs="Arial"/>
          <w:szCs w:val="22"/>
        </w:rPr>
        <w:t xml:space="preserve"> with clear recommendations for HLF</w:t>
      </w:r>
      <w:r w:rsidRPr="00674D07">
        <w:rPr>
          <w:rFonts w:cs="Arial"/>
          <w:szCs w:val="22"/>
        </w:rPr>
        <w:t>;</w:t>
      </w:r>
    </w:p>
    <w:p w:rsidR="00674D07" w:rsidRPr="00674D07" w:rsidRDefault="00674D07" w:rsidP="00674D07">
      <w:pPr>
        <w:numPr>
          <w:ilvl w:val="0"/>
          <w:numId w:val="40"/>
        </w:numPr>
        <w:spacing w:after="240"/>
        <w:rPr>
          <w:rFonts w:cs="Arial"/>
          <w:szCs w:val="22"/>
        </w:rPr>
      </w:pPr>
      <w:r w:rsidRPr="00674D07">
        <w:rPr>
          <w:rFonts w:cs="Arial"/>
          <w:szCs w:val="22"/>
        </w:rPr>
        <w:t xml:space="preserve">a slide deck summarising key findings; </w:t>
      </w:r>
    </w:p>
    <w:p w:rsidR="00674D07" w:rsidRPr="00674D07" w:rsidRDefault="00674D07" w:rsidP="00674D07">
      <w:pPr>
        <w:numPr>
          <w:ilvl w:val="0"/>
          <w:numId w:val="40"/>
        </w:numPr>
        <w:spacing w:after="240"/>
        <w:rPr>
          <w:rFonts w:cs="Arial"/>
          <w:szCs w:val="22"/>
        </w:rPr>
      </w:pPr>
      <w:r w:rsidRPr="00674D07">
        <w:rPr>
          <w:rFonts w:cs="Arial"/>
          <w:szCs w:val="22"/>
        </w:rPr>
        <w:t xml:space="preserve">any other reports </w:t>
      </w:r>
      <w:r w:rsidR="002C7B29">
        <w:rPr>
          <w:rFonts w:cs="Arial"/>
          <w:szCs w:val="22"/>
        </w:rPr>
        <w:t xml:space="preserve">and/or media as </w:t>
      </w:r>
      <w:r w:rsidRPr="00674D07">
        <w:rPr>
          <w:rFonts w:cs="Arial"/>
          <w:szCs w:val="22"/>
        </w:rPr>
        <w:t xml:space="preserve">agreed between HLF and the contractor; and </w:t>
      </w:r>
    </w:p>
    <w:p w:rsidR="00AE30CA" w:rsidRDefault="00674D07" w:rsidP="00AE30CA">
      <w:pPr>
        <w:numPr>
          <w:ilvl w:val="0"/>
          <w:numId w:val="40"/>
        </w:numPr>
        <w:spacing w:after="240"/>
        <w:rPr>
          <w:rFonts w:cs="Arial"/>
          <w:szCs w:val="22"/>
        </w:rPr>
      </w:pPr>
      <w:r w:rsidRPr="00674D07">
        <w:rPr>
          <w:rFonts w:cs="Arial"/>
          <w:szCs w:val="22"/>
        </w:rPr>
        <w:t>a set of research data, to be stored in a readily accessible electronic format</w:t>
      </w:r>
      <w:r w:rsidR="00116520">
        <w:rPr>
          <w:rFonts w:cs="Arial"/>
          <w:szCs w:val="22"/>
        </w:rPr>
        <w:t>,</w:t>
      </w:r>
      <w:r w:rsidRPr="00674D07">
        <w:rPr>
          <w:rFonts w:cs="Arial"/>
          <w:szCs w:val="22"/>
        </w:rPr>
        <w:t xml:space="preserve"> such as Excel</w:t>
      </w:r>
    </w:p>
    <w:p w:rsidR="00AE30CA" w:rsidRDefault="00AE30CA" w:rsidP="00AA368F">
      <w:pPr>
        <w:spacing w:after="240"/>
        <w:ind w:left="720" w:hanging="720"/>
        <w:rPr>
          <w:rFonts w:cs="Arial"/>
          <w:szCs w:val="22"/>
        </w:rPr>
      </w:pPr>
      <w:r>
        <w:rPr>
          <w:rFonts w:cs="Arial"/>
          <w:szCs w:val="22"/>
        </w:rPr>
        <w:t>3.</w:t>
      </w:r>
      <w:r w:rsidR="003F5DFB">
        <w:rPr>
          <w:rFonts w:cs="Arial"/>
          <w:szCs w:val="22"/>
        </w:rPr>
        <w:t>2</w:t>
      </w:r>
      <w:r>
        <w:rPr>
          <w:rFonts w:cs="Arial"/>
          <w:szCs w:val="22"/>
        </w:rPr>
        <w:tab/>
      </w:r>
      <w:r w:rsidR="00116520">
        <w:rPr>
          <w:rFonts w:cs="Arial"/>
          <w:szCs w:val="22"/>
        </w:rPr>
        <w:t>All</w:t>
      </w:r>
      <w:r w:rsidR="00674D07" w:rsidRPr="00AE30CA">
        <w:rPr>
          <w:rFonts w:cs="Arial"/>
          <w:szCs w:val="22"/>
        </w:rPr>
        <w:t xml:space="preserve"> reports should adhere to HLF’s accessibility and formatting guidance (appended).</w:t>
      </w:r>
    </w:p>
    <w:p w:rsidR="00AE30CA" w:rsidRDefault="00AE30CA" w:rsidP="00AA368F">
      <w:pPr>
        <w:spacing w:after="240"/>
        <w:ind w:left="720" w:hanging="720"/>
        <w:rPr>
          <w:rFonts w:cs="Arial"/>
          <w:szCs w:val="22"/>
        </w:rPr>
      </w:pPr>
      <w:r>
        <w:rPr>
          <w:rFonts w:cs="Arial"/>
          <w:szCs w:val="22"/>
        </w:rPr>
        <w:t>3.</w:t>
      </w:r>
      <w:r w:rsidR="003F5DFB">
        <w:rPr>
          <w:rFonts w:cs="Arial"/>
          <w:szCs w:val="22"/>
        </w:rPr>
        <w:t>3</w:t>
      </w:r>
      <w:r>
        <w:rPr>
          <w:rFonts w:cs="Arial"/>
          <w:szCs w:val="22"/>
        </w:rPr>
        <w:tab/>
      </w:r>
      <w:r w:rsidR="00674D07" w:rsidRPr="00674D07">
        <w:rPr>
          <w:rFonts w:cs="Arial"/>
          <w:szCs w:val="22"/>
        </w:rPr>
        <w:t>The results will be confidential to HLF. HLF may prepare or commission summary reports and other materials for subsequent wider dis</w:t>
      </w:r>
      <w:r>
        <w:rPr>
          <w:rFonts w:cs="Arial"/>
          <w:szCs w:val="22"/>
        </w:rPr>
        <w:t>tribution, based on the results</w:t>
      </w:r>
      <w:r w:rsidR="00116520">
        <w:rPr>
          <w:rFonts w:cs="Arial"/>
          <w:szCs w:val="22"/>
        </w:rPr>
        <w:t>.</w:t>
      </w:r>
    </w:p>
    <w:p w:rsidR="00AE30CA" w:rsidRDefault="00AE30CA" w:rsidP="003F5DFB">
      <w:pPr>
        <w:spacing w:after="240"/>
        <w:ind w:left="709" w:hanging="709"/>
        <w:rPr>
          <w:rFonts w:cs="Arial"/>
          <w:szCs w:val="22"/>
        </w:rPr>
      </w:pPr>
      <w:r>
        <w:rPr>
          <w:rFonts w:cs="Arial"/>
          <w:szCs w:val="22"/>
        </w:rPr>
        <w:t>3.</w:t>
      </w:r>
      <w:r w:rsidR="003F5DFB">
        <w:rPr>
          <w:rFonts w:cs="Arial"/>
          <w:szCs w:val="22"/>
        </w:rPr>
        <w:t>4</w:t>
      </w:r>
      <w:r>
        <w:rPr>
          <w:rFonts w:cs="Arial"/>
          <w:szCs w:val="22"/>
        </w:rPr>
        <w:tab/>
      </w:r>
      <w:r w:rsidR="00674D07" w:rsidRPr="00674D07">
        <w:rPr>
          <w:rFonts w:cs="Arial"/>
          <w:szCs w:val="22"/>
        </w:rPr>
        <w:t xml:space="preserve">All reports to include appendices as agreed between HLF and the contractor. </w:t>
      </w:r>
      <w:proofErr w:type="gramStart"/>
      <w:r w:rsidR="00674D07" w:rsidRPr="00674D07">
        <w:rPr>
          <w:rFonts w:cs="Arial"/>
          <w:szCs w:val="22"/>
        </w:rPr>
        <w:t>The contents and structure of the report to be agreed in advance of writing.</w:t>
      </w:r>
      <w:proofErr w:type="gramEnd"/>
      <w:r w:rsidR="00674D07" w:rsidRPr="00674D07">
        <w:rPr>
          <w:rFonts w:cs="Arial"/>
          <w:szCs w:val="22"/>
        </w:rPr>
        <w:t xml:space="preserve"> All reports to be supplied in both hard copy and electronic format.</w:t>
      </w:r>
    </w:p>
    <w:p w:rsidR="00674D07" w:rsidRDefault="00AE30CA" w:rsidP="003F5DFB">
      <w:pPr>
        <w:spacing w:after="240"/>
        <w:ind w:left="709" w:hanging="709"/>
        <w:rPr>
          <w:rFonts w:cs="Arial"/>
          <w:szCs w:val="22"/>
        </w:rPr>
      </w:pPr>
      <w:r>
        <w:rPr>
          <w:rFonts w:cs="Arial"/>
          <w:szCs w:val="22"/>
        </w:rPr>
        <w:lastRenderedPageBreak/>
        <w:t>3.</w:t>
      </w:r>
      <w:r w:rsidR="003F5DFB">
        <w:rPr>
          <w:rFonts w:cs="Arial"/>
          <w:szCs w:val="22"/>
        </w:rPr>
        <w:t>5</w:t>
      </w:r>
      <w:r>
        <w:rPr>
          <w:rFonts w:cs="Arial"/>
          <w:szCs w:val="22"/>
        </w:rPr>
        <w:tab/>
      </w:r>
      <w:r w:rsidR="00674D07" w:rsidRPr="00674D07">
        <w:rPr>
          <w:rFonts w:cs="Arial"/>
          <w:szCs w:val="22"/>
        </w:rPr>
        <w:t>All bidders are required to adhere to all appropriate regulations and guidelines on the collection, storage, transmission and destruction of personal data (</w:t>
      </w:r>
      <w:hyperlink r:id="rId12" w:history="1">
        <w:r w:rsidR="00674D07" w:rsidRPr="00674D07">
          <w:rPr>
            <w:rStyle w:val="Hyperlink"/>
            <w:rFonts w:cs="Arial"/>
            <w:szCs w:val="22"/>
          </w:rPr>
          <w:t>MRS/SRA, Data Protection Act 1998: Guidelines for Social Research, April 2013</w:t>
        </w:r>
      </w:hyperlink>
      <w:r w:rsidR="00674D07" w:rsidRPr="00674D07">
        <w:rPr>
          <w:rFonts w:cs="Arial"/>
          <w:szCs w:val="22"/>
        </w:rPr>
        <w:t>).</w:t>
      </w:r>
    </w:p>
    <w:p w:rsidR="00674D07" w:rsidRPr="00674D07" w:rsidRDefault="00AE30CA" w:rsidP="00A612E0">
      <w:pPr>
        <w:pStyle w:val="Heading1"/>
      </w:pPr>
      <w:r>
        <w:t>4</w:t>
      </w:r>
      <w:r>
        <w:tab/>
      </w:r>
      <w:r w:rsidR="00674D07" w:rsidRPr="00674D07">
        <w:t>Research management</w:t>
      </w:r>
    </w:p>
    <w:p w:rsidR="003F5DFB" w:rsidRDefault="00AE30CA" w:rsidP="003F5DFB">
      <w:pPr>
        <w:spacing w:after="240"/>
        <w:ind w:left="709" w:hanging="709"/>
        <w:rPr>
          <w:rFonts w:cs="Arial"/>
          <w:b/>
          <w:szCs w:val="22"/>
        </w:rPr>
      </w:pPr>
      <w:r>
        <w:rPr>
          <w:rFonts w:cs="Arial"/>
          <w:szCs w:val="22"/>
        </w:rPr>
        <w:t>4.1</w:t>
      </w:r>
      <w:r>
        <w:rPr>
          <w:rFonts w:cs="Arial"/>
          <w:szCs w:val="22"/>
        </w:rPr>
        <w:tab/>
      </w:r>
      <w:r w:rsidR="00674D07" w:rsidRPr="00674D07">
        <w:rPr>
          <w:rFonts w:cs="Arial"/>
          <w:szCs w:val="22"/>
        </w:rPr>
        <w:t xml:space="preserve">We expect the research to begin </w:t>
      </w:r>
      <w:r w:rsidR="007471BE">
        <w:rPr>
          <w:rFonts w:cs="Arial"/>
          <w:b/>
          <w:szCs w:val="22"/>
        </w:rPr>
        <w:t xml:space="preserve">in </w:t>
      </w:r>
      <w:r w:rsidR="00674D07" w:rsidRPr="00674D07">
        <w:rPr>
          <w:rFonts w:cs="Arial"/>
          <w:b/>
          <w:szCs w:val="22"/>
        </w:rPr>
        <w:t>October 2016</w:t>
      </w:r>
      <w:r w:rsidR="00674D07" w:rsidRPr="00674D07">
        <w:rPr>
          <w:rFonts w:cs="Arial"/>
          <w:szCs w:val="22"/>
        </w:rPr>
        <w:t xml:space="preserve"> </w:t>
      </w:r>
      <w:r w:rsidR="002C7B29">
        <w:rPr>
          <w:rFonts w:cs="Arial"/>
          <w:szCs w:val="22"/>
        </w:rPr>
        <w:t>with all discussion events c</w:t>
      </w:r>
      <w:r w:rsidR="00674D07" w:rsidRPr="00674D07">
        <w:rPr>
          <w:rFonts w:cs="Arial"/>
          <w:szCs w:val="22"/>
        </w:rPr>
        <w:t xml:space="preserve">ompleted by the end of </w:t>
      </w:r>
      <w:r w:rsidR="00674D07" w:rsidRPr="00674D07">
        <w:rPr>
          <w:rFonts w:cs="Arial"/>
          <w:b/>
          <w:szCs w:val="22"/>
        </w:rPr>
        <w:t>February 2017</w:t>
      </w:r>
      <w:r w:rsidR="00674D07" w:rsidRPr="00674D07">
        <w:rPr>
          <w:rFonts w:cs="Arial"/>
          <w:szCs w:val="22"/>
        </w:rPr>
        <w:t xml:space="preserve">. The final report shall be submitted to HLF by </w:t>
      </w:r>
      <w:r w:rsidR="007471BE" w:rsidRPr="007471BE">
        <w:rPr>
          <w:rFonts w:cs="Arial"/>
          <w:b/>
          <w:szCs w:val="22"/>
        </w:rPr>
        <w:t>31 March 2017</w:t>
      </w:r>
    </w:p>
    <w:p w:rsidR="003F5DFB" w:rsidRDefault="00AE30CA" w:rsidP="003F5DFB">
      <w:pPr>
        <w:spacing w:after="240"/>
        <w:ind w:left="709" w:hanging="709"/>
        <w:rPr>
          <w:rFonts w:cs="Arial"/>
          <w:szCs w:val="22"/>
        </w:rPr>
      </w:pPr>
      <w:r>
        <w:rPr>
          <w:rFonts w:cs="Arial"/>
          <w:szCs w:val="22"/>
        </w:rPr>
        <w:t>4.2</w:t>
      </w:r>
      <w:r>
        <w:rPr>
          <w:rFonts w:cs="Arial"/>
          <w:szCs w:val="22"/>
        </w:rPr>
        <w:tab/>
      </w:r>
      <w:r w:rsidR="00674D07" w:rsidRPr="00D86155">
        <w:rPr>
          <w:rFonts w:cs="Arial"/>
          <w:szCs w:val="22"/>
        </w:rPr>
        <w:t>The</w:t>
      </w:r>
      <w:r w:rsidR="002C7B29" w:rsidRPr="00D86155">
        <w:rPr>
          <w:rFonts w:cs="Arial"/>
          <w:szCs w:val="22"/>
        </w:rPr>
        <w:t xml:space="preserve"> anticipated budget is £10</w:t>
      </w:r>
      <w:r w:rsidR="00674D07" w:rsidRPr="00D86155">
        <w:rPr>
          <w:rFonts w:cs="Arial"/>
          <w:szCs w:val="22"/>
        </w:rPr>
        <w:t>0,000 to include all expenses and VAT. The contract will be let by the National Heritage Memorial Fund.</w:t>
      </w:r>
      <w:r w:rsidR="00D86155" w:rsidRPr="00D86155">
        <w:rPr>
          <w:rFonts w:cs="Arial"/>
          <w:szCs w:val="22"/>
        </w:rPr>
        <w:t xml:space="preserve"> Any expenses related to venue hire and participant recruitment must </w:t>
      </w:r>
      <w:r w:rsidR="003F5DFB">
        <w:rPr>
          <w:rFonts w:cs="Arial"/>
          <w:szCs w:val="22"/>
        </w:rPr>
        <w:t>be included within this budget.</w:t>
      </w:r>
    </w:p>
    <w:p w:rsidR="00AE30CA" w:rsidRDefault="003F5DFB" w:rsidP="003F5DFB">
      <w:pPr>
        <w:spacing w:after="240"/>
        <w:ind w:left="709" w:hanging="709"/>
        <w:rPr>
          <w:rFonts w:cs="Arial"/>
          <w:szCs w:val="22"/>
        </w:rPr>
      </w:pPr>
      <w:r>
        <w:rPr>
          <w:rFonts w:cs="Arial"/>
          <w:szCs w:val="22"/>
        </w:rPr>
        <w:t>4.3</w:t>
      </w:r>
      <w:r>
        <w:rPr>
          <w:rFonts w:cs="Arial"/>
          <w:szCs w:val="22"/>
        </w:rPr>
        <w:tab/>
      </w:r>
      <w:r w:rsidR="00674D07" w:rsidRPr="00D86155">
        <w:rPr>
          <w:rFonts w:cs="Arial"/>
          <w:szCs w:val="22"/>
        </w:rPr>
        <w:t>The payment schedule will be 20% at start up after contract exchange; other payments will be agreed with the contractor based on completion of agreed milestones, with 10% to be paid after approval of the final report.</w:t>
      </w:r>
    </w:p>
    <w:p w:rsidR="00AE30CA" w:rsidRDefault="00AE30CA" w:rsidP="00AE30CA">
      <w:pPr>
        <w:spacing w:after="240"/>
        <w:rPr>
          <w:rFonts w:cs="Arial"/>
          <w:szCs w:val="22"/>
        </w:rPr>
      </w:pPr>
      <w:r>
        <w:rPr>
          <w:rFonts w:cs="Arial"/>
          <w:szCs w:val="22"/>
        </w:rPr>
        <w:t>4.4</w:t>
      </w:r>
      <w:r>
        <w:rPr>
          <w:rFonts w:cs="Arial"/>
          <w:szCs w:val="22"/>
        </w:rPr>
        <w:tab/>
      </w:r>
      <w:r w:rsidR="00674D07" w:rsidRPr="00674D07">
        <w:rPr>
          <w:rFonts w:cs="Arial"/>
          <w:szCs w:val="22"/>
        </w:rPr>
        <w:t>The contract will be based on the HLF standard terms and conditions</w:t>
      </w:r>
    </w:p>
    <w:p w:rsidR="00674D07" w:rsidRDefault="00AE30CA" w:rsidP="00AE30CA">
      <w:pPr>
        <w:spacing w:after="240"/>
        <w:rPr>
          <w:rFonts w:cs="Arial"/>
          <w:szCs w:val="22"/>
        </w:rPr>
      </w:pPr>
      <w:r>
        <w:rPr>
          <w:rFonts w:cs="Arial"/>
          <w:szCs w:val="22"/>
        </w:rPr>
        <w:t>4.5</w:t>
      </w:r>
      <w:r>
        <w:rPr>
          <w:rFonts w:cs="Arial"/>
          <w:szCs w:val="22"/>
        </w:rPr>
        <w:tab/>
      </w:r>
      <w:r w:rsidR="00674D07" w:rsidRPr="00674D07">
        <w:rPr>
          <w:rFonts w:cs="Arial"/>
          <w:szCs w:val="22"/>
        </w:rPr>
        <w:t>The research will be managed on a day to day basis for HLF by</w:t>
      </w:r>
      <w:r w:rsidR="00674D07" w:rsidRPr="00674D07">
        <w:rPr>
          <w:rFonts w:cs="Arial"/>
          <w:b/>
          <w:szCs w:val="22"/>
        </w:rPr>
        <w:t xml:space="preserve"> </w:t>
      </w:r>
      <w:r w:rsidR="007B70B4">
        <w:rPr>
          <w:rFonts w:cs="Arial"/>
          <w:b/>
          <w:szCs w:val="22"/>
        </w:rPr>
        <w:t>Gareth Maeer</w:t>
      </w:r>
      <w:r w:rsidR="00674D07" w:rsidRPr="00674D07">
        <w:rPr>
          <w:rFonts w:cs="Arial"/>
          <w:szCs w:val="22"/>
        </w:rPr>
        <w:t>.</w:t>
      </w:r>
    </w:p>
    <w:p w:rsidR="00674D07" w:rsidRPr="00674D07" w:rsidRDefault="00AA368F" w:rsidP="00A612E0">
      <w:pPr>
        <w:pStyle w:val="Heading1"/>
      </w:pPr>
      <w:r>
        <w:t>5</w:t>
      </w:r>
      <w:r w:rsidR="00AE30CA">
        <w:tab/>
      </w:r>
      <w:r w:rsidR="00674D07" w:rsidRPr="00674D07">
        <w:t>Award Criteria</w:t>
      </w:r>
    </w:p>
    <w:p w:rsidR="00674D07" w:rsidRPr="00674D07" w:rsidRDefault="00AA368F" w:rsidP="00AE30CA">
      <w:pPr>
        <w:spacing w:after="240"/>
        <w:rPr>
          <w:rFonts w:cs="Arial"/>
          <w:szCs w:val="22"/>
        </w:rPr>
      </w:pPr>
      <w:r>
        <w:rPr>
          <w:rFonts w:cs="Arial"/>
          <w:szCs w:val="22"/>
        </w:rPr>
        <w:t>5</w:t>
      </w:r>
      <w:r w:rsidR="00AE30CA">
        <w:rPr>
          <w:rFonts w:cs="Arial"/>
          <w:szCs w:val="22"/>
        </w:rPr>
        <w:t>.</w:t>
      </w:r>
      <w:r>
        <w:rPr>
          <w:rFonts w:cs="Arial"/>
          <w:szCs w:val="22"/>
        </w:rPr>
        <w:t>1</w:t>
      </w:r>
      <w:r w:rsidR="00AE30CA">
        <w:rPr>
          <w:rFonts w:cs="Arial"/>
          <w:szCs w:val="22"/>
        </w:rPr>
        <w:tab/>
      </w:r>
      <w:r w:rsidR="00674D07" w:rsidRPr="00674D07">
        <w:rPr>
          <w:rFonts w:cs="Arial"/>
          <w:szCs w:val="22"/>
        </w:rPr>
        <w:t>A proposal for undertaking the work should include:</w:t>
      </w:r>
    </w:p>
    <w:p w:rsidR="00674D07" w:rsidRPr="00674D07" w:rsidRDefault="00674D07" w:rsidP="00674D07">
      <w:pPr>
        <w:numPr>
          <w:ilvl w:val="0"/>
          <w:numId w:val="33"/>
        </w:numPr>
        <w:spacing w:after="240"/>
        <w:rPr>
          <w:rFonts w:cs="Arial"/>
          <w:szCs w:val="22"/>
        </w:rPr>
      </w:pPr>
      <w:r w:rsidRPr="00674D07">
        <w:rPr>
          <w:rFonts w:cs="Arial"/>
          <w:szCs w:val="22"/>
        </w:rPr>
        <w:t>a detailed methodology for undertaking the study;</w:t>
      </w:r>
    </w:p>
    <w:p w:rsidR="00674D07" w:rsidRPr="00674D07" w:rsidRDefault="00674D07" w:rsidP="00674D07">
      <w:pPr>
        <w:numPr>
          <w:ilvl w:val="0"/>
          <w:numId w:val="33"/>
        </w:numPr>
        <w:spacing w:after="240"/>
        <w:rPr>
          <w:rFonts w:cs="Arial"/>
          <w:szCs w:val="22"/>
        </w:rPr>
      </w:pPr>
      <w:proofErr w:type="gramStart"/>
      <w:r w:rsidRPr="00674D07">
        <w:rPr>
          <w:rFonts w:cs="Arial"/>
          <w:szCs w:val="22"/>
        </w:rPr>
        <w:t>details</w:t>
      </w:r>
      <w:proofErr w:type="gramEnd"/>
      <w:r w:rsidRPr="00674D07">
        <w:rPr>
          <w:rFonts w:cs="Arial"/>
          <w:szCs w:val="22"/>
        </w:rPr>
        <w:t xml:space="preserve"> of staff allocated to the project, together with experience of the contractor and staff members in carrying out similar projects. The project manager / lead contact should be identified;</w:t>
      </w:r>
    </w:p>
    <w:p w:rsidR="00674D07" w:rsidRPr="00674D07" w:rsidRDefault="00674D07" w:rsidP="00674D07">
      <w:pPr>
        <w:numPr>
          <w:ilvl w:val="0"/>
          <w:numId w:val="33"/>
        </w:numPr>
        <w:spacing w:after="240"/>
        <w:rPr>
          <w:rFonts w:cs="Arial"/>
          <w:szCs w:val="22"/>
        </w:rPr>
      </w:pPr>
      <w:r w:rsidRPr="00674D07">
        <w:rPr>
          <w:rFonts w:cs="Arial"/>
          <w:szCs w:val="22"/>
        </w:rPr>
        <w:t>the allocation of days between members of the team;</w:t>
      </w:r>
    </w:p>
    <w:p w:rsidR="00674D07" w:rsidRPr="00674D07" w:rsidRDefault="00674D07" w:rsidP="00674D07">
      <w:pPr>
        <w:numPr>
          <w:ilvl w:val="0"/>
          <w:numId w:val="33"/>
        </w:numPr>
        <w:spacing w:after="240"/>
        <w:rPr>
          <w:rFonts w:cs="Arial"/>
          <w:szCs w:val="22"/>
        </w:rPr>
      </w:pPr>
      <w:r w:rsidRPr="00674D07">
        <w:rPr>
          <w:rFonts w:cs="Arial"/>
          <w:szCs w:val="22"/>
        </w:rPr>
        <w:t>the daily charging rate of individual staff involved;</w:t>
      </w:r>
    </w:p>
    <w:p w:rsidR="00674D07" w:rsidRPr="00674D07" w:rsidRDefault="00674D07" w:rsidP="00674D07">
      <w:pPr>
        <w:numPr>
          <w:ilvl w:val="0"/>
          <w:numId w:val="33"/>
        </w:numPr>
        <w:spacing w:after="240"/>
        <w:rPr>
          <w:rFonts w:cs="Arial"/>
          <w:szCs w:val="22"/>
        </w:rPr>
      </w:pPr>
      <w:r w:rsidRPr="00674D07">
        <w:rPr>
          <w:rFonts w:cs="Arial"/>
          <w:szCs w:val="22"/>
        </w:rPr>
        <w:t>a timescale for carrying out the project;</w:t>
      </w:r>
    </w:p>
    <w:p w:rsidR="00674D07" w:rsidRPr="00674D07" w:rsidRDefault="00674D07" w:rsidP="00674D07">
      <w:pPr>
        <w:numPr>
          <w:ilvl w:val="0"/>
          <w:numId w:val="33"/>
        </w:numPr>
        <w:spacing w:after="240"/>
        <w:rPr>
          <w:rFonts w:cs="Arial"/>
          <w:szCs w:val="22"/>
        </w:rPr>
      </w:pPr>
      <w:proofErr w:type="gramStart"/>
      <w:r w:rsidRPr="00674D07">
        <w:rPr>
          <w:rFonts w:cs="Arial"/>
          <w:szCs w:val="22"/>
        </w:rPr>
        <w:t>an</w:t>
      </w:r>
      <w:proofErr w:type="gramEnd"/>
      <w:r w:rsidRPr="00674D07">
        <w:rPr>
          <w:rFonts w:cs="Arial"/>
          <w:szCs w:val="22"/>
        </w:rPr>
        <w:t xml:space="preserve"> overall cost for the work.</w:t>
      </w:r>
    </w:p>
    <w:p w:rsidR="00674D07" w:rsidRPr="00674D07" w:rsidRDefault="00AA368F" w:rsidP="003F5DFB">
      <w:pPr>
        <w:spacing w:after="240"/>
        <w:ind w:left="709" w:hanging="709"/>
        <w:rPr>
          <w:rFonts w:cs="Arial"/>
          <w:szCs w:val="22"/>
        </w:rPr>
      </w:pPr>
      <w:r>
        <w:rPr>
          <w:rFonts w:cs="Arial"/>
          <w:szCs w:val="22"/>
        </w:rPr>
        <w:t>5.2</w:t>
      </w:r>
      <w:r>
        <w:rPr>
          <w:rFonts w:cs="Arial"/>
          <w:szCs w:val="22"/>
        </w:rPr>
        <w:tab/>
      </w:r>
      <w:r w:rsidR="00674D07" w:rsidRPr="00674D07">
        <w:rPr>
          <w:rFonts w:cs="Arial"/>
          <w:szCs w:val="22"/>
        </w:rPr>
        <w:t xml:space="preserve">Your Bid will be scored out of 100%. 70% of the marks will be allocated to your response to the Quality Questions below. Each question will be scored using the methodology in the table below.  Tender responses submitted will be assessed by HLF against the following </w:t>
      </w:r>
      <w:r w:rsidR="00674D07" w:rsidRPr="00674D07">
        <w:rPr>
          <w:rFonts w:cs="Arial"/>
          <w:szCs w:val="22"/>
          <w:u w:val="single"/>
        </w:rPr>
        <w:t>Quality Questions</w:t>
      </w:r>
      <w:r w:rsidR="00674D07" w:rsidRPr="00674D07">
        <w:rPr>
          <w:rFonts w:cs="Arial"/>
          <w:szCs w:val="22"/>
        </w:rPr>
        <w:t xml:space="preserve">:- </w:t>
      </w:r>
    </w:p>
    <w:p w:rsidR="00674D07" w:rsidRPr="00674D07" w:rsidRDefault="00674D07" w:rsidP="00674D07">
      <w:pPr>
        <w:numPr>
          <w:ilvl w:val="0"/>
          <w:numId w:val="36"/>
        </w:numPr>
        <w:spacing w:after="240"/>
        <w:rPr>
          <w:rFonts w:cs="Arial"/>
          <w:szCs w:val="22"/>
        </w:rPr>
      </w:pPr>
      <w:r w:rsidRPr="00674D07">
        <w:rPr>
          <w:rFonts w:cs="Arial"/>
          <w:szCs w:val="22"/>
        </w:rPr>
        <w:t>To what extent does the tender response demonstrate an understanding of the issues related to this evaluation brief?</w:t>
      </w:r>
    </w:p>
    <w:p w:rsidR="00674D07" w:rsidRPr="00674D07" w:rsidRDefault="00674D07" w:rsidP="00674D07">
      <w:pPr>
        <w:numPr>
          <w:ilvl w:val="0"/>
          <w:numId w:val="36"/>
        </w:numPr>
        <w:spacing w:after="240"/>
        <w:rPr>
          <w:rFonts w:cs="Arial"/>
          <w:szCs w:val="22"/>
        </w:rPr>
      </w:pPr>
      <w:r w:rsidRPr="00674D07">
        <w:rPr>
          <w:rFonts w:cs="Arial"/>
          <w:szCs w:val="22"/>
        </w:rPr>
        <w:t>To what extent is the methodology appropriate to the evaluation requirements set out in this brief?</w:t>
      </w:r>
    </w:p>
    <w:p w:rsidR="00674D07" w:rsidRPr="00674D07" w:rsidRDefault="00674D07" w:rsidP="00674D07">
      <w:pPr>
        <w:numPr>
          <w:ilvl w:val="0"/>
          <w:numId w:val="36"/>
        </w:numPr>
        <w:spacing w:after="240"/>
        <w:rPr>
          <w:rFonts w:cs="Arial"/>
          <w:szCs w:val="22"/>
        </w:rPr>
      </w:pPr>
      <w:r w:rsidRPr="00674D07">
        <w:rPr>
          <w:rFonts w:cs="Arial"/>
          <w:szCs w:val="22"/>
        </w:rPr>
        <w:t>What is the extent of the experience of similar heritage evaluation?</w:t>
      </w:r>
    </w:p>
    <w:p w:rsidR="00674D07" w:rsidRPr="00674D07" w:rsidRDefault="00674D07" w:rsidP="00674D07">
      <w:pPr>
        <w:numPr>
          <w:ilvl w:val="0"/>
          <w:numId w:val="36"/>
        </w:numPr>
        <w:spacing w:after="240"/>
        <w:rPr>
          <w:rFonts w:cs="Arial"/>
          <w:b/>
          <w:szCs w:val="22"/>
        </w:rPr>
      </w:pPr>
      <w:r w:rsidRPr="00674D07">
        <w:rPr>
          <w:rFonts w:cs="Arial"/>
          <w:szCs w:val="22"/>
        </w:rPr>
        <w:lastRenderedPageBreak/>
        <w:t>How well has the tenderer structured a research team in order to successfully manage the contract and deliver the required work to the budget and timetable required by HLF?</w:t>
      </w:r>
    </w:p>
    <w:p w:rsidR="00674D07" w:rsidRPr="00674D07" w:rsidRDefault="00674D07" w:rsidP="00244E22">
      <w:pPr>
        <w:pStyle w:val="Heading2"/>
      </w:pPr>
      <w:r w:rsidRPr="00674D07">
        <w:t xml:space="preserve">Quality Questions scoring </w:t>
      </w:r>
      <w:r w:rsidRPr="00244E22">
        <w:t>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674D07" w:rsidRPr="00674D07" w:rsidTr="00674D0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rsidR="00674D07" w:rsidRPr="00674D07" w:rsidRDefault="00674D07" w:rsidP="00674D07">
            <w:pPr>
              <w:spacing w:after="240"/>
              <w:rPr>
                <w:rFonts w:cs="Arial"/>
                <w:b w:val="0"/>
                <w:bCs w:val="0"/>
                <w:color w:val="auto"/>
                <w:szCs w:val="22"/>
                <w:lang w:val="en-US"/>
              </w:rPr>
            </w:pPr>
            <w:r w:rsidRPr="00674D07">
              <w:rPr>
                <w:rFonts w:cs="Arial"/>
                <w:b w:val="0"/>
                <w:bCs w:val="0"/>
                <w:color w:val="auto"/>
                <w:szCs w:val="22"/>
                <w:lang w:val="en-US"/>
              </w:rPr>
              <w:t>Score</w:t>
            </w:r>
          </w:p>
        </w:tc>
        <w:tc>
          <w:tcPr>
            <w:tcW w:w="1957" w:type="dxa"/>
          </w:tcPr>
          <w:p w:rsidR="00674D07" w:rsidRPr="00674D07" w:rsidRDefault="00674D07" w:rsidP="00674D07">
            <w:pPr>
              <w:spacing w:after="240"/>
              <w:cnfStyle w:val="100000000000" w:firstRow="1" w:lastRow="0" w:firstColumn="0" w:lastColumn="0" w:oddVBand="0" w:evenVBand="0" w:oddHBand="0" w:evenHBand="0" w:firstRowFirstColumn="0" w:firstRowLastColumn="0" w:lastRowFirstColumn="0" w:lastRowLastColumn="0"/>
              <w:rPr>
                <w:rFonts w:cs="Arial"/>
                <w:b w:val="0"/>
                <w:bCs w:val="0"/>
                <w:color w:val="auto"/>
                <w:szCs w:val="22"/>
                <w:lang w:val="en-US"/>
              </w:rPr>
            </w:pPr>
            <w:r w:rsidRPr="00674D07">
              <w:rPr>
                <w:rFonts w:cs="Arial"/>
                <w:b w:val="0"/>
                <w:bCs w:val="0"/>
                <w:color w:val="auto"/>
                <w:szCs w:val="22"/>
                <w:lang w:val="en-US"/>
              </w:rPr>
              <w:t>Word descriptor</w:t>
            </w:r>
          </w:p>
        </w:tc>
        <w:tc>
          <w:tcPr>
            <w:tcW w:w="4989" w:type="dxa"/>
          </w:tcPr>
          <w:p w:rsidR="00674D07" w:rsidRPr="00674D07" w:rsidRDefault="00674D07" w:rsidP="00674D07">
            <w:pPr>
              <w:spacing w:after="240"/>
              <w:cnfStyle w:val="100000000000" w:firstRow="1" w:lastRow="0" w:firstColumn="0" w:lastColumn="0" w:oddVBand="0" w:evenVBand="0" w:oddHBand="0" w:evenHBand="0" w:firstRowFirstColumn="0" w:firstRowLastColumn="0" w:lastRowFirstColumn="0" w:lastRowLastColumn="0"/>
              <w:rPr>
                <w:rFonts w:cs="Arial"/>
                <w:b w:val="0"/>
                <w:bCs w:val="0"/>
                <w:color w:val="auto"/>
                <w:szCs w:val="22"/>
                <w:lang w:val="en-US"/>
              </w:rPr>
            </w:pPr>
            <w:r w:rsidRPr="00674D07">
              <w:rPr>
                <w:rFonts w:cs="Arial"/>
                <w:b w:val="0"/>
                <w:bCs w:val="0"/>
                <w:color w:val="auto"/>
                <w:szCs w:val="22"/>
                <w:lang w:val="en-US"/>
              </w:rPr>
              <w:t>Description</w:t>
            </w:r>
          </w:p>
        </w:tc>
      </w:tr>
      <w:tr w:rsidR="00674D07" w:rsidRPr="00674D07" w:rsidTr="0067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674D07" w:rsidRPr="00674D07" w:rsidRDefault="00674D07" w:rsidP="00674D07">
            <w:pPr>
              <w:spacing w:after="240"/>
              <w:rPr>
                <w:rFonts w:cs="Arial"/>
                <w:b w:val="0"/>
                <w:bCs w:val="0"/>
                <w:szCs w:val="22"/>
                <w:lang w:val="en-US"/>
              </w:rPr>
            </w:pPr>
            <w:r w:rsidRPr="00674D07">
              <w:rPr>
                <w:rFonts w:cs="Arial"/>
                <w:b w:val="0"/>
                <w:bCs w:val="0"/>
                <w:szCs w:val="22"/>
                <w:lang w:val="en-US"/>
              </w:rPr>
              <w:t>0</w:t>
            </w:r>
          </w:p>
        </w:tc>
        <w:tc>
          <w:tcPr>
            <w:tcW w:w="1957" w:type="dxa"/>
          </w:tcPr>
          <w:p w:rsidR="00674D07" w:rsidRPr="00674D07" w:rsidRDefault="00674D07" w:rsidP="00674D07">
            <w:pPr>
              <w:spacing w:after="240"/>
              <w:cnfStyle w:val="000000100000" w:firstRow="0" w:lastRow="0" w:firstColumn="0" w:lastColumn="0" w:oddVBand="0" w:evenVBand="0" w:oddHBand="1" w:evenHBand="0" w:firstRowFirstColumn="0" w:firstRowLastColumn="0" w:lastRowFirstColumn="0" w:lastRowLastColumn="0"/>
              <w:rPr>
                <w:rFonts w:cs="Arial"/>
                <w:szCs w:val="22"/>
                <w:lang w:val="en-US"/>
              </w:rPr>
            </w:pPr>
            <w:r w:rsidRPr="00674D07">
              <w:rPr>
                <w:rFonts w:cs="Arial"/>
                <w:szCs w:val="22"/>
                <w:lang w:val="en-US"/>
              </w:rPr>
              <w:t>Poor</w:t>
            </w:r>
          </w:p>
          <w:p w:rsidR="00674D07" w:rsidRPr="00674D07" w:rsidRDefault="00674D07" w:rsidP="00674D07">
            <w:pPr>
              <w:spacing w:after="240"/>
              <w:cnfStyle w:val="000000100000" w:firstRow="0" w:lastRow="0" w:firstColumn="0" w:lastColumn="0" w:oddVBand="0" w:evenVBand="0" w:oddHBand="1" w:evenHBand="0" w:firstRowFirstColumn="0" w:firstRowLastColumn="0" w:lastRowFirstColumn="0" w:lastRowLastColumn="0"/>
              <w:rPr>
                <w:rFonts w:cs="Arial"/>
                <w:szCs w:val="22"/>
                <w:lang w:val="en-US"/>
              </w:rPr>
            </w:pPr>
          </w:p>
        </w:tc>
        <w:tc>
          <w:tcPr>
            <w:tcW w:w="4989" w:type="dxa"/>
            <w:hideMark/>
          </w:tcPr>
          <w:p w:rsidR="00674D07" w:rsidRPr="00674D07" w:rsidRDefault="00674D07" w:rsidP="00674D07">
            <w:pPr>
              <w:spacing w:after="240"/>
              <w:cnfStyle w:val="000000100000" w:firstRow="0" w:lastRow="0" w:firstColumn="0" w:lastColumn="0" w:oddVBand="0" w:evenVBand="0" w:oddHBand="1" w:evenHBand="0" w:firstRowFirstColumn="0" w:firstRowLastColumn="0" w:lastRowFirstColumn="0" w:lastRowLastColumn="0"/>
              <w:rPr>
                <w:rFonts w:cs="Arial"/>
                <w:szCs w:val="22"/>
                <w:lang w:val="en-US"/>
              </w:rPr>
            </w:pPr>
            <w:r w:rsidRPr="00674D07">
              <w:rPr>
                <w:rFonts w:cs="Arial"/>
                <w:szCs w:val="22"/>
                <w:lang w:val="en-US"/>
              </w:rPr>
              <w:t>No response or partial response and poor evidence provided in support of it.  Does not give the HLF confidence in the ability of the Bidder to deliver the Contract.</w:t>
            </w:r>
          </w:p>
        </w:tc>
      </w:tr>
      <w:tr w:rsidR="00674D07" w:rsidRPr="00674D07" w:rsidTr="00674D07">
        <w:tc>
          <w:tcPr>
            <w:cnfStyle w:val="001000000000" w:firstRow="0" w:lastRow="0" w:firstColumn="1" w:lastColumn="0" w:oddVBand="0" w:evenVBand="0" w:oddHBand="0" w:evenHBand="0" w:firstRowFirstColumn="0" w:firstRowLastColumn="0" w:lastRowFirstColumn="0" w:lastRowLastColumn="0"/>
            <w:tcW w:w="1445" w:type="dxa"/>
            <w:hideMark/>
          </w:tcPr>
          <w:p w:rsidR="00674D07" w:rsidRPr="00674D07" w:rsidRDefault="00674D07" w:rsidP="00674D07">
            <w:pPr>
              <w:spacing w:after="240"/>
              <w:rPr>
                <w:rFonts w:cs="Arial"/>
                <w:b w:val="0"/>
                <w:bCs w:val="0"/>
                <w:szCs w:val="22"/>
                <w:lang w:val="en-US"/>
              </w:rPr>
            </w:pPr>
            <w:r w:rsidRPr="00674D07">
              <w:rPr>
                <w:rFonts w:cs="Arial"/>
                <w:b w:val="0"/>
                <w:bCs w:val="0"/>
                <w:szCs w:val="22"/>
                <w:lang w:val="en-US"/>
              </w:rPr>
              <w:t>1</w:t>
            </w:r>
          </w:p>
        </w:tc>
        <w:tc>
          <w:tcPr>
            <w:tcW w:w="1957" w:type="dxa"/>
          </w:tcPr>
          <w:p w:rsidR="00674D07" w:rsidRPr="00674D07" w:rsidRDefault="00674D07" w:rsidP="00674D07">
            <w:pPr>
              <w:spacing w:after="240"/>
              <w:cnfStyle w:val="000000000000" w:firstRow="0" w:lastRow="0" w:firstColumn="0" w:lastColumn="0" w:oddVBand="0" w:evenVBand="0" w:oddHBand="0" w:evenHBand="0" w:firstRowFirstColumn="0" w:firstRowLastColumn="0" w:lastRowFirstColumn="0" w:lastRowLastColumn="0"/>
              <w:rPr>
                <w:rFonts w:cs="Arial"/>
                <w:szCs w:val="22"/>
                <w:lang w:val="en-US"/>
              </w:rPr>
            </w:pPr>
            <w:r w:rsidRPr="00674D07">
              <w:rPr>
                <w:rFonts w:cs="Arial"/>
                <w:szCs w:val="22"/>
                <w:lang w:val="en-US"/>
              </w:rPr>
              <w:t>Weak</w:t>
            </w:r>
          </w:p>
          <w:p w:rsidR="00674D07" w:rsidRPr="00674D07" w:rsidRDefault="00674D07" w:rsidP="00674D07">
            <w:pPr>
              <w:spacing w:after="240"/>
              <w:cnfStyle w:val="000000000000" w:firstRow="0" w:lastRow="0" w:firstColumn="0" w:lastColumn="0" w:oddVBand="0" w:evenVBand="0" w:oddHBand="0" w:evenHBand="0" w:firstRowFirstColumn="0" w:firstRowLastColumn="0" w:lastRowFirstColumn="0" w:lastRowLastColumn="0"/>
              <w:rPr>
                <w:rFonts w:cs="Arial"/>
                <w:szCs w:val="22"/>
                <w:lang w:val="en-US"/>
              </w:rPr>
            </w:pPr>
          </w:p>
        </w:tc>
        <w:tc>
          <w:tcPr>
            <w:tcW w:w="4989" w:type="dxa"/>
            <w:hideMark/>
          </w:tcPr>
          <w:p w:rsidR="00674D07" w:rsidRPr="00674D07" w:rsidRDefault="00674D07" w:rsidP="00674D07">
            <w:pPr>
              <w:spacing w:after="240"/>
              <w:cnfStyle w:val="000000000000" w:firstRow="0" w:lastRow="0" w:firstColumn="0" w:lastColumn="0" w:oddVBand="0" w:evenVBand="0" w:oddHBand="0" w:evenHBand="0" w:firstRowFirstColumn="0" w:firstRowLastColumn="0" w:lastRowFirstColumn="0" w:lastRowLastColumn="0"/>
              <w:rPr>
                <w:rFonts w:cs="Arial"/>
                <w:szCs w:val="22"/>
                <w:lang w:val="en-US"/>
              </w:rPr>
            </w:pPr>
            <w:r w:rsidRPr="00674D07">
              <w:rPr>
                <w:rFonts w:cs="Arial"/>
                <w:szCs w:val="22"/>
                <w:lang w:val="en-US"/>
              </w:rPr>
              <w:t>Response is supported by a weak standard of evidence in several areas giving rise to concern about the ability of the Bidder to deliver the Contract.</w:t>
            </w:r>
          </w:p>
        </w:tc>
      </w:tr>
      <w:tr w:rsidR="00674D07" w:rsidRPr="00674D07" w:rsidTr="0067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674D07" w:rsidRPr="00674D07" w:rsidRDefault="00674D07" w:rsidP="00674D07">
            <w:pPr>
              <w:spacing w:after="240"/>
              <w:rPr>
                <w:rFonts w:cs="Arial"/>
                <w:b w:val="0"/>
                <w:bCs w:val="0"/>
                <w:szCs w:val="22"/>
                <w:lang w:val="en-US"/>
              </w:rPr>
            </w:pPr>
            <w:r w:rsidRPr="00674D07">
              <w:rPr>
                <w:rFonts w:cs="Arial"/>
                <w:b w:val="0"/>
                <w:bCs w:val="0"/>
                <w:szCs w:val="22"/>
                <w:lang w:val="en-US"/>
              </w:rPr>
              <w:t>2</w:t>
            </w:r>
          </w:p>
        </w:tc>
        <w:tc>
          <w:tcPr>
            <w:tcW w:w="1957" w:type="dxa"/>
          </w:tcPr>
          <w:p w:rsidR="00674D07" w:rsidRPr="00674D07" w:rsidRDefault="00674D07" w:rsidP="00674D07">
            <w:pPr>
              <w:spacing w:after="240"/>
              <w:cnfStyle w:val="000000100000" w:firstRow="0" w:lastRow="0" w:firstColumn="0" w:lastColumn="0" w:oddVBand="0" w:evenVBand="0" w:oddHBand="1" w:evenHBand="0" w:firstRowFirstColumn="0" w:firstRowLastColumn="0" w:lastRowFirstColumn="0" w:lastRowLastColumn="0"/>
              <w:rPr>
                <w:rFonts w:cs="Arial"/>
                <w:szCs w:val="22"/>
                <w:lang w:val="en-US"/>
              </w:rPr>
            </w:pPr>
            <w:r w:rsidRPr="00674D07">
              <w:rPr>
                <w:rFonts w:cs="Arial"/>
                <w:szCs w:val="22"/>
                <w:lang w:val="en-US"/>
              </w:rPr>
              <w:t>Satisfactory</w:t>
            </w:r>
          </w:p>
          <w:p w:rsidR="00674D07" w:rsidRPr="00674D07" w:rsidRDefault="00674D07" w:rsidP="00674D07">
            <w:pPr>
              <w:spacing w:after="240"/>
              <w:cnfStyle w:val="000000100000" w:firstRow="0" w:lastRow="0" w:firstColumn="0" w:lastColumn="0" w:oddVBand="0" w:evenVBand="0" w:oddHBand="1" w:evenHBand="0" w:firstRowFirstColumn="0" w:firstRowLastColumn="0" w:lastRowFirstColumn="0" w:lastRowLastColumn="0"/>
              <w:rPr>
                <w:rFonts w:cs="Arial"/>
                <w:szCs w:val="22"/>
                <w:lang w:val="en-US"/>
              </w:rPr>
            </w:pPr>
          </w:p>
        </w:tc>
        <w:tc>
          <w:tcPr>
            <w:tcW w:w="4989" w:type="dxa"/>
            <w:hideMark/>
          </w:tcPr>
          <w:p w:rsidR="00674D07" w:rsidRPr="00674D07" w:rsidRDefault="00674D07" w:rsidP="00674D07">
            <w:pPr>
              <w:spacing w:after="240"/>
              <w:cnfStyle w:val="000000100000" w:firstRow="0" w:lastRow="0" w:firstColumn="0" w:lastColumn="0" w:oddVBand="0" w:evenVBand="0" w:oddHBand="1" w:evenHBand="0" w:firstRowFirstColumn="0" w:firstRowLastColumn="0" w:lastRowFirstColumn="0" w:lastRowLastColumn="0"/>
              <w:rPr>
                <w:rFonts w:cs="Arial"/>
                <w:szCs w:val="22"/>
                <w:lang w:val="en-US"/>
              </w:rPr>
            </w:pPr>
            <w:r w:rsidRPr="00674D07">
              <w:rPr>
                <w:rFonts w:cs="Arial"/>
                <w:szCs w:val="22"/>
                <w:lang w:val="en-US"/>
              </w:rPr>
              <w:t>Response is supported by a satisfactory standard of evidence in most areas but a few areas lacking detail/evidence giving rise to some concerns about the ability of the Bidder to deliver the Contract.</w:t>
            </w:r>
          </w:p>
        </w:tc>
      </w:tr>
      <w:tr w:rsidR="00674D07" w:rsidRPr="00674D07" w:rsidTr="00674D07">
        <w:tc>
          <w:tcPr>
            <w:cnfStyle w:val="001000000000" w:firstRow="0" w:lastRow="0" w:firstColumn="1" w:lastColumn="0" w:oddVBand="0" w:evenVBand="0" w:oddHBand="0" w:evenHBand="0" w:firstRowFirstColumn="0" w:firstRowLastColumn="0" w:lastRowFirstColumn="0" w:lastRowLastColumn="0"/>
            <w:tcW w:w="1445" w:type="dxa"/>
            <w:hideMark/>
          </w:tcPr>
          <w:p w:rsidR="00674D07" w:rsidRPr="00674D07" w:rsidRDefault="00674D07" w:rsidP="00674D07">
            <w:pPr>
              <w:spacing w:after="240"/>
              <w:rPr>
                <w:rFonts w:cs="Arial"/>
                <w:b w:val="0"/>
                <w:bCs w:val="0"/>
                <w:szCs w:val="22"/>
                <w:lang w:val="en-US"/>
              </w:rPr>
            </w:pPr>
            <w:r w:rsidRPr="00674D07">
              <w:rPr>
                <w:rFonts w:cs="Arial"/>
                <w:b w:val="0"/>
                <w:bCs w:val="0"/>
                <w:szCs w:val="22"/>
                <w:lang w:val="en-US"/>
              </w:rPr>
              <w:t>3</w:t>
            </w:r>
          </w:p>
        </w:tc>
        <w:tc>
          <w:tcPr>
            <w:tcW w:w="1957" w:type="dxa"/>
          </w:tcPr>
          <w:p w:rsidR="00674D07" w:rsidRPr="00674D07" w:rsidRDefault="00674D07" w:rsidP="00674D07">
            <w:pPr>
              <w:spacing w:after="240"/>
              <w:cnfStyle w:val="000000000000" w:firstRow="0" w:lastRow="0" w:firstColumn="0" w:lastColumn="0" w:oddVBand="0" w:evenVBand="0" w:oddHBand="0" w:evenHBand="0" w:firstRowFirstColumn="0" w:firstRowLastColumn="0" w:lastRowFirstColumn="0" w:lastRowLastColumn="0"/>
              <w:rPr>
                <w:rFonts w:cs="Arial"/>
                <w:szCs w:val="22"/>
                <w:lang w:val="en-US"/>
              </w:rPr>
            </w:pPr>
            <w:r w:rsidRPr="00674D07">
              <w:rPr>
                <w:rFonts w:cs="Arial"/>
                <w:szCs w:val="22"/>
                <w:lang w:val="en-US"/>
              </w:rPr>
              <w:t>Good</w:t>
            </w:r>
          </w:p>
          <w:p w:rsidR="00674D07" w:rsidRPr="00674D07" w:rsidRDefault="00674D07" w:rsidP="00674D07">
            <w:pPr>
              <w:spacing w:after="240"/>
              <w:cnfStyle w:val="000000000000" w:firstRow="0" w:lastRow="0" w:firstColumn="0" w:lastColumn="0" w:oddVBand="0" w:evenVBand="0" w:oddHBand="0" w:evenHBand="0" w:firstRowFirstColumn="0" w:firstRowLastColumn="0" w:lastRowFirstColumn="0" w:lastRowLastColumn="0"/>
              <w:rPr>
                <w:rFonts w:cs="Arial"/>
                <w:szCs w:val="22"/>
                <w:lang w:val="en-US"/>
              </w:rPr>
            </w:pPr>
          </w:p>
        </w:tc>
        <w:tc>
          <w:tcPr>
            <w:tcW w:w="4989" w:type="dxa"/>
            <w:hideMark/>
          </w:tcPr>
          <w:p w:rsidR="00674D07" w:rsidRPr="00674D07" w:rsidRDefault="00674D07" w:rsidP="00674D07">
            <w:pPr>
              <w:spacing w:after="240"/>
              <w:cnfStyle w:val="000000000000" w:firstRow="0" w:lastRow="0" w:firstColumn="0" w:lastColumn="0" w:oddVBand="0" w:evenVBand="0" w:oddHBand="0" w:evenHBand="0" w:firstRowFirstColumn="0" w:firstRowLastColumn="0" w:lastRowFirstColumn="0" w:lastRowLastColumn="0"/>
              <w:rPr>
                <w:rFonts w:cs="Arial"/>
                <w:szCs w:val="22"/>
                <w:lang w:val="en-US"/>
              </w:rPr>
            </w:pPr>
            <w:r w:rsidRPr="00674D07">
              <w:rPr>
                <w:rFonts w:cs="Arial"/>
                <w:szCs w:val="22"/>
                <w:lang w:val="en-US"/>
              </w:rPr>
              <w:t>Response is comprehensive and supported by good standard of evidence. Gives the HLF confidence in the ability of the Bidder to deliver the contract. Meets the HLF’s requirements.</w:t>
            </w:r>
          </w:p>
        </w:tc>
      </w:tr>
      <w:tr w:rsidR="00674D07" w:rsidRPr="00674D07" w:rsidTr="0067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674D07" w:rsidRPr="00674D07" w:rsidRDefault="00674D07" w:rsidP="00674D07">
            <w:pPr>
              <w:spacing w:after="240"/>
              <w:rPr>
                <w:rFonts w:cs="Arial"/>
                <w:b w:val="0"/>
                <w:bCs w:val="0"/>
                <w:szCs w:val="22"/>
                <w:lang w:val="en-US"/>
              </w:rPr>
            </w:pPr>
            <w:r w:rsidRPr="00674D07">
              <w:rPr>
                <w:rFonts w:cs="Arial"/>
                <w:b w:val="0"/>
                <w:bCs w:val="0"/>
                <w:szCs w:val="22"/>
                <w:lang w:val="en-US"/>
              </w:rPr>
              <w:t>4</w:t>
            </w:r>
          </w:p>
        </w:tc>
        <w:tc>
          <w:tcPr>
            <w:tcW w:w="1957" w:type="dxa"/>
          </w:tcPr>
          <w:p w:rsidR="00674D07" w:rsidRPr="00674D07" w:rsidRDefault="00674D07" w:rsidP="00674D07">
            <w:pPr>
              <w:spacing w:after="240"/>
              <w:cnfStyle w:val="000000100000" w:firstRow="0" w:lastRow="0" w:firstColumn="0" w:lastColumn="0" w:oddVBand="0" w:evenVBand="0" w:oddHBand="1" w:evenHBand="0" w:firstRowFirstColumn="0" w:firstRowLastColumn="0" w:lastRowFirstColumn="0" w:lastRowLastColumn="0"/>
              <w:rPr>
                <w:rFonts w:cs="Arial"/>
                <w:szCs w:val="22"/>
                <w:lang w:val="en-US"/>
              </w:rPr>
            </w:pPr>
            <w:r w:rsidRPr="00674D07">
              <w:rPr>
                <w:rFonts w:cs="Arial"/>
                <w:szCs w:val="22"/>
                <w:lang w:val="en-US"/>
              </w:rPr>
              <w:t>Very good</w:t>
            </w:r>
          </w:p>
          <w:p w:rsidR="00674D07" w:rsidRPr="00674D07" w:rsidRDefault="00674D07" w:rsidP="00674D07">
            <w:pPr>
              <w:spacing w:after="240"/>
              <w:cnfStyle w:val="000000100000" w:firstRow="0" w:lastRow="0" w:firstColumn="0" w:lastColumn="0" w:oddVBand="0" w:evenVBand="0" w:oddHBand="1" w:evenHBand="0" w:firstRowFirstColumn="0" w:firstRowLastColumn="0" w:lastRowFirstColumn="0" w:lastRowLastColumn="0"/>
              <w:rPr>
                <w:rFonts w:cs="Arial"/>
                <w:szCs w:val="22"/>
                <w:lang w:val="en-US"/>
              </w:rPr>
            </w:pPr>
          </w:p>
        </w:tc>
        <w:tc>
          <w:tcPr>
            <w:tcW w:w="4989" w:type="dxa"/>
            <w:hideMark/>
          </w:tcPr>
          <w:p w:rsidR="00674D07" w:rsidRPr="00674D07" w:rsidRDefault="00674D07" w:rsidP="00674D07">
            <w:pPr>
              <w:spacing w:after="240"/>
              <w:cnfStyle w:val="000000100000" w:firstRow="0" w:lastRow="0" w:firstColumn="0" w:lastColumn="0" w:oddVBand="0" w:evenVBand="0" w:oddHBand="1" w:evenHBand="0" w:firstRowFirstColumn="0" w:firstRowLastColumn="0" w:lastRowFirstColumn="0" w:lastRowLastColumn="0"/>
              <w:rPr>
                <w:rFonts w:cs="Arial"/>
                <w:szCs w:val="22"/>
                <w:lang w:val="en-US"/>
              </w:rPr>
            </w:pPr>
            <w:r w:rsidRPr="00674D07">
              <w:rPr>
                <w:rFonts w:cs="Arial"/>
                <w:szCs w:val="22"/>
                <w:lang w:val="en-US"/>
              </w:rPr>
              <w:t xml:space="preserve">Response is comprehensive and supported by a high standard of evidence. Gives the HLF a high level of confidence in the ability of the Bidder to deliver the contract. May exceed the HLF’s requirements in some respects. </w:t>
            </w:r>
          </w:p>
        </w:tc>
      </w:tr>
      <w:tr w:rsidR="00674D07" w:rsidRPr="00674D07" w:rsidTr="00674D07">
        <w:tc>
          <w:tcPr>
            <w:cnfStyle w:val="001000000000" w:firstRow="0" w:lastRow="0" w:firstColumn="1" w:lastColumn="0" w:oddVBand="0" w:evenVBand="0" w:oddHBand="0" w:evenHBand="0" w:firstRowFirstColumn="0" w:firstRowLastColumn="0" w:lastRowFirstColumn="0" w:lastRowLastColumn="0"/>
            <w:tcW w:w="1445" w:type="dxa"/>
            <w:hideMark/>
          </w:tcPr>
          <w:p w:rsidR="00674D07" w:rsidRPr="00674D07" w:rsidRDefault="00674D07" w:rsidP="00674D07">
            <w:pPr>
              <w:spacing w:after="240"/>
              <w:rPr>
                <w:rFonts w:cs="Arial"/>
                <w:b w:val="0"/>
                <w:bCs w:val="0"/>
                <w:szCs w:val="22"/>
                <w:lang w:val="en-US"/>
              </w:rPr>
            </w:pPr>
            <w:r w:rsidRPr="00674D07">
              <w:rPr>
                <w:rFonts w:cs="Arial"/>
                <w:b w:val="0"/>
                <w:bCs w:val="0"/>
                <w:szCs w:val="22"/>
                <w:lang w:val="en-US"/>
              </w:rPr>
              <w:t>5</w:t>
            </w:r>
          </w:p>
        </w:tc>
        <w:tc>
          <w:tcPr>
            <w:tcW w:w="1957" w:type="dxa"/>
            <w:hideMark/>
          </w:tcPr>
          <w:p w:rsidR="00674D07" w:rsidRPr="00674D07" w:rsidRDefault="00674D07" w:rsidP="00674D07">
            <w:pPr>
              <w:spacing w:after="240"/>
              <w:cnfStyle w:val="000000000000" w:firstRow="0" w:lastRow="0" w:firstColumn="0" w:lastColumn="0" w:oddVBand="0" w:evenVBand="0" w:oddHBand="0" w:evenHBand="0" w:firstRowFirstColumn="0" w:firstRowLastColumn="0" w:lastRowFirstColumn="0" w:lastRowLastColumn="0"/>
              <w:rPr>
                <w:rFonts w:cs="Arial"/>
                <w:szCs w:val="22"/>
                <w:lang w:val="en-US"/>
              </w:rPr>
            </w:pPr>
            <w:r w:rsidRPr="00674D07">
              <w:rPr>
                <w:rFonts w:cs="Arial"/>
                <w:szCs w:val="22"/>
                <w:lang w:val="en-US"/>
              </w:rPr>
              <w:t>Excellent</w:t>
            </w:r>
          </w:p>
        </w:tc>
        <w:tc>
          <w:tcPr>
            <w:tcW w:w="4989" w:type="dxa"/>
            <w:hideMark/>
          </w:tcPr>
          <w:p w:rsidR="00674D07" w:rsidRPr="00674D07" w:rsidRDefault="00674D07" w:rsidP="00674D07">
            <w:pPr>
              <w:spacing w:after="240"/>
              <w:cnfStyle w:val="000000000000" w:firstRow="0" w:lastRow="0" w:firstColumn="0" w:lastColumn="0" w:oddVBand="0" w:evenVBand="0" w:oddHBand="0" w:evenHBand="0" w:firstRowFirstColumn="0" w:firstRowLastColumn="0" w:lastRowFirstColumn="0" w:lastRowLastColumn="0"/>
              <w:rPr>
                <w:rFonts w:cs="Arial"/>
                <w:szCs w:val="22"/>
                <w:lang w:val="en-US"/>
              </w:rPr>
            </w:pPr>
            <w:r w:rsidRPr="00674D07">
              <w:rPr>
                <w:rFonts w:cs="Arial"/>
                <w:szCs w:val="22"/>
                <w:lang w:val="en-US"/>
              </w:rPr>
              <w:t>Response is very comprehensive and supported by a very high standard of evidence. Gives the HLF a very high level of confidence the ability of the Bidder to deliver the contract. May exceed the HLF’s requirements in most respects.</w:t>
            </w:r>
          </w:p>
        </w:tc>
      </w:tr>
    </w:tbl>
    <w:p w:rsidR="002C7B29" w:rsidRDefault="002C7B29" w:rsidP="00674D07">
      <w:pPr>
        <w:spacing w:after="240"/>
        <w:rPr>
          <w:rFonts w:cs="Arial"/>
          <w:b/>
          <w:bCs/>
          <w:iCs/>
          <w:szCs w:val="22"/>
          <w:u w:val="single"/>
        </w:rPr>
      </w:pPr>
    </w:p>
    <w:p w:rsidR="00674D07" w:rsidRPr="00674D07" w:rsidRDefault="00674D07" w:rsidP="00244E22">
      <w:pPr>
        <w:pStyle w:val="Heading2"/>
      </w:pPr>
      <w:r w:rsidRPr="00674D07">
        <w:t>30% of marks will be awarded for Price.</w:t>
      </w:r>
    </w:p>
    <w:p w:rsidR="00674D07" w:rsidRPr="00674D07" w:rsidRDefault="00674D07" w:rsidP="00674D07">
      <w:pPr>
        <w:spacing w:after="240"/>
        <w:rPr>
          <w:rFonts w:cs="Arial"/>
          <w:i/>
          <w:szCs w:val="22"/>
        </w:rPr>
      </w:pPr>
      <w:r w:rsidRPr="00674D07">
        <w:rPr>
          <w:rFonts w:cs="Arial"/>
          <w:szCs w:val="22"/>
        </w:rPr>
        <w:t xml:space="preserve">Price: The evaluation of price will be carried out on the Schedule of charges you provide in response to </w:t>
      </w:r>
      <w:r w:rsidRPr="00674D07">
        <w:rPr>
          <w:rFonts w:cs="Arial"/>
          <w:b/>
          <w:szCs w:val="22"/>
        </w:rPr>
        <w:t>Table A</w:t>
      </w:r>
    </w:p>
    <w:p w:rsidR="00674D07" w:rsidRPr="00674D07" w:rsidRDefault="00674D07" w:rsidP="00244E22">
      <w:pPr>
        <w:pStyle w:val="Heading2"/>
        <w:rPr>
          <w:lang w:val="en-US"/>
        </w:rPr>
      </w:pPr>
      <w:r w:rsidRPr="00674D07">
        <w:rPr>
          <w:lang w:val="en-US"/>
        </w:rPr>
        <w:t>Price Criterion at 30%</w:t>
      </w:r>
    </w:p>
    <w:p w:rsidR="00674D07" w:rsidRPr="00674D07" w:rsidRDefault="00674D07" w:rsidP="00674D07">
      <w:pPr>
        <w:numPr>
          <w:ilvl w:val="0"/>
          <w:numId w:val="39"/>
        </w:numPr>
        <w:spacing w:after="240"/>
        <w:rPr>
          <w:rFonts w:cs="Arial"/>
          <w:szCs w:val="22"/>
          <w:lang w:val="en-US"/>
        </w:rPr>
      </w:pPr>
      <w:r w:rsidRPr="00674D07">
        <w:rPr>
          <w:rFonts w:cs="Arial"/>
          <w:szCs w:val="22"/>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rsidR="00674D07" w:rsidRPr="00674D07" w:rsidRDefault="00674D07" w:rsidP="00674D07">
      <w:pPr>
        <w:numPr>
          <w:ilvl w:val="0"/>
          <w:numId w:val="39"/>
        </w:numPr>
        <w:spacing w:after="240"/>
        <w:rPr>
          <w:rFonts w:cs="Arial"/>
          <w:szCs w:val="22"/>
          <w:lang w:val="en-US"/>
        </w:rPr>
      </w:pPr>
      <w:r w:rsidRPr="00674D07">
        <w:rPr>
          <w:rFonts w:cs="Arial"/>
          <w:szCs w:val="22"/>
          <w:lang w:val="en-US"/>
        </w:rPr>
        <w:lastRenderedPageBreak/>
        <w:t>For example, if the lowest price is £100 and the second lowest price is £108 then the lowest priced bidder gets 30% (full marks) for price and the second placed bidder gets 27.6% and so on. (8/100 x 30 = 2.4 marks; 30-2.4 = 27.6 marks)</w:t>
      </w:r>
    </w:p>
    <w:p w:rsidR="00674D07" w:rsidRPr="00674D07" w:rsidRDefault="00674D07" w:rsidP="00674D07">
      <w:pPr>
        <w:numPr>
          <w:ilvl w:val="0"/>
          <w:numId w:val="39"/>
        </w:numPr>
        <w:spacing w:after="240"/>
        <w:rPr>
          <w:rFonts w:cs="Arial"/>
          <w:bCs/>
          <w:iCs/>
          <w:szCs w:val="22"/>
        </w:rPr>
      </w:pPr>
      <w:r w:rsidRPr="00674D07">
        <w:rPr>
          <w:rFonts w:cs="Arial"/>
          <w:bCs/>
          <w:iCs/>
          <w:szCs w:val="22"/>
        </w:rPr>
        <w:t>The scores for quality and price will be added together to obtain the overall score for each Bidder.</w:t>
      </w:r>
    </w:p>
    <w:p w:rsidR="00674D07" w:rsidRPr="00674D07" w:rsidRDefault="00674D07" w:rsidP="00244E22">
      <w:pPr>
        <w:pStyle w:val="Heading2"/>
      </w:pPr>
      <w:r w:rsidRPr="00674D07">
        <w:t xml:space="preserve">Table </w:t>
      </w:r>
      <w:proofErr w:type="gramStart"/>
      <w:r w:rsidRPr="00674D07">
        <w:t>A</w:t>
      </w:r>
      <w:proofErr w:type="gramEnd"/>
      <w:r w:rsidRPr="00674D07">
        <w:t xml:space="preserve"> - Schedule of </w:t>
      </w:r>
      <w:r w:rsidRPr="00A612E0">
        <w:t>Charges</w:t>
      </w:r>
    </w:p>
    <w:p w:rsidR="00674D07" w:rsidRPr="00674D07" w:rsidRDefault="00674D07" w:rsidP="00674D07">
      <w:pPr>
        <w:spacing w:after="240"/>
        <w:rPr>
          <w:rFonts w:cs="Arial"/>
          <w:bCs/>
          <w:iCs/>
          <w:szCs w:val="22"/>
          <w:u w:val="single"/>
        </w:rPr>
      </w:pPr>
      <w:r w:rsidRPr="00674D07">
        <w:rPr>
          <w:rFonts w:cs="Arial"/>
          <w:bCs/>
          <w:iCs/>
          <w:szCs w:val="22"/>
          <w:u w:val="single"/>
        </w:rPr>
        <w:t xml:space="preserve">Please show in your tender submission, the number of staff and the amount of time that will be scheduled to work on the contract with the daily charging rate. </w:t>
      </w:r>
    </w:p>
    <w:p w:rsidR="00674D07" w:rsidRPr="00674D07" w:rsidRDefault="00674D07" w:rsidP="00674D07">
      <w:pPr>
        <w:spacing w:after="240"/>
        <w:rPr>
          <w:rFonts w:cs="Arial"/>
          <w:bCs/>
          <w:iCs/>
          <w:szCs w:val="22"/>
        </w:rPr>
      </w:pPr>
      <w:r w:rsidRPr="00674D07">
        <w:rPr>
          <w:rFonts w:cs="Arial"/>
          <w:bCs/>
          <w:iCs/>
          <w:szCs w:val="22"/>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rsidR="00674D07" w:rsidRPr="00674D07" w:rsidRDefault="00674D07" w:rsidP="00674D07">
      <w:pPr>
        <w:spacing w:after="240"/>
        <w:rPr>
          <w:rFonts w:cs="Arial"/>
          <w:bCs/>
          <w:iCs/>
          <w:szCs w:val="22"/>
        </w:rPr>
      </w:pPr>
      <w:r w:rsidRPr="00674D07">
        <w:rPr>
          <w:rFonts w:cs="Arial"/>
          <w:bCs/>
          <w:iCs/>
          <w:szCs w:val="22"/>
        </w:rPr>
        <w:t>VAT is chargeable on the services to be provided and this will be taken into account in the overall cost of this contract.</w:t>
      </w:r>
    </w:p>
    <w:p w:rsidR="00674D07" w:rsidRPr="00674D07" w:rsidRDefault="00674D07" w:rsidP="00674D07">
      <w:pPr>
        <w:spacing w:after="240"/>
        <w:rPr>
          <w:rFonts w:cs="Arial"/>
          <w:bCs/>
          <w:iCs/>
          <w:szCs w:val="22"/>
        </w:rPr>
      </w:pPr>
      <w:r w:rsidRPr="00674D07">
        <w:rPr>
          <w:rFonts w:cs="Arial"/>
          <w:bCs/>
          <w:iCs/>
          <w:szCs w:val="22"/>
        </w:rPr>
        <w:t>As part of our wider approach to corporate social responsibility the National Heritage Memorial Fund/Heritage Lottery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rsidR="00674D07" w:rsidRPr="00674D07" w:rsidRDefault="00674D07" w:rsidP="00674D07">
      <w:pPr>
        <w:spacing w:after="240"/>
        <w:rPr>
          <w:rFonts w:cs="Arial"/>
          <w:bCs/>
          <w:iCs/>
          <w:szCs w:val="22"/>
        </w:rPr>
      </w:pPr>
      <w:r w:rsidRPr="00674D07">
        <w:rPr>
          <w:rFonts w:cs="Arial"/>
          <w:bCs/>
          <w:iCs/>
          <w:szCs w:val="22"/>
        </w:rPr>
        <w:t>Bidders shall complete the schedule below, estimating the number of days, travel and subsistence costs associated with their tender submission.</w:t>
      </w:r>
    </w:p>
    <w:p w:rsidR="00674D07" w:rsidRPr="00674D07" w:rsidRDefault="00674D07" w:rsidP="00674D07">
      <w:pPr>
        <w:spacing w:after="240"/>
        <w:rPr>
          <w:rFonts w:cs="Arial"/>
          <w:b/>
          <w:bCs/>
          <w:iCs/>
          <w:szCs w:val="22"/>
        </w:rPr>
      </w:pPr>
      <w:r w:rsidRPr="00674D07">
        <w:rPr>
          <w:rFonts w:cs="Arial"/>
          <w:b/>
          <w:bCs/>
          <w:iCs/>
          <w:szCs w:val="22"/>
        </w:rPr>
        <w:t>TABLE A: (f</w:t>
      </w:r>
      <w:bookmarkStart w:id="0" w:name="_GoBack"/>
      <w:bookmarkEnd w:id="0"/>
      <w:r w:rsidRPr="00674D07">
        <w:rPr>
          <w:rFonts w:cs="Arial"/>
          <w:b/>
          <w:bCs/>
          <w:iCs/>
          <w:szCs w:val="22"/>
        </w:rPr>
        <w:t>irm and fixed costs)</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275"/>
        <w:gridCol w:w="850"/>
        <w:gridCol w:w="850"/>
      </w:tblGrid>
      <w:tr w:rsidR="00674D07" w:rsidRPr="00674D07" w:rsidTr="00D86155">
        <w:trPr>
          <w:tblHeader/>
        </w:trPr>
        <w:tc>
          <w:tcPr>
            <w:tcW w:w="3655" w:type="dxa"/>
          </w:tcPr>
          <w:p w:rsidR="00674D07" w:rsidRPr="00674D07" w:rsidRDefault="00674D07" w:rsidP="00674D07">
            <w:pPr>
              <w:spacing w:after="240"/>
              <w:rPr>
                <w:rFonts w:cs="Arial"/>
                <w:b/>
                <w:bCs/>
                <w:iCs/>
                <w:szCs w:val="22"/>
                <w:lang w:val="en-US"/>
              </w:rPr>
            </w:pPr>
            <w:r w:rsidRPr="00674D07">
              <w:rPr>
                <w:rFonts w:cs="Arial"/>
                <w:b/>
                <w:bCs/>
                <w:iCs/>
                <w:szCs w:val="22"/>
                <w:lang w:val="en-US"/>
              </w:rPr>
              <w:t>Cost</w:t>
            </w:r>
          </w:p>
        </w:tc>
        <w:tc>
          <w:tcPr>
            <w:tcW w:w="1275" w:type="dxa"/>
            <w:hideMark/>
          </w:tcPr>
          <w:p w:rsidR="00674D07" w:rsidRPr="00674D07" w:rsidRDefault="00674D07" w:rsidP="00674D07">
            <w:pPr>
              <w:spacing w:after="240"/>
              <w:rPr>
                <w:rFonts w:cs="Arial"/>
                <w:b/>
                <w:bCs/>
                <w:iCs/>
                <w:szCs w:val="22"/>
                <w:lang w:val="en-US"/>
              </w:rPr>
            </w:pPr>
            <w:r w:rsidRPr="00674D07">
              <w:rPr>
                <w:rFonts w:cs="Arial"/>
                <w:b/>
                <w:bCs/>
                <w:iCs/>
                <w:szCs w:val="22"/>
                <w:lang w:val="en-US"/>
              </w:rPr>
              <w:t>Post 1 @cost per day</w:t>
            </w:r>
          </w:p>
          <w:p w:rsidR="00674D07" w:rsidRPr="00674D07" w:rsidRDefault="00674D07" w:rsidP="00674D07">
            <w:pPr>
              <w:spacing w:after="240"/>
              <w:rPr>
                <w:rFonts w:cs="Arial"/>
                <w:b/>
                <w:bCs/>
                <w:iCs/>
                <w:szCs w:val="22"/>
                <w:lang w:val="en-US"/>
              </w:rPr>
            </w:pPr>
            <w:r w:rsidRPr="00674D07">
              <w:rPr>
                <w:rFonts w:cs="Arial"/>
                <w:b/>
                <w:bCs/>
                <w:iCs/>
                <w:szCs w:val="22"/>
                <w:lang w:val="en-US"/>
              </w:rPr>
              <w:t>(No of days)</w:t>
            </w:r>
          </w:p>
          <w:p w:rsidR="00674D07" w:rsidRPr="00674D07" w:rsidRDefault="00674D07" w:rsidP="00674D07">
            <w:pPr>
              <w:spacing w:after="240"/>
              <w:rPr>
                <w:rFonts w:cs="Arial"/>
                <w:bCs/>
                <w:i/>
                <w:iCs/>
                <w:szCs w:val="22"/>
                <w:lang w:val="en-US"/>
              </w:rPr>
            </w:pPr>
            <w:r w:rsidRPr="00674D07">
              <w:rPr>
                <w:rFonts w:cs="Arial"/>
                <w:bCs/>
                <w:i/>
                <w:iCs/>
                <w:szCs w:val="22"/>
                <w:lang w:val="en-US"/>
              </w:rPr>
              <w:t>e.g. Project Manager/ Director</w:t>
            </w:r>
          </w:p>
          <w:p w:rsidR="00674D07" w:rsidRPr="00674D07" w:rsidRDefault="00674D07" w:rsidP="00674D07">
            <w:pPr>
              <w:spacing w:after="240"/>
              <w:rPr>
                <w:rFonts w:cs="Arial"/>
                <w:b/>
                <w:bCs/>
                <w:iCs/>
                <w:szCs w:val="22"/>
                <w:lang w:val="en-US"/>
              </w:rPr>
            </w:pPr>
            <w:r w:rsidRPr="00674D07">
              <w:rPr>
                <w:rFonts w:cs="Arial"/>
                <w:bCs/>
                <w:i/>
                <w:iCs/>
                <w:szCs w:val="22"/>
                <w:lang w:val="en-US"/>
              </w:rPr>
              <w:t>@ £500</w:t>
            </w:r>
          </w:p>
        </w:tc>
        <w:tc>
          <w:tcPr>
            <w:tcW w:w="1560" w:type="dxa"/>
            <w:hideMark/>
          </w:tcPr>
          <w:p w:rsidR="00674D07" w:rsidRPr="00674D07" w:rsidRDefault="00674D07" w:rsidP="00674D07">
            <w:pPr>
              <w:spacing w:after="240"/>
              <w:rPr>
                <w:rFonts w:cs="Arial"/>
                <w:b/>
                <w:bCs/>
                <w:iCs/>
                <w:szCs w:val="22"/>
                <w:lang w:val="en-US"/>
              </w:rPr>
            </w:pPr>
            <w:r w:rsidRPr="00674D07">
              <w:rPr>
                <w:rFonts w:cs="Arial"/>
                <w:b/>
                <w:bCs/>
                <w:iCs/>
                <w:szCs w:val="22"/>
                <w:lang w:val="en-US"/>
              </w:rPr>
              <w:t>Post 2 @cost per day</w:t>
            </w:r>
          </w:p>
          <w:p w:rsidR="00674D07" w:rsidRPr="00674D07" w:rsidRDefault="00674D07" w:rsidP="00674D07">
            <w:pPr>
              <w:spacing w:after="240"/>
              <w:rPr>
                <w:rFonts w:cs="Arial"/>
                <w:b/>
                <w:bCs/>
                <w:iCs/>
                <w:szCs w:val="22"/>
                <w:lang w:val="en-US"/>
              </w:rPr>
            </w:pPr>
            <w:r w:rsidRPr="00674D07">
              <w:rPr>
                <w:rFonts w:cs="Arial"/>
                <w:b/>
                <w:bCs/>
                <w:iCs/>
                <w:szCs w:val="22"/>
                <w:lang w:val="en-US"/>
              </w:rPr>
              <w:t>(No of days)</w:t>
            </w:r>
          </w:p>
          <w:p w:rsidR="00674D07" w:rsidRPr="00674D07" w:rsidRDefault="00674D07" w:rsidP="00674D07">
            <w:pPr>
              <w:spacing w:after="240"/>
              <w:rPr>
                <w:rFonts w:cs="Arial"/>
                <w:bCs/>
                <w:i/>
                <w:iCs/>
                <w:szCs w:val="22"/>
                <w:lang w:val="en-US"/>
              </w:rPr>
            </w:pPr>
            <w:r w:rsidRPr="00674D07">
              <w:rPr>
                <w:rFonts w:cs="Arial"/>
                <w:bCs/>
                <w:i/>
                <w:iCs/>
                <w:szCs w:val="22"/>
                <w:lang w:val="en-US"/>
              </w:rPr>
              <w:t>e.g. Senior Consultant/manager/researcher</w:t>
            </w:r>
          </w:p>
          <w:p w:rsidR="00674D07" w:rsidRPr="00674D07" w:rsidRDefault="00674D07" w:rsidP="00674D07">
            <w:pPr>
              <w:spacing w:after="240"/>
              <w:rPr>
                <w:rFonts w:cs="Arial"/>
                <w:b/>
                <w:bCs/>
                <w:iCs/>
                <w:szCs w:val="22"/>
                <w:lang w:val="en-US"/>
              </w:rPr>
            </w:pPr>
            <w:r w:rsidRPr="00674D07">
              <w:rPr>
                <w:rFonts w:cs="Arial"/>
                <w:bCs/>
                <w:i/>
                <w:iCs/>
                <w:szCs w:val="22"/>
                <w:lang w:val="en-US"/>
              </w:rPr>
              <w:t>@£300</w:t>
            </w:r>
          </w:p>
        </w:tc>
        <w:tc>
          <w:tcPr>
            <w:tcW w:w="1275" w:type="dxa"/>
          </w:tcPr>
          <w:p w:rsidR="00674D07" w:rsidRPr="00674D07" w:rsidRDefault="00674D07" w:rsidP="00674D07">
            <w:pPr>
              <w:spacing w:after="240"/>
              <w:rPr>
                <w:rFonts w:cs="Arial"/>
                <w:b/>
                <w:bCs/>
                <w:iCs/>
                <w:szCs w:val="22"/>
                <w:lang w:val="en-US"/>
              </w:rPr>
            </w:pPr>
            <w:r w:rsidRPr="00674D07">
              <w:rPr>
                <w:rFonts w:cs="Arial"/>
                <w:b/>
                <w:bCs/>
                <w:iCs/>
                <w:szCs w:val="22"/>
                <w:lang w:val="en-US"/>
              </w:rPr>
              <w:t>Post 3 @cost per day</w:t>
            </w:r>
          </w:p>
          <w:p w:rsidR="00674D07" w:rsidRPr="00674D07" w:rsidRDefault="00674D07" w:rsidP="00674D07">
            <w:pPr>
              <w:spacing w:after="240"/>
              <w:rPr>
                <w:rFonts w:cs="Arial"/>
                <w:b/>
                <w:bCs/>
                <w:iCs/>
                <w:szCs w:val="22"/>
                <w:lang w:val="en-US"/>
              </w:rPr>
            </w:pPr>
            <w:r w:rsidRPr="00674D07">
              <w:rPr>
                <w:rFonts w:cs="Arial"/>
                <w:b/>
                <w:bCs/>
                <w:iCs/>
                <w:szCs w:val="22"/>
                <w:lang w:val="en-US"/>
              </w:rPr>
              <w:t>(No of days)</w:t>
            </w:r>
          </w:p>
          <w:p w:rsidR="00674D07" w:rsidRPr="00674D07" w:rsidRDefault="00674D07" w:rsidP="00674D07">
            <w:pPr>
              <w:spacing w:after="240"/>
              <w:rPr>
                <w:rFonts w:cs="Arial"/>
                <w:bCs/>
                <w:i/>
                <w:iCs/>
                <w:szCs w:val="22"/>
                <w:lang w:val="en-US"/>
              </w:rPr>
            </w:pPr>
            <w:r w:rsidRPr="00674D07">
              <w:rPr>
                <w:rFonts w:cs="Arial"/>
                <w:bCs/>
                <w:i/>
                <w:iCs/>
                <w:szCs w:val="22"/>
                <w:lang w:val="en-US"/>
              </w:rPr>
              <w:t xml:space="preserve">Junior </w:t>
            </w:r>
          </w:p>
          <w:p w:rsidR="00674D07" w:rsidRPr="00674D07" w:rsidRDefault="00674D07" w:rsidP="00674D07">
            <w:pPr>
              <w:spacing w:after="240"/>
              <w:rPr>
                <w:rFonts w:cs="Arial"/>
                <w:bCs/>
                <w:i/>
                <w:iCs/>
                <w:szCs w:val="22"/>
                <w:lang w:val="en-US"/>
              </w:rPr>
            </w:pPr>
            <w:r w:rsidRPr="00674D07">
              <w:rPr>
                <w:rFonts w:cs="Arial"/>
                <w:bCs/>
                <w:i/>
                <w:iCs/>
                <w:szCs w:val="22"/>
                <w:lang w:val="en-US"/>
              </w:rPr>
              <w:t xml:space="preserve">Consultant/equivalent </w:t>
            </w:r>
          </w:p>
          <w:p w:rsidR="00674D07" w:rsidRPr="00674D07" w:rsidRDefault="00674D07" w:rsidP="00674D07">
            <w:pPr>
              <w:spacing w:after="240"/>
              <w:rPr>
                <w:rFonts w:cs="Arial"/>
                <w:bCs/>
                <w:i/>
                <w:iCs/>
                <w:szCs w:val="22"/>
                <w:lang w:val="en-US"/>
              </w:rPr>
            </w:pPr>
            <w:r w:rsidRPr="00674D07">
              <w:rPr>
                <w:rFonts w:cs="Arial"/>
                <w:bCs/>
                <w:i/>
                <w:iCs/>
                <w:szCs w:val="22"/>
                <w:lang w:val="en-US"/>
              </w:rPr>
              <w:t>e.g. £200</w:t>
            </w:r>
          </w:p>
        </w:tc>
        <w:tc>
          <w:tcPr>
            <w:tcW w:w="850" w:type="dxa"/>
            <w:hideMark/>
          </w:tcPr>
          <w:p w:rsidR="00674D07" w:rsidRPr="00674D07" w:rsidRDefault="00674D07" w:rsidP="00674D07">
            <w:pPr>
              <w:spacing w:after="240"/>
              <w:rPr>
                <w:rFonts w:cs="Arial"/>
                <w:b/>
                <w:bCs/>
                <w:iCs/>
                <w:szCs w:val="22"/>
                <w:lang w:val="en-US"/>
              </w:rPr>
            </w:pPr>
            <w:r w:rsidRPr="00674D07">
              <w:rPr>
                <w:rFonts w:cs="Arial"/>
                <w:b/>
                <w:bCs/>
                <w:iCs/>
                <w:szCs w:val="22"/>
                <w:lang w:val="en-US"/>
              </w:rPr>
              <w:t>Total days</w:t>
            </w:r>
          </w:p>
        </w:tc>
        <w:tc>
          <w:tcPr>
            <w:tcW w:w="850" w:type="dxa"/>
            <w:hideMark/>
          </w:tcPr>
          <w:p w:rsidR="00674D07" w:rsidRPr="00674D07" w:rsidRDefault="00674D07" w:rsidP="00674D07">
            <w:pPr>
              <w:spacing w:after="240"/>
              <w:rPr>
                <w:rFonts w:cs="Arial"/>
                <w:b/>
                <w:bCs/>
                <w:iCs/>
                <w:szCs w:val="22"/>
                <w:lang w:val="en-US"/>
              </w:rPr>
            </w:pPr>
            <w:r w:rsidRPr="00674D07">
              <w:rPr>
                <w:rFonts w:cs="Arial"/>
                <w:b/>
                <w:bCs/>
                <w:iCs/>
                <w:szCs w:val="22"/>
                <w:lang w:val="en-US"/>
              </w:rPr>
              <w:t>Total fees</w:t>
            </w:r>
          </w:p>
        </w:tc>
      </w:tr>
      <w:tr w:rsidR="00674D07" w:rsidRPr="00674D07" w:rsidTr="00D86155">
        <w:tc>
          <w:tcPr>
            <w:tcW w:w="3655" w:type="dxa"/>
            <w:hideMark/>
          </w:tcPr>
          <w:p w:rsidR="00674D07" w:rsidRPr="00674D07" w:rsidRDefault="00674D07" w:rsidP="00674D07">
            <w:pPr>
              <w:spacing w:after="240"/>
              <w:rPr>
                <w:rFonts w:cs="Arial"/>
                <w:bCs/>
                <w:i/>
                <w:iCs/>
                <w:szCs w:val="22"/>
                <w:lang w:val="en-US"/>
              </w:rPr>
            </w:pPr>
            <w:r w:rsidRPr="00674D07">
              <w:rPr>
                <w:rFonts w:cs="Arial"/>
                <w:bCs/>
                <w:iCs/>
                <w:szCs w:val="22"/>
                <w:lang w:val="en-US"/>
              </w:rPr>
              <w:t xml:space="preserve">Inception meeting to agree plans and </w:t>
            </w:r>
            <w:proofErr w:type="spellStart"/>
            <w:r w:rsidRPr="00674D07">
              <w:rPr>
                <w:rFonts w:cs="Arial"/>
                <w:bCs/>
                <w:iCs/>
                <w:szCs w:val="22"/>
                <w:lang w:val="en-US"/>
              </w:rPr>
              <w:t>finalise</w:t>
            </w:r>
            <w:proofErr w:type="spellEnd"/>
            <w:r w:rsidRPr="00674D07">
              <w:rPr>
                <w:rFonts w:cs="Arial"/>
                <w:bCs/>
                <w:iCs/>
                <w:szCs w:val="22"/>
                <w:lang w:val="en-US"/>
              </w:rPr>
              <w:t xml:space="preserve"> requirements with the Fund</w:t>
            </w:r>
          </w:p>
        </w:tc>
        <w:tc>
          <w:tcPr>
            <w:tcW w:w="1275" w:type="dxa"/>
            <w:hideMark/>
          </w:tcPr>
          <w:p w:rsidR="00674D07" w:rsidRPr="00674D07" w:rsidRDefault="00674D07" w:rsidP="00674D07">
            <w:pPr>
              <w:spacing w:after="240"/>
              <w:rPr>
                <w:rFonts w:cs="Arial"/>
                <w:bCs/>
                <w:i/>
                <w:iCs/>
                <w:szCs w:val="22"/>
                <w:lang w:val="en-US"/>
              </w:rPr>
            </w:pPr>
            <w:r w:rsidRPr="00674D07">
              <w:rPr>
                <w:rFonts w:cs="Arial"/>
                <w:bCs/>
                <w:i/>
                <w:iCs/>
                <w:szCs w:val="22"/>
                <w:lang w:val="en-US"/>
              </w:rPr>
              <w:t>e.g. 0.5</w:t>
            </w:r>
          </w:p>
        </w:tc>
        <w:tc>
          <w:tcPr>
            <w:tcW w:w="1560" w:type="dxa"/>
            <w:hideMark/>
          </w:tcPr>
          <w:p w:rsidR="00674D07" w:rsidRPr="00674D07" w:rsidRDefault="00674D07" w:rsidP="00674D07">
            <w:pPr>
              <w:spacing w:after="240"/>
              <w:rPr>
                <w:rFonts w:cs="Arial"/>
                <w:bCs/>
                <w:i/>
                <w:iCs/>
                <w:szCs w:val="22"/>
                <w:lang w:val="en-US"/>
              </w:rPr>
            </w:pPr>
            <w:r w:rsidRPr="00674D07">
              <w:rPr>
                <w:rFonts w:cs="Arial"/>
                <w:bCs/>
                <w:i/>
                <w:iCs/>
                <w:szCs w:val="22"/>
                <w:lang w:val="en-US"/>
              </w:rPr>
              <w:t>1</w:t>
            </w:r>
          </w:p>
        </w:tc>
        <w:tc>
          <w:tcPr>
            <w:tcW w:w="1275" w:type="dxa"/>
            <w:hideMark/>
          </w:tcPr>
          <w:p w:rsidR="00674D07" w:rsidRPr="00674D07" w:rsidRDefault="00674D07" w:rsidP="00674D07">
            <w:pPr>
              <w:spacing w:after="240"/>
              <w:rPr>
                <w:rFonts w:cs="Arial"/>
                <w:bCs/>
                <w:i/>
                <w:iCs/>
                <w:szCs w:val="22"/>
                <w:lang w:val="en-US"/>
              </w:rPr>
            </w:pPr>
            <w:r w:rsidRPr="00674D07">
              <w:rPr>
                <w:rFonts w:cs="Arial"/>
                <w:bCs/>
                <w:i/>
                <w:iCs/>
                <w:szCs w:val="22"/>
                <w:lang w:val="en-US"/>
              </w:rPr>
              <w:t>1.5</w:t>
            </w:r>
          </w:p>
        </w:tc>
        <w:tc>
          <w:tcPr>
            <w:tcW w:w="850" w:type="dxa"/>
            <w:hideMark/>
          </w:tcPr>
          <w:p w:rsidR="00674D07" w:rsidRPr="00674D07" w:rsidRDefault="00674D07" w:rsidP="00674D07">
            <w:pPr>
              <w:spacing w:after="240"/>
              <w:rPr>
                <w:rFonts w:cs="Arial"/>
                <w:bCs/>
                <w:i/>
                <w:iCs/>
                <w:szCs w:val="22"/>
                <w:lang w:val="en-US"/>
              </w:rPr>
            </w:pPr>
            <w:r w:rsidRPr="00674D07">
              <w:rPr>
                <w:rFonts w:cs="Arial"/>
                <w:bCs/>
                <w:i/>
                <w:iCs/>
                <w:szCs w:val="22"/>
                <w:lang w:val="en-US"/>
              </w:rPr>
              <w:t>3</w:t>
            </w:r>
          </w:p>
        </w:tc>
        <w:tc>
          <w:tcPr>
            <w:tcW w:w="850" w:type="dxa"/>
            <w:hideMark/>
          </w:tcPr>
          <w:p w:rsidR="00674D07" w:rsidRPr="00674D07" w:rsidRDefault="00674D07" w:rsidP="00674D07">
            <w:pPr>
              <w:spacing w:after="240"/>
              <w:rPr>
                <w:rFonts w:cs="Arial"/>
                <w:bCs/>
                <w:i/>
                <w:iCs/>
                <w:szCs w:val="22"/>
                <w:lang w:val="en-US"/>
              </w:rPr>
            </w:pPr>
            <w:r w:rsidRPr="00674D07">
              <w:rPr>
                <w:rFonts w:cs="Arial"/>
                <w:bCs/>
                <w:i/>
                <w:iCs/>
                <w:szCs w:val="22"/>
                <w:lang w:val="en-US"/>
              </w:rPr>
              <w:t>850</w:t>
            </w:r>
          </w:p>
        </w:tc>
      </w:tr>
      <w:tr w:rsidR="00674D07" w:rsidRPr="00674D07" w:rsidTr="00D86155">
        <w:tc>
          <w:tcPr>
            <w:tcW w:w="3655" w:type="dxa"/>
            <w:hideMark/>
          </w:tcPr>
          <w:p w:rsidR="00674D07" w:rsidRPr="00674D07" w:rsidRDefault="00674D07" w:rsidP="00674D07">
            <w:pPr>
              <w:spacing w:after="240"/>
              <w:rPr>
                <w:rFonts w:cs="Arial"/>
                <w:bCs/>
                <w:iCs/>
                <w:szCs w:val="22"/>
                <w:lang w:val="en-US"/>
              </w:rPr>
            </w:pPr>
            <w:r w:rsidRPr="00674D07">
              <w:rPr>
                <w:rFonts w:cs="Arial"/>
                <w:bCs/>
                <w:i/>
                <w:iCs/>
                <w:szCs w:val="22"/>
                <w:lang w:val="en-US"/>
              </w:rPr>
              <w:t>[Add as necessary]</w:t>
            </w:r>
          </w:p>
        </w:tc>
        <w:tc>
          <w:tcPr>
            <w:tcW w:w="1275" w:type="dxa"/>
          </w:tcPr>
          <w:p w:rsidR="00674D07" w:rsidRPr="00674D07" w:rsidRDefault="00674D07" w:rsidP="00674D07">
            <w:pPr>
              <w:spacing w:after="240"/>
              <w:rPr>
                <w:rFonts w:cs="Arial"/>
                <w:bCs/>
                <w:iCs/>
                <w:szCs w:val="22"/>
                <w:lang w:val="en-US"/>
              </w:rPr>
            </w:pPr>
          </w:p>
        </w:tc>
        <w:tc>
          <w:tcPr>
            <w:tcW w:w="1560" w:type="dxa"/>
          </w:tcPr>
          <w:p w:rsidR="00674D07" w:rsidRPr="00674D07" w:rsidRDefault="00674D07" w:rsidP="00674D07">
            <w:pPr>
              <w:spacing w:after="240"/>
              <w:rPr>
                <w:rFonts w:cs="Arial"/>
                <w:bCs/>
                <w:iCs/>
                <w:szCs w:val="22"/>
                <w:lang w:val="en-US"/>
              </w:rPr>
            </w:pPr>
          </w:p>
        </w:tc>
        <w:tc>
          <w:tcPr>
            <w:tcW w:w="1275" w:type="dxa"/>
          </w:tcPr>
          <w:p w:rsidR="00674D07" w:rsidRPr="00674D07" w:rsidRDefault="00674D07" w:rsidP="00674D07">
            <w:pPr>
              <w:spacing w:after="240"/>
              <w:rPr>
                <w:rFonts w:cs="Arial"/>
                <w:bCs/>
                <w:iCs/>
                <w:szCs w:val="22"/>
                <w:lang w:val="en-US"/>
              </w:rPr>
            </w:pPr>
          </w:p>
        </w:tc>
        <w:tc>
          <w:tcPr>
            <w:tcW w:w="850" w:type="dxa"/>
          </w:tcPr>
          <w:p w:rsidR="00674D07" w:rsidRPr="00674D07" w:rsidRDefault="00674D07" w:rsidP="00674D07">
            <w:pPr>
              <w:spacing w:after="240"/>
              <w:rPr>
                <w:rFonts w:cs="Arial"/>
                <w:bCs/>
                <w:iCs/>
                <w:szCs w:val="22"/>
                <w:lang w:val="en-US"/>
              </w:rPr>
            </w:pPr>
          </w:p>
        </w:tc>
        <w:tc>
          <w:tcPr>
            <w:tcW w:w="850" w:type="dxa"/>
          </w:tcPr>
          <w:p w:rsidR="00674D07" w:rsidRPr="00674D07" w:rsidRDefault="00674D07" w:rsidP="00674D07">
            <w:pPr>
              <w:spacing w:after="240"/>
              <w:rPr>
                <w:rFonts w:cs="Arial"/>
                <w:bCs/>
                <w:iCs/>
                <w:szCs w:val="22"/>
                <w:lang w:val="en-US"/>
              </w:rPr>
            </w:pPr>
          </w:p>
        </w:tc>
      </w:tr>
      <w:tr w:rsidR="00674D07" w:rsidRPr="00674D07" w:rsidTr="00D86155">
        <w:tc>
          <w:tcPr>
            <w:tcW w:w="3655" w:type="dxa"/>
            <w:hideMark/>
          </w:tcPr>
          <w:p w:rsidR="00674D07" w:rsidRPr="00674D07" w:rsidRDefault="00674D07" w:rsidP="00674D07">
            <w:pPr>
              <w:spacing w:after="240"/>
              <w:rPr>
                <w:rFonts w:cs="Arial"/>
                <w:bCs/>
                <w:iCs/>
                <w:szCs w:val="22"/>
                <w:lang w:val="en-US"/>
              </w:rPr>
            </w:pPr>
            <w:r w:rsidRPr="00674D07">
              <w:rPr>
                <w:rFonts w:cs="Arial"/>
                <w:bCs/>
                <w:i/>
                <w:iCs/>
                <w:szCs w:val="22"/>
                <w:lang w:val="en-US"/>
              </w:rPr>
              <w:t>[Add as necessary]</w:t>
            </w:r>
          </w:p>
        </w:tc>
        <w:tc>
          <w:tcPr>
            <w:tcW w:w="1275" w:type="dxa"/>
          </w:tcPr>
          <w:p w:rsidR="00674D07" w:rsidRPr="00674D07" w:rsidRDefault="00674D07" w:rsidP="00674D07">
            <w:pPr>
              <w:spacing w:after="240"/>
              <w:rPr>
                <w:rFonts w:cs="Arial"/>
                <w:bCs/>
                <w:iCs/>
                <w:szCs w:val="22"/>
                <w:lang w:val="en-US"/>
              </w:rPr>
            </w:pPr>
          </w:p>
        </w:tc>
        <w:tc>
          <w:tcPr>
            <w:tcW w:w="1560" w:type="dxa"/>
          </w:tcPr>
          <w:p w:rsidR="00674D07" w:rsidRPr="00674D07" w:rsidRDefault="00674D07" w:rsidP="00674D07">
            <w:pPr>
              <w:spacing w:after="240"/>
              <w:rPr>
                <w:rFonts w:cs="Arial"/>
                <w:bCs/>
                <w:iCs/>
                <w:szCs w:val="22"/>
                <w:lang w:val="en-US"/>
              </w:rPr>
            </w:pPr>
          </w:p>
        </w:tc>
        <w:tc>
          <w:tcPr>
            <w:tcW w:w="1275" w:type="dxa"/>
          </w:tcPr>
          <w:p w:rsidR="00674D07" w:rsidRPr="00674D07" w:rsidRDefault="00674D07" w:rsidP="00674D07">
            <w:pPr>
              <w:spacing w:after="240"/>
              <w:rPr>
                <w:rFonts w:cs="Arial"/>
                <w:bCs/>
                <w:iCs/>
                <w:szCs w:val="22"/>
                <w:lang w:val="en-US"/>
              </w:rPr>
            </w:pPr>
          </w:p>
        </w:tc>
        <w:tc>
          <w:tcPr>
            <w:tcW w:w="850" w:type="dxa"/>
          </w:tcPr>
          <w:p w:rsidR="00674D07" w:rsidRPr="00674D07" w:rsidRDefault="00674D07" w:rsidP="00674D07">
            <w:pPr>
              <w:spacing w:after="240"/>
              <w:rPr>
                <w:rFonts w:cs="Arial"/>
                <w:bCs/>
                <w:iCs/>
                <w:szCs w:val="22"/>
                <w:lang w:val="en-US"/>
              </w:rPr>
            </w:pPr>
          </w:p>
        </w:tc>
        <w:tc>
          <w:tcPr>
            <w:tcW w:w="850" w:type="dxa"/>
          </w:tcPr>
          <w:p w:rsidR="00674D07" w:rsidRPr="00674D07" w:rsidRDefault="00674D07" w:rsidP="00674D07">
            <w:pPr>
              <w:spacing w:after="240"/>
              <w:rPr>
                <w:rFonts w:cs="Arial"/>
                <w:bCs/>
                <w:iCs/>
                <w:szCs w:val="22"/>
                <w:lang w:val="en-US"/>
              </w:rPr>
            </w:pPr>
          </w:p>
        </w:tc>
      </w:tr>
      <w:tr w:rsidR="00674D07" w:rsidRPr="00674D07" w:rsidTr="00D86155">
        <w:tc>
          <w:tcPr>
            <w:tcW w:w="3655" w:type="dxa"/>
            <w:hideMark/>
          </w:tcPr>
          <w:p w:rsidR="00674D07" w:rsidRPr="00674D07" w:rsidRDefault="00674D07" w:rsidP="00674D07">
            <w:pPr>
              <w:spacing w:after="240"/>
              <w:rPr>
                <w:rFonts w:cs="Arial"/>
                <w:bCs/>
                <w:iCs/>
                <w:szCs w:val="22"/>
                <w:lang w:val="en-US"/>
              </w:rPr>
            </w:pPr>
            <w:r w:rsidRPr="00674D07">
              <w:rPr>
                <w:rFonts w:cs="Arial"/>
                <w:bCs/>
                <w:i/>
                <w:iCs/>
                <w:szCs w:val="22"/>
                <w:lang w:val="en-US"/>
              </w:rPr>
              <w:lastRenderedPageBreak/>
              <w:t>[Add as necessary]</w:t>
            </w:r>
          </w:p>
        </w:tc>
        <w:tc>
          <w:tcPr>
            <w:tcW w:w="1275" w:type="dxa"/>
          </w:tcPr>
          <w:p w:rsidR="00674D07" w:rsidRPr="00674D07" w:rsidRDefault="00674D07" w:rsidP="00674D07">
            <w:pPr>
              <w:spacing w:after="240"/>
              <w:rPr>
                <w:rFonts w:cs="Arial"/>
                <w:bCs/>
                <w:iCs/>
                <w:szCs w:val="22"/>
                <w:lang w:val="en-US"/>
              </w:rPr>
            </w:pPr>
          </w:p>
        </w:tc>
        <w:tc>
          <w:tcPr>
            <w:tcW w:w="1560" w:type="dxa"/>
          </w:tcPr>
          <w:p w:rsidR="00674D07" w:rsidRPr="00674D07" w:rsidRDefault="00674D07" w:rsidP="00674D07">
            <w:pPr>
              <w:spacing w:after="240"/>
              <w:rPr>
                <w:rFonts w:cs="Arial"/>
                <w:bCs/>
                <w:iCs/>
                <w:szCs w:val="22"/>
                <w:lang w:val="en-US"/>
              </w:rPr>
            </w:pPr>
          </w:p>
        </w:tc>
        <w:tc>
          <w:tcPr>
            <w:tcW w:w="1275" w:type="dxa"/>
          </w:tcPr>
          <w:p w:rsidR="00674D07" w:rsidRPr="00674D07" w:rsidRDefault="00674D07" w:rsidP="00674D07">
            <w:pPr>
              <w:spacing w:after="240"/>
              <w:rPr>
                <w:rFonts w:cs="Arial"/>
                <w:bCs/>
                <w:iCs/>
                <w:szCs w:val="22"/>
                <w:lang w:val="en-US"/>
              </w:rPr>
            </w:pPr>
          </w:p>
        </w:tc>
        <w:tc>
          <w:tcPr>
            <w:tcW w:w="850" w:type="dxa"/>
          </w:tcPr>
          <w:p w:rsidR="00674D07" w:rsidRPr="00674D07" w:rsidRDefault="00674D07" w:rsidP="00674D07">
            <w:pPr>
              <w:spacing w:after="240"/>
              <w:rPr>
                <w:rFonts w:cs="Arial"/>
                <w:bCs/>
                <w:iCs/>
                <w:szCs w:val="22"/>
                <w:lang w:val="en-US"/>
              </w:rPr>
            </w:pPr>
          </w:p>
        </w:tc>
        <w:tc>
          <w:tcPr>
            <w:tcW w:w="850" w:type="dxa"/>
          </w:tcPr>
          <w:p w:rsidR="00674D07" w:rsidRPr="00674D07" w:rsidRDefault="00674D07" w:rsidP="00674D07">
            <w:pPr>
              <w:spacing w:after="240"/>
              <w:rPr>
                <w:rFonts w:cs="Arial"/>
                <w:bCs/>
                <w:iCs/>
                <w:szCs w:val="22"/>
                <w:lang w:val="en-US"/>
              </w:rPr>
            </w:pPr>
          </w:p>
        </w:tc>
      </w:tr>
    </w:tbl>
    <w:p w:rsidR="00674D07" w:rsidRPr="00674D07" w:rsidRDefault="00674D07" w:rsidP="00674D07">
      <w:pPr>
        <w:spacing w:after="240"/>
        <w:rPr>
          <w:rFonts w:cs="Arial"/>
          <w:b/>
          <w:bCs/>
          <w:iCs/>
          <w:szCs w:val="22"/>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674D07" w:rsidRPr="00674D07" w:rsidTr="00674D0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rsidR="00674D07" w:rsidRPr="00674D07" w:rsidRDefault="00674D07" w:rsidP="00674D07">
            <w:pPr>
              <w:spacing w:after="240"/>
              <w:rPr>
                <w:rFonts w:cs="Arial"/>
                <w:b w:val="0"/>
                <w:iCs/>
                <w:color w:val="auto"/>
                <w:szCs w:val="22"/>
                <w:lang w:val="en-US"/>
              </w:rPr>
            </w:pPr>
            <w:r w:rsidRPr="00674D07">
              <w:rPr>
                <w:rFonts w:cs="Arial"/>
                <w:b w:val="0"/>
                <w:bCs w:val="0"/>
                <w:iCs/>
                <w:color w:val="auto"/>
                <w:szCs w:val="22"/>
                <w:lang w:val="en-US"/>
              </w:rPr>
              <w:t>Cost Type</w:t>
            </w:r>
          </w:p>
        </w:tc>
        <w:tc>
          <w:tcPr>
            <w:tcW w:w="4843" w:type="dxa"/>
          </w:tcPr>
          <w:p w:rsidR="00674D07" w:rsidRPr="00674D07" w:rsidRDefault="00674D07" w:rsidP="00674D07">
            <w:pPr>
              <w:spacing w:after="240"/>
              <w:cnfStyle w:val="100000000000" w:firstRow="1" w:lastRow="0" w:firstColumn="0" w:lastColumn="0" w:oddVBand="0" w:evenVBand="0" w:oddHBand="0" w:evenHBand="0" w:firstRowFirstColumn="0" w:firstRowLastColumn="0" w:lastRowFirstColumn="0" w:lastRowLastColumn="0"/>
              <w:rPr>
                <w:rFonts w:cs="Arial"/>
                <w:b w:val="0"/>
                <w:iCs/>
                <w:color w:val="auto"/>
                <w:szCs w:val="22"/>
                <w:lang w:val="en-US"/>
              </w:rPr>
            </w:pPr>
            <w:r w:rsidRPr="00674D07">
              <w:rPr>
                <w:rFonts w:cs="Arial"/>
                <w:b w:val="0"/>
                <w:bCs w:val="0"/>
                <w:iCs/>
                <w:color w:val="auto"/>
                <w:szCs w:val="22"/>
                <w:lang w:val="en-US"/>
              </w:rPr>
              <w:t>Value (£)</w:t>
            </w:r>
          </w:p>
        </w:tc>
      </w:tr>
      <w:tr w:rsidR="00674D07" w:rsidRPr="00674D07" w:rsidTr="0067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674D07" w:rsidRPr="00674D07" w:rsidRDefault="00674D07" w:rsidP="00674D07">
            <w:pPr>
              <w:spacing w:after="240"/>
              <w:rPr>
                <w:rFonts w:cs="Arial"/>
                <w:b w:val="0"/>
                <w:iCs/>
                <w:szCs w:val="22"/>
                <w:lang w:val="en-US"/>
              </w:rPr>
            </w:pPr>
            <w:r w:rsidRPr="00674D07">
              <w:rPr>
                <w:rFonts w:cs="Arial"/>
                <w:b w:val="0"/>
                <w:bCs w:val="0"/>
                <w:iCs/>
                <w:szCs w:val="22"/>
                <w:lang w:val="en-US"/>
              </w:rPr>
              <w:t xml:space="preserve">Sub - Total </w:t>
            </w:r>
          </w:p>
        </w:tc>
        <w:tc>
          <w:tcPr>
            <w:tcW w:w="4843" w:type="dxa"/>
          </w:tcPr>
          <w:p w:rsidR="00674D07" w:rsidRPr="00674D07" w:rsidRDefault="00674D07" w:rsidP="00674D07">
            <w:pPr>
              <w:spacing w:after="240"/>
              <w:cnfStyle w:val="000000100000" w:firstRow="0" w:lastRow="0" w:firstColumn="0" w:lastColumn="0" w:oddVBand="0" w:evenVBand="0" w:oddHBand="1" w:evenHBand="0" w:firstRowFirstColumn="0" w:firstRowLastColumn="0" w:lastRowFirstColumn="0" w:lastRowLastColumn="0"/>
              <w:rPr>
                <w:rFonts w:cs="Arial"/>
                <w:b/>
                <w:bCs/>
                <w:iCs/>
                <w:szCs w:val="22"/>
                <w:lang w:val="en-US"/>
              </w:rPr>
            </w:pPr>
          </w:p>
        </w:tc>
      </w:tr>
      <w:tr w:rsidR="00674D07" w:rsidRPr="00674D07" w:rsidTr="00674D07">
        <w:tc>
          <w:tcPr>
            <w:cnfStyle w:val="001000000000" w:firstRow="0" w:lastRow="0" w:firstColumn="1" w:lastColumn="0" w:oddVBand="0" w:evenVBand="0" w:oddHBand="0" w:evenHBand="0" w:firstRowFirstColumn="0" w:firstRowLastColumn="0" w:lastRowFirstColumn="0" w:lastRowLastColumn="0"/>
            <w:tcW w:w="4621" w:type="dxa"/>
          </w:tcPr>
          <w:p w:rsidR="00674D07" w:rsidRPr="00674D07" w:rsidRDefault="00674D07" w:rsidP="00674D07">
            <w:pPr>
              <w:spacing w:after="240"/>
              <w:rPr>
                <w:rFonts w:cs="Arial"/>
                <w:b w:val="0"/>
                <w:iCs/>
                <w:szCs w:val="22"/>
                <w:lang w:val="en-US"/>
              </w:rPr>
            </w:pPr>
            <w:r w:rsidRPr="00674D07">
              <w:rPr>
                <w:rFonts w:cs="Arial"/>
                <w:b w:val="0"/>
                <w:bCs w:val="0"/>
                <w:iCs/>
                <w:szCs w:val="22"/>
                <w:lang w:val="en-US"/>
              </w:rPr>
              <w:t>VAT</w:t>
            </w:r>
          </w:p>
        </w:tc>
        <w:tc>
          <w:tcPr>
            <w:tcW w:w="4843" w:type="dxa"/>
          </w:tcPr>
          <w:p w:rsidR="00674D07" w:rsidRPr="00674D07" w:rsidRDefault="00674D07" w:rsidP="00674D07">
            <w:pPr>
              <w:spacing w:after="240"/>
              <w:cnfStyle w:val="000000000000" w:firstRow="0" w:lastRow="0" w:firstColumn="0" w:lastColumn="0" w:oddVBand="0" w:evenVBand="0" w:oddHBand="0" w:evenHBand="0" w:firstRowFirstColumn="0" w:firstRowLastColumn="0" w:lastRowFirstColumn="0" w:lastRowLastColumn="0"/>
              <w:rPr>
                <w:rFonts w:cs="Arial"/>
                <w:b/>
                <w:bCs/>
                <w:iCs/>
                <w:szCs w:val="22"/>
                <w:lang w:val="en-US"/>
              </w:rPr>
            </w:pPr>
          </w:p>
        </w:tc>
      </w:tr>
      <w:tr w:rsidR="00674D07" w:rsidRPr="00674D07" w:rsidTr="00674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674D07" w:rsidRPr="00674D07" w:rsidRDefault="00674D07" w:rsidP="00674D07">
            <w:pPr>
              <w:spacing w:after="240"/>
              <w:rPr>
                <w:rFonts w:cs="Arial"/>
                <w:b w:val="0"/>
                <w:iCs/>
                <w:szCs w:val="22"/>
                <w:lang w:val="en-US"/>
              </w:rPr>
            </w:pPr>
            <w:r w:rsidRPr="00674D07">
              <w:rPr>
                <w:rFonts w:cs="Arial"/>
                <w:b w:val="0"/>
                <w:bCs w:val="0"/>
                <w:iCs/>
                <w:szCs w:val="22"/>
                <w:lang w:val="en-US"/>
              </w:rPr>
              <w:t>Total*</w:t>
            </w:r>
          </w:p>
        </w:tc>
        <w:tc>
          <w:tcPr>
            <w:tcW w:w="4843" w:type="dxa"/>
          </w:tcPr>
          <w:p w:rsidR="00674D07" w:rsidRPr="00674D07" w:rsidRDefault="00674D07" w:rsidP="00674D07">
            <w:pPr>
              <w:spacing w:after="240"/>
              <w:cnfStyle w:val="000000100000" w:firstRow="0" w:lastRow="0" w:firstColumn="0" w:lastColumn="0" w:oddVBand="0" w:evenVBand="0" w:oddHBand="1" w:evenHBand="0" w:firstRowFirstColumn="0" w:firstRowLastColumn="0" w:lastRowFirstColumn="0" w:lastRowLastColumn="0"/>
              <w:rPr>
                <w:rFonts w:cs="Arial"/>
                <w:b/>
                <w:bCs/>
                <w:iCs/>
                <w:szCs w:val="22"/>
                <w:lang w:val="en-US"/>
              </w:rPr>
            </w:pPr>
          </w:p>
        </w:tc>
      </w:tr>
    </w:tbl>
    <w:p w:rsidR="00674D07" w:rsidRPr="00674D07" w:rsidRDefault="00674D07" w:rsidP="00674D07">
      <w:pPr>
        <w:spacing w:after="240"/>
        <w:rPr>
          <w:rFonts w:cs="Arial"/>
          <w:b/>
          <w:bCs/>
          <w:iCs/>
          <w:szCs w:val="22"/>
        </w:rPr>
      </w:pPr>
    </w:p>
    <w:p w:rsidR="00674D07" w:rsidRPr="00674D07" w:rsidRDefault="00674D07" w:rsidP="00674D07">
      <w:pPr>
        <w:spacing w:after="240"/>
        <w:rPr>
          <w:rFonts w:cs="Arial"/>
          <w:bCs/>
          <w:iCs/>
          <w:szCs w:val="22"/>
        </w:rPr>
      </w:pPr>
      <w:r w:rsidRPr="00674D07">
        <w:rPr>
          <w:rFonts w:cs="Arial"/>
          <w:bCs/>
          <w:iCs/>
          <w:szCs w:val="22"/>
        </w:rPr>
        <w:t>* (This must include all expenses as well as work costs; this figure will be used for the purposes of allocating your score for the price criterion and must cover the cost of meeting all our requirements set out in the ITT)</w:t>
      </w:r>
    </w:p>
    <w:p w:rsidR="00674D07" w:rsidRPr="00674D07" w:rsidRDefault="00674D07" w:rsidP="00674D07">
      <w:pPr>
        <w:spacing w:after="240"/>
        <w:rPr>
          <w:rFonts w:cs="Arial"/>
          <w:bCs/>
          <w:i/>
          <w:iCs/>
          <w:szCs w:val="22"/>
        </w:rPr>
      </w:pPr>
      <w:r w:rsidRPr="00674D07">
        <w:rPr>
          <w:rFonts w:cs="Arial"/>
          <w:bCs/>
          <w:i/>
          <w:iCs/>
          <w:szCs w:val="22"/>
        </w:rPr>
        <w:t xml:space="preserve">Notes: </w:t>
      </w:r>
      <w:r w:rsidRPr="00674D07">
        <w:rPr>
          <w:rFonts w:cs="Arial"/>
          <w:bCs/>
          <w:i/>
          <w:iCs/>
          <w:szCs w:val="22"/>
        </w:rPr>
        <w:tab/>
        <w:t>HLF reserves the right to reject abnormally low tenders.</w:t>
      </w:r>
      <w:r w:rsidRPr="00674D07">
        <w:rPr>
          <w:rFonts w:cs="Arial"/>
          <w:bCs/>
          <w:i/>
          <w:iCs/>
          <w:szCs w:val="22"/>
          <w:u w:val="single"/>
        </w:rPr>
        <w:t xml:space="preserve"> HLF reserves the right to amend the timetable of work where required</w:t>
      </w:r>
    </w:p>
    <w:p w:rsidR="00674D07" w:rsidRPr="00674D07" w:rsidRDefault="00674D07" w:rsidP="00674D07">
      <w:pPr>
        <w:spacing w:after="240"/>
        <w:rPr>
          <w:rFonts w:cs="Arial"/>
          <w:bCs/>
          <w:iCs/>
          <w:szCs w:val="22"/>
          <w:u w:val="single"/>
        </w:rPr>
      </w:pPr>
      <w:r w:rsidRPr="00674D07">
        <w:rPr>
          <w:rFonts w:cs="Arial"/>
          <w:bCs/>
          <w:i/>
          <w:iCs/>
          <w:szCs w:val="22"/>
        </w:rPr>
        <w:t>You should not submit additional assumptions with your pricing submission. If you submit assumptions you will be asked to withdraw them. Failure to withdraw them will lead to your exclusion from further participation in this competition.</w:t>
      </w:r>
    </w:p>
    <w:p w:rsidR="00674D07" w:rsidRPr="002C7B29" w:rsidRDefault="00AA368F" w:rsidP="00A612E0">
      <w:pPr>
        <w:pStyle w:val="Heading1"/>
      </w:pPr>
      <w:r>
        <w:t>6</w:t>
      </w:r>
      <w:r>
        <w:tab/>
      </w:r>
      <w:r w:rsidR="00674D07" w:rsidRPr="002C7B29">
        <w:t>Procurement Process</w:t>
      </w:r>
    </w:p>
    <w:p w:rsidR="00AA368F" w:rsidRDefault="00AA368F" w:rsidP="003F5DFB">
      <w:pPr>
        <w:spacing w:after="240"/>
        <w:ind w:left="709" w:hanging="709"/>
        <w:rPr>
          <w:rFonts w:cs="Arial"/>
          <w:szCs w:val="22"/>
        </w:rPr>
      </w:pPr>
      <w:r>
        <w:rPr>
          <w:rFonts w:cs="Arial"/>
          <w:szCs w:val="22"/>
        </w:rPr>
        <w:t>6.1</w:t>
      </w:r>
      <w:r>
        <w:rPr>
          <w:rFonts w:cs="Arial"/>
          <w:szCs w:val="22"/>
        </w:rPr>
        <w:tab/>
      </w:r>
      <w:r w:rsidR="00674D07" w:rsidRPr="002C7B29">
        <w:rPr>
          <w:rFonts w:cs="Arial"/>
          <w:szCs w:val="22"/>
        </w:rPr>
        <w:t xml:space="preserve">HLF reserves the right to reject abnormally low tenders. HLF reserves the right not to appoint and to achieve the outcomes of the </w:t>
      </w:r>
      <w:r>
        <w:rPr>
          <w:rFonts w:cs="Arial"/>
          <w:szCs w:val="22"/>
        </w:rPr>
        <w:t>evaluation through other method</w:t>
      </w:r>
      <w:r w:rsidR="00D84CA8">
        <w:rPr>
          <w:rFonts w:cs="Arial"/>
          <w:szCs w:val="22"/>
        </w:rPr>
        <w:t>s.</w:t>
      </w:r>
    </w:p>
    <w:p w:rsidR="00674D07" w:rsidRPr="002C7B29" w:rsidRDefault="00AA368F" w:rsidP="00AA368F">
      <w:pPr>
        <w:spacing w:after="240"/>
        <w:rPr>
          <w:rFonts w:cs="Arial"/>
          <w:szCs w:val="22"/>
        </w:rPr>
      </w:pPr>
      <w:r>
        <w:rPr>
          <w:rFonts w:cs="Arial"/>
          <w:szCs w:val="22"/>
        </w:rPr>
        <w:t>6.2</w:t>
      </w:r>
      <w:r>
        <w:rPr>
          <w:rFonts w:cs="Arial"/>
          <w:szCs w:val="22"/>
        </w:rPr>
        <w:tab/>
      </w:r>
      <w:r w:rsidR="00674D07" w:rsidRPr="002C7B29">
        <w:rPr>
          <w:rFonts w:cs="Arial"/>
          <w:szCs w:val="22"/>
        </w:rPr>
        <w:t>The procurement timetable will be:</w:t>
      </w:r>
    </w:p>
    <w:p w:rsidR="00674D07" w:rsidRPr="002C7B29" w:rsidRDefault="00674D07" w:rsidP="002C7B29">
      <w:pPr>
        <w:pStyle w:val="ListParagraph"/>
        <w:numPr>
          <w:ilvl w:val="0"/>
          <w:numId w:val="50"/>
        </w:numPr>
        <w:spacing w:after="240"/>
        <w:rPr>
          <w:rFonts w:cs="Arial"/>
          <w:szCs w:val="22"/>
          <w:u w:val="single"/>
        </w:rPr>
      </w:pPr>
      <w:r w:rsidRPr="002C7B29">
        <w:rPr>
          <w:rFonts w:cs="Arial"/>
          <w:szCs w:val="22"/>
        </w:rPr>
        <w:t xml:space="preserve">Tender return deadline: completed proposal to be returned to HLF by </w:t>
      </w:r>
      <w:r w:rsidRPr="002C7B29">
        <w:rPr>
          <w:rFonts w:cs="Arial"/>
          <w:b/>
          <w:szCs w:val="22"/>
          <w:u w:val="single"/>
        </w:rPr>
        <w:t xml:space="preserve">9am </w:t>
      </w:r>
      <w:r w:rsidR="003F5DFB">
        <w:rPr>
          <w:rFonts w:cs="Arial"/>
          <w:b/>
          <w:szCs w:val="22"/>
          <w:u w:val="single"/>
        </w:rPr>
        <w:t>5</w:t>
      </w:r>
      <w:r w:rsidRPr="002C7B29">
        <w:rPr>
          <w:rFonts w:cs="Arial"/>
          <w:b/>
          <w:szCs w:val="22"/>
          <w:u w:val="single"/>
        </w:rPr>
        <w:t xml:space="preserve"> </w:t>
      </w:r>
      <w:r w:rsidR="003F5DFB">
        <w:rPr>
          <w:rFonts w:cs="Arial"/>
          <w:b/>
          <w:szCs w:val="22"/>
          <w:u w:val="single"/>
        </w:rPr>
        <w:t xml:space="preserve">October </w:t>
      </w:r>
      <w:r w:rsidRPr="002C7B29">
        <w:rPr>
          <w:rFonts w:cs="Arial"/>
          <w:b/>
          <w:szCs w:val="22"/>
          <w:u w:val="single"/>
        </w:rPr>
        <w:t>2016</w:t>
      </w:r>
      <w:r w:rsidRPr="002C7B29">
        <w:rPr>
          <w:rFonts w:cs="Arial"/>
          <w:szCs w:val="22"/>
          <w:u w:val="single"/>
        </w:rPr>
        <w:t xml:space="preserve">. </w:t>
      </w:r>
    </w:p>
    <w:p w:rsidR="002C7B29" w:rsidRDefault="002C7B29" w:rsidP="002C7B29">
      <w:pPr>
        <w:pStyle w:val="ListParagraph"/>
        <w:spacing w:after="240"/>
        <w:rPr>
          <w:rFonts w:cs="Arial"/>
          <w:szCs w:val="22"/>
        </w:rPr>
      </w:pPr>
    </w:p>
    <w:p w:rsidR="002C7B29" w:rsidRPr="002C7B29" w:rsidRDefault="003F5DFB" w:rsidP="002C7B29">
      <w:pPr>
        <w:pStyle w:val="ListParagraph"/>
        <w:numPr>
          <w:ilvl w:val="0"/>
          <w:numId w:val="50"/>
        </w:numPr>
        <w:spacing w:after="240"/>
        <w:rPr>
          <w:rFonts w:cs="Arial"/>
          <w:szCs w:val="22"/>
        </w:rPr>
      </w:pPr>
      <w:r>
        <w:rPr>
          <w:rFonts w:cs="Arial"/>
          <w:szCs w:val="22"/>
        </w:rPr>
        <w:t xml:space="preserve">Interviews </w:t>
      </w:r>
      <w:r w:rsidR="00674D07" w:rsidRPr="002C7B29">
        <w:rPr>
          <w:rFonts w:cs="Arial"/>
          <w:szCs w:val="22"/>
        </w:rPr>
        <w:t xml:space="preserve">may be held and would take place the week beginning </w:t>
      </w:r>
      <w:r>
        <w:rPr>
          <w:rFonts w:cs="Arial"/>
          <w:b/>
          <w:szCs w:val="22"/>
        </w:rPr>
        <w:t>17 O</w:t>
      </w:r>
      <w:r w:rsidR="00674D07" w:rsidRPr="002C7B29">
        <w:rPr>
          <w:rFonts w:cs="Arial"/>
          <w:b/>
          <w:szCs w:val="22"/>
        </w:rPr>
        <w:t>ctober 2016</w:t>
      </w:r>
      <w:r w:rsidR="002C7B29">
        <w:rPr>
          <w:rFonts w:cs="Arial"/>
          <w:b/>
          <w:szCs w:val="22"/>
        </w:rPr>
        <w:t>.</w:t>
      </w:r>
      <w:r w:rsidR="00674D07" w:rsidRPr="002C7B29">
        <w:rPr>
          <w:rFonts w:cs="Arial"/>
          <w:b/>
          <w:szCs w:val="22"/>
        </w:rPr>
        <w:t xml:space="preserve"> </w:t>
      </w:r>
    </w:p>
    <w:p w:rsidR="002C7B29" w:rsidRDefault="002C7B29" w:rsidP="002C7B29">
      <w:pPr>
        <w:pStyle w:val="ListParagraph"/>
        <w:spacing w:after="240"/>
        <w:rPr>
          <w:rFonts w:cs="Arial"/>
          <w:szCs w:val="22"/>
        </w:rPr>
      </w:pPr>
    </w:p>
    <w:p w:rsidR="00674D07" w:rsidRPr="002C7B29" w:rsidRDefault="00674D07" w:rsidP="002C7B29">
      <w:pPr>
        <w:pStyle w:val="ListParagraph"/>
        <w:numPr>
          <w:ilvl w:val="0"/>
          <w:numId w:val="50"/>
        </w:numPr>
        <w:spacing w:after="240"/>
        <w:rPr>
          <w:rFonts w:cs="Arial"/>
          <w:szCs w:val="22"/>
        </w:rPr>
      </w:pPr>
      <w:r w:rsidRPr="002C7B29">
        <w:rPr>
          <w:rFonts w:cs="Arial"/>
          <w:szCs w:val="22"/>
        </w:rPr>
        <w:t xml:space="preserve">HLF will notify bidders of our procurement decision </w:t>
      </w:r>
      <w:r w:rsidR="002C7B29">
        <w:rPr>
          <w:rFonts w:cs="Arial"/>
          <w:szCs w:val="22"/>
        </w:rPr>
        <w:t xml:space="preserve">by </w:t>
      </w:r>
      <w:r w:rsidR="003F5DFB">
        <w:rPr>
          <w:rFonts w:cs="Arial"/>
          <w:b/>
          <w:szCs w:val="22"/>
        </w:rPr>
        <w:t>24</w:t>
      </w:r>
      <w:r w:rsidR="002C7B29" w:rsidRPr="002C7B29">
        <w:rPr>
          <w:rFonts w:cs="Arial"/>
          <w:b/>
          <w:szCs w:val="22"/>
        </w:rPr>
        <w:t xml:space="preserve"> </w:t>
      </w:r>
      <w:r w:rsidRPr="002C7B29">
        <w:rPr>
          <w:rFonts w:cs="Arial"/>
          <w:b/>
          <w:szCs w:val="22"/>
        </w:rPr>
        <w:t>October 2016</w:t>
      </w:r>
      <w:r w:rsidRPr="002C7B29">
        <w:rPr>
          <w:rFonts w:cs="Arial"/>
          <w:szCs w:val="22"/>
        </w:rPr>
        <w:t>.</w:t>
      </w:r>
    </w:p>
    <w:p w:rsidR="00674D07" w:rsidRPr="002C7B29" w:rsidRDefault="00AA368F" w:rsidP="003F5DFB">
      <w:pPr>
        <w:spacing w:after="240"/>
        <w:ind w:left="709" w:hanging="709"/>
        <w:rPr>
          <w:rFonts w:cs="Arial"/>
          <w:szCs w:val="22"/>
        </w:rPr>
      </w:pPr>
      <w:r>
        <w:rPr>
          <w:rFonts w:cs="Arial"/>
          <w:szCs w:val="22"/>
        </w:rPr>
        <w:lastRenderedPageBreak/>
        <w:t>6.3</w:t>
      </w:r>
      <w:r>
        <w:rPr>
          <w:rFonts w:cs="Arial"/>
          <w:szCs w:val="22"/>
        </w:rPr>
        <w:tab/>
      </w:r>
      <w:r w:rsidR="00674D07" w:rsidRPr="002C7B29">
        <w:rPr>
          <w:rFonts w:cs="Arial"/>
          <w:szCs w:val="22"/>
        </w:rPr>
        <w:t xml:space="preserve">Your tender proposals must be sent electronically via e-mail before the tender return deadline of </w:t>
      </w:r>
      <w:r w:rsidR="00674D07" w:rsidRPr="002C7B29">
        <w:rPr>
          <w:rFonts w:cs="Arial"/>
          <w:b/>
          <w:szCs w:val="22"/>
          <w:u w:val="single"/>
        </w:rPr>
        <w:t xml:space="preserve">9am </w:t>
      </w:r>
      <w:r w:rsidR="003F5DFB">
        <w:rPr>
          <w:rFonts w:cs="Arial"/>
          <w:b/>
          <w:szCs w:val="22"/>
          <w:u w:val="single"/>
        </w:rPr>
        <w:t>5 Octob</w:t>
      </w:r>
      <w:r w:rsidR="002C7B29">
        <w:rPr>
          <w:rFonts w:cs="Arial"/>
          <w:b/>
          <w:szCs w:val="22"/>
          <w:u w:val="single"/>
        </w:rPr>
        <w:t xml:space="preserve">er </w:t>
      </w:r>
      <w:r w:rsidR="00674D07" w:rsidRPr="002C7B29">
        <w:rPr>
          <w:rFonts w:cs="Arial"/>
          <w:b/>
          <w:szCs w:val="22"/>
          <w:u w:val="single"/>
        </w:rPr>
        <w:t>2016</w:t>
      </w:r>
      <w:r w:rsidR="00674D07" w:rsidRPr="002C7B29">
        <w:rPr>
          <w:rFonts w:cs="Arial"/>
          <w:szCs w:val="22"/>
        </w:rPr>
        <w:t xml:space="preserve"> to the following contact:</w:t>
      </w:r>
    </w:p>
    <w:p w:rsidR="007B70B4" w:rsidRPr="002C7B29" w:rsidRDefault="007B70B4" w:rsidP="007B70B4"/>
    <w:p w:rsidR="007B70B4" w:rsidRDefault="007B70B4" w:rsidP="007B70B4">
      <w:pPr>
        <w:rPr>
          <w:rFonts w:eastAsiaTheme="minorEastAsia" w:cs="Arial"/>
          <w:noProof/>
          <w:lang w:eastAsia="en-GB"/>
        </w:rPr>
      </w:pPr>
      <w:r w:rsidRPr="002C7B29">
        <w:rPr>
          <w:rFonts w:eastAsiaTheme="minorEastAsia" w:cs="Arial"/>
          <w:b/>
          <w:bCs/>
          <w:noProof/>
          <w:lang w:eastAsia="en-GB"/>
        </w:rPr>
        <w:t>Gareth Maeer</w:t>
      </w:r>
      <w:r w:rsidRPr="002C7B29">
        <w:rPr>
          <w:rFonts w:eastAsiaTheme="minorEastAsia"/>
          <w:noProof/>
          <w:lang w:eastAsia="en-GB"/>
        </w:rPr>
        <w:t xml:space="preserve"> </w:t>
      </w:r>
      <w:r>
        <w:rPr>
          <w:rFonts w:eastAsiaTheme="minorEastAsia"/>
          <w:noProof/>
          <w:lang w:eastAsia="en-GB"/>
        </w:rPr>
        <w:br/>
      </w:r>
      <w:r>
        <w:rPr>
          <w:rFonts w:eastAsiaTheme="minorEastAsia" w:cs="Arial"/>
          <w:noProof/>
          <w:lang w:eastAsia="en-GB"/>
        </w:rPr>
        <w:t xml:space="preserve">Head of Research </w:t>
      </w:r>
    </w:p>
    <w:p w:rsidR="007B70B4" w:rsidRDefault="007B70B4" w:rsidP="007B70B4">
      <w:pPr>
        <w:rPr>
          <w:rFonts w:asciiTheme="minorHAnsi" w:eastAsiaTheme="minorEastAsia" w:hAnsiTheme="minorHAnsi"/>
          <w:noProof/>
          <w:lang w:eastAsia="en-GB"/>
        </w:rPr>
      </w:pPr>
      <w:r>
        <w:rPr>
          <w:rFonts w:eastAsiaTheme="minorEastAsia" w:cs="Arial"/>
          <w:noProof/>
          <w:lang w:eastAsia="en-GB"/>
        </w:rPr>
        <w:t>Heritage Lottery Fund</w:t>
      </w:r>
      <w:r>
        <w:rPr>
          <w:rFonts w:eastAsiaTheme="minorEastAsia"/>
          <w:noProof/>
          <w:lang w:eastAsia="en-GB"/>
        </w:rPr>
        <w:t xml:space="preserve"> </w:t>
      </w:r>
      <w:r>
        <w:rPr>
          <w:rFonts w:eastAsiaTheme="minorEastAsia"/>
          <w:noProof/>
          <w:lang w:eastAsia="en-GB"/>
        </w:rPr>
        <w:br/>
      </w:r>
      <w:r>
        <w:rPr>
          <w:rFonts w:eastAsiaTheme="minorEastAsia" w:cs="Arial"/>
          <w:noProof/>
          <w:lang w:eastAsia="en-GB"/>
        </w:rPr>
        <w:t>7 Holbein Place</w:t>
      </w:r>
      <w:r>
        <w:rPr>
          <w:rFonts w:eastAsiaTheme="minorEastAsia"/>
          <w:noProof/>
          <w:lang w:eastAsia="en-GB"/>
        </w:rPr>
        <w:t xml:space="preserve"> </w:t>
      </w:r>
      <w:r>
        <w:rPr>
          <w:rFonts w:eastAsiaTheme="minorEastAsia"/>
          <w:noProof/>
          <w:lang w:eastAsia="en-GB"/>
        </w:rPr>
        <w:br/>
      </w:r>
      <w:r>
        <w:rPr>
          <w:rFonts w:eastAsiaTheme="minorEastAsia" w:cs="Arial"/>
          <w:noProof/>
          <w:lang w:eastAsia="en-GB"/>
        </w:rPr>
        <w:t>London SW1W 8NR</w:t>
      </w:r>
      <w:r>
        <w:rPr>
          <w:rFonts w:eastAsiaTheme="minorEastAsia"/>
          <w:noProof/>
          <w:lang w:eastAsia="en-GB"/>
        </w:rPr>
        <w:t xml:space="preserve"> </w:t>
      </w:r>
      <w:r>
        <w:rPr>
          <w:rFonts w:eastAsiaTheme="minorEastAsia"/>
          <w:noProof/>
          <w:lang w:eastAsia="en-GB"/>
        </w:rPr>
        <w:br/>
      </w:r>
      <w:r>
        <w:rPr>
          <w:rFonts w:eastAsiaTheme="minorEastAsia" w:cs="Arial"/>
          <w:noProof/>
          <w:lang w:eastAsia="en-GB"/>
        </w:rPr>
        <w:t>Phone: 020 7591 6215</w:t>
      </w:r>
      <w:r>
        <w:rPr>
          <w:rFonts w:eastAsiaTheme="minorEastAsia"/>
          <w:noProof/>
          <w:lang w:eastAsia="en-GB"/>
        </w:rPr>
        <w:t xml:space="preserve"> </w:t>
      </w:r>
      <w:r>
        <w:rPr>
          <w:rFonts w:eastAsiaTheme="minorEastAsia"/>
          <w:noProof/>
          <w:lang w:eastAsia="en-GB"/>
        </w:rPr>
        <w:br/>
      </w:r>
      <w:r>
        <w:rPr>
          <w:rFonts w:eastAsiaTheme="minorEastAsia" w:cs="Arial"/>
          <w:noProof/>
          <w:lang w:eastAsia="en-GB"/>
        </w:rPr>
        <w:t>Email: garethm@hlf.org.uk</w:t>
      </w:r>
      <w:r>
        <w:rPr>
          <w:rFonts w:eastAsiaTheme="minorEastAsia"/>
          <w:noProof/>
          <w:lang w:eastAsia="en-GB"/>
        </w:rPr>
        <w:t xml:space="preserve"> </w:t>
      </w:r>
      <w:r>
        <w:rPr>
          <w:rFonts w:eastAsiaTheme="minorEastAsia"/>
          <w:noProof/>
          <w:lang w:eastAsia="en-GB"/>
        </w:rPr>
        <w:br/>
      </w:r>
      <w:r>
        <w:rPr>
          <w:rFonts w:eastAsiaTheme="minorEastAsia" w:cs="Arial"/>
          <w:noProof/>
          <w:lang w:eastAsia="en-GB"/>
        </w:rPr>
        <w:t>Website: www.hlf.org.uk</w:t>
      </w:r>
      <w:r>
        <w:rPr>
          <w:rFonts w:eastAsiaTheme="minorEastAsia"/>
          <w:noProof/>
          <w:lang w:eastAsia="en-GB"/>
        </w:rPr>
        <w:t xml:space="preserve"> </w:t>
      </w:r>
    </w:p>
    <w:p w:rsidR="00674D07" w:rsidRPr="00674D07" w:rsidRDefault="00674D07" w:rsidP="00674D07">
      <w:pPr>
        <w:spacing w:after="240"/>
        <w:rPr>
          <w:rFonts w:cs="Arial"/>
          <w:szCs w:val="22"/>
        </w:rPr>
      </w:pPr>
    </w:p>
    <w:p w:rsidR="00674D07" w:rsidRPr="00674D07" w:rsidRDefault="00AA368F" w:rsidP="00AA368F">
      <w:pPr>
        <w:spacing w:after="240"/>
        <w:rPr>
          <w:rFonts w:cs="Arial"/>
          <w:szCs w:val="22"/>
        </w:rPr>
      </w:pPr>
      <w:r>
        <w:rPr>
          <w:rFonts w:cs="Arial"/>
          <w:szCs w:val="22"/>
        </w:rPr>
        <w:t>6.4</w:t>
      </w:r>
      <w:r>
        <w:rPr>
          <w:rFonts w:cs="Arial"/>
          <w:szCs w:val="22"/>
        </w:rPr>
        <w:tab/>
      </w:r>
      <w:r w:rsidR="00674D07" w:rsidRPr="00674D07">
        <w:rPr>
          <w:rFonts w:cs="Arial"/>
          <w:szCs w:val="22"/>
        </w:rPr>
        <w:t xml:space="preserve">Please visit the </w:t>
      </w:r>
      <w:hyperlink r:id="rId13" w:history="1">
        <w:r w:rsidR="00674D07" w:rsidRPr="00674D07">
          <w:rPr>
            <w:rStyle w:val="Hyperlink"/>
            <w:rFonts w:cs="Arial"/>
            <w:szCs w:val="22"/>
          </w:rPr>
          <w:t>HLF website</w:t>
        </w:r>
      </w:hyperlink>
      <w:r w:rsidR="00674D07" w:rsidRPr="00674D07">
        <w:rPr>
          <w:rFonts w:cs="Arial"/>
          <w:szCs w:val="22"/>
        </w:rPr>
        <w:t xml:space="preserve"> for further information about the organisation.</w:t>
      </w:r>
    </w:p>
    <w:p w:rsidR="00674D07" w:rsidRPr="00674D07" w:rsidRDefault="00674D07" w:rsidP="00674D07">
      <w:pPr>
        <w:spacing w:after="240"/>
        <w:rPr>
          <w:rFonts w:cs="Arial"/>
          <w:szCs w:val="22"/>
        </w:rPr>
      </w:pPr>
      <w:r w:rsidRPr="00674D07">
        <w:rPr>
          <w:rFonts w:cs="Arial"/>
          <w:szCs w:val="22"/>
        </w:rPr>
        <w:br w:type="page"/>
      </w:r>
    </w:p>
    <w:p w:rsidR="00674D07" w:rsidRPr="00674D07" w:rsidRDefault="00674D07" w:rsidP="00674D07">
      <w:pPr>
        <w:spacing w:after="240"/>
        <w:rPr>
          <w:rFonts w:cs="Arial"/>
          <w:b/>
          <w:bCs/>
          <w:szCs w:val="22"/>
        </w:rPr>
      </w:pPr>
      <w:r w:rsidRPr="00674D07">
        <w:rPr>
          <w:rFonts w:cs="Arial"/>
          <w:b/>
          <w:bCs/>
          <w:szCs w:val="22"/>
        </w:rPr>
        <w:lastRenderedPageBreak/>
        <w:t>Appendix: Accessibility and formatting guidance</w:t>
      </w:r>
    </w:p>
    <w:p w:rsidR="00674D07" w:rsidRPr="00674D07" w:rsidRDefault="00674D07" w:rsidP="00674D07">
      <w:pPr>
        <w:spacing w:after="240"/>
        <w:rPr>
          <w:rFonts w:cs="Arial"/>
          <w:szCs w:val="22"/>
        </w:rPr>
      </w:pPr>
      <w:r w:rsidRPr="00674D07">
        <w:rPr>
          <w:rFonts w:cs="Arial"/>
          <w:szCs w:val="22"/>
        </w:rPr>
        <w:t>Reports and other documents created for HLF need to be clear, straightforward to use, and ready to circulate internally, externally and online, as well as suitable for use by screen reading software. Best practice in accessibility is summarised below:</w:t>
      </w:r>
    </w:p>
    <w:p w:rsidR="00674D07" w:rsidRPr="00674D07" w:rsidRDefault="00674D07" w:rsidP="00674D07">
      <w:pPr>
        <w:spacing w:after="240"/>
        <w:rPr>
          <w:rFonts w:cs="Arial"/>
          <w:b/>
          <w:bCs/>
          <w:iCs/>
          <w:szCs w:val="22"/>
        </w:rPr>
      </w:pPr>
      <w:r w:rsidRPr="00674D07">
        <w:rPr>
          <w:rFonts w:cs="Arial"/>
          <w:b/>
          <w:bCs/>
          <w:iCs/>
          <w:szCs w:val="22"/>
        </w:rPr>
        <w:t>Readability</w:t>
      </w:r>
    </w:p>
    <w:p w:rsidR="00674D07" w:rsidRPr="00674D07" w:rsidRDefault="00674D07" w:rsidP="00674D07">
      <w:pPr>
        <w:spacing w:after="240"/>
        <w:rPr>
          <w:rFonts w:cs="Arial"/>
          <w:szCs w:val="22"/>
        </w:rPr>
      </w:pPr>
      <w:r w:rsidRPr="00674D07">
        <w:rPr>
          <w:rFonts w:cs="Arial"/>
          <w:szCs w:val="22"/>
        </w:rPr>
        <w:t>In the final report, and all other documents that may be published online including the tender application consultants should ensure that:</w:t>
      </w:r>
    </w:p>
    <w:p w:rsidR="00674D07" w:rsidRPr="00674D07" w:rsidRDefault="00674D07" w:rsidP="00674D07">
      <w:pPr>
        <w:numPr>
          <w:ilvl w:val="0"/>
          <w:numId w:val="38"/>
        </w:numPr>
        <w:spacing w:after="240"/>
        <w:rPr>
          <w:rFonts w:cs="Arial"/>
          <w:szCs w:val="22"/>
        </w:rPr>
      </w:pPr>
      <w:r w:rsidRPr="00674D07">
        <w:rPr>
          <w:rFonts w:cs="Arial"/>
          <w:szCs w:val="22"/>
        </w:rPr>
        <w:t>The size of the font is at least 11pt;</w:t>
      </w:r>
    </w:p>
    <w:p w:rsidR="00674D07" w:rsidRPr="00674D07" w:rsidRDefault="00674D07" w:rsidP="00674D07">
      <w:pPr>
        <w:numPr>
          <w:ilvl w:val="0"/>
          <w:numId w:val="38"/>
        </w:numPr>
        <w:spacing w:after="240"/>
        <w:rPr>
          <w:rFonts w:cs="Arial"/>
          <w:szCs w:val="22"/>
        </w:rPr>
      </w:pPr>
      <w:r w:rsidRPr="00674D07">
        <w:rPr>
          <w:rFonts w:cs="Arial"/>
          <w:szCs w:val="22"/>
        </w:rPr>
        <w:t>There is a strong contrast between the background colour and the colour of the text. Black text on a white background provides the best contrast. This also applies to any shading used in tables and/or diagrams;</w:t>
      </w:r>
    </w:p>
    <w:p w:rsidR="00674D07" w:rsidRPr="00674D07" w:rsidRDefault="00674D07" w:rsidP="00674D07">
      <w:pPr>
        <w:numPr>
          <w:ilvl w:val="0"/>
          <w:numId w:val="38"/>
        </w:numPr>
        <w:spacing w:after="240"/>
        <w:rPr>
          <w:rFonts w:cs="Arial"/>
          <w:szCs w:val="22"/>
        </w:rPr>
      </w:pPr>
      <w:r w:rsidRPr="00674D07">
        <w:rPr>
          <w:rFonts w:cs="Arial"/>
          <w:szCs w:val="22"/>
        </w:rPr>
        <w:t xml:space="preserve">Italics are only used when quoting book titles for citations and items on the reference list should be arranged alphabetically by author </w:t>
      </w:r>
    </w:p>
    <w:p w:rsidR="00674D07" w:rsidRPr="00674D07" w:rsidRDefault="00674D07" w:rsidP="00674D07">
      <w:pPr>
        <w:numPr>
          <w:ilvl w:val="0"/>
          <w:numId w:val="38"/>
        </w:numPr>
        <w:spacing w:after="240"/>
        <w:rPr>
          <w:rFonts w:cs="Arial"/>
          <w:szCs w:val="22"/>
        </w:rPr>
      </w:pPr>
      <w:r w:rsidRPr="00674D07">
        <w:rPr>
          <w:rFonts w:cs="Arial"/>
          <w:szCs w:val="22"/>
        </w:rPr>
        <w:t>Colour formatting and use of photos should be of a resolution size that is easily printable and does not compromise the printability of the document.</w:t>
      </w:r>
    </w:p>
    <w:p w:rsidR="00674D07" w:rsidRPr="00674D07" w:rsidRDefault="00674D07" w:rsidP="00674D07">
      <w:pPr>
        <w:spacing w:after="240"/>
        <w:rPr>
          <w:rFonts w:cs="Arial"/>
          <w:szCs w:val="22"/>
        </w:rPr>
      </w:pPr>
      <w:r w:rsidRPr="00674D07">
        <w:rPr>
          <w:rFonts w:cs="Arial"/>
          <w:szCs w:val="22"/>
        </w:rPr>
        <w:t xml:space="preserve">For further guidance on ensuring readability of printed materials, please refer to the RNIB Clear Print guidelines. These can be found on the </w:t>
      </w:r>
      <w:hyperlink r:id="rId14" w:history="1">
        <w:r w:rsidRPr="00674D07">
          <w:rPr>
            <w:rStyle w:val="Hyperlink"/>
            <w:rFonts w:cs="Arial"/>
            <w:szCs w:val="22"/>
          </w:rPr>
          <w:t>RNIB website</w:t>
        </w:r>
      </w:hyperlink>
      <w:r w:rsidRPr="00674D07">
        <w:rPr>
          <w:rFonts w:cs="Arial"/>
          <w:szCs w:val="22"/>
        </w:rPr>
        <w:t>.</w:t>
      </w:r>
    </w:p>
    <w:p w:rsidR="00674D07" w:rsidRPr="00674D07" w:rsidRDefault="00674D07" w:rsidP="00674D07">
      <w:pPr>
        <w:spacing w:after="240"/>
        <w:rPr>
          <w:rFonts w:cs="Arial"/>
          <w:b/>
          <w:bCs/>
          <w:iCs/>
          <w:szCs w:val="22"/>
        </w:rPr>
      </w:pPr>
      <w:r w:rsidRPr="00674D07">
        <w:rPr>
          <w:rFonts w:cs="Arial"/>
          <w:b/>
          <w:bCs/>
          <w:iCs/>
          <w:szCs w:val="22"/>
        </w:rPr>
        <w:t>Accessibility</w:t>
      </w:r>
    </w:p>
    <w:p w:rsidR="00674D07" w:rsidRPr="00674D07" w:rsidRDefault="00674D07" w:rsidP="00674D07">
      <w:pPr>
        <w:spacing w:after="240"/>
        <w:rPr>
          <w:rFonts w:cs="Arial"/>
          <w:szCs w:val="22"/>
        </w:rPr>
      </w:pPr>
      <w:r w:rsidRPr="00674D07">
        <w:rPr>
          <w:rFonts w:cs="Arial"/>
          <w:szCs w:val="22"/>
        </w:rPr>
        <w:t>Reports should adhere to the following guidelines:</w:t>
      </w:r>
    </w:p>
    <w:p w:rsidR="00674D07" w:rsidRPr="00674D07" w:rsidRDefault="00674D07" w:rsidP="00674D07">
      <w:pPr>
        <w:spacing w:after="240"/>
        <w:rPr>
          <w:rFonts w:cs="Arial"/>
          <w:b/>
          <w:bCs/>
          <w:iCs/>
          <w:szCs w:val="22"/>
        </w:rPr>
      </w:pPr>
      <w:r w:rsidRPr="00674D07">
        <w:rPr>
          <w:rFonts w:cs="Arial"/>
          <w:b/>
          <w:bCs/>
          <w:iCs/>
          <w:szCs w:val="22"/>
        </w:rPr>
        <w:t>Formatting</w:t>
      </w:r>
    </w:p>
    <w:p w:rsidR="00674D07" w:rsidRPr="00674D07" w:rsidRDefault="00674D07" w:rsidP="00674D07">
      <w:pPr>
        <w:spacing w:after="240"/>
        <w:rPr>
          <w:rFonts w:cs="Arial"/>
          <w:szCs w:val="22"/>
        </w:rPr>
      </w:pPr>
      <w:r w:rsidRPr="00674D07">
        <w:rPr>
          <w:rFonts w:cs="Arial"/>
          <w:szCs w:val="22"/>
        </w:rPr>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rsidR="00674D07" w:rsidRPr="00674D07" w:rsidRDefault="00674D07" w:rsidP="00674D07">
      <w:pPr>
        <w:spacing w:after="240"/>
        <w:rPr>
          <w:rFonts w:cs="Arial"/>
          <w:b/>
          <w:bCs/>
          <w:iCs/>
          <w:szCs w:val="22"/>
        </w:rPr>
      </w:pPr>
      <w:bookmarkStart w:id="1" w:name="_Toc322438558"/>
      <w:r w:rsidRPr="00674D07">
        <w:rPr>
          <w:rFonts w:cs="Arial"/>
          <w:b/>
          <w:bCs/>
          <w:iCs/>
          <w:szCs w:val="22"/>
        </w:rPr>
        <w:t>Spacing</w:t>
      </w:r>
      <w:bookmarkEnd w:id="1"/>
    </w:p>
    <w:p w:rsidR="00674D07" w:rsidRPr="00674D07" w:rsidRDefault="00674D07" w:rsidP="00674D07">
      <w:pPr>
        <w:spacing w:after="240"/>
        <w:rPr>
          <w:rFonts w:cs="Arial"/>
          <w:szCs w:val="22"/>
        </w:rPr>
      </w:pPr>
      <w:r w:rsidRPr="00674D07">
        <w:rPr>
          <w:rFonts w:cs="Arial"/>
          <w:szCs w:val="22"/>
        </w:rPr>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rsidR="00674D07" w:rsidRPr="00674D07" w:rsidRDefault="00674D07" w:rsidP="00674D07">
      <w:pPr>
        <w:spacing w:after="240"/>
        <w:rPr>
          <w:rFonts w:cs="Arial"/>
          <w:b/>
          <w:bCs/>
          <w:iCs/>
          <w:szCs w:val="22"/>
        </w:rPr>
      </w:pPr>
      <w:r w:rsidRPr="00674D07">
        <w:rPr>
          <w:rFonts w:cs="Arial"/>
          <w:b/>
          <w:bCs/>
          <w:iCs/>
          <w:szCs w:val="22"/>
        </w:rPr>
        <w:t>Alternative text</w:t>
      </w:r>
    </w:p>
    <w:p w:rsidR="00674D07" w:rsidRPr="00674D07" w:rsidRDefault="00674D07" w:rsidP="00674D07">
      <w:pPr>
        <w:spacing w:after="240"/>
        <w:rPr>
          <w:rFonts w:cs="Arial"/>
          <w:szCs w:val="22"/>
        </w:rPr>
      </w:pPr>
      <w:r w:rsidRPr="00674D07">
        <w:rPr>
          <w:rFonts w:cs="Arial"/>
          <w:szCs w:val="22"/>
        </w:rPr>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rsidR="00674D07" w:rsidRPr="00674D07" w:rsidRDefault="00674D07" w:rsidP="00674D07">
      <w:pPr>
        <w:spacing w:after="240"/>
        <w:rPr>
          <w:rFonts w:cs="Arial"/>
          <w:b/>
          <w:bCs/>
          <w:iCs/>
          <w:szCs w:val="22"/>
        </w:rPr>
      </w:pPr>
      <w:r w:rsidRPr="00674D07">
        <w:rPr>
          <w:rFonts w:cs="Arial"/>
          <w:b/>
          <w:bCs/>
          <w:iCs/>
          <w:szCs w:val="22"/>
        </w:rPr>
        <w:t>Images</w:t>
      </w:r>
    </w:p>
    <w:p w:rsidR="00674D07" w:rsidRPr="00674D07" w:rsidRDefault="00674D07" w:rsidP="00674D07">
      <w:pPr>
        <w:spacing w:after="240"/>
        <w:rPr>
          <w:rFonts w:cs="Arial"/>
          <w:szCs w:val="22"/>
        </w:rPr>
      </w:pPr>
      <w:r w:rsidRPr="00674D07">
        <w:rPr>
          <w:rFonts w:cs="Arial"/>
          <w:szCs w:val="22"/>
        </w:rPr>
        <w:t>These should be formatted in-line with text, to support screen readers. Crediting pictures may be necessary, usually in response to a direct request from a third party.</w:t>
      </w:r>
    </w:p>
    <w:p w:rsidR="00674D07" w:rsidRPr="00674D07" w:rsidRDefault="00674D07" w:rsidP="00674D07">
      <w:pPr>
        <w:spacing w:after="240"/>
        <w:rPr>
          <w:rFonts w:cs="Arial"/>
          <w:b/>
          <w:bCs/>
          <w:iCs/>
          <w:szCs w:val="22"/>
        </w:rPr>
      </w:pPr>
      <w:r w:rsidRPr="00674D07">
        <w:rPr>
          <w:rFonts w:cs="Arial"/>
          <w:b/>
          <w:bCs/>
          <w:iCs/>
          <w:szCs w:val="22"/>
        </w:rPr>
        <w:lastRenderedPageBreak/>
        <w:t>Tables</w:t>
      </w:r>
    </w:p>
    <w:p w:rsidR="00674D07" w:rsidRPr="00674D07" w:rsidRDefault="00674D07" w:rsidP="00674D07">
      <w:pPr>
        <w:spacing w:after="240"/>
        <w:rPr>
          <w:rFonts w:cs="Arial"/>
          <w:szCs w:val="22"/>
        </w:rPr>
      </w:pPr>
      <w:r w:rsidRPr="00674D07">
        <w:rPr>
          <w:rFonts w:cs="Arial"/>
          <w:szCs w:val="22"/>
        </w:rPr>
        <w:t>These should be for used for presenting data and not for layout or design. They should also be simple, and include a descriptive title.</w:t>
      </w:r>
    </w:p>
    <w:p w:rsidR="00674D07" w:rsidRPr="00674D07" w:rsidRDefault="00674D07" w:rsidP="00674D07">
      <w:pPr>
        <w:spacing w:after="240"/>
        <w:rPr>
          <w:rFonts w:cs="Arial"/>
          <w:b/>
          <w:bCs/>
          <w:iCs/>
          <w:szCs w:val="22"/>
        </w:rPr>
      </w:pPr>
      <w:r w:rsidRPr="00674D07">
        <w:rPr>
          <w:rFonts w:cs="Arial"/>
          <w:b/>
          <w:bCs/>
          <w:iCs/>
          <w:szCs w:val="22"/>
        </w:rPr>
        <w:t>Additional documents</w:t>
      </w:r>
    </w:p>
    <w:p w:rsidR="00674D07" w:rsidRPr="00674D07" w:rsidRDefault="00674D07" w:rsidP="00674D07">
      <w:pPr>
        <w:spacing w:after="240"/>
        <w:rPr>
          <w:rFonts w:cs="Arial"/>
          <w:szCs w:val="22"/>
        </w:rPr>
      </w:pPr>
      <w:r w:rsidRPr="00674D07">
        <w:rPr>
          <w:rFonts w:cs="Arial"/>
          <w:szCs w:val="22"/>
        </w:rPr>
        <w:t xml:space="preserve">Any additional information, separate to the report, for example </w:t>
      </w:r>
      <w:proofErr w:type="spellStart"/>
      <w:r w:rsidRPr="00674D07">
        <w:rPr>
          <w:rFonts w:cs="Arial"/>
          <w:szCs w:val="22"/>
        </w:rPr>
        <w:t>proformas</w:t>
      </w:r>
      <w:proofErr w:type="spellEnd"/>
      <w:r w:rsidRPr="00674D07">
        <w:rPr>
          <w:rFonts w:cs="Arial"/>
          <w:szCs w:val="22"/>
        </w:rPr>
        <w:t xml:space="preserve"> and transcripts which may be used as standalone documents must be fully referenced to the piece of work being submitting and therefore dated, formatted and numbered appropriately.</w:t>
      </w:r>
    </w:p>
    <w:p w:rsidR="00674D07" w:rsidRPr="00674D07" w:rsidRDefault="00674D07" w:rsidP="00674D07">
      <w:pPr>
        <w:spacing w:after="240"/>
        <w:rPr>
          <w:rFonts w:cs="Arial"/>
          <w:b/>
          <w:bCs/>
          <w:iCs/>
          <w:szCs w:val="22"/>
        </w:rPr>
      </w:pPr>
      <w:r w:rsidRPr="00674D07">
        <w:rPr>
          <w:rFonts w:cs="Arial"/>
          <w:b/>
          <w:bCs/>
          <w:iCs/>
          <w:szCs w:val="22"/>
        </w:rPr>
        <w:t>Acknowledgement</w:t>
      </w:r>
    </w:p>
    <w:p w:rsidR="00287FA6" w:rsidRDefault="00674D07" w:rsidP="00A612E0">
      <w:pPr>
        <w:spacing w:after="240"/>
        <w:rPr>
          <w:rFonts w:cs="Arial"/>
          <w:szCs w:val="22"/>
        </w:rPr>
      </w:pPr>
      <w:r w:rsidRPr="00674D07">
        <w:rPr>
          <w:rFonts w:cs="Arial"/>
          <w:szCs w:val="22"/>
        </w:rPr>
        <w:t xml:space="preserve">All reports should acknowledge HLF. Our logo can be found on the </w:t>
      </w:r>
      <w:hyperlink r:id="rId15" w:history="1">
        <w:r w:rsidRPr="00674D07">
          <w:rPr>
            <w:rStyle w:val="Hyperlink"/>
            <w:rFonts w:cs="Arial"/>
            <w:szCs w:val="22"/>
          </w:rPr>
          <w:t>HLF website</w:t>
        </w:r>
      </w:hyperlink>
      <w:r w:rsidRPr="00674D07">
        <w:rPr>
          <w:rFonts w:cs="Arial"/>
          <w:szCs w:val="22"/>
        </w:rPr>
        <w:t>.</w:t>
      </w:r>
      <w:r w:rsidR="00A612E0">
        <w:rPr>
          <w:rFonts w:cs="Arial"/>
          <w:szCs w:val="22"/>
        </w:rPr>
        <w:t xml:space="preserve"> </w:t>
      </w:r>
    </w:p>
    <w:p w:rsidR="00287FA6" w:rsidRPr="00287FA6" w:rsidRDefault="00287FA6" w:rsidP="00287FA6">
      <w:pPr>
        <w:pStyle w:val="ListParagraph"/>
        <w:spacing w:after="240"/>
        <w:rPr>
          <w:rFonts w:cs="Arial"/>
          <w:szCs w:val="22"/>
        </w:rPr>
      </w:pPr>
    </w:p>
    <w:sectPr w:rsidR="00287FA6" w:rsidRPr="00287FA6" w:rsidSect="00372811">
      <w:footerReference w:type="even" r:id="rId16"/>
      <w:footerReference w:type="default" r:id="rId17"/>
      <w:headerReference w:type="first" r:id="rId18"/>
      <w:footerReference w:type="first" r:id="rId19"/>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520" w:rsidRDefault="00116520">
      <w:r>
        <w:separator/>
      </w:r>
    </w:p>
  </w:endnote>
  <w:endnote w:type="continuationSeparator" w:id="0">
    <w:p w:rsidR="00116520" w:rsidRDefault="0011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20" w:rsidRDefault="00116520"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6520" w:rsidRDefault="00116520"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20" w:rsidRPr="00FE2F89" w:rsidRDefault="00116520"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244E22">
      <w:rPr>
        <w:rStyle w:val="PageNumber"/>
        <w:rFonts w:cs="Arial"/>
        <w:noProof/>
        <w:sz w:val="20"/>
      </w:rPr>
      <w:t>8</w:t>
    </w:r>
    <w:r w:rsidRPr="00FE2F89">
      <w:rPr>
        <w:rStyle w:val="PageNumber"/>
        <w:rFonts w:cs="Arial"/>
        <w:sz w:val="20"/>
      </w:rPr>
      <w:fldChar w:fldCharType="end"/>
    </w:r>
  </w:p>
  <w:p w:rsidR="00116520" w:rsidRDefault="00116520"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20" w:rsidRDefault="00116520" w:rsidP="00D27190">
    <w:pPr>
      <w:pStyle w:val="Footer"/>
      <w:tabs>
        <w:tab w:val="clear" w:pos="4153"/>
        <w:tab w:val="clear" w:pos="8306"/>
        <w:tab w:val="left" w:pos="2552"/>
      </w:tabs>
      <w:ind w:right="-1"/>
    </w:pPr>
    <w:r>
      <w:rPr>
        <w:noProof/>
        <w:lang w:eastAsia="en-GB"/>
      </w:rPr>
      <w:drawing>
        <wp:inline distT="0" distB="0" distL="0" distR="0" wp14:anchorId="6E3DBD1B" wp14:editId="518CAF3E">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rsidR="00116520" w:rsidRPr="00DC45DF" w:rsidRDefault="00116520" w:rsidP="00C93A35">
    <w:pPr>
      <w:pStyle w:val="Footer"/>
      <w:ind w:left="-1260" w:right="-1176"/>
      <w:jc w:val="center"/>
      <w:rPr>
        <w:sz w:val="20"/>
      </w:rPr>
    </w:pPr>
  </w:p>
  <w:p w:rsidR="00116520" w:rsidRDefault="00116520"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520" w:rsidRDefault="00116520">
      <w:r>
        <w:separator/>
      </w:r>
    </w:p>
  </w:footnote>
  <w:footnote w:type="continuationSeparator" w:id="0">
    <w:p w:rsidR="00116520" w:rsidRDefault="001165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20" w:rsidRDefault="00116520" w:rsidP="0082540F">
    <w:pPr>
      <w:pStyle w:val="Header"/>
      <w:tabs>
        <w:tab w:val="clear" w:pos="4153"/>
        <w:tab w:val="clear" w:pos="8306"/>
      </w:tabs>
      <w:jc w:val="center"/>
    </w:pPr>
    <w:r>
      <w:rPr>
        <w:noProof/>
        <w:lang w:eastAsia="en-GB"/>
      </w:rPr>
      <w:drawing>
        <wp:inline distT="0" distB="0" distL="0" distR="0" wp14:anchorId="7A9C3661" wp14:editId="55DF2FE8">
          <wp:extent cx="2152650" cy="1647825"/>
          <wp:effectExtent l="0" t="0" r="0" b="9525"/>
          <wp:docPr id="1" name="Picture 4" descr="HLF Logo on Header"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47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34C2"/>
    <w:multiLevelType w:val="multilevel"/>
    <w:tmpl w:val="57061D36"/>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4A02C76"/>
    <w:multiLevelType w:val="hybridMultilevel"/>
    <w:tmpl w:val="D7965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1B66CD"/>
    <w:multiLevelType w:val="hybridMultilevel"/>
    <w:tmpl w:val="48B6D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7BE282D"/>
    <w:multiLevelType w:val="hybridMultilevel"/>
    <w:tmpl w:val="FEFC94C4"/>
    <w:lvl w:ilvl="0" w:tplc="ED127B8A">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8D27E0F"/>
    <w:multiLevelType w:val="multilevel"/>
    <w:tmpl w:val="9B8852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A226BA6"/>
    <w:multiLevelType w:val="hybridMultilevel"/>
    <w:tmpl w:val="FE140E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A470804"/>
    <w:multiLevelType w:val="multilevel"/>
    <w:tmpl w:val="7EC26F72"/>
    <w:lvl w:ilvl="0">
      <w:start w:val="6"/>
      <w:numFmt w:val="decimal"/>
      <w:lvlText w:val="%1"/>
      <w:lvlJc w:val="left"/>
      <w:pPr>
        <w:ind w:left="360" w:hanging="360"/>
      </w:pPr>
      <w:rPr>
        <w:rFonts w:cs="Times New Roman" w:hint="default"/>
      </w:rPr>
    </w:lvl>
    <w:lvl w:ilvl="1">
      <w:start w:val="4"/>
      <w:numFmt w:val="decimal"/>
      <w:lvlText w:val="%1.%2"/>
      <w:lvlJc w:val="left"/>
      <w:pPr>
        <w:ind w:left="54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7">
    <w:nsid w:val="1618566A"/>
    <w:multiLevelType w:val="multilevel"/>
    <w:tmpl w:val="E7B4722E"/>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B3F6FF7"/>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9">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nsid w:val="1C8F494C"/>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1">
    <w:nsid w:val="1D487EEF"/>
    <w:multiLevelType w:val="multilevel"/>
    <w:tmpl w:val="E436B268"/>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20B74C79"/>
    <w:multiLevelType w:val="hybridMultilevel"/>
    <w:tmpl w:val="1DE086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0FC18B6"/>
    <w:multiLevelType w:val="hybridMultilevel"/>
    <w:tmpl w:val="461AB1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11B527C"/>
    <w:multiLevelType w:val="hybridMultilevel"/>
    <w:tmpl w:val="3E8AC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44A5629"/>
    <w:multiLevelType w:val="multilevel"/>
    <w:tmpl w:val="631219BA"/>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457658C"/>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18">
    <w:nsid w:val="2A344BB6"/>
    <w:multiLevelType w:val="hybridMultilevel"/>
    <w:tmpl w:val="6F28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A565A0A"/>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2C7A0955"/>
    <w:multiLevelType w:val="multilevel"/>
    <w:tmpl w:val="45EE273C"/>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0DC2FC7"/>
    <w:multiLevelType w:val="multilevel"/>
    <w:tmpl w:val="631219BA"/>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397A419C"/>
    <w:multiLevelType w:val="multilevel"/>
    <w:tmpl w:val="86863B3E"/>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3B5C0A92"/>
    <w:multiLevelType w:val="hybridMultilevel"/>
    <w:tmpl w:val="5BF0A094"/>
    <w:lvl w:ilvl="0" w:tplc="ED50DDE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3C124DA8"/>
    <w:multiLevelType w:val="hybridMultilevel"/>
    <w:tmpl w:val="FD6A5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C2B0B5E"/>
    <w:multiLevelType w:val="hybridMultilevel"/>
    <w:tmpl w:val="7160F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DB4C43"/>
    <w:multiLevelType w:val="multilevel"/>
    <w:tmpl w:val="DEB8C06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40C7421B"/>
    <w:multiLevelType w:val="multilevel"/>
    <w:tmpl w:val="84CA9ABE"/>
    <w:lvl w:ilvl="0">
      <w:start w:val="1"/>
      <w:numFmt w:val="bullet"/>
      <w:lvlText w:val=""/>
      <w:lvlJc w:val="left"/>
      <w:pPr>
        <w:tabs>
          <w:tab w:val="num" w:pos="1440"/>
        </w:tabs>
        <w:ind w:left="1440" w:hanging="720"/>
      </w:pPr>
      <w:rPr>
        <w:rFonts w:ascii="Symbol" w:hAnsi="Symbol" w:hint="default"/>
        <w:b/>
        <w:i w:val="0"/>
        <w:sz w:val="22"/>
      </w:rPr>
    </w:lvl>
    <w:lvl w:ilvl="1">
      <w:start w:val="1"/>
      <w:numFmt w:val="decimal"/>
      <w:lvlText w:val="%1.%2"/>
      <w:lvlJc w:val="left"/>
      <w:pPr>
        <w:tabs>
          <w:tab w:val="num" w:pos="1582"/>
        </w:tabs>
        <w:ind w:left="1582" w:hanging="720"/>
      </w:pPr>
      <w:rPr>
        <w:rFonts w:ascii="Arial" w:hAnsi="Arial" w:cs="Times New Roman" w:hint="default"/>
        <w:b w:val="0"/>
        <w:i w:val="0"/>
        <w:color w:val="auto"/>
        <w:sz w:val="22"/>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298"/>
        </w:tabs>
        <w:ind w:left="1298" w:hanging="720"/>
      </w:pPr>
      <w:rPr>
        <w:rFonts w:cs="Times New Roman" w:hint="default"/>
      </w:rPr>
    </w:lvl>
    <w:lvl w:ilvl="4">
      <w:start w:val="1"/>
      <w:numFmt w:val="decimal"/>
      <w:lvlText w:val="%1.%2.%3.%4.%5"/>
      <w:lvlJc w:val="left"/>
      <w:pPr>
        <w:tabs>
          <w:tab w:val="num" w:pos="1658"/>
        </w:tabs>
        <w:ind w:left="1658" w:hanging="1080"/>
      </w:pPr>
      <w:rPr>
        <w:rFonts w:cs="Times New Roman" w:hint="default"/>
      </w:rPr>
    </w:lvl>
    <w:lvl w:ilvl="5">
      <w:start w:val="1"/>
      <w:numFmt w:val="decimal"/>
      <w:lvlText w:val="%1.%2.%3.%4.%5.%6"/>
      <w:lvlJc w:val="left"/>
      <w:pPr>
        <w:tabs>
          <w:tab w:val="num" w:pos="1658"/>
        </w:tabs>
        <w:ind w:left="1658" w:hanging="1080"/>
      </w:pPr>
      <w:rPr>
        <w:rFonts w:cs="Times New Roman" w:hint="default"/>
      </w:rPr>
    </w:lvl>
    <w:lvl w:ilvl="6">
      <w:start w:val="1"/>
      <w:numFmt w:val="decimal"/>
      <w:lvlText w:val="%1.%2.%3.%4.%5.%6.%7"/>
      <w:lvlJc w:val="left"/>
      <w:pPr>
        <w:tabs>
          <w:tab w:val="num" w:pos="2018"/>
        </w:tabs>
        <w:ind w:left="2018" w:hanging="1440"/>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378"/>
        </w:tabs>
        <w:ind w:left="2378" w:hanging="1800"/>
      </w:pPr>
      <w:rPr>
        <w:rFonts w:cs="Times New Roman" w:hint="default"/>
      </w:rPr>
    </w:lvl>
  </w:abstractNum>
  <w:abstractNum w:abstractNumId="28">
    <w:nsid w:val="425D253C"/>
    <w:multiLevelType w:val="multilevel"/>
    <w:tmpl w:val="5E984B6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9">
    <w:nsid w:val="46BC5FF7"/>
    <w:multiLevelType w:val="hybridMultilevel"/>
    <w:tmpl w:val="AA9C9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1">
    <w:nsid w:val="50BF6E61"/>
    <w:multiLevelType w:val="hybridMultilevel"/>
    <w:tmpl w:val="8B002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0F50234"/>
    <w:multiLevelType w:val="hybridMultilevel"/>
    <w:tmpl w:val="4D0648EA"/>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cs="Times New Roman"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3">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34">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5BE705A3"/>
    <w:multiLevelType w:val="hybridMultilevel"/>
    <w:tmpl w:val="F166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050728"/>
    <w:multiLevelType w:val="hybridMultilevel"/>
    <w:tmpl w:val="5A9C8EEC"/>
    <w:lvl w:ilvl="0" w:tplc="0A304CA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3BC76BE"/>
    <w:multiLevelType w:val="multilevel"/>
    <w:tmpl w:val="631219BA"/>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64241585"/>
    <w:multiLevelType w:val="hybridMultilevel"/>
    <w:tmpl w:val="79F051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4DD50FF"/>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0">
    <w:nsid w:val="6BC354E9"/>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1">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nsid w:val="73584821"/>
    <w:multiLevelType w:val="hybridMultilevel"/>
    <w:tmpl w:val="1E0AE93C"/>
    <w:lvl w:ilvl="0" w:tplc="45F2C02C">
      <w:start w:val="1"/>
      <w:numFmt w:val="bullet"/>
      <w:pStyle w:val="Heading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5E2054"/>
    <w:multiLevelType w:val="hybridMultilevel"/>
    <w:tmpl w:val="CECE35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nsid w:val="7B4F49C7"/>
    <w:multiLevelType w:val="hybridMultilevel"/>
    <w:tmpl w:val="50A8C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BB653CD"/>
    <w:multiLevelType w:val="hybridMultilevel"/>
    <w:tmpl w:val="4122133E"/>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E803834"/>
    <w:multiLevelType w:val="multilevel"/>
    <w:tmpl w:val="1EE8F2B2"/>
    <w:lvl w:ilvl="0">
      <w:start w:val="3"/>
      <w:numFmt w:val="decimal"/>
      <w:lvlText w:val="%1"/>
      <w:lvlJc w:val="left"/>
      <w:pPr>
        <w:ind w:left="360" w:hanging="360"/>
      </w:pPr>
      <w:rPr>
        <w:rFonts w:cs="Times New Roman" w:hint="default"/>
        <w:i/>
        <w:color w:val="1F497D"/>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color w:val="1F497D"/>
      </w:rPr>
    </w:lvl>
    <w:lvl w:ilvl="3">
      <w:start w:val="1"/>
      <w:numFmt w:val="decimal"/>
      <w:lvlText w:val="%1.%2.%3.%4"/>
      <w:lvlJc w:val="left"/>
      <w:pPr>
        <w:ind w:left="720" w:hanging="720"/>
      </w:pPr>
      <w:rPr>
        <w:rFonts w:cs="Times New Roman" w:hint="default"/>
        <w:i/>
        <w:color w:val="1F497D"/>
      </w:rPr>
    </w:lvl>
    <w:lvl w:ilvl="4">
      <w:start w:val="1"/>
      <w:numFmt w:val="decimal"/>
      <w:lvlText w:val="%1.%2.%3.%4.%5"/>
      <w:lvlJc w:val="left"/>
      <w:pPr>
        <w:ind w:left="1080" w:hanging="1080"/>
      </w:pPr>
      <w:rPr>
        <w:rFonts w:cs="Times New Roman" w:hint="default"/>
        <w:i/>
        <w:color w:val="1F497D"/>
      </w:rPr>
    </w:lvl>
    <w:lvl w:ilvl="5">
      <w:start w:val="1"/>
      <w:numFmt w:val="decimal"/>
      <w:lvlText w:val="%1.%2.%3.%4.%5.%6"/>
      <w:lvlJc w:val="left"/>
      <w:pPr>
        <w:ind w:left="1080" w:hanging="1080"/>
      </w:pPr>
      <w:rPr>
        <w:rFonts w:cs="Times New Roman" w:hint="default"/>
        <w:i/>
        <w:color w:val="1F497D"/>
      </w:rPr>
    </w:lvl>
    <w:lvl w:ilvl="6">
      <w:start w:val="1"/>
      <w:numFmt w:val="decimal"/>
      <w:lvlText w:val="%1.%2.%3.%4.%5.%6.%7"/>
      <w:lvlJc w:val="left"/>
      <w:pPr>
        <w:ind w:left="1440" w:hanging="1440"/>
      </w:pPr>
      <w:rPr>
        <w:rFonts w:cs="Times New Roman" w:hint="default"/>
        <w:i/>
        <w:color w:val="1F497D"/>
      </w:rPr>
    </w:lvl>
    <w:lvl w:ilvl="7">
      <w:start w:val="1"/>
      <w:numFmt w:val="decimal"/>
      <w:lvlText w:val="%1.%2.%3.%4.%5.%6.%7.%8"/>
      <w:lvlJc w:val="left"/>
      <w:pPr>
        <w:ind w:left="1440" w:hanging="1440"/>
      </w:pPr>
      <w:rPr>
        <w:rFonts w:cs="Times New Roman" w:hint="default"/>
        <w:i/>
        <w:color w:val="1F497D"/>
      </w:rPr>
    </w:lvl>
    <w:lvl w:ilvl="8">
      <w:start w:val="1"/>
      <w:numFmt w:val="decimal"/>
      <w:lvlText w:val="%1.%2.%3.%4.%5.%6.%7.%8.%9"/>
      <w:lvlJc w:val="left"/>
      <w:pPr>
        <w:ind w:left="1800" w:hanging="1800"/>
      </w:pPr>
      <w:rPr>
        <w:rFonts w:cs="Times New Roman" w:hint="default"/>
        <w:i/>
        <w:color w:val="1F497D"/>
      </w:rPr>
    </w:lvl>
  </w:abstractNum>
  <w:abstractNum w:abstractNumId="49">
    <w:nsid w:val="7EB1322A"/>
    <w:multiLevelType w:val="hybridMultilevel"/>
    <w:tmpl w:val="C3A630F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29C2633A">
      <w:start w:val="2"/>
      <w:numFmt w:val="bullet"/>
      <w:lvlText w:val="•"/>
      <w:lvlJc w:val="left"/>
      <w:pPr>
        <w:ind w:left="2880" w:hanging="720"/>
      </w:pPr>
      <w:rPr>
        <w:rFonts w:ascii="Arial" w:eastAsia="Times New Roman" w:hAnsi="Aria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32"/>
  </w:num>
  <w:num w:numId="2">
    <w:abstractNumId w:val="34"/>
  </w:num>
  <w:num w:numId="3">
    <w:abstractNumId w:val="49"/>
  </w:num>
  <w:num w:numId="4">
    <w:abstractNumId w:val="38"/>
  </w:num>
  <w:num w:numId="5">
    <w:abstractNumId w:val="13"/>
  </w:num>
  <w:num w:numId="6">
    <w:abstractNumId w:val="22"/>
  </w:num>
  <w:num w:numId="7">
    <w:abstractNumId w:val="36"/>
  </w:num>
  <w:num w:numId="8">
    <w:abstractNumId w:val="4"/>
  </w:num>
  <w:num w:numId="9">
    <w:abstractNumId w:val="45"/>
  </w:num>
  <w:num w:numId="10">
    <w:abstractNumId w:val="26"/>
  </w:num>
  <w:num w:numId="11">
    <w:abstractNumId w:val="28"/>
  </w:num>
  <w:num w:numId="12">
    <w:abstractNumId w:val="14"/>
  </w:num>
  <w:num w:numId="13">
    <w:abstractNumId w:val="47"/>
  </w:num>
  <w:num w:numId="14">
    <w:abstractNumId w:val="2"/>
  </w:num>
  <w:num w:numId="15">
    <w:abstractNumId w:val="1"/>
  </w:num>
  <w:num w:numId="16">
    <w:abstractNumId w:val="25"/>
  </w:num>
  <w:num w:numId="17">
    <w:abstractNumId w:val="46"/>
  </w:num>
  <w:num w:numId="18">
    <w:abstractNumId w:val="18"/>
  </w:num>
  <w:num w:numId="19">
    <w:abstractNumId w:val="35"/>
  </w:num>
  <w:num w:numId="20">
    <w:abstractNumId w:val="24"/>
  </w:num>
  <w:num w:numId="21">
    <w:abstractNumId w:val="11"/>
  </w:num>
  <w:num w:numId="22">
    <w:abstractNumId w:val="6"/>
  </w:num>
  <w:num w:numId="23">
    <w:abstractNumId w:val="12"/>
  </w:num>
  <w:num w:numId="24">
    <w:abstractNumId w:val="39"/>
  </w:num>
  <w:num w:numId="25">
    <w:abstractNumId w:val="40"/>
  </w:num>
  <w:num w:numId="26">
    <w:abstractNumId w:val="16"/>
  </w:num>
  <w:num w:numId="27">
    <w:abstractNumId w:val="10"/>
  </w:num>
  <w:num w:numId="28">
    <w:abstractNumId w:val="8"/>
  </w:num>
  <w:num w:numId="29">
    <w:abstractNumId w:val="0"/>
  </w:num>
  <w:num w:numId="30">
    <w:abstractNumId w:val="29"/>
  </w:num>
  <w:num w:numId="31">
    <w:abstractNumId w:val="42"/>
  </w:num>
  <w:num w:numId="32">
    <w:abstractNumId w:val="33"/>
  </w:num>
  <w:num w:numId="33">
    <w:abstractNumId w:val="17"/>
  </w:num>
  <w:num w:numId="34">
    <w:abstractNumId w:val="43"/>
  </w:num>
  <w:num w:numId="35">
    <w:abstractNumId w:val="7"/>
  </w:num>
  <w:num w:numId="36">
    <w:abstractNumId w:val="30"/>
    <w:lvlOverride w:ilvl="0">
      <w:startOverride w:val="1"/>
    </w:lvlOverride>
    <w:lvlOverride w:ilvl="1"/>
    <w:lvlOverride w:ilvl="2"/>
    <w:lvlOverride w:ilvl="3"/>
    <w:lvlOverride w:ilvl="4"/>
    <w:lvlOverride w:ilvl="5"/>
    <w:lvlOverride w:ilvl="6"/>
    <w:lvlOverride w:ilvl="7"/>
    <w:lvlOverride w:ilvl="8"/>
  </w:num>
  <w:num w:numId="37">
    <w:abstractNumId w:val="3"/>
  </w:num>
  <w:num w:numId="38">
    <w:abstractNumId w:val="9"/>
  </w:num>
  <w:num w:numId="39">
    <w:abstractNumId w:val="44"/>
  </w:num>
  <w:num w:numId="40">
    <w:abstractNumId w:val="41"/>
  </w:num>
  <w:num w:numId="41">
    <w:abstractNumId w:val="19"/>
  </w:num>
  <w:num w:numId="42">
    <w:abstractNumId w:val="27"/>
  </w:num>
  <w:num w:numId="43">
    <w:abstractNumId w:val="48"/>
  </w:num>
  <w:num w:numId="44">
    <w:abstractNumId w:val="20"/>
  </w:num>
  <w:num w:numId="45">
    <w:abstractNumId w:val="15"/>
  </w:num>
  <w:num w:numId="46">
    <w:abstractNumId w:val="21"/>
  </w:num>
  <w:num w:numId="47">
    <w:abstractNumId w:val="37"/>
  </w:num>
  <w:num w:numId="48">
    <w:abstractNumId w:val="5"/>
  </w:num>
  <w:num w:numId="49">
    <w:abstractNumId w:val="23"/>
  </w:num>
  <w:num w:numId="50">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DE0"/>
    <w:rsid w:val="00010655"/>
    <w:rsid w:val="000232DC"/>
    <w:rsid w:val="00023FF3"/>
    <w:rsid w:val="000302FA"/>
    <w:rsid w:val="00044308"/>
    <w:rsid w:val="00056B22"/>
    <w:rsid w:val="000600B0"/>
    <w:rsid w:val="00065DF2"/>
    <w:rsid w:val="0007195E"/>
    <w:rsid w:val="000749F5"/>
    <w:rsid w:val="00080479"/>
    <w:rsid w:val="00084D37"/>
    <w:rsid w:val="00087032"/>
    <w:rsid w:val="000B1288"/>
    <w:rsid w:val="000B4E51"/>
    <w:rsid w:val="000C0DC9"/>
    <w:rsid w:val="000C1537"/>
    <w:rsid w:val="000D05FE"/>
    <w:rsid w:val="000E28D7"/>
    <w:rsid w:val="000E4409"/>
    <w:rsid w:val="000F2C31"/>
    <w:rsid w:val="00100665"/>
    <w:rsid w:val="0010334A"/>
    <w:rsid w:val="0011075E"/>
    <w:rsid w:val="00116520"/>
    <w:rsid w:val="0012514A"/>
    <w:rsid w:val="00130E94"/>
    <w:rsid w:val="00131128"/>
    <w:rsid w:val="00135C3E"/>
    <w:rsid w:val="001467AF"/>
    <w:rsid w:val="00156E03"/>
    <w:rsid w:val="00157446"/>
    <w:rsid w:val="00164796"/>
    <w:rsid w:val="00175979"/>
    <w:rsid w:val="00183CA1"/>
    <w:rsid w:val="001855AF"/>
    <w:rsid w:val="00193C0A"/>
    <w:rsid w:val="001A363A"/>
    <w:rsid w:val="001A510E"/>
    <w:rsid w:val="001A5F4A"/>
    <w:rsid w:val="001B0833"/>
    <w:rsid w:val="001B0A45"/>
    <w:rsid w:val="001B3754"/>
    <w:rsid w:val="001B633C"/>
    <w:rsid w:val="001C3408"/>
    <w:rsid w:val="001D5BF6"/>
    <w:rsid w:val="001D5F79"/>
    <w:rsid w:val="001E0220"/>
    <w:rsid w:val="0021230D"/>
    <w:rsid w:val="00230F44"/>
    <w:rsid w:val="00234ED8"/>
    <w:rsid w:val="002409F5"/>
    <w:rsid w:val="00244E22"/>
    <w:rsid w:val="00245CDA"/>
    <w:rsid w:val="00252DBB"/>
    <w:rsid w:val="00256994"/>
    <w:rsid w:val="00274270"/>
    <w:rsid w:val="00286E4F"/>
    <w:rsid w:val="00287FA6"/>
    <w:rsid w:val="0029057B"/>
    <w:rsid w:val="002A3C07"/>
    <w:rsid w:val="002B736C"/>
    <w:rsid w:val="002C7B29"/>
    <w:rsid w:val="002D1955"/>
    <w:rsid w:val="002D6957"/>
    <w:rsid w:val="002D7D73"/>
    <w:rsid w:val="002E6DE0"/>
    <w:rsid w:val="002F2E3D"/>
    <w:rsid w:val="0030091E"/>
    <w:rsid w:val="0030363F"/>
    <w:rsid w:val="00304AC1"/>
    <w:rsid w:val="00310EB0"/>
    <w:rsid w:val="003119D1"/>
    <w:rsid w:val="0032402A"/>
    <w:rsid w:val="0032711C"/>
    <w:rsid w:val="00334094"/>
    <w:rsid w:val="00337632"/>
    <w:rsid w:val="003440FF"/>
    <w:rsid w:val="00354CDA"/>
    <w:rsid w:val="003653D3"/>
    <w:rsid w:val="00370C76"/>
    <w:rsid w:val="00372811"/>
    <w:rsid w:val="00374149"/>
    <w:rsid w:val="00390875"/>
    <w:rsid w:val="003A3FA3"/>
    <w:rsid w:val="003A6577"/>
    <w:rsid w:val="003B180F"/>
    <w:rsid w:val="003C0CAC"/>
    <w:rsid w:val="003C5497"/>
    <w:rsid w:val="003D688D"/>
    <w:rsid w:val="003E1863"/>
    <w:rsid w:val="003F5DFB"/>
    <w:rsid w:val="00406171"/>
    <w:rsid w:val="00410299"/>
    <w:rsid w:val="0042281E"/>
    <w:rsid w:val="004328A0"/>
    <w:rsid w:val="00437E6F"/>
    <w:rsid w:val="00441942"/>
    <w:rsid w:val="00457454"/>
    <w:rsid w:val="00481AC9"/>
    <w:rsid w:val="00482BD4"/>
    <w:rsid w:val="00485DF2"/>
    <w:rsid w:val="004A1711"/>
    <w:rsid w:val="004A57F3"/>
    <w:rsid w:val="004A60CE"/>
    <w:rsid w:val="004C39CE"/>
    <w:rsid w:val="004C558D"/>
    <w:rsid w:val="004C69E3"/>
    <w:rsid w:val="004D2D17"/>
    <w:rsid w:val="004D30D5"/>
    <w:rsid w:val="004D31DE"/>
    <w:rsid w:val="004E0346"/>
    <w:rsid w:val="004E161A"/>
    <w:rsid w:val="004E50DD"/>
    <w:rsid w:val="004F29AC"/>
    <w:rsid w:val="004F2D8D"/>
    <w:rsid w:val="00506D30"/>
    <w:rsid w:val="00511955"/>
    <w:rsid w:val="00525F85"/>
    <w:rsid w:val="00533801"/>
    <w:rsid w:val="00543341"/>
    <w:rsid w:val="00551CF6"/>
    <w:rsid w:val="00586075"/>
    <w:rsid w:val="0058712E"/>
    <w:rsid w:val="0059222F"/>
    <w:rsid w:val="005949B6"/>
    <w:rsid w:val="005956B7"/>
    <w:rsid w:val="005A5561"/>
    <w:rsid w:val="005C1053"/>
    <w:rsid w:val="005C5052"/>
    <w:rsid w:val="005D78CC"/>
    <w:rsid w:val="005E2B6C"/>
    <w:rsid w:val="005F01C7"/>
    <w:rsid w:val="005F3B9A"/>
    <w:rsid w:val="005F7F3F"/>
    <w:rsid w:val="00601065"/>
    <w:rsid w:val="006018FA"/>
    <w:rsid w:val="00602787"/>
    <w:rsid w:val="006101AF"/>
    <w:rsid w:val="0061033A"/>
    <w:rsid w:val="00610522"/>
    <w:rsid w:val="0061657B"/>
    <w:rsid w:val="00617D51"/>
    <w:rsid w:val="00635984"/>
    <w:rsid w:val="0063783B"/>
    <w:rsid w:val="0064695C"/>
    <w:rsid w:val="00646D58"/>
    <w:rsid w:val="0066252D"/>
    <w:rsid w:val="00671D59"/>
    <w:rsid w:val="00674D07"/>
    <w:rsid w:val="00690EA9"/>
    <w:rsid w:val="00697E37"/>
    <w:rsid w:val="006B27B4"/>
    <w:rsid w:val="006D3573"/>
    <w:rsid w:val="006E4C66"/>
    <w:rsid w:val="006F375E"/>
    <w:rsid w:val="006F41A3"/>
    <w:rsid w:val="006F47FA"/>
    <w:rsid w:val="00701F0C"/>
    <w:rsid w:val="0070362F"/>
    <w:rsid w:val="00705DBB"/>
    <w:rsid w:val="00711011"/>
    <w:rsid w:val="00724ADE"/>
    <w:rsid w:val="00734E40"/>
    <w:rsid w:val="00743E11"/>
    <w:rsid w:val="007471BE"/>
    <w:rsid w:val="00774489"/>
    <w:rsid w:val="00785B3B"/>
    <w:rsid w:val="007A096A"/>
    <w:rsid w:val="007A3B89"/>
    <w:rsid w:val="007B4B9B"/>
    <w:rsid w:val="007B70B4"/>
    <w:rsid w:val="007C0317"/>
    <w:rsid w:val="007C29BF"/>
    <w:rsid w:val="007C40BC"/>
    <w:rsid w:val="007D5EE0"/>
    <w:rsid w:val="007D7154"/>
    <w:rsid w:val="007D750C"/>
    <w:rsid w:val="007F22D4"/>
    <w:rsid w:val="00807DE0"/>
    <w:rsid w:val="0082194B"/>
    <w:rsid w:val="0082540F"/>
    <w:rsid w:val="008341BC"/>
    <w:rsid w:val="0084478B"/>
    <w:rsid w:val="008579E7"/>
    <w:rsid w:val="00862BA8"/>
    <w:rsid w:val="0086443C"/>
    <w:rsid w:val="0087078E"/>
    <w:rsid w:val="00871A60"/>
    <w:rsid w:val="00895A89"/>
    <w:rsid w:val="008A4DA4"/>
    <w:rsid w:val="008A5F51"/>
    <w:rsid w:val="008D345F"/>
    <w:rsid w:val="008D4111"/>
    <w:rsid w:val="008E4937"/>
    <w:rsid w:val="009012D3"/>
    <w:rsid w:val="00914043"/>
    <w:rsid w:val="00916ECA"/>
    <w:rsid w:val="00933D4B"/>
    <w:rsid w:val="0097623A"/>
    <w:rsid w:val="009901B6"/>
    <w:rsid w:val="00991003"/>
    <w:rsid w:val="009970CC"/>
    <w:rsid w:val="009A0AFE"/>
    <w:rsid w:val="009B0D88"/>
    <w:rsid w:val="009C4E18"/>
    <w:rsid w:val="009D7BCE"/>
    <w:rsid w:val="009E147C"/>
    <w:rsid w:val="009E7000"/>
    <w:rsid w:val="009F733A"/>
    <w:rsid w:val="00A05123"/>
    <w:rsid w:val="00A06A66"/>
    <w:rsid w:val="00A313B1"/>
    <w:rsid w:val="00A326E7"/>
    <w:rsid w:val="00A3484F"/>
    <w:rsid w:val="00A37458"/>
    <w:rsid w:val="00A41848"/>
    <w:rsid w:val="00A52F79"/>
    <w:rsid w:val="00A61094"/>
    <w:rsid w:val="00A612E0"/>
    <w:rsid w:val="00A64998"/>
    <w:rsid w:val="00A70C89"/>
    <w:rsid w:val="00A75320"/>
    <w:rsid w:val="00A75D04"/>
    <w:rsid w:val="00A75F0A"/>
    <w:rsid w:val="00A77FE7"/>
    <w:rsid w:val="00A87B76"/>
    <w:rsid w:val="00A96B6A"/>
    <w:rsid w:val="00AA004E"/>
    <w:rsid w:val="00AA368F"/>
    <w:rsid w:val="00AA7BD2"/>
    <w:rsid w:val="00AB6493"/>
    <w:rsid w:val="00AC14FF"/>
    <w:rsid w:val="00AC368F"/>
    <w:rsid w:val="00AE0C61"/>
    <w:rsid w:val="00AE2088"/>
    <w:rsid w:val="00AE30CA"/>
    <w:rsid w:val="00AE436A"/>
    <w:rsid w:val="00AF57EC"/>
    <w:rsid w:val="00B00F1A"/>
    <w:rsid w:val="00B073C8"/>
    <w:rsid w:val="00B11CB8"/>
    <w:rsid w:val="00B3228E"/>
    <w:rsid w:val="00B42AA0"/>
    <w:rsid w:val="00B47373"/>
    <w:rsid w:val="00B50AEE"/>
    <w:rsid w:val="00B52005"/>
    <w:rsid w:val="00B543F6"/>
    <w:rsid w:val="00B61E0C"/>
    <w:rsid w:val="00B62348"/>
    <w:rsid w:val="00B63A91"/>
    <w:rsid w:val="00B66C11"/>
    <w:rsid w:val="00B831A0"/>
    <w:rsid w:val="00BA0ED9"/>
    <w:rsid w:val="00BA1623"/>
    <w:rsid w:val="00BA1EC9"/>
    <w:rsid w:val="00BA6125"/>
    <w:rsid w:val="00BB427C"/>
    <w:rsid w:val="00BC0577"/>
    <w:rsid w:val="00BC6770"/>
    <w:rsid w:val="00BD163B"/>
    <w:rsid w:val="00BD4BBE"/>
    <w:rsid w:val="00BD63E9"/>
    <w:rsid w:val="00BD6603"/>
    <w:rsid w:val="00C051DF"/>
    <w:rsid w:val="00C10E1D"/>
    <w:rsid w:val="00C231DD"/>
    <w:rsid w:val="00C26086"/>
    <w:rsid w:val="00C41C0E"/>
    <w:rsid w:val="00C507FB"/>
    <w:rsid w:val="00C53228"/>
    <w:rsid w:val="00C75004"/>
    <w:rsid w:val="00C75AE9"/>
    <w:rsid w:val="00C819A0"/>
    <w:rsid w:val="00C93A35"/>
    <w:rsid w:val="00CB4ACA"/>
    <w:rsid w:val="00CB6EA7"/>
    <w:rsid w:val="00CD6F79"/>
    <w:rsid w:val="00CD7B50"/>
    <w:rsid w:val="00CE419F"/>
    <w:rsid w:val="00CF0490"/>
    <w:rsid w:val="00CF253B"/>
    <w:rsid w:val="00CF3EFA"/>
    <w:rsid w:val="00CF6323"/>
    <w:rsid w:val="00D00803"/>
    <w:rsid w:val="00D07124"/>
    <w:rsid w:val="00D07FA5"/>
    <w:rsid w:val="00D13DCB"/>
    <w:rsid w:val="00D22C1B"/>
    <w:rsid w:val="00D23D3E"/>
    <w:rsid w:val="00D27190"/>
    <w:rsid w:val="00D32ACE"/>
    <w:rsid w:val="00D54BBE"/>
    <w:rsid w:val="00D61E71"/>
    <w:rsid w:val="00D62225"/>
    <w:rsid w:val="00D65CC2"/>
    <w:rsid w:val="00D721B9"/>
    <w:rsid w:val="00D74D78"/>
    <w:rsid w:val="00D74FFB"/>
    <w:rsid w:val="00D83401"/>
    <w:rsid w:val="00D84CA8"/>
    <w:rsid w:val="00D86155"/>
    <w:rsid w:val="00D92A41"/>
    <w:rsid w:val="00DA0AEF"/>
    <w:rsid w:val="00DB2497"/>
    <w:rsid w:val="00DB5DDE"/>
    <w:rsid w:val="00DC350E"/>
    <w:rsid w:val="00DC45DF"/>
    <w:rsid w:val="00DD0D84"/>
    <w:rsid w:val="00DD29EF"/>
    <w:rsid w:val="00DD60E7"/>
    <w:rsid w:val="00DD78BF"/>
    <w:rsid w:val="00DE3EC1"/>
    <w:rsid w:val="00DF17DC"/>
    <w:rsid w:val="00DF1B4E"/>
    <w:rsid w:val="00DF3BDB"/>
    <w:rsid w:val="00E00936"/>
    <w:rsid w:val="00E01E77"/>
    <w:rsid w:val="00E041AC"/>
    <w:rsid w:val="00E04BF0"/>
    <w:rsid w:val="00E13B2A"/>
    <w:rsid w:val="00E446E6"/>
    <w:rsid w:val="00E4627B"/>
    <w:rsid w:val="00E61EE1"/>
    <w:rsid w:val="00E63058"/>
    <w:rsid w:val="00E7611E"/>
    <w:rsid w:val="00E83D56"/>
    <w:rsid w:val="00E87C87"/>
    <w:rsid w:val="00E91339"/>
    <w:rsid w:val="00EA3ED2"/>
    <w:rsid w:val="00EA7234"/>
    <w:rsid w:val="00ED3A60"/>
    <w:rsid w:val="00ED5E78"/>
    <w:rsid w:val="00EF0AA1"/>
    <w:rsid w:val="00EF1286"/>
    <w:rsid w:val="00EF48E1"/>
    <w:rsid w:val="00F03DBE"/>
    <w:rsid w:val="00F45311"/>
    <w:rsid w:val="00F46F99"/>
    <w:rsid w:val="00F471F2"/>
    <w:rsid w:val="00F503E7"/>
    <w:rsid w:val="00F52988"/>
    <w:rsid w:val="00F61389"/>
    <w:rsid w:val="00F61636"/>
    <w:rsid w:val="00F64895"/>
    <w:rsid w:val="00F70CBA"/>
    <w:rsid w:val="00F75A7D"/>
    <w:rsid w:val="00F85443"/>
    <w:rsid w:val="00FA3F8F"/>
    <w:rsid w:val="00FB5F73"/>
    <w:rsid w:val="00FC222D"/>
    <w:rsid w:val="00FC6B0C"/>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A612E0"/>
    <w:pPr>
      <w:tabs>
        <w:tab w:val="left" w:pos="4111"/>
      </w:tabs>
      <w:spacing w:after="240"/>
      <w:ind w:left="709" w:hanging="709"/>
      <w:outlineLvl w:val="0"/>
    </w:pPr>
    <w:rPr>
      <w:b/>
    </w:rPr>
  </w:style>
  <w:style w:type="paragraph" w:styleId="Heading2">
    <w:name w:val="heading 2"/>
    <w:basedOn w:val="Heading1"/>
    <w:next w:val="Normal"/>
    <w:link w:val="Heading2Char"/>
    <w:uiPriority w:val="99"/>
    <w:qFormat/>
    <w:rsid w:val="00244E22"/>
    <w:pPr>
      <w:outlineLvl w:val="1"/>
    </w:pPr>
  </w:style>
  <w:style w:type="paragraph" w:styleId="Heading3">
    <w:name w:val="heading 3"/>
    <w:aliases w:val="b"/>
    <w:basedOn w:val="Normal"/>
    <w:next w:val="Normal"/>
    <w:link w:val="Heading3Char"/>
    <w:uiPriority w:val="99"/>
    <w:qFormat/>
    <w:rsid w:val="00F61636"/>
    <w:pPr>
      <w:keepNext/>
      <w:numPr>
        <w:numId w:val="31"/>
      </w:numPr>
      <w:jc w:val="center"/>
      <w:outlineLvl w:val="2"/>
    </w:pPr>
    <w:rPr>
      <w:rFonts w:cs="Arial"/>
      <w:b/>
      <w:bCs/>
      <w:i/>
      <w:sz w:val="28"/>
      <w:szCs w:val="26"/>
    </w:r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12E0"/>
    <w:rPr>
      <w:rFonts w:ascii="Arial" w:hAnsi="Arial"/>
      <w:b/>
      <w:szCs w:val="20"/>
      <w:lang w:val="en-GB"/>
    </w:rPr>
  </w:style>
  <w:style w:type="character" w:customStyle="1" w:styleId="Heading2Char">
    <w:name w:val="Heading 2 Char"/>
    <w:basedOn w:val="DefaultParagraphFont"/>
    <w:link w:val="Heading2"/>
    <w:uiPriority w:val="99"/>
    <w:locked/>
    <w:rsid w:val="00244E22"/>
    <w:rPr>
      <w:rFonts w:ascii="Arial" w:hAnsi="Arial"/>
      <w:b/>
      <w:szCs w:val="20"/>
      <w:lang w:val="en-GB"/>
    </w:rPr>
  </w:style>
  <w:style w:type="character" w:customStyle="1" w:styleId="Heading3Char">
    <w:name w:val="Heading 3 Char"/>
    <w:aliases w:val="b Char"/>
    <w:basedOn w:val="DefaultParagraphFont"/>
    <w:link w:val="Heading3"/>
    <w:uiPriority w:val="99"/>
    <w:locked/>
    <w:rsid w:val="00F61636"/>
    <w:rPr>
      <w:rFonts w:ascii="Arial" w:hAnsi="Arial" w:cs="Arial"/>
      <w:b/>
      <w:bCs/>
      <w:i/>
      <w:sz w:val="26"/>
      <w:szCs w:val="26"/>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99"/>
    <w:qFormat/>
    <w:rsid w:val="00C53228"/>
    <w:pPr>
      <w:ind w:left="720"/>
      <w:contextualSpacing/>
    </w:pPr>
  </w:style>
  <w:style w:type="paragraph" w:customStyle="1" w:styleId="Bullettext">
    <w:name w:val="Bullet text"/>
    <w:basedOn w:val="Normal"/>
    <w:uiPriority w:val="99"/>
    <w:rsid w:val="006F375E"/>
    <w:pPr>
      <w:numPr>
        <w:numId w:val="32"/>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9"/>
      </w:numPr>
    </w:pPr>
  </w:style>
  <w:style w:type="table" w:styleId="TableGrid">
    <w:name w:val="Table Grid"/>
    <w:basedOn w:val="TableNormal"/>
    <w:locked/>
    <w:rsid w:val="003C54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A612E0"/>
    <w:pPr>
      <w:tabs>
        <w:tab w:val="left" w:pos="4111"/>
      </w:tabs>
      <w:spacing w:after="240"/>
      <w:ind w:left="709" w:hanging="709"/>
      <w:outlineLvl w:val="0"/>
    </w:pPr>
    <w:rPr>
      <w:b/>
    </w:rPr>
  </w:style>
  <w:style w:type="paragraph" w:styleId="Heading2">
    <w:name w:val="heading 2"/>
    <w:basedOn w:val="Heading1"/>
    <w:next w:val="Normal"/>
    <w:link w:val="Heading2Char"/>
    <w:uiPriority w:val="99"/>
    <w:qFormat/>
    <w:rsid w:val="00244E22"/>
    <w:pPr>
      <w:outlineLvl w:val="1"/>
    </w:pPr>
  </w:style>
  <w:style w:type="paragraph" w:styleId="Heading3">
    <w:name w:val="heading 3"/>
    <w:aliases w:val="b"/>
    <w:basedOn w:val="Normal"/>
    <w:next w:val="Normal"/>
    <w:link w:val="Heading3Char"/>
    <w:uiPriority w:val="99"/>
    <w:qFormat/>
    <w:rsid w:val="00F61636"/>
    <w:pPr>
      <w:keepNext/>
      <w:numPr>
        <w:numId w:val="31"/>
      </w:numPr>
      <w:jc w:val="center"/>
      <w:outlineLvl w:val="2"/>
    </w:pPr>
    <w:rPr>
      <w:rFonts w:cs="Arial"/>
      <w:b/>
      <w:bCs/>
      <w:i/>
      <w:sz w:val="28"/>
      <w:szCs w:val="26"/>
    </w:r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12E0"/>
    <w:rPr>
      <w:rFonts w:ascii="Arial" w:hAnsi="Arial"/>
      <w:b/>
      <w:szCs w:val="20"/>
      <w:lang w:val="en-GB"/>
    </w:rPr>
  </w:style>
  <w:style w:type="character" w:customStyle="1" w:styleId="Heading2Char">
    <w:name w:val="Heading 2 Char"/>
    <w:basedOn w:val="DefaultParagraphFont"/>
    <w:link w:val="Heading2"/>
    <w:uiPriority w:val="99"/>
    <w:locked/>
    <w:rsid w:val="00244E22"/>
    <w:rPr>
      <w:rFonts w:ascii="Arial" w:hAnsi="Arial"/>
      <w:b/>
      <w:szCs w:val="20"/>
      <w:lang w:val="en-GB"/>
    </w:rPr>
  </w:style>
  <w:style w:type="character" w:customStyle="1" w:styleId="Heading3Char">
    <w:name w:val="Heading 3 Char"/>
    <w:aliases w:val="b Char"/>
    <w:basedOn w:val="DefaultParagraphFont"/>
    <w:link w:val="Heading3"/>
    <w:uiPriority w:val="99"/>
    <w:locked/>
    <w:rsid w:val="00F61636"/>
    <w:rPr>
      <w:rFonts w:ascii="Arial" w:hAnsi="Arial" w:cs="Arial"/>
      <w:b/>
      <w:bCs/>
      <w:i/>
      <w:sz w:val="26"/>
      <w:szCs w:val="26"/>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99"/>
    <w:qFormat/>
    <w:rsid w:val="00C53228"/>
    <w:pPr>
      <w:ind w:left="720"/>
      <w:contextualSpacing/>
    </w:pPr>
  </w:style>
  <w:style w:type="paragraph" w:customStyle="1" w:styleId="Bullettext">
    <w:name w:val="Bullet text"/>
    <w:basedOn w:val="Normal"/>
    <w:uiPriority w:val="99"/>
    <w:rsid w:val="006F375E"/>
    <w:pPr>
      <w:numPr>
        <w:numId w:val="32"/>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9"/>
      </w:numPr>
    </w:pPr>
  </w:style>
  <w:style w:type="table" w:styleId="TableGrid">
    <w:name w:val="Table Grid"/>
    <w:basedOn w:val="TableNormal"/>
    <w:locked/>
    <w:rsid w:val="003C54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56206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lf.org.uk/Pages/Home.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mrs.org.uk/pdf/2013-04-23%20MRS%20SRA%20-%20DP%20Guidelines%20updated.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lf.org.uk/about-us/research-evaluation/programme-evaluation" TargetMode="External"/><Relationship Id="rId5" Type="http://schemas.openxmlformats.org/officeDocument/2006/relationships/settings" Target="settings.xml"/><Relationship Id="rId15" Type="http://schemas.openxmlformats.org/officeDocument/2006/relationships/hyperlink" Target="http://www.hlf.org.uk/grantholders/acknowledgement/Pages/Logosandacknowledgement.aspx" TargetMode="External"/><Relationship Id="rId10" Type="http://schemas.openxmlformats.org/officeDocument/2006/relationships/hyperlink" Target="https://www.hlf.org.uk/about-us/media-centre/press-releases/%E2%80%9820-years-12-places%E2%80%99-%E2%80%93-new-research-reveals-uk%E2%80%99s-heritage-helps"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hlf.org.uk/aboutus/whatwedo/Pages/StrategicFramework2013to2018.aspx" TargetMode="External"/><Relationship Id="rId14" Type="http://schemas.openxmlformats.org/officeDocument/2006/relationships/hyperlink" Target="http://www.rnib.org.uk/Pages/Home.aspx"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09_Research\01_TheManual\Commissioning\Templates\Template%20Brie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E97F4-A84D-4224-83E1-F573D7BD7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Brief</Template>
  <TotalTime>2</TotalTime>
  <Pages>10</Pages>
  <Words>2674</Words>
  <Characters>14338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16979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Marie Hobson</dc:creator>
  <cp:lastModifiedBy>Marie Hobson</cp:lastModifiedBy>
  <cp:revision>3</cp:revision>
  <cp:lastPrinted>2012-10-15T14:38:00Z</cp:lastPrinted>
  <dcterms:created xsi:type="dcterms:W3CDTF">2016-09-15T08:11:00Z</dcterms:created>
  <dcterms:modified xsi:type="dcterms:W3CDTF">2016-09-15T08:12:00Z</dcterms:modified>
</cp:coreProperties>
</file>