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D86F" w14:textId="0A9B853C" w:rsidR="001A62CD" w:rsidRPr="004920F5" w:rsidRDefault="00CB1A49" w:rsidP="004B0AE0">
      <w:pPr>
        <w:spacing w:after="0" w:line="240" w:lineRule="auto"/>
        <w:textAlignment w:val="top"/>
        <w:rPr>
          <w:rFonts w:cs="Arial"/>
          <w:bCs/>
          <w:color w:val="002060"/>
          <w:sz w:val="24"/>
          <w:szCs w:val="24"/>
        </w:rPr>
      </w:pPr>
      <w:bookmarkStart w:id="0" w:name="Section_4_Specification"/>
      <w:r w:rsidRPr="004920F5">
        <w:rPr>
          <w:rFonts w:cs="Arial"/>
          <w:bCs/>
          <w:color w:val="002060"/>
          <w:sz w:val="24"/>
          <w:szCs w:val="24"/>
        </w:rPr>
        <w:t>BEIS</w:t>
      </w:r>
      <w:r w:rsidR="004F22AE" w:rsidRPr="004920F5">
        <w:rPr>
          <w:rFonts w:cs="Arial"/>
          <w:bCs/>
          <w:color w:val="002060"/>
          <w:sz w:val="24"/>
          <w:szCs w:val="24"/>
        </w:rPr>
        <w:t xml:space="preserve"> are </w:t>
      </w:r>
      <w:r w:rsidR="00694EA9" w:rsidRPr="004920F5">
        <w:rPr>
          <w:rFonts w:cs="Arial"/>
          <w:bCs/>
          <w:color w:val="002060"/>
          <w:sz w:val="24"/>
          <w:szCs w:val="24"/>
        </w:rPr>
        <w:t>considering publishing an invitation to tender</w:t>
      </w:r>
      <w:r w:rsidR="00772705" w:rsidRPr="004920F5">
        <w:rPr>
          <w:rFonts w:cs="Arial"/>
          <w:bCs/>
          <w:color w:val="002060"/>
          <w:sz w:val="24"/>
          <w:szCs w:val="24"/>
        </w:rPr>
        <w:t xml:space="preserve"> (ITT)</w:t>
      </w:r>
      <w:r w:rsidR="00694EA9" w:rsidRPr="004920F5">
        <w:rPr>
          <w:rFonts w:cs="Arial"/>
          <w:bCs/>
          <w:color w:val="002060"/>
          <w:sz w:val="24"/>
          <w:szCs w:val="24"/>
        </w:rPr>
        <w:t xml:space="preserve"> on </w:t>
      </w:r>
      <w:r w:rsidR="00964D13" w:rsidRPr="004920F5">
        <w:rPr>
          <w:rFonts w:cs="Arial"/>
          <w:bCs/>
          <w:color w:val="002060"/>
          <w:sz w:val="24"/>
          <w:szCs w:val="24"/>
        </w:rPr>
        <w:t xml:space="preserve">research to </w:t>
      </w:r>
      <w:r w:rsidR="00924D02" w:rsidRPr="004920F5">
        <w:rPr>
          <w:rFonts w:cs="Arial"/>
          <w:bCs/>
          <w:color w:val="002060"/>
          <w:sz w:val="24"/>
          <w:szCs w:val="24"/>
        </w:rPr>
        <w:t xml:space="preserve">deepen our understanding of </w:t>
      </w:r>
      <w:r w:rsidR="00075D67" w:rsidRPr="004920F5">
        <w:rPr>
          <w:rFonts w:cs="Arial"/>
          <w:bCs/>
          <w:color w:val="002060"/>
          <w:sz w:val="24"/>
          <w:szCs w:val="24"/>
        </w:rPr>
        <w:t xml:space="preserve">relative economic significance of different forms of business mobility in the UK. We are contacting you as suppliers on the xx framework to </w:t>
      </w:r>
      <w:r w:rsidR="005B3868">
        <w:rPr>
          <w:rFonts w:cs="Arial"/>
          <w:bCs/>
          <w:color w:val="002060"/>
          <w:sz w:val="24"/>
          <w:szCs w:val="24"/>
        </w:rPr>
        <w:t xml:space="preserve">gauge </w:t>
      </w:r>
      <w:r w:rsidR="00837C67" w:rsidRPr="004920F5">
        <w:rPr>
          <w:rFonts w:cs="Arial"/>
          <w:bCs/>
          <w:color w:val="002060"/>
          <w:sz w:val="24"/>
          <w:szCs w:val="24"/>
        </w:rPr>
        <w:t xml:space="preserve">the </w:t>
      </w:r>
      <w:r w:rsidR="004F479D" w:rsidRPr="004920F5">
        <w:rPr>
          <w:rFonts w:cs="Arial"/>
          <w:bCs/>
          <w:color w:val="002060"/>
          <w:sz w:val="24"/>
          <w:szCs w:val="24"/>
        </w:rPr>
        <w:t xml:space="preserve">level of interest </w:t>
      </w:r>
      <w:r w:rsidR="005B3868">
        <w:rPr>
          <w:rFonts w:cs="Arial"/>
          <w:bCs/>
          <w:color w:val="002060"/>
          <w:sz w:val="24"/>
          <w:szCs w:val="24"/>
        </w:rPr>
        <w:t>there may be in bidding for this opportunity</w:t>
      </w:r>
      <w:r w:rsidR="00A729A6" w:rsidRPr="004920F5">
        <w:rPr>
          <w:rFonts w:cs="Arial"/>
          <w:bCs/>
          <w:color w:val="002060"/>
          <w:sz w:val="24"/>
          <w:szCs w:val="24"/>
        </w:rPr>
        <w:t xml:space="preserve">. </w:t>
      </w:r>
      <w:r w:rsidR="00382D15" w:rsidRPr="004920F5">
        <w:rPr>
          <w:rFonts w:cs="Arial"/>
          <w:bCs/>
          <w:color w:val="002060"/>
          <w:sz w:val="24"/>
          <w:szCs w:val="24"/>
        </w:rPr>
        <w:t xml:space="preserve">Please see attached for a provisional specification of the </w:t>
      </w:r>
      <w:r w:rsidR="00356232" w:rsidRPr="004920F5">
        <w:rPr>
          <w:rFonts w:cs="Arial"/>
          <w:bCs/>
          <w:color w:val="002060"/>
          <w:sz w:val="24"/>
          <w:szCs w:val="24"/>
        </w:rPr>
        <w:t>research we are considering</w:t>
      </w:r>
      <w:r w:rsidR="004B3C90" w:rsidRPr="004920F5">
        <w:rPr>
          <w:rFonts w:cs="Arial"/>
          <w:bCs/>
          <w:color w:val="002060"/>
          <w:sz w:val="24"/>
          <w:szCs w:val="24"/>
        </w:rPr>
        <w:t>.</w:t>
      </w:r>
    </w:p>
    <w:p w14:paraId="15572105" w14:textId="1A47C61C" w:rsidR="00A729A6" w:rsidRPr="004920F5" w:rsidRDefault="00A729A6" w:rsidP="004B0AE0">
      <w:pPr>
        <w:spacing w:after="0" w:line="240" w:lineRule="auto"/>
        <w:textAlignment w:val="top"/>
        <w:rPr>
          <w:rFonts w:cs="Arial"/>
          <w:bCs/>
          <w:color w:val="002060"/>
          <w:sz w:val="24"/>
          <w:szCs w:val="24"/>
        </w:rPr>
      </w:pPr>
    </w:p>
    <w:p w14:paraId="4243BDB3" w14:textId="22422975" w:rsidR="003D044A" w:rsidRDefault="00F65C0D" w:rsidP="004B0AE0">
      <w:pPr>
        <w:spacing w:after="0" w:line="240" w:lineRule="auto"/>
        <w:textAlignment w:val="top"/>
        <w:rPr>
          <w:rFonts w:cs="Arial"/>
          <w:bCs/>
          <w:color w:val="002060"/>
          <w:sz w:val="24"/>
          <w:szCs w:val="24"/>
        </w:rPr>
      </w:pPr>
      <w:r w:rsidRPr="004920F5">
        <w:rPr>
          <w:rFonts w:cs="Arial"/>
          <w:bCs/>
          <w:color w:val="002060"/>
          <w:sz w:val="24"/>
          <w:szCs w:val="24"/>
        </w:rPr>
        <w:t xml:space="preserve">We would be grateful if you could let us know </w:t>
      </w:r>
      <w:r w:rsidR="00382D15" w:rsidRPr="004920F5">
        <w:rPr>
          <w:rFonts w:cs="Arial"/>
          <w:bCs/>
          <w:color w:val="002060"/>
          <w:sz w:val="24"/>
          <w:szCs w:val="24"/>
        </w:rPr>
        <w:t>whether you might</w:t>
      </w:r>
      <w:r w:rsidR="004B3C90" w:rsidRPr="004920F5">
        <w:rPr>
          <w:rFonts w:cs="Arial"/>
          <w:bCs/>
          <w:color w:val="002060"/>
          <w:sz w:val="24"/>
          <w:szCs w:val="24"/>
        </w:rPr>
        <w:t xml:space="preserve"> be interested in bidding for an ITT</w:t>
      </w:r>
      <w:r w:rsidR="00FB1858" w:rsidRPr="004920F5">
        <w:rPr>
          <w:rFonts w:cs="Arial"/>
          <w:bCs/>
          <w:color w:val="002060"/>
          <w:sz w:val="24"/>
          <w:szCs w:val="24"/>
        </w:rPr>
        <w:t xml:space="preserve"> </w:t>
      </w:r>
      <w:r w:rsidR="00F86470">
        <w:rPr>
          <w:rFonts w:cs="Arial"/>
          <w:bCs/>
          <w:color w:val="002060"/>
          <w:sz w:val="24"/>
          <w:szCs w:val="24"/>
        </w:rPr>
        <w:t>along the lines of the specification attached</w:t>
      </w:r>
      <w:r w:rsidR="0016323E">
        <w:rPr>
          <w:rFonts w:cs="Arial"/>
          <w:bCs/>
          <w:color w:val="002060"/>
          <w:sz w:val="24"/>
          <w:szCs w:val="24"/>
        </w:rPr>
        <w:t xml:space="preserve">. The </w:t>
      </w:r>
      <w:r w:rsidR="00962F5A">
        <w:rPr>
          <w:rFonts w:cs="Arial"/>
          <w:bCs/>
          <w:color w:val="002060"/>
          <w:sz w:val="24"/>
          <w:szCs w:val="24"/>
        </w:rPr>
        <w:t xml:space="preserve">ITT would be published </w:t>
      </w:r>
      <w:r w:rsidR="006E217A">
        <w:rPr>
          <w:rFonts w:cs="Arial"/>
          <w:bCs/>
          <w:color w:val="002060"/>
          <w:sz w:val="24"/>
          <w:szCs w:val="24"/>
        </w:rPr>
        <w:t xml:space="preserve">towards the end of this year and open until mid-January. The research would need to take place from end Jan- end March. </w:t>
      </w:r>
    </w:p>
    <w:p w14:paraId="523C2256" w14:textId="77777777" w:rsidR="00E651AB" w:rsidRDefault="00E651AB" w:rsidP="004B0AE0">
      <w:pPr>
        <w:spacing w:after="0" w:line="240" w:lineRule="auto"/>
        <w:textAlignment w:val="top"/>
        <w:rPr>
          <w:rFonts w:cs="Arial"/>
          <w:bCs/>
          <w:color w:val="002060"/>
          <w:sz w:val="24"/>
          <w:szCs w:val="24"/>
        </w:rPr>
      </w:pPr>
    </w:p>
    <w:p w14:paraId="2BBCF01A" w14:textId="0B50764E" w:rsidR="001A62CD" w:rsidRDefault="00CF3152" w:rsidP="004B0AE0">
      <w:pPr>
        <w:spacing w:after="0" w:line="240" w:lineRule="auto"/>
        <w:textAlignment w:val="top"/>
        <w:rPr>
          <w:rFonts w:cs="Arial"/>
          <w:bCs/>
          <w:color w:val="002060"/>
          <w:sz w:val="24"/>
          <w:szCs w:val="24"/>
        </w:rPr>
      </w:pPr>
      <w:r>
        <w:rPr>
          <w:rFonts w:cs="Arial"/>
          <w:bCs/>
          <w:color w:val="002060"/>
          <w:sz w:val="24"/>
          <w:szCs w:val="24"/>
        </w:rPr>
        <w:t xml:space="preserve">Grateful if you could confirm by </w:t>
      </w:r>
      <w:r w:rsidR="00F672D6">
        <w:rPr>
          <w:rFonts w:cs="Arial"/>
          <w:bCs/>
          <w:color w:val="002060"/>
          <w:sz w:val="24"/>
          <w:szCs w:val="24"/>
        </w:rPr>
        <w:t xml:space="preserve">COP </w:t>
      </w:r>
      <w:r w:rsidR="00D53389">
        <w:rPr>
          <w:rFonts w:cs="Arial"/>
          <w:bCs/>
          <w:color w:val="002060"/>
          <w:sz w:val="24"/>
          <w:szCs w:val="24"/>
        </w:rPr>
        <w:t>Fri 25th</w:t>
      </w:r>
      <w:r>
        <w:rPr>
          <w:rFonts w:cs="Arial"/>
          <w:bCs/>
          <w:color w:val="002060"/>
          <w:sz w:val="24"/>
          <w:szCs w:val="24"/>
        </w:rPr>
        <w:t xml:space="preserve"> November. </w:t>
      </w:r>
    </w:p>
    <w:p w14:paraId="0DB971F3" w14:textId="77777777" w:rsidR="00CF3152" w:rsidRDefault="00CF3152" w:rsidP="004B0AE0">
      <w:pPr>
        <w:spacing w:after="0" w:line="240" w:lineRule="auto"/>
        <w:textAlignment w:val="top"/>
        <w:rPr>
          <w:rFonts w:cs="Arial"/>
          <w:bCs/>
          <w:color w:val="002060"/>
          <w:sz w:val="24"/>
          <w:szCs w:val="24"/>
        </w:rPr>
      </w:pPr>
    </w:p>
    <w:p w14:paraId="305F34AA" w14:textId="16295630" w:rsidR="00CF3152" w:rsidRDefault="00CF3152" w:rsidP="004B0AE0">
      <w:pPr>
        <w:spacing w:after="0" w:line="240" w:lineRule="auto"/>
        <w:textAlignment w:val="top"/>
        <w:rPr>
          <w:rFonts w:cs="Arial"/>
          <w:bCs/>
          <w:color w:val="002060"/>
          <w:sz w:val="24"/>
          <w:szCs w:val="24"/>
        </w:rPr>
      </w:pPr>
      <w:r>
        <w:rPr>
          <w:rFonts w:cs="Arial"/>
          <w:bCs/>
          <w:color w:val="002060"/>
          <w:sz w:val="24"/>
          <w:szCs w:val="24"/>
        </w:rPr>
        <w:t>Many thanks</w:t>
      </w:r>
    </w:p>
    <w:p w14:paraId="655FF679" w14:textId="77777777" w:rsidR="00CF3152" w:rsidRDefault="00CF3152" w:rsidP="004B0AE0">
      <w:pPr>
        <w:spacing w:after="0" w:line="240" w:lineRule="auto"/>
        <w:textAlignment w:val="top"/>
        <w:rPr>
          <w:rFonts w:cs="Arial"/>
          <w:bCs/>
          <w:color w:val="002060"/>
          <w:sz w:val="24"/>
          <w:szCs w:val="24"/>
        </w:rPr>
      </w:pPr>
    </w:p>
    <w:p w14:paraId="17D7E0E5" w14:textId="77777777" w:rsidR="00E651AB" w:rsidRDefault="00E651AB" w:rsidP="004B0AE0">
      <w:pPr>
        <w:spacing w:after="0" w:line="240" w:lineRule="auto"/>
        <w:textAlignment w:val="top"/>
        <w:rPr>
          <w:rFonts w:cs="Arial"/>
          <w:b/>
          <w:color w:val="002060"/>
          <w:sz w:val="32"/>
          <w:szCs w:val="32"/>
        </w:rPr>
      </w:pPr>
    </w:p>
    <w:p w14:paraId="5C9DAB85" w14:textId="18CA80D3" w:rsidR="004B0AE0" w:rsidRPr="00A212BF" w:rsidRDefault="004B0AE0" w:rsidP="004B0AE0">
      <w:pPr>
        <w:spacing w:after="0" w:line="240" w:lineRule="auto"/>
        <w:textAlignment w:val="top"/>
        <w:rPr>
          <w:rFonts w:eastAsia="Times New Roman" w:cs="Arial"/>
          <w:b/>
          <w:bCs/>
          <w:color w:val="FF0000"/>
          <w:lang w:eastAsia="en-GB"/>
        </w:rPr>
      </w:pPr>
      <w:r w:rsidRPr="00A212BF">
        <w:rPr>
          <w:rFonts w:cs="Arial"/>
          <w:b/>
          <w:color w:val="002060"/>
          <w:sz w:val="32"/>
          <w:szCs w:val="32"/>
        </w:rPr>
        <w:t>Section 4 – Specification</w:t>
      </w:r>
      <w:r w:rsidRPr="00A212BF">
        <w:rPr>
          <w:rFonts w:eastAsia="Times New Roman" w:cs="Arial"/>
          <w:b/>
          <w:bCs/>
          <w:color w:val="002060"/>
          <w:lang w:eastAsia="en-GB"/>
        </w:rPr>
        <w:t xml:space="preserve"> </w:t>
      </w:r>
      <w:bookmarkEnd w:id="0"/>
    </w:p>
    <w:tbl>
      <w:tblPr>
        <w:tblStyle w:val="TableGrid"/>
        <w:tblW w:w="0" w:type="auto"/>
        <w:tblLook w:val="04A0" w:firstRow="1" w:lastRow="0" w:firstColumn="1" w:lastColumn="0" w:noHBand="0" w:noVBand="1"/>
      </w:tblPr>
      <w:tblGrid>
        <w:gridCol w:w="9016"/>
      </w:tblGrid>
      <w:tr w:rsidR="004B0AE0" w:rsidRPr="00110629" w14:paraId="3E2A2CD9" w14:textId="77777777">
        <w:tc>
          <w:tcPr>
            <w:tcW w:w="9242" w:type="dxa"/>
            <w:shd w:val="clear" w:color="auto" w:fill="D9D9D9" w:themeFill="background1" w:themeFillShade="D9"/>
          </w:tcPr>
          <w:p w14:paraId="27C9F10C" w14:textId="77777777" w:rsidR="004B0AE0" w:rsidRPr="00110629" w:rsidRDefault="004B0AE0" w:rsidP="004B0AE0">
            <w:pPr>
              <w:pStyle w:val="ListParagraph"/>
              <w:numPr>
                <w:ilvl w:val="0"/>
                <w:numId w:val="1"/>
              </w:numPr>
              <w:spacing w:after="0" w:line="240" w:lineRule="auto"/>
              <w:rPr>
                <w:rFonts w:cs="Arial"/>
                <w:b/>
                <w:sz w:val="22"/>
                <w:szCs w:val="22"/>
              </w:rPr>
            </w:pPr>
            <w:r w:rsidRPr="00110629">
              <w:rPr>
                <w:rFonts w:cs="Arial"/>
                <w:b/>
                <w:sz w:val="22"/>
                <w:szCs w:val="22"/>
              </w:rPr>
              <w:t>Background</w:t>
            </w:r>
          </w:p>
          <w:p w14:paraId="09312A23" w14:textId="77777777" w:rsidR="004B0AE0" w:rsidRPr="00110629" w:rsidRDefault="004B0AE0">
            <w:pPr>
              <w:jc w:val="both"/>
              <w:rPr>
                <w:rFonts w:cs="Arial"/>
              </w:rPr>
            </w:pPr>
          </w:p>
        </w:tc>
      </w:tr>
      <w:tr w:rsidR="004B0AE0" w:rsidRPr="00110629" w14:paraId="240549F6" w14:textId="77777777">
        <w:tc>
          <w:tcPr>
            <w:tcW w:w="9242" w:type="dxa"/>
          </w:tcPr>
          <w:p w14:paraId="73075A25" w14:textId="77777777" w:rsidR="004B0AE0" w:rsidRPr="00323E0A" w:rsidRDefault="004B0AE0">
            <w:pPr>
              <w:rPr>
                <w:rFonts w:eastAsia="Arial" w:cs="Arial"/>
                <w:color w:val="000000" w:themeColor="text1"/>
                <w:sz w:val="28"/>
                <w:szCs w:val="28"/>
              </w:rPr>
            </w:pPr>
            <w:r w:rsidRPr="6EFEF101">
              <w:rPr>
                <w:rFonts w:eastAsia="Arial" w:cs="Arial"/>
                <w:b/>
                <w:bCs/>
                <w:color w:val="000000" w:themeColor="text1"/>
                <w:sz w:val="28"/>
                <w:szCs w:val="28"/>
                <w:u w:val="single"/>
              </w:rPr>
              <w:t xml:space="preserve">Introduction </w:t>
            </w:r>
          </w:p>
          <w:p w14:paraId="7C1A2B0F" w14:textId="77777777" w:rsidR="004B0AE0" w:rsidRPr="00323E0A" w:rsidRDefault="004B0AE0">
            <w:pPr>
              <w:rPr>
                <w:rFonts w:eastAsia="Arial" w:cs="Arial"/>
                <w:color w:val="000000" w:themeColor="text1"/>
              </w:rPr>
            </w:pPr>
            <w:r w:rsidRPr="6EFEF101">
              <w:rPr>
                <w:rFonts w:eastAsia="Arial" w:cs="Arial"/>
                <w:b/>
                <w:bCs/>
                <w:color w:val="000000" w:themeColor="text1"/>
              </w:rPr>
              <w:t>Scope of the tender</w:t>
            </w:r>
          </w:p>
          <w:p w14:paraId="12F2D4C4" w14:textId="77777777" w:rsidR="004B0AE0" w:rsidRDefault="004B0AE0">
            <w:pPr>
              <w:rPr>
                <w:rFonts w:eastAsia="Arial" w:cs="Arial"/>
                <w:color w:val="000000" w:themeColor="text1"/>
              </w:rPr>
            </w:pPr>
            <w:r w:rsidRPr="6EFEF101">
              <w:rPr>
                <w:rFonts w:eastAsia="Arial" w:cs="Arial"/>
                <w:color w:val="000000" w:themeColor="text1"/>
              </w:rPr>
              <w:t xml:space="preserve">BEIS </w:t>
            </w:r>
            <w:r>
              <w:rPr>
                <w:rFonts w:eastAsia="Arial" w:cs="Arial"/>
                <w:color w:val="000000" w:themeColor="text1"/>
              </w:rPr>
              <w:t>is</w:t>
            </w:r>
            <w:r w:rsidRPr="6EFEF101">
              <w:rPr>
                <w:rFonts w:eastAsia="Arial" w:cs="Arial"/>
                <w:color w:val="000000" w:themeColor="text1"/>
              </w:rPr>
              <w:t xml:space="preserve"> seeking to commission </w:t>
            </w:r>
            <w:r>
              <w:rPr>
                <w:rFonts w:eastAsia="Arial" w:cs="Arial"/>
                <w:color w:val="000000" w:themeColor="text1"/>
              </w:rPr>
              <w:t xml:space="preserve">a report exploring the relative economic value of different forms through which business mobility and Mode 4 trade activities are undertaken by UK businesses, </w:t>
            </w:r>
            <w:proofErr w:type="gramStart"/>
            <w:r>
              <w:rPr>
                <w:rFonts w:eastAsia="Arial" w:cs="Arial"/>
                <w:color w:val="000000" w:themeColor="text1"/>
              </w:rPr>
              <w:t>in order to</w:t>
            </w:r>
            <w:proofErr w:type="gramEnd"/>
            <w:r>
              <w:rPr>
                <w:rFonts w:eastAsia="Arial" w:cs="Arial"/>
                <w:color w:val="000000" w:themeColor="text1"/>
              </w:rPr>
              <w:t xml:space="preserve"> develop better understanding of the relative importance of different forms of business mobility to the UK economy. </w:t>
            </w:r>
          </w:p>
          <w:p w14:paraId="08D90F7D" w14:textId="77777777" w:rsidR="004B0AE0" w:rsidRDefault="004B0AE0">
            <w:pPr>
              <w:rPr>
                <w:rFonts w:eastAsia="Arial" w:cs="Arial"/>
                <w:color w:val="000000" w:themeColor="text1"/>
              </w:rPr>
            </w:pPr>
            <w:r w:rsidRPr="264D7584">
              <w:rPr>
                <w:rFonts w:eastAsia="Arial" w:cs="Arial"/>
                <w:color w:val="000000" w:themeColor="text1"/>
              </w:rPr>
              <w:t>This</w:t>
            </w:r>
            <w:r>
              <w:rPr>
                <w:rFonts w:eastAsia="Arial" w:cs="Arial"/>
                <w:color w:val="000000" w:themeColor="text1"/>
              </w:rPr>
              <w:t xml:space="preserve"> project</w:t>
            </w:r>
            <w:r w:rsidRPr="264D7584">
              <w:rPr>
                <w:rFonts w:eastAsia="Arial" w:cs="Arial"/>
                <w:color w:val="000000" w:themeColor="text1"/>
              </w:rPr>
              <w:t xml:space="preserve"> is likely to include</w:t>
            </w:r>
            <w:r w:rsidRPr="6EFEF101">
              <w:rPr>
                <w:rFonts w:eastAsia="Arial" w:cs="Arial"/>
                <w:color w:val="000000" w:themeColor="text1"/>
              </w:rPr>
              <w:t xml:space="preserve"> </w:t>
            </w:r>
            <w:r>
              <w:rPr>
                <w:rFonts w:cs="Arial"/>
              </w:rPr>
              <w:t>literature review as well as data analysis and stakeholder engagement. The project will also develop options for future research in this space.</w:t>
            </w:r>
          </w:p>
          <w:p w14:paraId="0A33EF4D" w14:textId="77777777" w:rsidR="004B0AE0" w:rsidRPr="00323E0A" w:rsidRDefault="004B0AE0">
            <w:pPr>
              <w:rPr>
                <w:rFonts w:eastAsia="Arial" w:cs="Arial"/>
              </w:rPr>
            </w:pPr>
            <w:r w:rsidRPr="5E978F82">
              <w:rPr>
                <w:rFonts w:eastAsia="Arial" w:cs="Arial"/>
                <w:color w:val="000000" w:themeColor="text1"/>
              </w:rPr>
              <w:t xml:space="preserve">BEIS </w:t>
            </w:r>
            <w:r>
              <w:rPr>
                <w:rFonts w:eastAsia="Arial" w:cs="Arial"/>
                <w:color w:val="000000" w:themeColor="text1"/>
              </w:rPr>
              <w:t>is</w:t>
            </w:r>
            <w:r w:rsidRPr="5E978F82">
              <w:rPr>
                <w:rFonts w:eastAsia="Arial" w:cs="Arial"/>
                <w:color w:val="000000" w:themeColor="text1"/>
              </w:rPr>
              <w:t xml:space="preserve"> seeking </w:t>
            </w:r>
            <w:r>
              <w:rPr>
                <w:rFonts w:eastAsia="Arial" w:cs="Arial"/>
                <w:color w:val="000000" w:themeColor="text1"/>
              </w:rPr>
              <w:t xml:space="preserve">final outputs by </w:t>
            </w:r>
            <w:r w:rsidRPr="22442008">
              <w:rPr>
                <w:rFonts w:eastAsia="Arial" w:cs="Arial"/>
                <w:color w:val="000000" w:themeColor="text1"/>
              </w:rPr>
              <w:t xml:space="preserve">the end of </w:t>
            </w:r>
            <w:r>
              <w:rPr>
                <w:rFonts w:eastAsia="Arial" w:cs="Arial"/>
                <w:color w:val="000000" w:themeColor="text1"/>
              </w:rPr>
              <w:t>March 2023</w:t>
            </w:r>
            <w:r>
              <w:rPr>
                <w:rFonts w:eastAsia="Arial" w:cs="Arial"/>
              </w:rPr>
              <w:t>.</w:t>
            </w:r>
          </w:p>
          <w:p w14:paraId="05701BFE" w14:textId="77777777" w:rsidR="004B0AE0" w:rsidRPr="00323E0A" w:rsidRDefault="004B0AE0">
            <w:pPr>
              <w:rPr>
                <w:rFonts w:eastAsia="Arial" w:cs="Arial"/>
              </w:rPr>
            </w:pPr>
            <w:r w:rsidRPr="6EFEF101">
              <w:rPr>
                <w:rFonts w:eastAsia="Arial" w:cs="Arial"/>
                <w:b/>
                <w:bCs/>
                <w:color w:val="000000" w:themeColor="text1"/>
              </w:rPr>
              <w:t xml:space="preserve">Background to </w:t>
            </w:r>
            <w:r>
              <w:rPr>
                <w:rFonts w:eastAsia="Arial" w:cs="Arial"/>
                <w:b/>
                <w:bCs/>
                <w:color w:val="000000" w:themeColor="text1"/>
              </w:rPr>
              <w:t>business mobility and Mode 4</w:t>
            </w:r>
          </w:p>
          <w:p w14:paraId="38EE8989" w14:textId="41FFD29B" w:rsidR="004B0AE0" w:rsidRDefault="004B0AE0">
            <w:pPr>
              <w:spacing w:line="257" w:lineRule="auto"/>
              <w:rPr>
                <w:rFonts w:eastAsia="Arial" w:cs="Arial"/>
                <w:color w:val="000000" w:themeColor="text1"/>
              </w:rPr>
            </w:pPr>
            <w:r>
              <w:rPr>
                <w:rFonts w:cs="Arial"/>
              </w:rPr>
              <w:t>The terms under which</w:t>
            </w:r>
            <w:r w:rsidRPr="006D329E">
              <w:rPr>
                <w:rFonts w:cs="Arial"/>
              </w:rPr>
              <w:t xml:space="preserve"> UK firms</w:t>
            </w:r>
            <w:r>
              <w:rPr>
                <w:rFonts w:cs="Arial"/>
              </w:rPr>
              <w:t xml:space="preserve"> and professionals</w:t>
            </w:r>
            <w:r w:rsidRPr="006D329E">
              <w:rPr>
                <w:rFonts w:cs="Arial"/>
              </w:rPr>
              <w:t xml:space="preserve"> </w:t>
            </w:r>
            <w:r>
              <w:rPr>
                <w:rFonts w:cs="Arial"/>
              </w:rPr>
              <w:t>can</w:t>
            </w:r>
            <w:r w:rsidRPr="006D329E">
              <w:rPr>
                <w:rFonts w:cs="Arial"/>
              </w:rPr>
              <w:t xml:space="preserve"> </w:t>
            </w:r>
            <w:r>
              <w:rPr>
                <w:rFonts w:cs="Arial"/>
              </w:rPr>
              <w:t>send staff/travel abroad and bring individuals into the UK from overseas</w:t>
            </w:r>
            <w:r w:rsidRPr="006D329E">
              <w:rPr>
                <w:rFonts w:cs="Arial"/>
              </w:rPr>
              <w:t xml:space="preserve"> is an important consideration </w:t>
            </w:r>
            <w:r>
              <w:rPr>
                <w:rFonts w:cs="Arial"/>
              </w:rPr>
              <w:t>for</w:t>
            </w:r>
            <w:r w:rsidRPr="006D329E">
              <w:rPr>
                <w:rFonts w:cs="Arial"/>
              </w:rPr>
              <w:t xml:space="preserve"> </w:t>
            </w:r>
            <w:r>
              <w:rPr>
                <w:rFonts w:cs="Arial"/>
              </w:rPr>
              <w:t>the UK’s trading arrangements with other countries and the UK economy as whole</w:t>
            </w:r>
            <w:r w:rsidRPr="006D329E">
              <w:rPr>
                <w:rFonts w:cs="Arial"/>
              </w:rPr>
              <w:t xml:space="preserve">. As such, we continue to seek better understanding on the needs of UK </w:t>
            </w:r>
            <w:r>
              <w:rPr>
                <w:rFonts w:cs="Arial"/>
              </w:rPr>
              <w:t>businesses with respect to business mobility and understand the economic impact of different types of business mobility.</w:t>
            </w:r>
          </w:p>
          <w:p w14:paraId="321F1155" w14:textId="77777777" w:rsidR="004B0AE0" w:rsidRDefault="004B0AE0">
            <w:pPr>
              <w:spacing w:line="257" w:lineRule="auto"/>
              <w:rPr>
                <w:rFonts w:eastAsia="Arial" w:cs="Arial"/>
                <w:color w:val="000000" w:themeColor="text1"/>
              </w:rPr>
            </w:pPr>
            <w:r w:rsidRPr="00803BCD">
              <w:rPr>
                <w:rFonts w:eastAsia="Arial" w:cs="Arial"/>
                <w:color w:val="000000" w:themeColor="text1"/>
              </w:rPr>
              <w:t xml:space="preserve">Business mobility in this context is an umbrella term to describe the </w:t>
            </w:r>
            <w:r>
              <w:rPr>
                <w:rFonts w:eastAsia="Arial" w:cs="Arial"/>
                <w:color w:val="000000" w:themeColor="text1"/>
              </w:rPr>
              <w:t xml:space="preserve">temporary </w:t>
            </w:r>
            <w:r w:rsidRPr="00803BCD">
              <w:rPr>
                <w:rFonts w:eastAsia="Arial" w:cs="Arial"/>
                <w:color w:val="000000" w:themeColor="text1"/>
              </w:rPr>
              <w:t xml:space="preserve">movement </w:t>
            </w:r>
            <w:r>
              <w:rPr>
                <w:rFonts w:eastAsia="Arial" w:cs="Arial"/>
                <w:color w:val="000000" w:themeColor="text1"/>
              </w:rPr>
              <w:t xml:space="preserve">of </w:t>
            </w:r>
            <w:r w:rsidRPr="00803BCD">
              <w:rPr>
                <w:rFonts w:eastAsia="Arial" w:cs="Arial"/>
                <w:color w:val="000000" w:themeColor="text1"/>
              </w:rPr>
              <w:t>people across geographic boundaries</w:t>
            </w:r>
            <w:r>
              <w:rPr>
                <w:rFonts w:eastAsia="Arial" w:cs="Arial"/>
                <w:color w:val="000000" w:themeColor="text1"/>
              </w:rPr>
              <w:t xml:space="preserve"> for work/business purposes</w:t>
            </w:r>
            <w:r w:rsidRPr="00803BCD">
              <w:rPr>
                <w:rFonts w:eastAsia="Arial" w:cs="Arial"/>
                <w:color w:val="000000" w:themeColor="text1"/>
              </w:rPr>
              <w:t>. Mode 4 services trade refers to the category of service trade found within WTO</w:t>
            </w:r>
            <w:r>
              <w:rPr>
                <w:rFonts w:eastAsia="Arial" w:cs="Arial"/>
                <w:color w:val="000000" w:themeColor="text1"/>
              </w:rPr>
              <w:t xml:space="preserve"> GATS modes of supply taxonomy and refers </w:t>
            </w:r>
            <w:r w:rsidRPr="000F38AA">
              <w:rPr>
                <w:rFonts w:eastAsia="Arial" w:cs="Arial"/>
                <w:color w:val="000000" w:themeColor="text1"/>
              </w:rPr>
              <w:t>to services traded by individuals of one WTO member through their presence in the territory of another. It covers employees of services firms and self-employed service suppliers</w:t>
            </w:r>
            <w:r w:rsidRPr="00803BCD">
              <w:rPr>
                <w:rFonts w:eastAsia="Arial" w:cs="Arial"/>
                <w:color w:val="000000" w:themeColor="text1"/>
              </w:rPr>
              <w:t>.</w:t>
            </w:r>
            <w:r>
              <w:rPr>
                <w:rFonts w:eastAsia="Arial" w:cs="Arial"/>
                <w:color w:val="000000" w:themeColor="text1"/>
              </w:rPr>
              <w:t xml:space="preserve"> The categories of activity captured within Mode 4 may be narrower than the activities internally considered within the scope of business mobility</w:t>
            </w:r>
            <w:r>
              <w:rPr>
                <w:rStyle w:val="FootnoteReference"/>
                <w:rFonts w:eastAsia="Arial" w:cs="Arial"/>
                <w:color w:val="000000" w:themeColor="text1"/>
              </w:rPr>
              <w:footnoteReference w:id="2"/>
            </w:r>
            <w:r>
              <w:rPr>
                <w:rFonts w:eastAsia="Arial" w:cs="Arial"/>
                <w:color w:val="000000" w:themeColor="text1"/>
              </w:rPr>
              <w:t xml:space="preserve">. </w:t>
            </w:r>
          </w:p>
          <w:p w14:paraId="6CE8A512" w14:textId="77777777" w:rsidR="004B0AE0" w:rsidRPr="005A15DA" w:rsidRDefault="004B0AE0">
            <w:pPr>
              <w:spacing w:line="257" w:lineRule="auto"/>
              <w:rPr>
                <w:rFonts w:eastAsia="Arial" w:cs="Arial"/>
                <w:color w:val="000000" w:themeColor="text1"/>
              </w:rPr>
            </w:pPr>
            <w:r>
              <w:rPr>
                <w:rFonts w:eastAsia="Arial" w:cs="Arial"/>
                <w:color w:val="000000" w:themeColor="text1"/>
              </w:rPr>
              <w:t>B</w:t>
            </w:r>
            <w:r w:rsidRPr="005A15DA">
              <w:rPr>
                <w:rFonts w:eastAsia="Arial" w:cs="Arial"/>
                <w:color w:val="000000" w:themeColor="text1"/>
              </w:rPr>
              <w:t>usiness mobility considerations that may or may not be captured within the Mode 4 taxonomy</w:t>
            </w:r>
            <w:r>
              <w:rPr>
                <w:rFonts w:eastAsia="Arial" w:cs="Arial"/>
                <w:color w:val="000000" w:themeColor="text1"/>
              </w:rPr>
              <w:t>:</w:t>
            </w:r>
          </w:p>
          <w:p w14:paraId="34119069" w14:textId="77777777" w:rsidR="004B0AE0" w:rsidRPr="00F944FC" w:rsidRDefault="004B0AE0" w:rsidP="004B0AE0">
            <w:pPr>
              <w:pStyle w:val="ListParagraph"/>
              <w:numPr>
                <w:ilvl w:val="0"/>
                <w:numId w:val="3"/>
              </w:numPr>
              <w:spacing w:after="160" w:line="259" w:lineRule="auto"/>
              <w:rPr>
                <w:szCs w:val="20"/>
              </w:rPr>
            </w:pPr>
            <w:r w:rsidRPr="00F944FC">
              <w:rPr>
                <w:b/>
                <w:szCs w:val="20"/>
              </w:rPr>
              <w:lastRenderedPageBreak/>
              <w:t>Short term business visitors</w:t>
            </w:r>
            <w:r w:rsidRPr="00F944FC">
              <w:rPr>
                <w:szCs w:val="20"/>
              </w:rPr>
              <w:t>: Individuals who are not resident in a country for tax purposes, but who make business trips to that country subject to duration limitations.</w:t>
            </w:r>
          </w:p>
          <w:p w14:paraId="20DDE323" w14:textId="77777777" w:rsidR="004B0AE0" w:rsidRPr="00F944FC" w:rsidRDefault="004B0AE0" w:rsidP="004B0AE0">
            <w:pPr>
              <w:pStyle w:val="ListParagraph"/>
              <w:numPr>
                <w:ilvl w:val="0"/>
                <w:numId w:val="3"/>
              </w:numPr>
              <w:spacing w:after="160" w:line="259" w:lineRule="auto"/>
              <w:rPr>
                <w:szCs w:val="20"/>
              </w:rPr>
            </w:pPr>
            <w:r w:rsidRPr="00F944FC">
              <w:rPr>
                <w:b/>
                <w:szCs w:val="20"/>
              </w:rPr>
              <w:t>Independent professionals:</w:t>
            </w:r>
            <w:r w:rsidRPr="00F944FC">
              <w:rPr>
                <w:szCs w:val="20"/>
              </w:rPr>
              <w:t xml:space="preserve"> Self-employed persons who are present in a country to supply a service to a local client pursuant to a service contract.</w:t>
            </w:r>
          </w:p>
          <w:p w14:paraId="7B5F8B21" w14:textId="77777777" w:rsidR="004B0AE0" w:rsidRPr="00F944FC" w:rsidRDefault="004B0AE0" w:rsidP="004B0AE0">
            <w:pPr>
              <w:pStyle w:val="ListParagraph"/>
              <w:numPr>
                <w:ilvl w:val="0"/>
                <w:numId w:val="3"/>
              </w:numPr>
              <w:spacing w:after="160" w:line="259" w:lineRule="auto"/>
              <w:rPr>
                <w:szCs w:val="20"/>
              </w:rPr>
            </w:pPr>
            <w:r w:rsidRPr="00F944FC">
              <w:rPr>
                <w:b/>
                <w:szCs w:val="20"/>
              </w:rPr>
              <w:t xml:space="preserve">Contractual service suppliers: </w:t>
            </w:r>
            <w:r w:rsidRPr="00F944FC">
              <w:rPr>
                <w:color w:val="000000"/>
                <w:szCs w:val="20"/>
                <w:shd w:val="clear" w:color="auto" w:fill="FFFFFF"/>
              </w:rPr>
              <w:t xml:space="preserve">employees of a service supplier </w:t>
            </w:r>
            <w:r w:rsidRPr="00F944FC">
              <w:rPr>
                <w:color w:val="000000" w:themeColor="text1"/>
                <w:szCs w:val="20"/>
              </w:rPr>
              <w:t>without a commercial presence in a country</w:t>
            </w:r>
            <w:r w:rsidRPr="00F944FC">
              <w:rPr>
                <w:color w:val="000000"/>
                <w:szCs w:val="20"/>
                <w:shd w:val="clear" w:color="auto" w:fill="FFFFFF"/>
              </w:rPr>
              <w:t>, who are present in said country to provide a service pursuant to a service contract concluded between their employer and a local client. CSS receive their remuneration from their employer, and not from the client; they are "natural persons of a country who are employed by a service supplier of a country".</w:t>
            </w:r>
          </w:p>
          <w:p w14:paraId="1B6973E4"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szCs w:val="20"/>
              </w:rPr>
              <w:t>Inter-corporate transfers:</w:t>
            </w:r>
            <w:r w:rsidRPr="00F944FC">
              <w:rPr>
                <w:rFonts w:cs="Arial"/>
                <w:szCs w:val="20"/>
              </w:rPr>
              <w:t xml:space="preserve"> </w:t>
            </w:r>
            <w:r w:rsidRPr="00F944FC">
              <w:rPr>
                <w:rFonts w:cs="Arial"/>
                <w:color w:val="000000"/>
                <w:szCs w:val="20"/>
                <w:shd w:val="clear" w:color="auto" w:fill="FFFFFF"/>
              </w:rPr>
              <w:t>employees of a service supplier that has a commercial presence in another country, and who are transferred to the affiliate in that country.</w:t>
            </w:r>
          </w:p>
          <w:p w14:paraId="378FB1E5"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bCs/>
                <w:szCs w:val="20"/>
              </w:rPr>
              <w:t>Intra-company graduate transfer:</w:t>
            </w:r>
            <w:r w:rsidRPr="00F944FC">
              <w:rPr>
                <w:rFonts w:cs="Arial"/>
                <w:szCs w:val="20"/>
              </w:rPr>
              <w:t xml:space="preserve"> a form of inter-corporate transfer visa for transfers as part of a graduate training programme for a managerial or specialist role</w:t>
            </w:r>
          </w:p>
          <w:p w14:paraId="1EA85D49"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szCs w:val="20"/>
              </w:rPr>
              <w:t>Business visitors for establishment purposes:</w:t>
            </w:r>
            <w:r w:rsidRPr="00F944FC">
              <w:rPr>
                <w:rFonts w:cs="Arial"/>
                <w:szCs w:val="20"/>
              </w:rPr>
              <w:t xml:space="preserve"> </w:t>
            </w:r>
            <w:r w:rsidRPr="00F944FC">
              <w:rPr>
                <w:rFonts w:cs="Arial"/>
                <w:color w:val="000000"/>
                <w:szCs w:val="20"/>
                <w:shd w:val="clear" w:color="auto" w:fill="FFFFFF"/>
              </w:rPr>
              <w:t>Employees of a service supplier who are seeking entry into another country for the purpose of setting up a commercial presence or of negotiating the sale of a service on behalf of an enterprise.</w:t>
            </w:r>
          </w:p>
          <w:p w14:paraId="3C0F6ABF"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szCs w:val="20"/>
              </w:rPr>
              <w:t>Youth mobility schemes</w:t>
            </w:r>
            <w:r w:rsidRPr="00F944FC">
              <w:rPr>
                <w:rFonts w:cs="Arial"/>
                <w:szCs w:val="20"/>
              </w:rPr>
              <w:t xml:space="preserve"> – Schemes allowing eligible individuals, primarily based on an </w:t>
            </w:r>
            <w:proofErr w:type="gramStart"/>
            <w:r w:rsidRPr="00F944FC">
              <w:rPr>
                <w:rFonts w:cs="Arial"/>
                <w:szCs w:val="20"/>
              </w:rPr>
              <w:t>age criteria</w:t>
            </w:r>
            <w:proofErr w:type="gramEnd"/>
            <w:r w:rsidRPr="00F944FC">
              <w:rPr>
                <w:rFonts w:cs="Arial"/>
                <w:szCs w:val="20"/>
              </w:rPr>
              <w:t xml:space="preserve"> to work within a country for defined period.</w:t>
            </w:r>
          </w:p>
          <w:p w14:paraId="367F0830"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bCs/>
                <w:color w:val="000000" w:themeColor="text1"/>
                <w:szCs w:val="20"/>
              </w:rPr>
              <w:t>Secondees</w:t>
            </w:r>
            <w:r w:rsidRPr="00F944FC">
              <w:rPr>
                <w:rFonts w:cs="Arial"/>
                <w:color w:val="000000" w:themeColor="text1"/>
                <w:szCs w:val="20"/>
              </w:rPr>
              <w:t>: Employees of a company in a different territory who are transferring to a branch of a different company.</w:t>
            </w:r>
          </w:p>
          <w:p w14:paraId="4269FB5E"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bCs/>
                <w:color w:val="000000" w:themeColor="text1"/>
                <w:szCs w:val="20"/>
              </w:rPr>
              <w:t>Investors</w:t>
            </w:r>
            <w:r w:rsidRPr="00F944FC">
              <w:rPr>
                <w:rFonts w:cs="Arial"/>
                <w:szCs w:val="20"/>
              </w:rPr>
              <w:t>: people entering a different territory to invest in capital beyond establishment purposes.</w:t>
            </w:r>
          </w:p>
          <w:p w14:paraId="76DD2E7F" w14:textId="77777777" w:rsidR="004B0AE0" w:rsidRPr="00F944FC" w:rsidRDefault="004B0AE0" w:rsidP="004B0AE0">
            <w:pPr>
              <w:pStyle w:val="ListParagraph"/>
              <w:numPr>
                <w:ilvl w:val="0"/>
                <w:numId w:val="3"/>
              </w:numPr>
              <w:spacing w:after="160" w:line="259" w:lineRule="auto"/>
              <w:rPr>
                <w:rFonts w:cs="Arial"/>
                <w:szCs w:val="20"/>
              </w:rPr>
            </w:pPr>
            <w:r w:rsidRPr="00F944FC">
              <w:rPr>
                <w:rFonts w:cs="Arial"/>
                <w:b/>
                <w:bCs/>
                <w:color w:val="000000" w:themeColor="text1"/>
                <w:szCs w:val="20"/>
              </w:rPr>
              <w:t>Professionals</w:t>
            </w:r>
            <w:r w:rsidRPr="00F944FC">
              <w:rPr>
                <w:rFonts w:cs="Arial"/>
                <w:szCs w:val="20"/>
              </w:rPr>
              <w:t>: people entering a territory to exercise a professional occupation. This can include being directly hired by a company in the destination country</w:t>
            </w:r>
            <w:r w:rsidRPr="00F944FC">
              <w:rPr>
                <w:rStyle w:val="FootnoteReference"/>
                <w:rFonts w:cs="Arial"/>
                <w:szCs w:val="20"/>
              </w:rPr>
              <w:footnoteReference w:id="3"/>
            </w:r>
            <w:r w:rsidRPr="00F944FC">
              <w:rPr>
                <w:rFonts w:cs="Arial"/>
                <w:szCs w:val="20"/>
              </w:rPr>
              <w:t>.</w:t>
            </w:r>
          </w:p>
          <w:p w14:paraId="1E4DA6D0" w14:textId="77777777" w:rsidR="004B0AE0" w:rsidRPr="006B59C0" w:rsidRDefault="004B0AE0">
            <w:pPr>
              <w:rPr>
                <w:rFonts w:eastAsia="Arial" w:cs="Arial"/>
                <w:color w:val="000000" w:themeColor="text1"/>
              </w:rPr>
            </w:pPr>
            <w:r w:rsidRPr="00F944FC">
              <w:rPr>
                <w:rFonts w:eastAsia="Arial" w:cs="Arial"/>
                <w:color w:val="000000" w:themeColor="text1"/>
              </w:rPr>
              <w:t>This list is not meant to be exhaustive and additional forms of business mobility may not be captured.</w:t>
            </w:r>
          </w:p>
        </w:tc>
      </w:tr>
      <w:tr w:rsidR="004B0AE0" w:rsidRPr="00110629" w14:paraId="25C5DB24" w14:textId="77777777">
        <w:tc>
          <w:tcPr>
            <w:tcW w:w="9242" w:type="dxa"/>
            <w:shd w:val="clear" w:color="auto" w:fill="D9D9D9" w:themeFill="background1" w:themeFillShade="D9"/>
          </w:tcPr>
          <w:p w14:paraId="79F33862" w14:textId="77777777" w:rsidR="004B0AE0" w:rsidRPr="00110629" w:rsidRDefault="004B0AE0" w:rsidP="004B0AE0">
            <w:pPr>
              <w:pStyle w:val="ListParagraph"/>
              <w:numPr>
                <w:ilvl w:val="0"/>
                <w:numId w:val="1"/>
              </w:numPr>
              <w:spacing w:after="0" w:line="240" w:lineRule="auto"/>
              <w:rPr>
                <w:rFonts w:cs="Arial"/>
                <w:b/>
                <w:sz w:val="22"/>
                <w:szCs w:val="22"/>
              </w:rPr>
            </w:pPr>
            <w:r w:rsidRPr="00110629">
              <w:rPr>
                <w:rFonts w:cs="Arial"/>
                <w:b/>
                <w:sz w:val="22"/>
                <w:szCs w:val="22"/>
              </w:rPr>
              <w:lastRenderedPageBreak/>
              <w:t>Aims and Objectives of the Project</w:t>
            </w:r>
          </w:p>
          <w:p w14:paraId="02C6F587" w14:textId="77777777" w:rsidR="004B0AE0" w:rsidRPr="00110629" w:rsidRDefault="004B0AE0">
            <w:pPr>
              <w:pStyle w:val="ListParagraph"/>
              <w:spacing w:after="0" w:line="240" w:lineRule="auto"/>
              <w:ind w:left="360"/>
              <w:rPr>
                <w:rFonts w:cs="Arial"/>
                <w:b/>
                <w:sz w:val="22"/>
                <w:szCs w:val="22"/>
              </w:rPr>
            </w:pPr>
          </w:p>
        </w:tc>
      </w:tr>
      <w:tr w:rsidR="004B0AE0" w:rsidRPr="00110629" w14:paraId="420E134C" w14:textId="77777777">
        <w:tc>
          <w:tcPr>
            <w:tcW w:w="9242" w:type="dxa"/>
          </w:tcPr>
          <w:p w14:paraId="3274B62B" w14:textId="77777777" w:rsidR="004B0AE0" w:rsidRPr="00C11F34" w:rsidRDefault="004B0AE0">
            <w:pPr>
              <w:rPr>
                <w:rFonts w:cs="Arial"/>
                <w:b/>
                <w:bCs/>
              </w:rPr>
            </w:pPr>
            <w:r>
              <w:rPr>
                <w:rFonts w:cs="Arial"/>
                <w:b/>
                <w:bCs/>
              </w:rPr>
              <w:t>Overall aim</w:t>
            </w:r>
          </w:p>
          <w:p w14:paraId="427D620B" w14:textId="5B6163FB" w:rsidR="004B0AE0" w:rsidRPr="00B02CFA" w:rsidRDefault="004B0AE0">
            <w:pPr>
              <w:rPr>
                <w:rFonts w:cs="Arial"/>
              </w:rPr>
            </w:pPr>
            <w:r w:rsidRPr="00D0687C">
              <w:rPr>
                <w:rFonts w:cs="Arial"/>
              </w:rPr>
              <w:t>Th</w:t>
            </w:r>
            <w:r>
              <w:rPr>
                <w:rFonts w:cs="Arial"/>
              </w:rPr>
              <w:t xml:space="preserve">e overall aim of this project is to develop a firm evidence base in determining the relative importance of different forms of business mobility for UK businesses and the UK economy, (explicitly in comparison to each other, rather than seeking evidence on the overall importance of business mobility to services trade), within the context of UK </w:t>
            </w:r>
            <w:r w:rsidR="00B84747">
              <w:rPr>
                <w:rFonts w:cs="Arial"/>
              </w:rPr>
              <w:t>bilateral</w:t>
            </w:r>
            <w:r>
              <w:rPr>
                <w:rFonts w:cs="Arial"/>
              </w:rPr>
              <w:t xml:space="preserve"> services trade and domestic economic activity in the UK, and provide evidence to inform </w:t>
            </w:r>
            <w:r w:rsidRPr="00B02CFA">
              <w:rPr>
                <w:rFonts w:cs="Arial"/>
              </w:rPr>
              <w:t xml:space="preserve">which categories of </w:t>
            </w:r>
            <w:r>
              <w:rPr>
                <w:rFonts w:cs="Arial"/>
              </w:rPr>
              <w:t xml:space="preserve">business </w:t>
            </w:r>
            <w:r w:rsidRPr="00B02CFA">
              <w:rPr>
                <w:rFonts w:cs="Arial"/>
              </w:rPr>
              <w:t>mobility should be prioritised in future free trade agreements</w:t>
            </w:r>
            <w:r>
              <w:rPr>
                <w:rFonts w:cs="Arial"/>
              </w:rPr>
              <w:t xml:space="preserve"> and policy thinking</w:t>
            </w:r>
            <w:r w:rsidRPr="00B02CFA">
              <w:rPr>
                <w:rFonts w:cs="Arial"/>
              </w:rPr>
              <w:t xml:space="preserve">. </w:t>
            </w:r>
          </w:p>
          <w:p w14:paraId="5F271257" w14:textId="77777777" w:rsidR="004B0AE0" w:rsidRPr="00B02CFA" w:rsidRDefault="004B0AE0">
            <w:pPr>
              <w:rPr>
                <w:rFonts w:cs="Arial"/>
              </w:rPr>
            </w:pPr>
            <w:r w:rsidRPr="00B02CFA">
              <w:rPr>
                <w:rFonts w:cs="Arial"/>
              </w:rPr>
              <w:t>As part of this, the project will seek to explore the factors that may lead to different forms of mobility being more important in future trading relationships with specific countries and which forms of mobility are more important for specific industries.</w:t>
            </w:r>
          </w:p>
          <w:p w14:paraId="78F78558" w14:textId="77777777" w:rsidR="004B0AE0" w:rsidRPr="00B02CFA" w:rsidRDefault="004B0AE0">
            <w:pPr>
              <w:rPr>
                <w:rFonts w:cs="Arial"/>
              </w:rPr>
            </w:pPr>
            <w:r w:rsidRPr="00B02CFA">
              <w:rPr>
                <w:rFonts w:cs="Arial"/>
              </w:rPr>
              <w:t>It should also seek to identify where</w:t>
            </w:r>
            <w:r>
              <w:rPr>
                <w:rFonts w:cs="Arial"/>
              </w:rPr>
              <w:t xml:space="preserve"> any</w:t>
            </w:r>
            <w:r w:rsidRPr="00B02CFA">
              <w:rPr>
                <w:rFonts w:cs="Arial"/>
              </w:rPr>
              <w:t xml:space="preserve"> business mobility activities do not fit into Mode 4 service categories and explore the economic importance of these activities with respect to the UK. </w:t>
            </w:r>
          </w:p>
          <w:p w14:paraId="4AC376D5" w14:textId="128C48D9" w:rsidR="004B0AE0" w:rsidRPr="000428C7" w:rsidRDefault="004B0AE0">
            <w:pPr>
              <w:rPr>
                <w:rFonts w:cs="Arial"/>
              </w:rPr>
            </w:pPr>
            <w:r w:rsidRPr="00B02CFA">
              <w:rPr>
                <w:rFonts w:cs="Arial"/>
              </w:rPr>
              <w:t>The project should also seek to develop options for</w:t>
            </w:r>
            <w:r w:rsidR="00D919F5">
              <w:rPr>
                <w:rFonts w:cs="Arial"/>
              </w:rPr>
              <w:t xml:space="preserve"> further</w:t>
            </w:r>
            <w:r w:rsidRPr="00B02CFA">
              <w:rPr>
                <w:rFonts w:cs="Arial"/>
              </w:rPr>
              <w:t xml:space="preserve"> primary research in this area to further explore questions relating to business mobility.</w:t>
            </w:r>
          </w:p>
          <w:p w14:paraId="47B29894" w14:textId="77777777" w:rsidR="004B0AE0" w:rsidRDefault="004B0AE0">
            <w:pPr>
              <w:rPr>
                <w:rFonts w:cs="Arial"/>
                <w:b/>
                <w:bCs/>
              </w:rPr>
            </w:pPr>
            <w:r>
              <w:rPr>
                <w:rFonts w:cs="Arial"/>
                <w:b/>
                <w:bCs/>
              </w:rPr>
              <w:t xml:space="preserve">Key research </w:t>
            </w:r>
            <w:r w:rsidRPr="55E188C5">
              <w:rPr>
                <w:rFonts w:cs="Arial"/>
                <w:b/>
                <w:bCs/>
              </w:rPr>
              <w:t>question</w:t>
            </w:r>
            <w:r>
              <w:rPr>
                <w:rFonts w:cs="Arial"/>
                <w:b/>
                <w:bCs/>
              </w:rPr>
              <w:t>s</w:t>
            </w:r>
          </w:p>
          <w:p w14:paraId="29943F62" w14:textId="77777777" w:rsidR="004B0AE0" w:rsidRPr="00EB79B4" w:rsidRDefault="004B0AE0">
            <w:pPr>
              <w:rPr>
                <w:rFonts w:cs="Arial"/>
              </w:rPr>
            </w:pPr>
            <w:r w:rsidRPr="00EB79B4">
              <w:rPr>
                <w:rFonts w:cs="Arial"/>
              </w:rPr>
              <w:t>The project should seek to answer the following questions</w:t>
            </w:r>
            <w:r>
              <w:rPr>
                <w:rFonts w:cs="Arial"/>
              </w:rPr>
              <w:t xml:space="preserve"> </w:t>
            </w:r>
            <w:r w:rsidRPr="00EB79B4">
              <w:rPr>
                <w:rFonts w:cs="Arial"/>
              </w:rPr>
              <w:t>from a sectoral and size of business perspective:</w:t>
            </w:r>
          </w:p>
          <w:p w14:paraId="37504F5F" w14:textId="77777777" w:rsidR="004B0AE0" w:rsidRPr="00D919F5" w:rsidRDefault="004B0AE0" w:rsidP="004B0AE0">
            <w:pPr>
              <w:pStyle w:val="ListParagraph"/>
              <w:numPr>
                <w:ilvl w:val="0"/>
                <w:numId w:val="4"/>
              </w:numPr>
              <w:rPr>
                <w:rFonts w:cs="Arial"/>
                <w:szCs w:val="20"/>
              </w:rPr>
            </w:pPr>
            <w:r w:rsidRPr="00D919F5">
              <w:rPr>
                <w:rFonts w:cs="Arial"/>
                <w:szCs w:val="20"/>
              </w:rPr>
              <w:lastRenderedPageBreak/>
              <w:t>Which forms of business mobility are most important to the UK economy?</w:t>
            </w:r>
          </w:p>
          <w:p w14:paraId="1F01AEE7" w14:textId="77777777" w:rsidR="004B0AE0" w:rsidRPr="00D919F5" w:rsidRDefault="004B0AE0" w:rsidP="004B0AE0">
            <w:pPr>
              <w:pStyle w:val="ListParagraph"/>
              <w:numPr>
                <w:ilvl w:val="0"/>
                <w:numId w:val="4"/>
              </w:numPr>
              <w:rPr>
                <w:rFonts w:cs="Arial"/>
                <w:szCs w:val="20"/>
              </w:rPr>
            </w:pPr>
            <w:r w:rsidRPr="00D919F5">
              <w:rPr>
                <w:rFonts w:cs="Arial"/>
                <w:szCs w:val="20"/>
              </w:rPr>
              <w:t>How do the different forms of business mobility add value to the UK economy?</w:t>
            </w:r>
          </w:p>
          <w:p w14:paraId="1E9FA106" w14:textId="77777777" w:rsidR="004B0AE0" w:rsidRPr="00D919F5" w:rsidRDefault="004B0AE0" w:rsidP="004B0AE0">
            <w:pPr>
              <w:pStyle w:val="ListParagraph"/>
              <w:numPr>
                <w:ilvl w:val="0"/>
                <w:numId w:val="4"/>
              </w:numPr>
              <w:rPr>
                <w:rFonts w:cs="Arial"/>
                <w:szCs w:val="20"/>
              </w:rPr>
            </w:pPr>
            <w:r w:rsidRPr="00D919F5">
              <w:rPr>
                <w:rFonts w:cs="Arial"/>
                <w:szCs w:val="20"/>
              </w:rPr>
              <w:t>How do UK firms use the different forms of business mobility?</w:t>
            </w:r>
          </w:p>
          <w:p w14:paraId="6CF11322" w14:textId="77777777" w:rsidR="004B0AE0" w:rsidRPr="00D919F5" w:rsidRDefault="004B0AE0" w:rsidP="004B0AE0">
            <w:pPr>
              <w:pStyle w:val="ListParagraph"/>
              <w:numPr>
                <w:ilvl w:val="0"/>
                <w:numId w:val="4"/>
              </w:numPr>
              <w:rPr>
                <w:rFonts w:cs="Arial"/>
                <w:szCs w:val="20"/>
              </w:rPr>
            </w:pPr>
            <w:r w:rsidRPr="00D919F5">
              <w:rPr>
                <w:rFonts w:cs="Arial"/>
                <w:szCs w:val="20"/>
              </w:rPr>
              <w:t>What characteristics and conditions affect the relative importance of different forms of business mobility in a specific country (i.e., distance, language, existing trade relationships)?</w:t>
            </w:r>
          </w:p>
          <w:p w14:paraId="7777E2C7" w14:textId="77777777" w:rsidR="004B0AE0" w:rsidRPr="00D919F5" w:rsidRDefault="004B0AE0" w:rsidP="004B0AE0">
            <w:pPr>
              <w:pStyle w:val="ListParagraph"/>
              <w:numPr>
                <w:ilvl w:val="0"/>
                <w:numId w:val="4"/>
              </w:numPr>
              <w:rPr>
                <w:rFonts w:cs="Arial"/>
                <w:szCs w:val="20"/>
              </w:rPr>
            </w:pPr>
            <w:r w:rsidRPr="00D919F5">
              <w:rPr>
                <w:rFonts w:cs="Arial"/>
                <w:szCs w:val="20"/>
              </w:rPr>
              <w:t>What are the most significant barriers and enabling factors that affect the different forms of mobility?</w:t>
            </w:r>
          </w:p>
          <w:p w14:paraId="4D43EDFE" w14:textId="77777777" w:rsidR="004B0AE0" w:rsidRPr="00C11F34" w:rsidRDefault="004B0AE0" w:rsidP="004B0AE0">
            <w:pPr>
              <w:pStyle w:val="ListParagraph"/>
              <w:numPr>
                <w:ilvl w:val="0"/>
                <w:numId w:val="4"/>
              </w:numPr>
              <w:rPr>
                <w:rFonts w:cs="Arial"/>
              </w:rPr>
            </w:pPr>
            <w:r w:rsidRPr="00D919F5">
              <w:rPr>
                <w:rFonts w:cs="Arial"/>
                <w:szCs w:val="20"/>
              </w:rPr>
              <w:t>What mobility activities are there that fall outside of the WTO Mode 4 definitions and how important are these activities to the UK economy?</w:t>
            </w:r>
          </w:p>
        </w:tc>
      </w:tr>
    </w:tbl>
    <w:tbl>
      <w:tblPr>
        <w:tblStyle w:val="TableGrid1"/>
        <w:tblW w:w="0" w:type="auto"/>
        <w:tblLook w:val="04A0" w:firstRow="1" w:lastRow="0" w:firstColumn="1" w:lastColumn="0" w:noHBand="0" w:noVBand="1"/>
      </w:tblPr>
      <w:tblGrid>
        <w:gridCol w:w="9016"/>
      </w:tblGrid>
      <w:tr w:rsidR="004B0AE0" w:rsidRPr="0012624C" w14:paraId="482C9EF7" w14:textId="77777777">
        <w:tc>
          <w:tcPr>
            <w:tcW w:w="9016" w:type="dxa"/>
            <w:shd w:val="clear" w:color="auto" w:fill="D9D9D9" w:themeFill="background1" w:themeFillShade="D9"/>
          </w:tcPr>
          <w:p w14:paraId="31072546" w14:textId="77777777" w:rsidR="004B0AE0" w:rsidRPr="00110629" w:rsidRDefault="004B0AE0" w:rsidP="004B0AE0">
            <w:pPr>
              <w:pStyle w:val="ListParagraph"/>
              <w:numPr>
                <w:ilvl w:val="0"/>
                <w:numId w:val="7"/>
              </w:numPr>
              <w:spacing w:after="0" w:line="240" w:lineRule="auto"/>
              <w:rPr>
                <w:rFonts w:cs="Arial"/>
                <w:b/>
                <w:sz w:val="22"/>
                <w:szCs w:val="22"/>
              </w:rPr>
            </w:pPr>
            <w:r w:rsidRPr="00110629">
              <w:rPr>
                <w:rFonts w:cs="Arial"/>
                <w:b/>
                <w:sz w:val="22"/>
                <w:szCs w:val="22"/>
              </w:rPr>
              <w:lastRenderedPageBreak/>
              <w:t>Suggested Methodology</w:t>
            </w:r>
          </w:p>
          <w:p w14:paraId="7A2DC006" w14:textId="77777777" w:rsidR="004B0AE0" w:rsidRPr="00110629" w:rsidRDefault="004B0AE0">
            <w:pPr>
              <w:pStyle w:val="ListParagraph"/>
              <w:spacing w:after="0" w:line="240" w:lineRule="auto"/>
              <w:ind w:left="360"/>
              <w:rPr>
                <w:rFonts w:cs="Arial"/>
                <w:b/>
                <w:sz w:val="22"/>
                <w:szCs w:val="22"/>
              </w:rPr>
            </w:pPr>
          </w:p>
        </w:tc>
      </w:tr>
      <w:tr w:rsidR="004B0AE0" w:rsidRPr="0012624C" w14:paraId="622891CC" w14:textId="77777777">
        <w:trPr>
          <w:trHeight w:val="841"/>
        </w:trPr>
        <w:tc>
          <w:tcPr>
            <w:tcW w:w="9016" w:type="dxa"/>
          </w:tcPr>
          <w:p w14:paraId="72DB3C13" w14:textId="77777777" w:rsidR="004B0AE0" w:rsidRPr="002D0A59" w:rsidRDefault="004B0AE0">
            <w:pPr>
              <w:rPr>
                <w:rFonts w:cs="Arial"/>
                <w:b/>
                <w:bCs/>
                <w:sz w:val="20"/>
                <w:szCs w:val="20"/>
              </w:rPr>
            </w:pPr>
            <w:r w:rsidRPr="002D0A59">
              <w:rPr>
                <w:rFonts w:cs="Arial"/>
                <w:b/>
                <w:bCs/>
                <w:sz w:val="20"/>
                <w:szCs w:val="20"/>
              </w:rPr>
              <w:t>Undertake literature review of business mobility</w:t>
            </w:r>
          </w:p>
          <w:p w14:paraId="5F9C96A4" w14:textId="77777777" w:rsidR="004B0AE0" w:rsidRPr="002D0A59" w:rsidRDefault="004B0AE0" w:rsidP="004B0AE0">
            <w:pPr>
              <w:pStyle w:val="ListParagraph"/>
              <w:numPr>
                <w:ilvl w:val="0"/>
                <w:numId w:val="5"/>
              </w:numPr>
              <w:rPr>
                <w:rFonts w:eastAsiaTheme="minorHAnsi" w:cs="Arial"/>
                <w:szCs w:val="20"/>
              </w:rPr>
            </w:pPr>
            <w:r w:rsidRPr="002D0A59">
              <w:rPr>
                <w:rFonts w:eastAsiaTheme="minorHAnsi" w:cs="Arial"/>
                <w:szCs w:val="20"/>
              </w:rPr>
              <w:t xml:space="preserve">Identify, </w:t>
            </w:r>
            <w:proofErr w:type="gramStart"/>
            <w:r w:rsidRPr="002D0A59">
              <w:rPr>
                <w:rFonts w:eastAsiaTheme="minorHAnsi" w:cs="Arial"/>
                <w:szCs w:val="20"/>
              </w:rPr>
              <w:t>review</w:t>
            </w:r>
            <w:proofErr w:type="gramEnd"/>
            <w:r w:rsidRPr="002D0A59">
              <w:rPr>
                <w:rFonts w:eastAsiaTheme="minorHAnsi" w:cs="Arial"/>
                <w:szCs w:val="20"/>
              </w:rPr>
              <w:t xml:space="preserve"> and analyse relevant literature across academic and grey literature relating to business mobility. This will include literature relating to trade in services, trade rules and regulations, free trade agreements and business models and practices. Additional evidence from stakeholders such as case studies would be beneficial.</w:t>
            </w:r>
          </w:p>
          <w:p w14:paraId="154C0798" w14:textId="77777777" w:rsidR="004B0AE0" w:rsidRPr="002D0A59" w:rsidRDefault="004B0AE0" w:rsidP="004B0AE0">
            <w:pPr>
              <w:pStyle w:val="ListParagraph"/>
              <w:numPr>
                <w:ilvl w:val="0"/>
                <w:numId w:val="5"/>
              </w:numPr>
              <w:rPr>
                <w:rFonts w:eastAsiaTheme="minorHAnsi" w:cs="Arial"/>
                <w:szCs w:val="20"/>
              </w:rPr>
            </w:pPr>
            <w:r w:rsidRPr="002D0A59">
              <w:rPr>
                <w:rFonts w:eastAsiaTheme="minorHAnsi" w:cs="Arial"/>
                <w:szCs w:val="20"/>
              </w:rPr>
              <w:t>Develop conclusions and hypotheses on the relative importance of different forms of mobility and the factors that determine importance in different trade contexts.</w:t>
            </w:r>
          </w:p>
          <w:p w14:paraId="20CC08EB" w14:textId="77777777" w:rsidR="004B0AE0" w:rsidRPr="002D0A59" w:rsidRDefault="004B0AE0" w:rsidP="004B0AE0">
            <w:pPr>
              <w:pStyle w:val="ListParagraph"/>
              <w:numPr>
                <w:ilvl w:val="0"/>
                <w:numId w:val="5"/>
              </w:numPr>
              <w:rPr>
                <w:rFonts w:eastAsiaTheme="minorHAnsi" w:cs="Arial"/>
                <w:szCs w:val="20"/>
              </w:rPr>
            </w:pPr>
            <w:r w:rsidRPr="002D0A59">
              <w:rPr>
                <w:rFonts w:eastAsiaTheme="minorHAnsi" w:cs="Arial"/>
                <w:szCs w:val="20"/>
              </w:rPr>
              <w:t xml:space="preserve">Develop database with categorised literature and literature summaries, thematic </w:t>
            </w:r>
            <w:proofErr w:type="gramStart"/>
            <w:r w:rsidRPr="002D0A59">
              <w:rPr>
                <w:rFonts w:eastAsiaTheme="minorHAnsi" w:cs="Arial"/>
                <w:szCs w:val="20"/>
              </w:rPr>
              <w:t>grouping</w:t>
            </w:r>
            <w:proofErr w:type="gramEnd"/>
            <w:r w:rsidRPr="002D0A59">
              <w:rPr>
                <w:rFonts w:eastAsiaTheme="minorHAnsi" w:cs="Arial"/>
                <w:szCs w:val="20"/>
              </w:rPr>
              <w:t xml:space="preserve"> and key conclusions.</w:t>
            </w:r>
          </w:p>
          <w:p w14:paraId="4E7EE9C6" w14:textId="77777777" w:rsidR="004B0AE0" w:rsidRPr="002D0A59" w:rsidRDefault="004B0AE0" w:rsidP="004B0AE0">
            <w:pPr>
              <w:pStyle w:val="ListParagraph"/>
              <w:numPr>
                <w:ilvl w:val="0"/>
                <w:numId w:val="5"/>
              </w:numPr>
              <w:rPr>
                <w:rFonts w:eastAsiaTheme="minorHAnsi" w:cs="Arial"/>
                <w:szCs w:val="20"/>
              </w:rPr>
            </w:pPr>
            <w:r w:rsidRPr="002D0A59">
              <w:rPr>
                <w:rFonts w:eastAsiaTheme="minorHAnsi" w:cs="Arial"/>
                <w:szCs w:val="20"/>
              </w:rPr>
              <w:t>Develop taxonomy of different forms of business mobility.</w:t>
            </w:r>
          </w:p>
          <w:p w14:paraId="75DB38ED" w14:textId="77777777" w:rsidR="004B0AE0" w:rsidRPr="002D0A59" w:rsidRDefault="004B0AE0">
            <w:pPr>
              <w:rPr>
                <w:rFonts w:cs="Arial"/>
                <w:b/>
                <w:bCs/>
                <w:sz w:val="20"/>
                <w:szCs w:val="20"/>
              </w:rPr>
            </w:pPr>
            <w:r w:rsidRPr="002D0A59">
              <w:rPr>
                <w:rFonts w:cs="Arial"/>
                <w:b/>
                <w:bCs/>
                <w:sz w:val="20"/>
                <w:szCs w:val="20"/>
              </w:rPr>
              <w:t>Undertake data analysis of UK businesses demographics to identify how the composition of the UK economy may affect the relative importance of different forms of business mobility</w:t>
            </w:r>
          </w:p>
          <w:p w14:paraId="7623E0CB" w14:textId="77777777" w:rsidR="004B0AE0" w:rsidRPr="002D0A59" w:rsidRDefault="004B0AE0" w:rsidP="004B0AE0">
            <w:pPr>
              <w:pStyle w:val="ListParagraph"/>
              <w:numPr>
                <w:ilvl w:val="0"/>
                <w:numId w:val="6"/>
              </w:numPr>
              <w:rPr>
                <w:rFonts w:eastAsiaTheme="minorHAnsi" w:cs="Arial"/>
                <w:szCs w:val="20"/>
              </w:rPr>
            </w:pPr>
            <w:r w:rsidRPr="002D0A59">
              <w:rPr>
                <w:rFonts w:eastAsiaTheme="minorHAnsi" w:cs="Arial"/>
                <w:szCs w:val="20"/>
              </w:rPr>
              <w:t>Identify relevant datasets to categorise the UK business population with respect to business mobility needs, such as the Inter-Departmental Business Register, Annual Population Survey, International Passenger Survey and Annual Business Survey.</w:t>
            </w:r>
          </w:p>
          <w:p w14:paraId="5973BFF5" w14:textId="3B9E41B7" w:rsidR="004B0AE0" w:rsidRPr="002D0A59" w:rsidRDefault="004736AC" w:rsidP="004B0AE0">
            <w:pPr>
              <w:pStyle w:val="ListParagraph"/>
              <w:numPr>
                <w:ilvl w:val="0"/>
                <w:numId w:val="6"/>
              </w:numPr>
              <w:rPr>
                <w:rFonts w:eastAsiaTheme="minorHAnsi" w:cs="Arial"/>
                <w:szCs w:val="20"/>
              </w:rPr>
            </w:pPr>
            <w:r w:rsidRPr="002D0A59">
              <w:rPr>
                <w:rFonts w:eastAsiaTheme="minorHAnsi" w:cs="Arial"/>
                <w:szCs w:val="20"/>
              </w:rPr>
              <w:t xml:space="preserve">Conduct primary research through engagement with stakeholders </w:t>
            </w:r>
            <w:r w:rsidR="005858F7" w:rsidRPr="002D0A59">
              <w:rPr>
                <w:rFonts w:eastAsiaTheme="minorHAnsi" w:cs="Arial"/>
                <w:szCs w:val="20"/>
              </w:rPr>
              <w:t>to gain insights from business</w:t>
            </w:r>
            <w:r w:rsidR="00263E17" w:rsidRPr="002D0A59">
              <w:rPr>
                <w:rFonts w:eastAsiaTheme="minorHAnsi" w:cs="Arial"/>
                <w:szCs w:val="20"/>
              </w:rPr>
              <w:t xml:space="preserve">es and </w:t>
            </w:r>
            <w:r w:rsidR="0079341A" w:rsidRPr="002D0A59">
              <w:rPr>
                <w:rFonts w:eastAsiaTheme="minorHAnsi" w:cs="Arial"/>
                <w:szCs w:val="20"/>
              </w:rPr>
              <w:t xml:space="preserve">other key groups. </w:t>
            </w:r>
          </w:p>
          <w:p w14:paraId="48980FB7" w14:textId="77777777" w:rsidR="004B0AE0" w:rsidRPr="002D0A59" w:rsidRDefault="004B0AE0" w:rsidP="004B0AE0">
            <w:pPr>
              <w:pStyle w:val="ListParagraph"/>
              <w:numPr>
                <w:ilvl w:val="0"/>
                <w:numId w:val="6"/>
              </w:numPr>
              <w:rPr>
                <w:rFonts w:eastAsiaTheme="minorHAnsi" w:cs="Arial"/>
                <w:szCs w:val="20"/>
              </w:rPr>
            </w:pPr>
            <w:r w:rsidRPr="002D0A59">
              <w:rPr>
                <w:rFonts w:eastAsiaTheme="minorHAnsi" w:cs="Arial"/>
                <w:szCs w:val="20"/>
              </w:rPr>
              <w:t>Apply insights from the data to determine meaningful characteristics where mobility needs and benefits differ between different UK businesses to identify which areas of the UK economy have specific issues with respect to different business mobility needs, based on identified characteristics such as business size, sector and geographic location.</w:t>
            </w:r>
          </w:p>
          <w:p w14:paraId="0C9FC709" w14:textId="711357A6" w:rsidR="004B0AE0" w:rsidRPr="002D0A59" w:rsidRDefault="004B0AE0" w:rsidP="004B0AE0">
            <w:pPr>
              <w:pStyle w:val="ListParagraph"/>
              <w:numPr>
                <w:ilvl w:val="0"/>
                <w:numId w:val="6"/>
              </w:numPr>
              <w:rPr>
                <w:rFonts w:eastAsiaTheme="minorHAnsi" w:cs="Arial"/>
                <w:szCs w:val="20"/>
              </w:rPr>
            </w:pPr>
            <w:r w:rsidRPr="002D0A59">
              <w:rPr>
                <w:rFonts w:eastAsiaTheme="minorHAnsi" w:cs="Arial"/>
                <w:szCs w:val="20"/>
              </w:rPr>
              <w:t>Develop hypothesis on which type of business mobility are more relevant given the composition of the UK economy</w:t>
            </w:r>
            <w:r w:rsidR="003F7C32">
              <w:rPr>
                <w:rFonts w:eastAsiaTheme="minorHAnsi" w:cs="Arial"/>
                <w:szCs w:val="20"/>
              </w:rPr>
              <w:t>.</w:t>
            </w:r>
          </w:p>
          <w:p w14:paraId="68A358CB" w14:textId="77777777" w:rsidR="004B0AE0" w:rsidRPr="002D0A59" w:rsidRDefault="004B0AE0">
            <w:pPr>
              <w:rPr>
                <w:rFonts w:cs="Arial"/>
                <w:b/>
                <w:bCs/>
                <w:sz w:val="20"/>
                <w:szCs w:val="20"/>
              </w:rPr>
            </w:pPr>
            <w:r w:rsidRPr="002D0A59">
              <w:rPr>
                <w:rFonts w:cs="Arial"/>
                <w:b/>
                <w:bCs/>
                <w:sz w:val="20"/>
                <w:szCs w:val="20"/>
              </w:rPr>
              <w:t>Develop written report and options for future research</w:t>
            </w:r>
          </w:p>
          <w:p w14:paraId="5D924A3F" w14:textId="0E1675AA" w:rsidR="004B0AE0" w:rsidRPr="002D0A59" w:rsidRDefault="004B0AE0" w:rsidP="004B0AE0">
            <w:pPr>
              <w:pStyle w:val="ListParagraph"/>
              <w:numPr>
                <w:ilvl w:val="0"/>
                <w:numId w:val="6"/>
              </w:numPr>
              <w:rPr>
                <w:rFonts w:eastAsiaTheme="minorHAnsi" w:cs="Arial"/>
                <w:szCs w:val="20"/>
              </w:rPr>
            </w:pPr>
            <w:r w:rsidRPr="002D0A59">
              <w:rPr>
                <w:rFonts w:eastAsiaTheme="minorHAnsi" w:cs="Arial"/>
                <w:szCs w:val="20"/>
              </w:rPr>
              <w:t>Combine insights for literature review and data analysis to produce written report with respect to the six key research questions</w:t>
            </w:r>
            <w:r w:rsidR="003F7C32">
              <w:rPr>
                <w:rFonts w:eastAsiaTheme="minorHAnsi" w:cs="Arial"/>
                <w:szCs w:val="20"/>
              </w:rPr>
              <w:t>.</w:t>
            </w:r>
          </w:p>
          <w:p w14:paraId="50373F4F" w14:textId="0BEB2341" w:rsidR="004B0AE0" w:rsidRPr="002D0A59" w:rsidRDefault="004B0AE0" w:rsidP="004B0AE0">
            <w:pPr>
              <w:pStyle w:val="ListParagraph"/>
              <w:numPr>
                <w:ilvl w:val="0"/>
                <w:numId w:val="6"/>
              </w:numPr>
              <w:rPr>
                <w:rFonts w:eastAsiaTheme="minorHAnsi" w:cs="Arial"/>
                <w:szCs w:val="20"/>
              </w:rPr>
            </w:pPr>
            <w:r w:rsidRPr="002D0A59">
              <w:rPr>
                <w:rFonts w:eastAsiaTheme="minorHAnsi" w:cs="Arial"/>
                <w:szCs w:val="20"/>
              </w:rPr>
              <w:t>Develop and write up options for future research to further explore, based on the key research questions previously identified and key issues arising from the research</w:t>
            </w:r>
            <w:r w:rsidR="003F7C32">
              <w:rPr>
                <w:rFonts w:eastAsiaTheme="minorHAnsi" w:cs="Arial"/>
                <w:szCs w:val="20"/>
              </w:rPr>
              <w:t>.</w:t>
            </w:r>
          </w:p>
          <w:p w14:paraId="72848D2B" w14:textId="77777777" w:rsidR="004B0AE0" w:rsidRPr="00E910AC" w:rsidRDefault="004B0AE0">
            <w:pPr>
              <w:rPr>
                <w:rFonts w:cs="Arial"/>
                <w:b/>
              </w:rPr>
            </w:pPr>
            <w:r w:rsidRPr="00B37CA0">
              <w:rPr>
                <w:rFonts w:cs="Arial"/>
              </w:rPr>
              <w:t xml:space="preserve"> </w:t>
            </w:r>
          </w:p>
        </w:tc>
      </w:tr>
      <w:tr w:rsidR="004B0AE0" w:rsidRPr="0012624C" w14:paraId="570C2FE3" w14:textId="77777777">
        <w:tc>
          <w:tcPr>
            <w:tcW w:w="9016" w:type="dxa"/>
            <w:shd w:val="clear" w:color="auto" w:fill="D9D9D9" w:themeFill="background1" w:themeFillShade="D9"/>
          </w:tcPr>
          <w:p w14:paraId="496E1D98" w14:textId="77777777" w:rsidR="004B0AE0" w:rsidRPr="00110629" w:rsidRDefault="004B0AE0" w:rsidP="004B0AE0">
            <w:pPr>
              <w:pStyle w:val="ListParagraph"/>
              <w:numPr>
                <w:ilvl w:val="0"/>
                <w:numId w:val="7"/>
              </w:numPr>
              <w:spacing w:after="0" w:line="240" w:lineRule="auto"/>
              <w:rPr>
                <w:rFonts w:cs="Arial"/>
                <w:b/>
                <w:sz w:val="22"/>
                <w:szCs w:val="22"/>
              </w:rPr>
            </w:pPr>
            <w:r w:rsidRPr="00110629">
              <w:rPr>
                <w:rFonts w:cs="Arial"/>
                <w:b/>
                <w:sz w:val="22"/>
                <w:szCs w:val="22"/>
              </w:rPr>
              <w:t>Deliverables</w:t>
            </w:r>
          </w:p>
          <w:p w14:paraId="20722BEF" w14:textId="77777777" w:rsidR="004B0AE0" w:rsidRPr="00110629" w:rsidRDefault="004B0AE0">
            <w:pPr>
              <w:pStyle w:val="DfESOutNumbered"/>
              <w:numPr>
                <w:ilvl w:val="0"/>
                <w:numId w:val="0"/>
              </w:numPr>
              <w:spacing w:after="0"/>
              <w:rPr>
                <w:rFonts w:cs="Arial"/>
                <w:sz w:val="22"/>
                <w:szCs w:val="22"/>
              </w:rPr>
            </w:pPr>
          </w:p>
        </w:tc>
      </w:tr>
      <w:tr w:rsidR="004B0AE0" w:rsidRPr="0012624C" w14:paraId="26576D98" w14:textId="77777777">
        <w:tc>
          <w:tcPr>
            <w:tcW w:w="9016" w:type="dxa"/>
          </w:tcPr>
          <w:p w14:paraId="0995FCEC" w14:textId="77777777" w:rsidR="004B0AE0" w:rsidRPr="003F7C32" w:rsidRDefault="004B0AE0">
            <w:pPr>
              <w:rPr>
                <w:rFonts w:eastAsia="MS Mincho" w:cs="Arial"/>
                <w:b/>
                <w:iCs/>
                <w:sz w:val="20"/>
                <w:szCs w:val="20"/>
              </w:rPr>
            </w:pPr>
            <w:r w:rsidRPr="003F7C32">
              <w:rPr>
                <w:rFonts w:eastAsia="MS Mincho" w:cs="Arial"/>
                <w:b/>
                <w:iCs/>
                <w:sz w:val="20"/>
                <w:szCs w:val="20"/>
              </w:rPr>
              <w:t>Interim Outputs</w:t>
            </w:r>
          </w:p>
          <w:p w14:paraId="5A149AF6" w14:textId="77777777" w:rsidR="004B0AE0" w:rsidRPr="003F7C32" w:rsidRDefault="004B0AE0" w:rsidP="004B0AE0">
            <w:pPr>
              <w:pStyle w:val="ListParagraph"/>
              <w:numPr>
                <w:ilvl w:val="0"/>
                <w:numId w:val="6"/>
              </w:numPr>
              <w:rPr>
                <w:rFonts w:eastAsia="MS Mincho" w:cs="Arial"/>
                <w:bCs/>
                <w:iCs/>
                <w:szCs w:val="20"/>
              </w:rPr>
            </w:pPr>
            <w:r w:rsidRPr="003F7C32">
              <w:rPr>
                <w:rFonts w:eastAsia="MS Mincho" w:cs="Arial"/>
                <w:bCs/>
                <w:iCs/>
                <w:szCs w:val="20"/>
              </w:rPr>
              <w:t>Weekly updates on progress against project plans and updates on deliverables</w:t>
            </w:r>
          </w:p>
          <w:p w14:paraId="6389B62B" w14:textId="77777777" w:rsidR="004B0AE0" w:rsidRPr="003F7C32" w:rsidRDefault="004B0AE0" w:rsidP="004B0AE0">
            <w:pPr>
              <w:pStyle w:val="ListParagraph"/>
              <w:numPr>
                <w:ilvl w:val="0"/>
                <w:numId w:val="6"/>
              </w:numPr>
              <w:rPr>
                <w:rFonts w:eastAsia="MS Mincho" w:cs="Arial"/>
                <w:bCs/>
                <w:iCs/>
                <w:szCs w:val="20"/>
              </w:rPr>
            </w:pPr>
            <w:r w:rsidRPr="003F7C32">
              <w:rPr>
                <w:rFonts w:eastAsia="MS Mincho" w:cs="Arial"/>
                <w:bCs/>
                <w:iCs/>
                <w:szCs w:val="20"/>
              </w:rPr>
              <w:t>Interim outputs including</w:t>
            </w:r>
            <w:r w:rsidRPr="003F7C32">
              <w:rPr>
                <w:rFonts w:eastAsia="MS Mincho" w:cs="Arial"/>
                <w:szCs w:val="20"/>
              </w:rPr>
              <w:t>,</w:t>
            </w:r>
            <w:r w:rsidRPr="003F7C32">
              <w:rPr>
                <w:rFonts w:eastAsia="MS Mincho" w:cs="Arial"/>
                <w:bCs/>
                <w:iCs/>
                <w:szCs w:val="20"/>
              </w:rPr>
              <w:t xml:space="preserve"> detailing search terms lists, appraisal templates, database design, draft data analysis outputs.</w:t>
            </w:r>
          </w:p>
          <w:p w14:paraId="351E718E" w14:textId="77777777" w:rsidR="004B0AE0" w:rsidRPr="003F7C32" w:rsidRDefault="004B0AE0" w:rsidP="004B0AE0">
            <w:pPr>
              <w:pStyle w:val="ListParagraph"/>
              <w:numPr>
                <w:ilvl w:val="0"/>
                <w:numId w:val="6"/>
              </w:numPr>
              <w:rPr>
                <w:rFonts w:eastAsia="MS Mincho" w:cs="Arial"/>
                <w:bCs/>
                <w:iCs/>
                <w:szCs w:val="20"/>
              </w:rPr>
            </w:pPr>
            <w:r w:rsidRPr="003F7C32">
              <w:rPr>
                <w:rFonts w:eastAsia="MS Mincho" w:cs="Arial"/>
                <w:bCs/>
                <w:iCs/>
                <w:szCs w:val="20"/>
              </w:rPr>
              <w:t xml:space="preserve">Draft final report for BEIS </w:t>
            </w:r>
            <w:proofErr w:type="gramStart"/>
            <w:r w:rsidRPr="003F7C32">
              <w:rPr>
                <w:rFonts w:eastAsia="MS Mincho" w:cs="Arial"/>
                <w:bCs/>
                <w:iCs/>
                <w:szCs w:val="20"/>
              </w:rPr>
              <w:t>sign</w:t>
            </w:r>
            <w:proofErr w:type="gramEnd"/>
            <w:r w:rsidRPr="003F7C32">
              <w:rPr>
                <w:rFonts w:eastAsia="MS Mincho" w:cs="Arial"/>
                <w:bCs/>
                <w:iCs/>
                <w:szCs w:val="20"/>
              </w:rPr>
              <w:t xml:space="preserve"> off.</w:t>
            </w:r>
          </w:p>
          <w:p w14:paraId="6BF71792" w14:textId="77777777" w:rsidR="004B0AE0" w:rsidRPr="003F7C32" w:rsidRDefault="004B0AE0">
            <w:pPr>
              <w:rPr>
                <w:rFonts w:eastAsia="MS Mincho" w:cs="Arial"/>
                <w:b/>
                <w:iCs/>
                <w:sz w:val="20"/>
                <w:szCs w:val="20"/>
              </w:rPr>
            </w:pPr>
            <w:r w:rsidRPr="003F7C32">
              <w:rPr>
                <w:rFonts w:eastAsia="MS Mincho" w:cs="Arial"/>
                <w:b/>
                <w:iCs/>
                <w:sz w:val="20"/>
                <w:szCs w:val="20"/>
              </w:rPr>
              <w:t>Database of literature reviewed</w:t>
            </w:r>
          </w:p>
          <w:p w14:paraId="015024B8" w14:textId="77777777" w:rsidR="004B0AE0" w:rsidRPr="003F7C32" w:rsidRDefault="004B0AE0" w:rsidP="004B0AE0">
            <w:pPr>
              <w:pStyle w:val="ListParagraph"/>
              <w:numPr>
                <w:ilvl w:val="0"/>
                <w:numId w:val="6"/>
              </w:numPr>
              <w:rPr>
                <w:rFonts w:eastAsia="MS Mincho" w:cs="Arial"/>
                <w:b/>
                <w:iCs/>
                <w:szCs w:val="20"/>
              </w:rPr>
            </w:pPr>
            <w:r w:rsidRPr="003F7C32">
              <w:rPr>
                <w:rFonts w:eastAsia="MS Mincho" w:cs="Arial"/>
                <w:bCs/>
                <w:iCs/>
                <w:szCs w:val="20"/>
              </w:rPr>
              <w:lastRenderedPageBreak/>
              <w:t>A spreadsheet setting out systematic analysis of literature relating to the different forms business mobility, including all thematic analysis, literature summaries and key findings.</w:t>
            </w:r>
          </w:p>
          <w:p w14:paraId="7A9D50E0" w14:textId="77777777" w:rsidR="004B0AE0" w:rsidRPr="003F7C32" w:rsidRDefault="004B0AE0">
            <w:pPr>
              <w:rPr>
                <w:rFonts w:eastAsia="MS Mincho" w:cs="Arial"/>
                <w:b/>
                <w:iCs/>
                <w:sz w:val="20"/>
                <w:szCs w:val="20"/>
              </w:rPr>
            </w:pPr>
            <w:r w:rsidRPr="003F7C32">
              <w:rPr>
                <w:rFonts w:eastAsia="MS Mincho" w:cs="Arial"/>
                <w:b/>
                <w:iCs/>
                <w:sz w:val="20"/>
                <w:szCs w:val="20"/>
              </w:rPr>
              <w:t>Final report</w:t>
            </w:r>
          </w:p>
          <w:p w14:paraId="00349DC3" w14:textId="77777777" w:rsidR="004B0AE0" w:rsidRPr="003F7C32" w:rsidRDefault="004B0AE0" w:rsidP="004B0AE0">
            <w:pPr>
              <w:pStyle w:val="ListParagraph"/>
              <w:numPr>
                <w:ilvl w:val="0"/>
                <w:numId w:val="6"/>
              </w:numPr>
              <w:rPr>
                <w:rFonts w:eastAsia="MS Mincho" w:cs="Arial"/>
                <w:b/>
                <w:iCs/>
                <w:szCs w:val="20"/>
              </w:rPr>
            </w:pPr>
            <w:r w:rsidRPr="003F7C32">
              <w:rPr>
                <w:rFonts w:eastAsia="MS Mincho" w:cs="Arial"/>
                <w:b/>
                <w:iCs/>
                <w:szCs w:val="20"/>
              </w:rPr>
              <w:t>A final report detailing the methodology and findings from the literature review and the data analysis including:</w:t>
            </w:r>
          </w:p>
          <w:p w14:paraId="7D94EE92" w14:textId="77777777" w:rsidR="004B0AE0" w:rsidRPr="003F7C32" w:rsidRDefault="004B0AE0" w:rsidP="004B0AE0">
            <w:pPr>
              <w:pStyle w:val="ListParagraph"/>
              <w:numPr>
                <w:ilvl w:val="1"/>
                <w:numId w:val="6"/>
              </w:numPr>
              <w:rPr>
                <w:rFonts w:eastAsia="MS Mincho" w:cs="Arial"/>
                <w:bCs/>
                <w:iCs/>
                <w:szCs w:val="20"/>
              </w:rPr>
            </w:pPr>
            <w:r w:rsidRPr="003F7C32">
              <w:rPr>
                <w:rFonts w:eastAsia="MS Mincho" w:cs="Arial"/>
                <w:bCs/>
                <w:iCs/>
                <w:szCs w:val="20"/>
              </w:rPr>
              <w:t>Key findings, hypothesis and conclusions relating to the six main research questions.</w:t>
            </w:r>
          </w:p>
          <w:p w14:paraId="559141BD" w14:textId="77777777" w:rsidR="004B0AE0" w:rsidRPr="003F7C32" w:rsidRDefault="004B0AE0" w:rsidP="004B0AE0">
            <w:pPr>
              <w:pStyle w:val="ListParagraph"/>
              <w:numPr>
                <w:ilvl w:val="1"/>
                <w:numId w:val="6"/>
              </w:numPr>
              <w:rPr>
                <w:rFonts w:eastAsia="MS Mincho" w:cs="Arial"/>
                <w:bCs/>
                <w:iCs/>
                <w:szCs w:val="20"/>
              </w:rPr>
            </w:pPr>
            <w:r w:rsidRPr="003F7C32">
              <w:rPr>
                <w:rFonts w:eastAsia="MS Mincho" w:cs="Arial"/>
                <w:bCs/>
                <w:iCs/>
                <w:szCs w:val="20"/>
              </w:rPr>
              <w:t>Taxonomy of different forms of business mobility, setting out how different categorisations exist and where these overlap, with explicit consideration of existing Mode 4 categories.</w:t>
            </w:r>
          </w:p>
          <w:p w14:paraId="4093CAB3" w14:textId="77777777" w:rsidR="004B0AE0" w:rsidRPr="003F7C32" w:rsidRDefault="004B0AE0" w:rsidP="004B0AE0">
            <w:pPr>
              <w:pStyle w:val="ListParagraph"/>
              <w:numPr>
                <w:ilvl w:val="1"/>
                <w:numId w:val="6"/>
              </w:numPr>
              <w:rPr>
                <w:rFonts w:eastAsia="MS Mincho" w:cs="Arial"/>
                <w:bCs/>
                <w:iCs/>
                <w:szCs w:val="20"/>
              </w:rPr>
            </w:pPr>
            <w:r w:rsidRPr="003F7C32">
              <w:rPr>
                <w:rFonts w:eastAsia="MS Mincho" w:cs="Arial"/>
                <w:bCs/>
                <w:iCs/>
                <w:szCs w:val="20"/>
              </w:rPr>
              <w:t>Detailed methodological notes on the data analysis of how sector composition may affect relative importance of different forms of business mobility.</w:t>
            </w:r>
          </w:p>
          <w:p w14:paraId="00D4031B" w14:textId="77777777" w:rsidR="004B0AE0" w:rsidRPr="003F7C32" w:rsidRDefault="004B0AE0" w:rsidP="004B0AE0">
            <w:pPr>
              <w:pStyle w:val="ListParagraph"/>
              <w:numPr>
                <w:ilvl w:val="1"/>
                <w:numId w:val="6"/>
              </w:numPr>
              <w:rPr>
                <w:rFonts w:eastAsia="MS Mincho" w:cs="Arial"/>
                <w:bCs/>
                <w:iCs/>
                <w:szCs w:val="20"/>
              </w:rPr>
            </w:pPr>
            <w:r w:rsidRPr="003F7C32">
              <w:rPr>
                <w:rFonts w:eastAsia="MS Mincho" w:cs="Arial"/>
                <w:bCs/>
                <w:iCs/>
                <w:szCs w:val="20"/>
              </w:rPr>
              <w:t>Clear write-up of options for future research, including key research questions and proposed design of questions for future business surveys.</w:t>
            </w:r>
          </w:p>
          <w:p w14:paraId="6087E09F" w14:textId="77777777" w:rsidR="004B0AE0" w:rsidRPr="003F7C32" w:rsidRDefault="004B0AE0" w:rsidP="004B0AE0">
            <w:pPr>
              <w:pStyle w:val="ListParagraph"/>
              <w:numPr>
                <w:ilvl w:val="1"/>
                <w:numId w:val="6"/>
              </w:numPr>
              <w:rPr>
                <w:rFonts w:eastAsia="MS Mincho" w:cs="Arial"/>
                <w:bCs/>
                <w:iCs/>
                <w:szCs w:val="20"/>
              </w:rPr>
            </w:pPr>
            <w:r w:rsidRPr="003F7C32">
              <w:rPr>
                <w:rFonts w:eastAsia="MS Mincho" w:cs="Arial"/>
                <w:bCs/>
                <w:iCs/>
                <w:szCs w:val="20"/>
              </w:rPr>
              <w:t>A presentation of key findings and summary documents.</w:t>
            </w:r>
          </w:p>
          <w:p w14:paraId="57C12E58" w14:textId="77777777" w:rsidR="004B0AE0" w:rsidRPr="003F7C32" w:rsidRDefault="004B0AE0">
            <w:pPr>
              <w:rPr>
                <w:rFonts w:eastAsia="MS Mincho" w:cs="Arial"/>
                <w:b/>
                <w:iCs/>
                <w:sz w:val="20"/>
                <w:szCs w:val="20"/>
              </w:rPr>
            </w:pPr>
            <w:r w:rsidRPr="003F7C32">
              <w:rPr>
                <w:rFonts w:eastAsia="MS Mincho" w:cs="Arial"/>
                <w:b/>
                <w:iCs/>
                <w:sz w:val="20"/>
                <w:szCs w:val="20"/>
              </w:rPr>
              <w:t>Quality assurance documentation</w:t>
            </w:r>
          </w:p>
          <w:p w14:paraId="291BD191" w14:textId="07D0D187" w:rsidR="004B0AE0" w:rsidRPr="003F7C32" w:rsidRDefault="004B0AE0">
            <w:pPr>
              <w:rPr>
                <w:rFonts w:eastAsia="MS Mincho" w:cs="Arial"/>
                <w:sz w:val="20"/>
                <w:szCs w:val="20"/>
              </w:rPr>
            </w:pPr>
            <w:r w:rsidRPr="003F7C32">
              <w:rPr>
                <w:rFonts w:eastAsia="MS Mincho" w:cs="Arial"/>
                <w:sz w:val="20"/>
                <w:szCs w:val="20"/>
              </w:rPr>
              <w:t>All</w:t>
            </w:r>
            <w:r w:rsidR="00551FF5">
              <w:rPr>
                <w:rFonts w:eastAsia="MS Mincho" w:cs="Arial"/>
                <w:sz w:val="20"/>
                <w:szCs w:val="20"/>
              </w:rPr>
              <w:t xml:space="preserve"> those </w:t>
            </w:r>
            <w:r w:rsidR="00A50B4E">
              <w:rPr>
                <w:rFonts w:eastAsia="MS Mincho" w:cs="Arial"/>
                <w:sz w:val="20"/>
                <w:szCs w:val="20"/>
              </w:rPr>
              <w:t>potentially</w:t>
            </w:r>
            <w:r w:rsidR="00551FF5">
              <w:rPr>
                <w:rFonts w:eastAsia="MS Mincho" w:cs="Arial"/>
                <w:sz w:val="20"/>
                <w:szCs w:val="20"/>
              </w:rPr>
              <w:t xml:space="preserve"> </w:t>
            </w:r>
            <w:r w:rsidR="00A50B4E">
              <w:rPr>
                <w:rFonts w:eastAsia="MS Mincho" w:cs="Arial"/>
                <w:sz w:val="20"/>
                <w:szCs w:val="20"/>
              </w:rPr>
              <w:t xml:space="preserve">interested </w:t>
            </w:r>
            <w:r w:rsidRPr="003F7C32">
              <w:rPr>
                <w:rFonts w:eastAsia="MS Mincho" w:cs="Arial"/>
                <w:sz w:val="20"/>
                <w:szCs w:val="20"/>
              </w:rPr>
              <w:t>should describe the quality assurance processes that will be applied to different activities and outputs associated with this project. A summary outlining these processes is expected. Where the bidder intends to provide additional outputs relating to quality assurance, they should detail these in their bid.</w:t>
            </w:r>
          </w:p>
          <w:p w14:paraId="2B437B39" w14:textId="4302A93A" w:rsidR="004B0AE0" w:rsidRPr="00BA1311" w:rsidRDefault="004B0AE0">
            <w:pPr>
              <w:rPr>
                <w:rFonts w:eastAsia="MS Mincho" w:cs="Arial"/>
                <w:b/>
              </w:rPr>
            </w:pPr>
            <w:r w:rsidRPr="003F7C32">
              <w:rPr>
                <w:rFonts w:eastAsia="MS Mincho" w:cs="Arial"/>
                <w:b/>
                <w:sz w:val="20"/>
                <w:szCs w:val="20"/>
              </w:rPr>
              <w:t>Suggested timeline of deliverables</w:t>
            </w:r>
            <w:r w:rsidR="00797308" w:rsidRPr="003F7C32">
              <w:rPr>
                <w:rFonts w:eastAsia="MS Mincho" w:cs="Arial"/>
                <w:b/>
                <w:sz w:val="20"/>
                <w:szCs w:val="20"/>
              </w:rPr>
              <w:t xml:space="preserve"> (Jan – end March</w:t>
            </w:r>
            <w:r w:rsidR="00797308">
              <w:rPr>
                <w:rFonts w:eastAsia="MS Mincho" w:cs="Arial"/>
                <w:b/>
              </w:rPr>
              <w:t>)</w:t>
            </w:r>
          </w:p>
          <w:tbl>
            <w:tblPr>
              <w:tblStyle w:val="TableGrid"/>
              <w:tblW w:w="0" w:type="auto"/>
              <w:tblLook w:val="06A0" w:firstRow="1" w:lastRow="0" w:firstColumn="1" w:lastColumn="0" w:noHBand="1" w:noVBand="1"/>
            </w:tblPr>
            <w:tblGrid>
              <w:gridCol w:w="1500"/>
              <w:gridCol w:w="6675"/>
            </w:tblGrid>
            <w:tr w:rsidR="004B0AE0" w:rsidRPr="00BA1311" w14:paraId="466F9225" w14:textId="77777777">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E7E6E6"/>
                  <w:vAlign w:val="center"/>
                </w:tcPr>
                <w:p w14:paraId="56DB017D" w14:textId="77777777" w:rsidR="004B0AE0" w:rsidRPr="00B5583F" w:rsidRDefault="004B0AE0">
                  <w:pPr>
                    <w:rPr>
                      <w:rFonts w:cs="Arial"/>
                    </w:rPr>
                  </w:pPr>
                  <w:r w:rsidRPr="00B5583F">
                    <w:rPr>
                      <w:rFonts w:cs="Arial"/>
                      <w:b/>
                      <w:color w:val="000000" w:themeColor="text1"/>
                    </w:rPr>
                    <w:t>Timelines</w:t>
                  </w:r>
                </w:p>
              </w:tc>
              <w:tc>
                <w:tcPr>
                  <w:tcW w:w="6675" w:type="dxa"/>
                  <w:tcBorders>
                    <w:top w:val="single" w:sz="4" w:space="0" w:color="auto"/>
                    <w:left w:val="single" w:sz="4" w:space="0" w:color="auto"/>
                    <w:bottom w:val="single" w:sz="4" w:space="0" w:color="auto"/>
                    <w:right w:val="single" w:sz="4" w:space="0" w:color="auto"/>
                  </w:tcBorders>
                  <w:shd w:val="clear" w:color="auto" w:fill="E7E6E6"/>
                  <w:vAlign w:val="center"/>
                </w:tcPr>
                <w:p w14:paraId="2AD4F2B3" w14:textId="77777777" w:rsidR="004B0AE0" w:rsidRPr="00B5583F" w:rsidRDefault="004B0AE0">
                  <w:pPr>
                    <w:rPr>
                      <w:rFonts w:cs="Arial"/>
                    </w:rPr>
                  </w:pPr>
                  <w:r w:rsidRPr="00B5583F">
                    <w:rPr>
                      <w:rFonts w:cs="Arial"/>
                      <w:b/>
                      <w:color w:val="000000" w:themeColor="text1"/>
                    </w:rPr>
                    <w:t>Activities/ Deliverables</w:t>
                  </w:r>
                </w:p>
              </w:tc>
            </w:tr>
            <w:tr w:rsidR="004B0AE0" w:rsidRPr="00BA1311" w14:paraId="556AE129"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41467C78" w14:textId="77777777" w:rsidR="004B0AE0" w:rsidRPr="008A6F17" w:rsidRDefault="004B0AE0">
                  <w:pPr>
                    <w:rPr>
                      <w:rFonts w:cs="Arial"/>
                    </w:rPr>
                  </w:pPr>
                  <w:r w:rsidRPr="008A6F17">
                    <w:rPr>
                      <w:rFonts w:cs="Arial"/>
                      <w:color w:val="000000" w:themeColor="text1"/>
                    </w:rPr>
                    <w:t>W1</w:t>
                  </w:r>
                </w:p>
              </w:tc>
              <w:tc>
                <w:tcPr>
                  <w:tcW w:w="6675" w:type="dxa"/>
                  <w:tcBorders>
                    <w:top w:val="single" w:sz="4" w:space="0" w:color="auto"/>
                    <w:left w:val="single" w:sz="4" w:space="0" w:color="auto"/>
                    <w:bottom w:val="single" w:sz="4" w:space="0" w:color="auto"/>
                    <w:right w:val="single" w:sz="4" w:space="0" w:color="auto"/>
                  </w:tcBorders>
                  <w:vAlign w:val="bottom"/>
                </w:tcPr>
                <w:p w14:paraId="4821D811" w14:textId="77777777" w:rsidR="004B0AE0" w:rsidRPr="008A6F17" w:rsidRDefault="004B0AE0">
                  <w:pPr>
                    <w:rPr>
                      <w:rFonts w:cs="Arial"/>
                      <w:color w:val="000000" w:themeColor="text1"/>
                    </w:rPr>
                  </w:pPr>
                  <w:r>
                    <w:rPr>
                      <w:rFonts w:cs="Arial"/>
                      <w:color w:val="000000" w:themeColor="text1"/>
                    </w:rPr>
                    <w:t>Agree PID and overarching methodological approach</w:t>
                  </w:r>
                </w:p>
              </w:tc>
            </w:tr>
            <w:tr w:rsidR="004B0AE0" w:rsidRPr="00BA1311" w14:paraId="3687DA32"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004CCBB3" w14:textId="77777777" w:rsidR="004B0AE0" w:rsidRPr="008A6F17" w:rsidRDefault="004B0AE0">
                  <w:pPr>
                    <w:rPr>
                      <w:rFonts w:cs="Arial"/>
                    </w:rPr>
                  </w:pPr>
                  <w:r w:rsidRPr="008A6F17">
                    <w:rPr>
                      <w:rFonts w:cs="Arial"/>
                      <w:color w:val="000000" w:themeColor="text1"/>
                    </w:rPr>
                    <w:t>W2</w:t>
                  </w:r>
                  <w:r>
                    <w:rPr>
                      <w:rFonts w:cs="Arial"/>
                      <w:color w:val="000000" w:themeColor="text1"/>
                    </w:rPr>
                    <w:t>-W5</w:t>
                  </w:r>
                </w:p>
              </w:tc>
              <w:tc>
                <w:tcPr>
                  <w:tcW w:w="6675" w:type="dxa"/>
                  <w:tcBorders>
                    <w:top w:val="single" w:sz="4" w:space="0" w:color="auto"/>
                    <w:left w:val="single" w:sz="4" w:space="0" w:color="auto"/>
                    <w:bottom w:val="single" w:sz="4" w:space="0" w:color="auto"/>
                    <w:right w:val="single" w:sz="4" w:space="0" w:color="auto"/>
                  </w:tcBorders>
                  <w:vAlign w:val="bottom"/>
                </w:tcPr>
                <w:p w14:paraId="1D2F316D" w14:textId="77777777" w:rsidR="004B0AE0" w:rsidRPr="008A6F17" w:rsidRDefault="004B0AE0">
                  <w:pPr>
                    <w:rPr>
                      <w:rFonts w:cs="Arial"/>
                    </w:rPr>
                  </w:pPr>
                  <w:r>
                    <w:rPr>
                      <w:rFonts w:cs="Arial"/>
                    </w:rPr>
                    <w:t>Undertake desk research and data analysis</w:t>
                  </w:r>
                </w:p>
              </w:tc>
            </w:tr>
            <w:tr w:rsidR="004B0AE0" w:rsidRPr="00BA1311" w14:paraId="45F0E821"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14CA8FDA" w14:textId="77777777" w:rsidR="004B0AE0" w:rsidRPr="008A6F17" w:rsidRDefault="004B0AE0">
                  <w:pPr>
                    <w:rPr>
                      <w:rFonts w:cs="Arial"/>
                    </w:rPr>
                  </w:pPr>
                  <w:r w:rsidRPr="008A6F17">
                    <w:rPr>
                      <w:rFonts w:cs="Arial"/>
                      <w:color w:val="000000" w:themeColor="text1"/>
                    </w:rPr>
                    <w:t>W</w:t>
                  </w:r>
                  <w:r>
                    <w:rPr>
                      <w:rFonts w:cs="Arial"/>
                      <w:color w:val="000000" w:themeColor="text1"/>
                    </w:rPr>
                    <w:t>6-W7</w:t>
                  </w:r>
                </w:p>
              </w:tc>
              <w:tc>
                <w:tcPr>
                  <w:tcW w:w="6675" w:type="dxa"/>
                  <w:tcBorders>
                    <w:top w:val="single" w:sz="4" w:space="0" w:color="auto"/>
                    <w:left w:val="single" w:sz="4" w:space="0" w:color="auto"/>
                    <w:bottom w:val="single" w:sz="4" w:space="0" w:color="auto"/>
                    <w:right w:val="single" w:sz="4" w:space="0" w:color="auto"/>
                  </w:tcBorders>
                  <w:vAlign w:val="bottom"/>
                </w:tcPr>
                <w:p w14:paraId="39FD4FF3" w14:textId="77777777" w:rsidR="004B0AE0" w:rsidRPr="008A6F17" w:rsidRDefault="004B0AE0">
                  <w:pPr>
                    <w:rPr>
                      <w:rFonts w:cs="Arial"/>
                    </w:rPr>
                  </w:pPr>
                  <w:r w:rsidRPr="008A6F17">
                    <w:rPr>
                      <w:rFonts w:cs="Arial"/>
                      <w:color w:val="000000" w:themeColor="text1"/>
                    </w:rPr>
                    <w:t xml:space="preserve">Write up </w:t>
                  </w:r>
                  <w:r>
                    <w:rPr>
                      <w:rFonts w:cs="Arial"/>
                      <w:color w:val="000000" w:themeColor="text1"/>
                    </w:rPr>
                    <w:t>draft report</w:t>
                  </w:r>
                </w:p>
              </w:tc>
            </w:tr>
            <w:tr w:rsidR="004B0AE0" w:rsidRPr="00BA1311" w14:paraId="770CD6A1"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4606256F" w14:textId="77777777" w:rsidR="004B0AE0" w:rsidRPr="008A6F17" w:rsidRDefault="004B0AE0">
                  <w:pPr>
                    <w:rPr>
                      <w:rFonts w:cs="Arial"/>
                    </w:rPr>
                  </w:pPr>
                  <w:r w:rsidRPr="008A6F17">
                    <w:rPr>
                      <w:rFonts w:cs="Arial"/>
                      <w:color w:val="000000" w:themeColor="text1"/>
                    </w:rPr>
                    <w:t>W</w:t>
                  </w:r>
                  <w:r>
                    <w:rPr>
                      <w:rFonts w:cs="Arial"/>
                      <w:color w:val="000000" w:themeColor="text1"/>
                    </w:rPr>
                    <w:t>7</w:t>
                  </w:r>
                </w:p>
              </w:tc>
              <w:tc>
                <w:tcPr>
                  <w:tcW w:w="6675" w:type="dxa"/>
                  <w:tcBorders>
                    <w:top w:val="single" w:sz="4" w:space="0" w:color="auto"/>
                    <w:left w:val="single" w:sz="4" w:space="0" w:color="auto"/>
                    <w:bottom w:val="single" w:sz="4" w:space="0" w:color="auto"/>
                    <w:right w:val="single" w:sz="4" w:space="0" w:color="auto"/>
                  </w:tcBorders>
                  <w:vAlign w:val="bottom"/>
                </w:tcPr>
                <w:p w14:paraId="74D6FF4B" w14:textId="77777777" w:rsidR="004B0AE0" w:rsidRPr="008A6F17" w:rsidRDefault="004B0AE0">
                  <w:pPr>
                    <w:rPr>
                      <w:rFonts w:cs="Arial"/>
                    </w:rPr>
                  </w:pPr>
                  <w:r w:rsidRPr="008A6F17">
                    <w:rPr>
                      <w:rFonts w:cs="Arial"/>
                      <w:color w:val="000000" w:themeColor="text1"/>
                    </w:rPr>
                    <w:t xml:space="preserve">Share report for comment </w:t>
                  </w:r>
                </w:p>
              </w:tc>
            </w:tr>
            <w:tr w:rsidR="004B0AE0" w:rsidRPr="00BA1311" w14:paraId="6B864B27"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4292DE64" w14:textId="77777777" w:rsidR="004B0AE0" w:rsidRPr="008A6F17" w:rsidRDefault="004B0AE0">
                  <w:pPr>
                    <w:rPr>
                      <w:rFonts w:cs="Arial"/>
                    </w:rPr>
                  </w:pPr>
                  <w:r w:rsidRPr="008A6F17">
                    <w:rPr>
                      <w:rFonts w:cs="Arial"/>
                      <w:color w:val="000000" w:themeColor="text1"/>
                    </w:rPr>
                    <w:t>W</w:t>
                  </w:r>
                  <w:r>
                    <w:rPr>
                      <w:rFonts w:cs="Arial"/>
                      <w:color w:val="000000" w:themeColor="text1"/>
                    </w:rPr>
                    <w:t>8- W9</w:t>
                  </w:r>
                </w:p>
              </w:tc>
              <w:tc>
                <w:tcPr>
                  <w:tcW w:w="6675" w:type="dxa"/>
                  <w:tcBorders>
                    <w:top w:val="single" w:sz="4" w:space="0" w:color="auto"/>
                    <w:left w:val="single" w:sz="4" w:space="0" w:color="auto"/>
                    <w:bottom w:val="single" w:sz="4" w:space="0" w:color="auto"/>
                    <w:right w:val="single" w:sz="4" w:space="0" w:color="auto"/>
                  </w:tcBorders>
                  <w:vAlign w:val="bottom"/>
                </w:tcPr>
                <w:p w14:paraId="176A7E91" w14:textId="77777777" w:rsidR="004B0AE0" w:rsidRPr="008A6F17" w:rsidRDefault="004B0AE0">
                  <w:pPr>
                    <w:rPr>
                      <w:rFonts w:cs="Arial"/>
                    </w:rPr>
                  </w:pPr>
                  <w:r w:rsidRPr="008A6F17">
                    <w:rPr>
                      <w:rFonts w:cs="Arial"/>
                    </w:rPr>
                    <w:t>Review and finalise report</w:t>
                  </w:r>
                </w:p>
              </w:tc>
            </w:tr>
            <w:tr w:rsidR="004B0AE0" w:rsidRPr="00BA1311" w14:paraId="0D36C67C" w14:textId="77777777">
              <w:trPr>
                <w:trHeight w:val="300"/>
              </w:trPr>
              <w:tc>
                <w:tcPr>
                  <w:tcW w:w="1500" w:type="dxa"/>
                  <w:tcBorders>
                    <w:top w:val="single" w:sz="4" w:space="0" w:color="auto"/>
                    <w:left w:val="single" w:sz="4" w:space="0" w:color="auto"/>
                    <w:bottom w:val="single" w:sz="4" w:space="0" w:color="auto"/>
                    <w:right w:val="single" w:sz="4" w:space="0" w:color="auto"/>
                  </w:tcBorders>
                  <w:vAlign w:val="center"/>
                </w:tcPr>
                <w:p w14:paraId="19FE0624" w14:textId="77777777" w:rsidR="004B0AE0" w:rsidRPr="00B5583F" w:rsidRDefault="004B0AE0">
                  <w:pPr>
                    <w:rPr>
                      <w:rFonts w:cs="Arial"/>
                    </w:rPr>
                  </w:pPr>
                  <w:r w:rsidRPr="00B5583F">
                    <w:rPr>
                      <w:rFonts w:cs="Arial"/>
                      <w:color w:val="000000" w:themeColor="text1"/>
                    </w:rPr>
                    <w:t>W1</w:t>
                  </w:r>
                  <w:r>
                    <w:rPr>
                      <w:rFonts w:cs="Arial"/>
                      <w:color w:val="000000" w:themeColor="text1"/>
                    </w:rPr>
                    <w:t>0</w:t>
                  </w:r>
                </w:p>
              </w:tc>
              <w:tc>
                <w:tcPr>
                  <w:tcW w:w="6675" w:type="dxa"/>
                  <w:tcBorders>
                    <w:top w:val="single" w:sz="4" w:space="0" w:color="auto"/>
                    <w:left w:val="single" w:sz="4" w:space="0" w:color="auto"/>
                    <w:bottom w:val="single" w:sz="4" w:space="0" w:color="auto"/>
                    <w:right w:val="single" w:sz="4" w:space="0" w:color="auto"/>
                  </w:tcBorders>
                  <w:vAlign w:val="bottom"/>
                </w:tcPr>
                <w:p w14:paraId="413E4701" w14:textId="77777777" w:rsidR="004B0AE0" w:rsidRPr="00B5583F" w:rsidRDefault="004B0AE0">
                  <w:pPr>
                    <w:rPr>
                      <w:rFonts w:cs="Arial"/>
                    </w:rPr>
                  </w:pPr>
                  <w:r w:rsidRPr="00B5583F">
                    <w:rPr>
                      <w:rFonts w:cs="Arial"/>
                      <w:color w:val="000000" w:themeColor="text1"/>
                    </w:rPr>
                    <w:t xml:space="preserve">Deliver final report </w:t>
                  </w:r>
                  <w:r>
                    <w:rPr>
                      <w:rFonts w:cs="Arial"/>
                      <w:color w:val="000000" w:themeColor="text1"/>
                    </w:rPr>
                    <w:t>and presentation</w:t>
                  </w:r>
                </w:p>
              </w:tc>
            </w:tr>
          </w:tbl>
          <w:p w14:paraId="096943B7" w14:textId="77777777" w:rsidR="004B0AE0" w:rsidRPr="00BA1311" w:rsidRDefault="004B0AE0">
            <w:pPr>
              <w:rPr>
                <w:rFonts w:eastAsia="MS Mincho" w:cs="Arial"/>
                <w:bCs/>
                <w:iCs/>
              </w:rPr>
            </w:pPr>
          </w:p>
        </w:tc>
      </w:tr>
      <w:tr w:rsidR="004B0AE0" w:rsidRPr="0012624C" w14:paraId="567DCD0A" w14:textId="77777777">
        <w:tc>
          <w:tcPr>
            <w:tcW w:w="9016" w:type="dxa"/>
          </w:tcPr>
          <w:p w14:paraId="34BD1FE8" w14:textId="77777777" w:rsidR="004B0AE0" w:rsidDel="00E26805" w:rsidRDefault="004B0AE0">
            <w:pPr>
              <w:spacing w:after="0" w:line="240" w:lineRule="auto"/>
              <w:rPr>
                <w:rFonts w:eastAsia="MS Mincho" w:cs="Arial"/>
                <w:b/>
                <w:iCs/>
                <w:szCs w:val="20"/>
              </w:rPr>
            </w:pPr>
          </w:p>
        </w:tc>
      </w:tr>
    </w:tbl>
    <w:p w14:paraId="6A7D9A30" w14:textId="08592C39" w:rsidR="0073078D" w:rsidRDefault="0073078D"/>
    <w:sectPr w:rsidR="007307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D59B" w14:textId="77777777" w:rsidR="00967514" w:rsidRDefault="00967514" w:rsidP="004B0AE0">
      <w:pPr>
        <w:spacing w:after="0" w:line="240" w:lineRule="auto"/>
      </w:pPr>
      <w:r>
        <w:separator/>
      </w:r>
    </w:p>
  </w:endnote>
  <w:endnote w:type="continuationSeparator" w:id="0">
    <w:p w14:paraId="46E1CE90" w14:textId="77777777" w:rsidR="00967514" w:rsidRDefault="00967514" w:rsidP="004B0AE0">
      <w:pPr>
        <w:spacing w:after="0" w:line="240" w:lineRule="auto"/>
      </w:pPr>
      <w:r>
        <w:continuationSeparator/>
      </w:r>
    </w:p>
  </w:endnote>
  <w:endnote w:type="continuationNotice" w:id="1">
    <w:p w14:paraId="2365C587" w14:textId="77777777" w:rsidR="00967514" w:rsidRDefault="00967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53D1" w14:textId="77777777" w:rsidR="00967514" w:rsidRDefault="00967514" w:rsidP="004B0AE0">
      <w:pPr>
        <w:spacing w:after="0" w:line="240" w:lineRule="auto"/>
      </w:pPr>
      <w:r>
        <w:separator/>
      </w:r>
    </w:p>
  </w:footnote>
  <w:footnote w:type="continuationSeparator" w:id="0">
    <w:p w14:paraId="15F76BE0" w14:textId="77777777" w:rsidR="00967514" w:rsidRDefault="00967514" w:rsidP="004B0AE0">
      <w:pPr>
        <w:spacing w:after="0" w:line="240" w:lineRule="auto"/>
      </w:pPr>
      <w:r>
        <w:continuationSeparator/>
      </w:r>
    </w:p>
  </w:footnote>
  <w:footnote w:type="continuationNotice" w:id="1">
    <w:p w14:paraId="1A5E50F4" w14:textId="77777777" w:rsidR="00967514" w:rsidRDefault="00967514">
      <w:pPr>
        <w:spacing w:after="0" w:line="240" w:lineRule="auto"/>
      </w:pPr>
    </w:p>
  </w:footnote>
  <w:footnote w:id="2">
    <w:p w14:paraId="0E0B6C27" w14:textId="77777777" w:rsidR="004B0AE0" w:rsidRDefault="004B0AE0" w:rsidP="004B0AE0">
      <w:pPr>
        <w:pStyle w:val="FootnoteText"/>
      </w:pPr>
      <w:r>
        <w:rPr>
          <w:rStyle w:val="FootnoteReference"/>
        </w:rPr>
        <w:footnoteRef/>
      </w:r>
      <w:r>
        <w:t xml:space="preserve"> </w:t>
      </w:r>
      <w:hyperlink r:id="rId1" w:history="1">
        <w:r w:rsidRPr="00715285">
          <w:rPr>
            <w:rStyle w:val="Hyperlink"/>
            <w:rFonts w:ascii="Arial" w:hAnsi="Arial" w:cs="Arial"/>
            <w:sz w:val="18"/>
            <w:szCs w:val="18"/>
          </w:rPr>
          <w:t>https://docs.wto.org/dol2fe/Pages/FE_Search/FE_S_S009-DP.aspx?language=E&amp;CatalogueIdList=108652</w:t>
        </w:r>
      </w:hyperlink>
      <w:r>
        <w:t xml:space="preserve"> </w:t>
      </w:r>
    </w:p>
  </w:footnote>
  <w:footnote w:id="3">
    <w:p w14:paraId="6740D787" w14:textId="77777777" w:rsidR="004B0AE0" w:rsidRDefault="004B0AE0" w:rsidP="004B0AE0">
      <w:pPr>
        <w:pStyle w:val="FootnoteText"/>
      </w:pPr>
      <w:r>
        <w:rPr>
          <w:rStyle w:val="FootnoteReference"/>
        </w:rPr>
        <w:footnoteRef/>
      </w:r>
      <w:r>
        <w:t xml:space="preserve"> See USMCA for an example of this category.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4477"/>
    <w:multiLevelType w:val="hybridMultilevel"/>
    <w:tmpl w:val="2B5CDD2E"/>
    <w:lvl w:ilvl="0" w:tplc="8A34897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6BA4EB4"/>
    <w:multiLevelType w:val="hybridMultilevel"/>
    <w:tmpl w:val="982095D6"/>
    <w:lvl w:ilvl="0" w:tplc="FC0AA0F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31849"/>
    <w:multiLevelType w:val="hybridMultilevel"/>
    <w:tmpl w:val="210404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4621638"/>
    <w:multiLevelType w:val="hybridMultilevel"/>
    <w:tmpl w:val="11986750"/>
    <w:lvl w:ilvl="0" w:tplc="FC0AA0F0">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E1692"/>
    <w:multiLevelType w:val="hybridMultilevel"/>
    <w:tmpl w:val="30D6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51A1D"/>
    <w:multiLevelType w:val="hybridMultilevel"/>
    <w:tmpl w:val="D87CC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3386624">
    <w:abstractNumId w:val="6"/>
  </w:num>
  <w:num w:numId="2" w16cid:durableId="2056927452">
    <w:abstractNumId w:val="1"/>
  </w:num>
  <w:num w:numId="3" w16cid:durableId="315032903">
    <w:abstractNumId w:val="5"/>
  </w:num>
  <w:num w:numId="4" w16cid:durableId="647829970">
    <w:abstractNumId w:val="3"/>
  </w:num>
  <w:num w:numId="5" w16cid:durableId="1422290841">
    <w:abstractNumId w:val="2"/>
  </w:num>
  <w:num w:numId="6" w16cid:durableId="528030482">
    <w:abstractNumId w:val="4"/>
  </w:num>
  <w:num w:numId="7" w16cid:durableId="98477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E0"/>
    <w:rsid w:val="000169BA"/>
    <w:rsid w:val="00024448"/>
    <w:rsid w:val="000375FC"/>
    <w:rsid w:val="00075D67"/>
    <w:rsid w:val="000D75E9"/>
    <w:rsid w:val="0014210B"/>
    <w:rsid w:val="0016323E"/>
    <w:rsid w:val="00190AB0"/>
    <w:rsid w:val="001A62CD"/>
    <w:rsid w:val="001B3D27"/>
    <w:rsid w:val="00263E17"/>
    <w:rsid w:val="002A226C"/>
    <w:rsid w:val="002B69A7"/>
    <w:rsid w:val="002D0A59"/>
    <w:rsid w:val="00356232"/>
    <w:rsid w:val="00362F68"/>
    <w:rsid w:val="00382D15"/>
    <w:rsid w:val="003A25D1"/>
    <w:rsid w:val="003D044A"/>
    <w:rsid w:val="003D119B"/>
    <w:rsid w:val="003F7C32"/>
    <w:rsid w:val="0044181F"/>
    <w:rsid w:val="004736AC"/>
    <w:rsid w:val="004920F5"/>
    <w:rsid w:val="004B0AE0"/>
    <w:rsid w:val="004B3C90"/>
    <w:rsid w:val="004F22AE"/>
    <w:rsid w:val="004F479D"/>
    <w:rsid w:val="00550B08"/>
    <w:rsid w:val="00551FF5"/>
    <w:rsid w:val="005567AB"/>
    <w:rsid w:val="005858F7"/>
    <w:rsid w:val="005B3868"/>
    <w:rsid w:val="00624E7D"/>
    <w:rsid w:val="00694EA9"/>
    <w:rsid w:val="006A18EB"/>
    <w:rsid w:val="006B6FF0"/>
    <w:rsid w:val="006E217A"/>
    <w:rsid w:val="006F6CCB"/>
    <w:rsid w:val="0073078D"/>
    <w:rsid w:val="00772705"/>
    <w:rsid w:val="0079341A"/>
    <w:rsid w:val="00797308"/>
    <w:rsid w:val="00837C67"/>
    <w:rsid w:val="008629DE"/>
    <w:rsid w:val="00924D02"/>
    <w:rsid w:val="00962F5A"/>
    <w:rsid w:val="00964D13"/>
    <w:rsid w:val="00967514"/>
    <w:rsid w:val="009F28FF"/>
    <w:rsid w:val="00A50A1A"/>
    <w:rsid w:val="00A50B4E"/>
    <w:rsid w:val="00A729A6"/>
    <w:rsid w:val="00A81729"/>
    <w:rsid w:val="00AB4937"/>
    <w:rsid w:val="00B84747"/>
    <w:rsid w:val="00BE6F8E"/>
    <w:rsid w:val="00C3264B"/>
    <w:rsid w:val="00CA0FA1"/>
    <w:rsid w:val="00CB1A49"/>
    <w:rsid w:val="00CB40F4"/>
    <w:rsid w:val="00CF3152"/>
    <w:rsid w:val="00D26032"/>
    <w:rsid w:val="00D300EF"/>
    <w:rsid w:val="00D53389"/>
    <w:rsid w:val="00D919F5"/>
    <w:rsid w:val="00DE4A75"/>
    <w:rsid w:val="00E019AB"/>
    <w:rsid w:val="00E651AB"/>
    <w:rsid w:val="00E85AB1"/>
    <w:rsid w:val="00F65C0D"/>
    <w:rsid w:val="00F672D6"/>
    <w:rsid w:val="00F86470"/>
    <w:rsid w:val="00F901E5"/>
    <w:rsid w:val="00F944FC"/>
    <w:rsid w:val="00FB1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EF98"/>
  <w15:chartTrackingRefBased/>
  <w15:docId w15:val="{E1729214-80A1-4344-8F97-F2189A50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AE0"/>
    <w:pPr>
      <w:spacing w:after="200" w:line="276"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AE0"/>
    <w:rPr>
      <w:color w:val="0000FF"/>
      <w:u w:val="single"/>
    </w:rPr>
  </w:style>
  <w:style w:type="table" w:styleId="TableGrid">
    <w:name w:val="Table Grid"/>
    <w:basedOn w:val="TableNormal"/>
    <w:uiPriority w:val="59"/>
    <w:rsid w:val="004B0AE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B0AE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4B0A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B0AE0"/>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4B0AE0"/>
    <w:pPr>
      <w:spacing w:after="120" w:line="240" w:lineRule="atLeast"/>
      <w:ind w:left="720"/>
      <w:contextualSpacing/>
    </w:pPr>
    <w:rPr>
      <w:rFonts w:eastAsia="Times New Roman"/>
      <w:sz w:val="20"/>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B0AE0"/>
    <w:rPr>
      <w:rFonts w:ascii="Arial" w:eastAsia="Times New Roman" w:hAnsi="Arial" w:cs="Times New Roman"/>
      <w:sz w:val="20"/>
      <w:szCs w:val="24"/>
    </w:rPr>
  </w:style>
  <w:style w:type="paragraph" w:customStyle="1" w:styleId="DfESOutNumbered">
    <w:name w:val="DfESOutNumbered"/>
    <w:basedOn w:val="Normal"/>
    <w:rsid w:val="004B0AE0"/>
    <w:pPr>
      <w:widowControl w:val="0"/>
      <w:numPr>
        <w:numId w:val="2"/>
      </w:numPr>
      <w:overflowPunct w:val="0"/>
      <w:autoSpaceDE w:val="0"/>
      <w:autoSpaceDN w:val="0"/>
      <w:adjustRightInd w:val="0"/>
      <w:spacing w:after="240" w:line="240" w:lineRule="auto"/>
      <w:textAlignment w:val="baseline"/>
    </w:pPr>
    <w:rPr>
      <w:rFonts w:eastAsia="Times New Roman"/>
      <w:sz w:val="24"/>
      <w:szCs w:val="20"/>
    </w:rPr>
  </w:style>
  <w:style w:type="table" w:customStyle="1" w:styleId="TableGrid1">
    <w:name w:val="Table Grid1"/>
    <w:basedOn w:val="TableNormal"/>
    <w:next w:val="TableGrid"/>
    <w:uiPriority w:val="59"/>
    <w:rsid w:val="004B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F6C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6CCB"/>
    <w:rPr>
      <w:rFonts w:ascii="Arial" w:eastAsia="Calibri" w:hAnsi="Arial" w:cs="Times New Roman"/>
    </w:rPr>
  </w:style>
  <w:style w:type="paragraph" w:styleId="Footer">
    <w:name w:val="footer"/>
    <w:basedOn w:val="Normal"/>
    <w:link w:val="FooterChar"/>
    <w:uiPriority w:val="99"/>
    <w:semiHidden/>
    <w:unhideWhenUsed/>
    <w:rsid w:val="006F6C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6CCB"/>
    <w:rPr>
      <w:rFonts w:ascii="Arial" w:eastAsia="Calibri" w:hAnsi="Arial" w:cs="Times New Roman"/>
    </w:rPr>
  </w:style>
  <w:style w:type="paragraph" w:styleId="Revision">
    <w:name w:val="Revision"/>
    <w:hidden/>
    <w:uiPriority w:val="99"/>
    <w:semiHidden/>
    <w:rsid w:val="006F6CCB"/>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6F6CCB"/>
    <w:rPr>
      <w:sz w:val="16"/>
      <w:szCs w:val="16"/>
    </w:rPr>
  </w:style>
  <w:style w:type="paragraph" w:styleId="CommentText">
    <w:name w:val="annotation text"/>
    <w:basedOn w:val="Normal"/>
    <w:link w:val="CommentTextChar"/>
    <w:uiPriority w:val="99"/>
    <w:unhideWhenUsed/>
    <w:rsid w:val="006F6CCB"/>
    <w:pPr>
      <w:spacing w:line="240" w:lineRule="auto"/>
    </w:pPr>
    <w:rPr>
      <w:sz w:val="20"/>
      <w:szCs w:val="20"/>
    </w:rPr>
  </w:style>
  <w:style w:type="character" w:customStyle="1" w:styleId="CommentTextChar">
    <w:name w:val="Comment Text Char"/>
    <w:basedOn w:val="DefaultParagraphFont"/>
    <w:link w:val="CommentText"/>
    <w:uiPriority w:val="99"/>
    <w:rsid w:val="006F6CC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F6CCB"/>
    <w:rPr>
      <w:b/>
      <w:bCs/>
    </w:rPr>
  </w:style>
  <w:style w:type="character" w:customStyle="1" w:styleId="CommentSubjectChar">
    <w:name w:val="Comment Subject Char"/>
    <w:basedOn w:val="CommentTextChar"/>
    <w:link w:val="CommentSubject"/>
    <w:uiPriority w:val="99"/>
    <w:semiHidden/>
    <w:rsid w:val="006F6CCB"/>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ocs.wto.org/dol2fe/Pages/FE_Search/FE_S_S009-DP.aspx?language=E&amp;CatalogueIdList=108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1666A17F6E84BA50ACEFA4613C231" ma:contentTypeVersion="25" ma:contentTypeDescription="Create a new document." ma:contentTypeScope="" ma:versionID="8198230d8f143f2c6c52a9292489b0bd">
  <xsd:schema xmlns:xsd="http://www.w3.org/2001/XMLSchema" xmlns:xs="http://www.w3.org/2001/XMLSchema" xmlns:p="http://schemas.microsoft.com/office/2006/metadata/properties" xmlns:ns2="0063f72e-ace3-48fb-9c1f-5b513408b31f" xmlns:ns3="352ecbda-164f-4c27-956d-e449d4c1e8f8" xmlns:ns4="b413c3fd-5a3b-4239-b985-69032e371c04" xmlns:ns5="a8f60570-4bd3-4f2b-950b-a996de8ab151" xmlns:ns6="7b726116-ed20-4813-b70b-3070dbe43306" xmlns:ns7="aaacb922-5235-4a66-b188-303b9b46fbd7" targetNamespace="http://schemas.microsoft.com/office/2006/metadata/properties" ma:root="true" ma:fieldsID="ad07f8d1d3d221011175116921790d7d" ns2:_="" ns3:_="" ns4:_="" ns5:_="" ns6:_="" ns7:_="">
    <xsd:import namespace="0063f72e-ace3-48fb-9c1f-5b513408b31f"/>
    <xsd:import namespace="352ecbda-164f-4c27-956d-e449d4c1e8f8"/>
    <xsd:import namespace="b413c3fd-5a3b-4239-b985-69032e371c04"/>
    <xsd:import namespace="a8f60570-4bd3-4f2b-950b-a996de8ab151"/>
    <xsd:import namespace="7b726116-ed20-4813-b70b-3070dbe43306"/>
    <xsd:import namespace="aaacb922-5235-4a66-b188-303b9b46fbd7"/>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Date" minOccurs="0"/>
                <xsd:element ref="ns3:SharedWithUsers" minOccurs="0"/>
                <xsd:element ref="ns3:SharedWithDetails" minOccurs="0"/>
                <xsd:element ref="ns7:LegacyData" minOccurs="0"/>
                <xsd:element ref="ns6:MediaServiceDateTaken" minOccurs="0"/>
                <xsd:element ref="ns6:MediaServiceLocation" minOccurs="0"/>
                <xsd:element ref="ns6:MediaServiceOCR" minOccurs="0"/>
                <xsd:element ref="ns3:_dlc_DocId" minOccurs="0"/>
                <xsd:element ref="ns3:_dlc_DocIdUrl" minOccurs="0"/>
                <xsd:element ref="ns3:_dlc_DocIdPersistId" minOccurs="0"/>
                <xsd:element ref="ns6:_Flow_SignoffStatus" minOccurs="0"/>
                <xsd:element ref="ns6:MediaLengthInSeconds" minOccurs="0"/>
                <xsd:element ref="ns6:lcf76f155ced4ddcb4097134ff3c332f" minOccurs="0"/>
                <xsd:element ref="ns6: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52ecbda-164f-4c27-956d-e449d4c1e8f8"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Trade Investment and Negotiations|5b2bd353-ee24-4625-b365-0e49f4d732c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fb8b736-f135-47e8-8897-168d1d001031}" ma:internalName="TaxCatchAll" ma:showField="CatchAllData" ma:web="352ecbda-164f-4c27-956d-e449d4c1e8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fb8b736-f135-47e8-8897-168d1d001031}" ma:internalName="TaxCatchAllLabel" ma:readOnly="true" ma:showField="CatchAllDataLabel" ma:web="352ecbda-164f-4c27-956d-e449d4c1e8f8">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26116-ed20-4813-b70b-3070dbe4330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Date" ma:index="25" nillable="true" ma:displayName="Date" ma:format="DateOnly" ma:indexed="true" ma:internalName="Date">
      <xsd:simpleType>
        <xsd:restriction base="dms:DateTime"/>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5" nillable="true" ma:displayName="Sign-off status" ma:internalName="Sign_x002d_off_x0020_status">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Notes" ma:index="3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8"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2022-11-17T14:03:44+00:00</Date_x0020_Opened>
    <LegacyData xmlns="aaacb922-5235-4a66-b188-303b9b46fbd7" xsi:nil="true"/>
    <lcf76f155ced4ddcb4097134ff3c332f xmlns="7b726116-ed20-4813-b70b-3070dbe43306">
      <Terms xmlns="http://schemas.microsoft.com/office/infopath/2007/PartnerControls"/>
    </lcf76f155ced4ddcb4097134ff3c332f>
    <Date xmlns="7b726116-ed20-4813-b70b-3070dbe43306" xsi:nil="true"/>
    <Descriptor xmlns="0063f72e-ace3-48fb-9c1f-5b513408b31f" xsi:nil="true"/>
    <m975189f4ba442ecbf67d4147307b177 xmlns="352ecbda-164f-4c27-956d-e449d4c1e8f8">
      <Terms xmlns="http://schemas.microsoft.com/office/infopath/2007/PartnerControls">
        <TermInfo xmlns="http://schemas.microsoft.com/office/infopath/2007/PartnerControls">
          <TermName xmlns="http://schemas.microsoft.com/office/infopath/2007/PartnerControls">Trade Investment and Negotiations</TermName>
          <TermId xmlns="http://schemas.microsoft.com/office/infopath/2007/PartnerControls">5b2bd353-ee24-4625-b365-0e49f4d732cc</TermId>
        </TermInfo>
      </Terms>
    </m975189f4ba442ecbf67d4147307b177>
    <TaxCatchAll xmlns="352ecbda-164f-4c27-956d-e449d4c1e8f8">
      <Value>1</Value>
    </TaxCatchAll>
    <Security_x0020_Classification xmlns="0063f72e-ace3-48fb-9c1f-5b513408b31f">OFFICIAL</Security_x0020_Classification>
    <Notes xmlns="7b726116-ed20-4813-b70b-3070dbe43306" xsi:nil="true"/>
    <Retention_x0020_Label xmlns="a8f60570-4bd3-4f2b-950b-a996de8ab151" xsi:nil="true"/>
    <_Flow_SignoffStatus xmlns="7b726116-ed20-4813-b70b-3070dbe43306" xsi:nil="true"/>
    <Date_x0020_Closed xmlns="b413c3fd-5a3b-4239-b985-69032e371c04" xsi:nil="true"/>
    <_dlc_DocId xmlns="352ecbda-164f-4c27-956d-e449d4c1e8f8">HN6CK6RDCZ6U-444780834-426191</_dlc_DocId>
    <_dlc_DocIdUrl xmlns="352ecbda-164f-4c27-956d-e449d4c1e8f8">
      <Url>https://beisgov.sharepoint.com/sites/TINS/_layouts/15/DocIdRedir.aspx?ID=HN6CK6RDCZ6U-444780834-426191</Url>
      <Description>HN6CK6RDCZ6U-444780834-426191</Description>
    </_dlc_DocIdUrl>
  </documentManagement>
</p:properties>
</file>

<file path=customXml/itemProps1.xml><?xml version="1.0" encoding="utf-8"?>
<ds:datastoreItem xmlns:ds="http://schemas.openxmlformats.org/officeDocument/2006/customXml" ds:itemID="{90FBF655-373C-4FFA-AAE0-8302C2407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52ecbda-164f-4c27-956d-e449d4c1e8f8"/>
    <ds:schemaRef ds:uri="b413c3fd-5a3b-4239-b985-69032e371c04"/>
    <ds:schemaRef ds:uri="a8f60570-4bd3-4f2b-950b-a996de8ab151"/>
    <ds:schemaRef ds:uri="7b726116-ed20-4813-b70b-3070dbe43306"/>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3142E-F61E-47AD-883C-1ADB12E009A7}">
  <ds:schemaRefs>
    <ds:schemaRef ds:uri="http://schemas.microsoft.com/sharepoint/events"/>
  </ds:schemaRefs>
</ds:datastoreItem>
</file>

<file path=customXml/itemProps3.xml><?xml version="1.0" encoding="utf-8"?>
<ds:datastoreItem xmlns:ds="http://schemas.openxmlformats.org/officeDocument/2006/customXml" ds:itemID="{DCF0A90D-D1D6-4F4D-954C-453E6E43BD9C}">
  <ds:schemaRefs>
    <ds:schemaRef ds:uri="http://schemas.microsoft.com/sharepoint/v3/contenttype/forms"/>
  </ds:schemaRefs>
</ds:datastoreItem>
</file>

<file path=customXml/itemProps4.xml><?xml version="1.0" encoding="utf-8"?>
<ds:datastoreItem xmlns:ds="http://schemas.openxmlformats.org/officeDocument/2006/customXml" ds:itemID="{CEBF9997-46CF-4535-93DB-BE76701274F0}">
  <ds:schemaRefs>
    <ds:schemaRef ds:uri="http://schemas.microsoft.com/office/2006/metadata/properties"/>
    <ds:schemaRef ds:uri="http://schemas.microsoft.com/office/infopath/2007/PartnerControls"/>
    <ds:schemaRef ds:uri="b413c3fd-5a3b-4239-b985-69032e371c04"/>
    <ds:schemaRef ds:uri="aaacb922-5235-4a66-b188-303b9b46fbd7"/>
    <ds:schemaRef ds:uri="7b726116-ed20-4813-b70b-3070dbe43306"/>
    <ds:schemaRef ds:uri="0063f72e-ace3-48fb-9c1f-5b513408b31f"/>
    <ds:schemaRef ds:uri="352ecbda-164f-4c27-956d-e449d4c1e8f8"/>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1570</Words>
  <Characters>8955</Characters>
  <Application>Microsoft Office Word</Application>
  <DocSecurity>0</DocSecurity>
  <Lines>74</Lines>
  <Paragraphs>21</Paragraphs>
  <ScaleCrop>false</ScaleCrop>
  <Company/>
  <LinksUpToDate>false</LinksUpToDate>
  <CharactersWithSpaces>10504</CharactersWithSpaces>
  <SharedDoc>false</SharedDoc>
  <HLinks>
    <vt:vector size="6" baseType="variant">
      <vt:variant>
        <vt:i4>3211270</vt:i4>
      </vt:variant>
      <vt:variant>
        <vt:i4>0</vt:i4>
      </vt:variant>
      <vt:variant>
        <vt:i4>0</vt:i4>
      </vt:variant>
      <vt:variant>
        <vt:i4>5</vt:i4>
      </vt:variant>
      <vt:variant>
        <vt:lpwstr>https://docs.wto.org/dol2fe/Pages/FE_Search/FE_S_S009-DP.aspx?language=E&amp;CatalogueIdList=108652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 Sam (TIUA - TIN Services &amp; Investment)</dc:creator>
  <cp:keywords/>
  <dc:description/>
  <cp:lastModifiedBy>Jenkins, Cara (Corporate Services - Commercial &amp; Operations)</cp:lastModifiedBy>
  <cp:revision>4</cp:revision>
  <dcterms:created xsi:type="dcterms:W3CDTF">2022-11-18T15:47:00Z</dcterms:created>
  <dcterms:modified xsi:type="dcterms:W3CDTF">2022-11-18T16:02:00Z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2022-11-17T14:03:02Z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51d89d00-b25c-4f14-baad-4f6f3f3828bd</vt:lpwstr>
  </property>
  <property fmtid="{D5CDD505-2E9C-101B-9397-08002B2CF9AE}" pid="8" name="MSIP_Label_ba62f585-b40f-4ab9-bafe-39150f03d124_ContentBits">
    <vt:lpwstr>0</vt:lpwstr>
  </property>
  <property fmtid="{D5CDD505-2E9C-101B-9397-08002B2CF9AE}" pid="9" name="ContentTypeId">
    <vt:lpwstr>0x0101008741666A17F6E84BA50ACEFA4613C231</vt:lpwstr>
  </property>
  <property fmtid="{D5CDD505-2E9C-101B-9397-08002B2CF9AE}" pid="10" name="Business Unit">
    <vt:lpwstr>1;#Trade Investment and Negotiations|5b2bd353-ee24-4625-b365-0e49f4d732cc</vt:lpwstr>
  </property>
  <property fmtid="{D5CDD505-2E9C-101B-9397-08002B2CF9AE}" pid="11" name="MediaServiceImageTags">
    <vt:lpwstr/>
  </property>
  <property fmtid="{D5CDD505-2E9C-101B-9397-08002B2CF9AE}" pid="12" name="_dlc_DocIdItemGuid">
    <vt:lpwstr>6f2a7e90-4916-4cb2-ad4a-ebcfe23e65df</vt:lpwstr>
  </property>
</Properties>
</file>