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33B196AA" w:rsidR="00AB2BC0" w:rsidRPr="00252B62" w:rsidRDefault="00A82DF9" w:rsidP="00065089">
      <w:pPr>
        <w:jc w:val="center"/>
        <w:rPr>
          <w:rFonts w:asciiTheme="minorHAnsi" w:hAnsiTheme="minorHAnsi" w:cstheme="minorHAnsi"/>
          <w:sz w:val="40"/>
          <w:szCs w:val="40"/>
        </w:rPr>
      </w:pPr>
      <w:r>
        <w:rPr>
          <w:rFonts w:asciiTheme="minorHAnsi" w:hAnsiTheme="minorHAnsi" w:cstheme="minorHAnsi"/>
          <w:sz w:val="40"/>
          <w:szCs w:val="40"/>
        </w:rPr>
        <w:t>The Women’s Sports Leadership Academy (WSLA) – Development and Delivery</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296C2004"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EE3F7B">
        <w:rPr>
          <w:rFonts w:asciiTheme="minorHAnsi" w:hAnsiTheme="minorHAnsi" w:cstheme="minorHAnsi"/>
          <w:b/>
          <w:sz w:val="28"/>
          <w:szCs w:val="28"/>
        </w:rPr>
        <w:t>18 February @ 17:00</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55D85AD0" w:rsidR="00CF4E7F" w:rsidRDefault="00A82DF9"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04/02/2022</w:t>
            </w:r>
          </w:p>
          <w:p w14:paraId="31A144A1" w14:textId="4244D35C"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05232DD0" w:rsidR="002A4E0D" w:rsidRPr="00252B62" w:rsidRDefault="00892338"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A" w14:textId="77777777" w:rsidR="00C723B7" w:rsidRDefault="00C723B7" w:rsidP="00C2185C">
      <w:pPr>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BB9244D" w14:textId="2BBBF91A" w:rsidR="003B17FE" w:rsidRPr="003B17FE"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782546" w:history="1">
        <w:r w:rsidR="003B17FE" w:rsidRPr="003B17FE">
          <w:rPr>
            <w:rStyle w:val="Hyperlink"/>
            <w:caps w:val="0"/>
            <w:noProof/>
          </w:rPr>
          <w:t>1</w:t>
        </w:r>
        <w:r w:rsidR="003B17FE" w:rsidRPr="003B17FE">
          <w:rPr>
            <w:rFonts w:asciiTheme="minorHAnsi" w:eastAsiaTheme="minorEastAsia" w:hAnsiTheme="minorHAnsi" w:cstheme="minorBidi"/>
            <w:bCs w:val="0"/>
            <w:caps w:val="0"/>
            <w:noProof/>
            <w:szCs w:val="22"/>
            <w:lang w:eastAsia="en-GB"/>
          </w:rPr>
          <w:tab/>
        </w:r>
        <w:r w:rsidR="003B17FE" w:rsidRPr="003B17FE">
          <w:rPr>
            <w:rStyle w:val="Hyperlink"/>
            <w:caps w:val="0"/>
            <w:noProof/>
          </w:rPr>
          <w:t>Introduction and general background</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_Toc94782546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1</w:t>
        </w:r>
        <w:r w:rsidR="003B17FE" w:rsidRPr="003B17FE">
          <w:rPr>
            <w:caps w:val="0"/>
            <w:noProof/>
            <w:webHidden/>
          </w:rPr>
          <w:fldChar w:fldCharType="end"/>
        </w:r>
      </w:hyperlink>
    </w:p>
    <w:p w14:paraId="38B294BC" w14:textId="6E10DAEE"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47" w:history="1">
        <w:r w:rsidR="003B17FE" w:rsidRPr="003B17FE">
          <w:rPr>
            <w:rStyle w:val="Hyperlink"/>
            <w:noProof/>
          </w:rPr>
          <w:t>1.1</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Purpose of this tender document</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_Toc94782547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3600C664" w14:textId="1787A01E"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48" w:history="1">
        <w:r w:rsidR="003B17FE" w:rsidRPr="003B17FE">
          <w:rPr>
            <w:rStyle w:val="Hyperlink"/>
            <w:noProof/>
          </w:rPr>
          <w:t>1.2</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Background to this tender</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_Toc94782548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6C7B8DA" w14:textId="006CA542"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49" w:history="1">
        <w:r w:rsidR="003B17FE" w:rsidRPr="003B17FE">
          <w:rPr>
            <w:rStyle w:val="Hyperlink"/>
            <w:noProof/>
          </w:rPr>
          <w:t>1.3</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 xml:space="preserve">High level requirements </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_Toc94782549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470B6AD2" w14:textId="5AE908B3"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0" w:history="1">
        <w:r w:rsidR="003B17FE" w:rsidRPr="003B17FE">
          <w:rPr>
            <w:rStyle w:val="Hyperlink"/>
            <w:noProof/>
          </w:rPr>
          <w:t>1.4</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bidding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_Toc94782550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C0DDC26" w14:textId="1D8F580B"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1" w:history="1">
        <w:r w:rsidR="003B17FE" w:rsidRPr="003B17FE">
          <w:rPr>
            <w:rStyle w:val="Hyperlink"/>
            <w:noProof/>
          </w:rPr>
          <w:t>1.5</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Seeking clarification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_Toc94782551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AC359D2" w14:textId="62B7C745"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2" w:history="1">
        <w:r w:rsidR="003B17FE" w:rsidRPr="003B17FE">
          <w:rPr>
            <w:rStyle w:val="Hyperlink"/>
            <w:noProof/>
          </w:rPr>
          <w:t>1.6</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Procurement timetable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_Toc94782552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359BA17" w14:textId="17ED86CF"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3" w:history="1">
        <w:r w:rsidR="003B17FE" w:rsidRPr="003B17FE">
          <w:rPr>
            <w:rStyle w:val="Hyperlink"/>
            <w:noProof/>
          </w:rPr>
          <w:t>1.7</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assessment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_Toc94782553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7444ADF0" w14:textId="762D1BA5"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4" w:history="1">
        <w:r w:rsidR="003B17FE" w:rsidRPr="003B17FE">
          <w:rPr>
            <w:rStyle w:val="Hyperlink"/>
            <w:noProof/>
          </w:rPr>
          <w:t>1.8</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Confidentiality and Freedom of Information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_Toc94782554 \h </w:instrText>
        </w:r>
        <w:r w:rsidR="003B17FE" w:rsidRPr="003B17FE">
          <w:rPr>
            <w:noProof/>
            <w:webHidden/>
          </w:rPr>
        </w:r>
        <w:r w:rsidR="003B17FE" w:rsidRPr="003B17FE">
          <w:rPr>
            <w:noProof/>
            <w:webHidden/>
          </w:rPr>
          <w:fldChar w:fldCharType="separate"/>
        </w:r>
        <w:r w:rsidR="003B17FE" w:rsidRPr="003B17FE">
          <w:rPr>
            <w:noProof/>
            <w:webHidden/>
          </w:rPr>
          <w:t>2</w:t>
        </w:r>
        <w:r w:rsidR="003B17FE" w:rsidRPr="003B17FE">
          <w:rPr>
            <w:noProof/>
            <w:webHidden/>
          </w:rPr>
          <w:fldChar w:fldCharType="end"/>
        </w:r>
      </w:hyperlink>
    </w:p>
    <w:p w14:paraId="09D1C920" w14:textId="608852AA"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5" w:history="1">
        <w:r w:rsidR="003B17FE" w:rsidRPr="003B17FE">
          <w:rPr>
            <w:rStyle w:val="Hyperlink"/>
            <w:noProof/>
          </w:rPr>
          <w:t>1.9</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template for your bid/quote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_Toc94782555 \h </w:instrText>
        </w:r>
        <w:r w:rsidR="003B17FE" w:rsidRPr="003B17FE">
          <w:rPr>
            <w:noProof/>
            <w:webHidden/>
          </w:rPr>
        </w:r>
        <w:r w:rsidR="003B17FE" w:rsidRPr="003B17FE">
          <w:rPr>
            <w:noProof/>
            <w:webHidden/>
          </w:rPr>
          <w:fldChar w:fldCharType="separate"/>
        </w:r>
        <w:r w:rsidR="003B17FE" w:rsidRPr="003B17FE">
          <w:rPr>
            <w:noProof/>
            <w:webHidden/>
          </w:rPr>
          <w:t>3</w:t>
        </w:r>
        <w:r w:rsidR="003B17FE" w:rsidRPr="003B17FE">
          <w:rPr>
            <w:noProof/>
            <w:webHidden/>
          </w:rPr>
          <w:fldChar w:fldCharType="end"/>
        </w:r>
      </w:hyperlink>
    </w:p>
    <w:p w14:paraId="501D8AB2" w14:textId="793F51E0" w:rsidR="003B17FE" w:rsidRPr="003B17FE" w:rsidRDefault="00892338">
      <w:pPr>
        <w:pStyle w:val="TOC2"/>
        <w:tabs>
          <w:tab w:val="left" w:pos="660"/>
          <w:tab w:val="right" w:pos="9016"/>
        </w:tabs>
        <w:rPr>
          <w:rFonts w:asciiTheme="minorHAnsi" w:eastAsiaTheme="minorEastAsia" w:hAnsiTheme="minorHAnsi" w:cstheme="minorBidi"/>
          <w:bCs w:val="0"/>
          <w:noProof/>
          <w:szCs w:val="22"/>
          <w:lang w:eastAsia="en-GB"/>
        </w:rPr>
      </w:pPr>
      <w:hyperlink w:anchor="_Toc94782556" w:history="1">
        <w:r w:rsidR="003B17FE" w:rsidRPr="003B17FE">
          <w:rPr>
            <w:rStyle w:val="Hyperlink"/>
            <w:noProof/>
          </w:rPr>
          <w:t>1.10</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techncial requirements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_Toc94782556 \h </w:instrText>
        </w:r>
        <w:r w:rsidR="003B17FE" w:rsidRPr="003B17FE">
          <w:rPr>
            <w:noProof/>
            <w:webHidden/>
          </w:rPr>
        </w:r>
        <w:r w:rsidR="003B17FE" w:rsidRPr="003B17FE">
          <w:rPr>
            <w:noProof/>
            <w:webHidden/>
          </w:rPr>
          <w:fldChar w:fldCharType="separate"/>
        </w:r>
        <w:r w:rsidR="003B17FE" w:rsidRPr="003B17FE">
          <w:rPr>
            <w:noProof/>
            <w:webHidden/>
          </w:rPr>
          <w:t>4</w:t>
        </w:r>
        <w:r w:rsidR="003B17FE" w:rsidRPr="003B17FE">
          <w:rPr>
            <w:noProof/>
            <w:webHidden/>
          </w:rPr>
          <w:fldChar w:fldCharType="end"/>
        </w:r>
      </w:hyperlink>
    </w:p>
    <w:p w14:paraId="185E9FBD" w14:textId="0DB8E888" w:rsidR="003B17FE" w:rsidRPr="003B17FE" w:rsidRDefault="00892338">
      <w:pPr>
        <w:pStyle w:val="TOC1"/>
        <w:tabs>
          <w:tab w:val="right" w:pos="9016"/>
        </w:tabs>
        <w:rPr>
          <w:rFonts w:asciiTheme="minorHAnsi" w:eastAsiaTheme="minorEastAsia" w:hAnsiTheme="minorHAnsi" w:cstheme="minorBidi"/>
          <w:bCs w:val="0"/>
          <w:caps w:val="0"/>
          <w:noProof/>
          <w:szCs w:val="22"/>
          <w:lang w:eastAsia="en-GB"/>
        </w:rPr>
      </w:pPr>
      <w:hyperlink w:anchor="_Toc94782557" w:history="1">
        <w:r w:rsidR="003B17FE" w:rsidRPr="003B17FE">
          <w:rPr>
            <w:rStyle w:val="Hyperlink"/>
            <w:caps w:val="0"/>
            <w:noProof/>
          </w:rPr>
          <w:t>Appendix 1: Social Value Model: Model Award Criteria</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_Toc94782557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5</w:t>
        </w:r>
        <w:r w:rsidR="003B17FE" w:rsidRPr="003B17FE">
          <w:rPr>
            <w:caps w:val="0"/>
            <w:noProof/>
            <w:webHidden/>
          </w:rPr>
          <w:fldChar w:fldCharType="end"/>
        </w:r>
      </w:hyperlink>
    </w:p>
    <w:p w14:paraId="6B197426" w14:textId="0122DDAC"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7EC95004"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3B17FE">
      <w:pPr>
        <w:pStyle w:val="T1"/>
      </w:pPr>
      <w:bookmarkStart w:id="0" w:name="_Toc386458061"/>
      <w:bookmarkStart w:id="1" w:name="_Toc471285720"/>
      <w:bookmarkStart w:id="2" w:name="_Toc94782546"/>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9478254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94782548"/>
      <w:r w:rsidRPr="00404E45">
        <w:t>Background</w:t>
      </w:r>
      <w:r w:rsidR="00680C50" w:rsidRPr="00404E45">
        <w:t xml:space="preserve"> to this tender</w:t>
      </w:r>
      <w:bookmarkEnd w:id="7"/>
    </w:p>
    <w:p w14:paraId="466B4626" w14:textId="53BA019E" w:rsidR="00CF4E7F" w:rsidRDefault="10AFEC4F" w:rsidP="00CF4E7F">
      <w:pPr>
        <w:pStyle w:val="T3"/>
        <w:rPr>
          <w:lang w:val="en-US"/>
        </w:rPr>
      </w:pPr>
      <w:r w:rsidRPr="4B96ADE7">
        <w:rPr>
          <w:lang w:val="en-US"/>
        </w:rPr>
        <w:t xml:space="preserve">The University of Chichester is seeking </w:t>
      </w:r>
      <w:r w:rsidR="131FDB51" w:rsidRPr="4B96ADE7">
        <w:rPr>
          <w:lang w:val="en-US"/>
        </w:rPr>
        <w:t>a</w:t>
      </w:r>
      <w:r w:rsidR="00A16D8D">
        <w:rPr>
          <w:lang w:val="en-US"/>
        </w:rPr>
        <w:t>n organization to work in partnership to plan, develop and deliver the Women’s Sports Leadership Academy 2022 residential (WSLA 2022).</w:t>
      </w:r>
    </w:p>
    <w:p w14:paraId="467E4410" w14:textId="1631D40E" w:rsidR="00A82DF9" w:rsidRPr="00A82DF9" w:rsidRDefault="00A82DF9" w:rsidP="00A82DF9">
      <w:pPr>
        <w:pStyle w:val="T3"/>
        <w:rPr>
          <w:lang w:val="en-US"/>
        </w:rPr>
      </w:pPr>
      <w:r w:rsidRPr="00A82DF9">
        <w:rPr>
          <w:lang w:val="en-US"/>
        </w:rPr>
        <w:t>The Women's Sport Leadership Academy (WSLA) is</w:t>
      </w:r>
      <w:r>
        <w:rPr>
          <w:lang w:val="en-US"/>
        </w:rPr>
        <w:t xml:space="preserve"> </w:t>
      </w:r>
      <w:r w:rsidRPr="00A82DF9">
        <w:rPr>
          <w:lang w:val="en-US"/>
        </w:rPr>
        <w:t>dedicated to developing tomorrow's leaders of sport with</w:t>
      </w:r>
      <w:r w:rsidR="004E295C">
        <w:rPr>
          <w:lang w:val="en-US"/>
        </w:rPr>
        <w:t xml:space="preserve"> </w:t>
      </w:r>
      <w:r w:rsidRPr="00A82DF9">
        <w:rPr>
          <w:lang w:val="en-US"/>
        </w:rPr>
        <w:t>the aim of preparing and supporting them to step up and</w:t>
      </w:r>
      <w:r>
        <w:rPr>
          <w:lang w:val="en-US"/>
        </w:rPr>
        <w:t xml:space="preserve"> </w:t>
      </w:r>
      <w:r w:rsidRPr="00A82DF9">
        <w:rPr>
          <w:lang w:val="en-US"/>
        </w:rPr>
        <w:t>be part of an increased cohort of female leaders in sport.</w:t>
      </w:r>
    </w:p>
    <w:p w14:paraId="05E466CA" w14:textId="03F53B6C" w:rsidR="00A82DF9" w:rsidRPr="00A82DF9" w:rsidRDefault="00A82DF9" w:rsidP="00A82DF9">
      <w:pPr>
        <w:pStyle w:val="T3"/>
        <w:rPr>
          <w:lang w:val="en-US"/>
        </w:rPr>
      </w:pPr>
      <w:r w:rsidRPr="00A82DF9">
        <w:rPr>
          <w:lang w:val="en-US"/>
        </w:rPr>
        <w:t>Since 2014, 283 women based in 52 countries and</w:t>
      </w:r>
      <w:r>
        <w:rPr>
          <w:lang w:val="en-US"/>
        </w:rPr>
        <w:t xml:space="preserve"> </w:t>
      </w:r>
      <w:r w:rsidRPr="00A82DF9">
        <w:rPr>
          <w:lang w:val="en-US"/>
        </w:rPr>
        <w:t>spanning six continents have become graduates of the</w:t>
      </w:r>
      <w:r w:rsidR="004E295C">
        <w:rPr>
          <w:lang w:val="en-US"/>
        </w:rPr>
        <w:t xml:space="preserve"> </w:t>
      </w:r>
      <w:r w:rsidRPr="00A82DF9">
        <w:rPr>
          <w:lang w:val="en-US"/>
        </w:rPr>
        <w:t>Academy. They come from a range of sports organisations,</w:t>
      </w:r>
      <w:r>
        <w:rPr>
          <w:lang w:val="en-US"/>
        </w:rPr>
        <w:t xml:space="preserve"> </w:t>
      </w:r>
      <w:r w:rsidRPr="00A82DF9">
        <w:rPr>
          <w:lang w:val="en-US"/>
        </w:rPr>
        <w:t>including:</w:t>
      </w:r>
    </w:p>
    <w:p w14:paraId="26480D14" w14:textId="5222B777" w:rsidR="00A82DF9" w:rsidRPr="00A82DF9" w:rsidRDefault="00A82DF9" w:rsidP="004E295C">
      <w:pPr>
        <w:pStyle w:val="T3"/>
        <w:numPr>
          <w:ilvl w:val="0"/>
          <w:numId w:val="39"/>
        </w:numPr>
        <w:rPr>
          <w:lang w:val="en-US"/>
        </w:rPr>
      </w:pPr>
      <w:r w:rsidRPr="00A82DF9">
        <w:rPr>
          <w:lang w:val="en-US"/>
        </w:rPr>
        <w:t>National Olympic and Paralympic Committees</w:t>
      </w:r>
    </w:p>
    <w:p w14:paraId="352A8CDC" w14:textId="2C605122" w:rsidR="00A82DF9" w:rsidRPr="00A82DF9" w:rsidRDefault="00A82DF9" w:rsidP="004E295C">
      <w:pPr>
        <w:pStyle w:val="T3"/>
        <w:numPr>
          <w:ilvl w:val="0"/>
          <w:numId w:val="39"/>
        </w:numPr>
        <w:rPr>
          <w:lang w:val="en-US"/>
        </w:rPr>
      </w:pPr>
      <w:r w:rsidRPr="00A82DF9">
        <w:rPr>
          <w:lang w:val="en-US"/>
        </w:rPr>
        <w:t>International and National Sport Federations</w:t>
      </w:r>
    </w:p>
    <w:p w14:paraId="3C6AB089" w14:textId="79F22F00" w:rsidR="00A82DF9" w:rsidRPr="00A82DF9" w:rsidRDefault="00A82DF9" w:rsidP="004E295C">
      <w:pPr>
        <w:pStyle w:val="T3"/>
        <w:numPr>
          <w:ilvl w:val="0"/>
          <w:numId w:val="39"/>
        </w:numPr>
        <w:rPr>
          <w:lang w:val="en-US"/>
        </w:rPr>
      </w:pPr>
      <w:r w:rsidRPr="00A82DF9">
        <w:rPr>
          <w:lang w:val="en-US"/>
        </w:rPr>
        <w:t>Sport for development charities and organisations</w:t>
      </w:r>
    </w:p>
    <w:p w14:paraId="64033EBA" w14:textId="77C1B991" w:rsidR="00A82DF9" w:rsidRPr="00A82DF9" w:rsidRDefault="00A82DF9" w:rsidP="004E295C">
      <w:pPr>
        <w:pStyle w:val="T3"/>
        <w:numPr>
          <w:ilvl w:val="0"/>
          <w:numId w:val="39"/>
        </w:numPr>
        <w:rPr>
          <w:lang w:val="en-US"/>
        </w:rPr>
      </w:pPr>
      <w:r w:rsidRPr="00A82DF9">
        <w:rPr>
          <w:lang w:val="en-US"/>
        </w:rPr>
        <w:t>Sports departments in universities</w:t>
      </w:r>
    </w:p>
    <w:p w14:paraId="6B8A3FEE" w14:textId="2F401D48" w:rsidR="00A82DF9" w:rsidRPr="00A82DF9" w:rsidRDefault="00A82DF9" w:rsidP="004E295C">
      <w:pPr>
        <w:pStyle w:val="T3"/>
        <w:numPr>
          <w:ilvl w:val="0"/>
          <w:numId w:val="39"/>
        </w:numPr>
        <w:rPr>
          <w:lang w:val="en-US"/>
        </w:rPr>
      </w:pPr>
      <w:r w:rsidRPr="00A82DF9">
        <w:rPr>
          <w:lang w:val="en-US"/>
        </w:rPr>
        <w:t>Sports clubs</w:t>
      </w:r>
    </w:p>
    <w:p w14:paraId="6824EBEC" w14:textId="77777777" w:rsidR="004E295C" w:rsidRDefault="00A82DF9" w:rsidP="004E295C">
      <w:pPr>
        <w:pStyle w:val="T3"/>
        <w:numPr>
          <w:ilvl w:val="0"/>
          <w:numId w:val="39"/>
        </w:numPr>
        <w:rPr>
          <w:lang w:val="en-US"/>
        </w:rPr>
      </w:pPr>
      <w:r w:rsidRPr="00A82DF9">
        <w:rPr>
          <w:lang w:val="en-US"/>
        </w:rPr>
        <w:t>Media consultancy businesses</w:t>
      </w:r>
    </w:p>
    <w:p w14:paraId="458E7A62" w14:textId="55889C53" w:rsidR="00A16D8D" w:rsidRDefault="00A82DF9" w:rsidP="00A82DF9">
      <w:pPr>
        <w:pStyle w:val="T3"/>
        <w:rPr>
          <w:lang w:val="en-US"/>
        </w:rPr>
      </w:pPr>
      <w:r w:rsidRPr="004E295C">
        <w:rPr>
          <w:lang w:val="en-US"/>
        </w:rPr>
        <w:t>The aim for WSLA 2022, is to bring together another 36 outstanding women leaders from</w:t>
      </w:r>
      <w:r w:rsidR="004E295C">
        <w:rPr>
          <w:lang w:val="en-US"/>
        </w:rPr>
        <w:t xml:space="preserve"> </w:t>
      </w:r>
      <w:r w:rsidRPr="00A82DF9">
        <w:rPr>
          <w:lang w:val="en-US"/>
        </w:rPr>
        <w:t>around the world and support them to fulfil their</w:t>
      </w:r>
      <w:r>
        <w:rPr>
          <w:lang w:val="en-US"/>
        </w:rPr>
        <w:t xml:space="preserve"> </w:t>
      </w:r>
      <w:r w:rsidRPr="00A82DF9">
        <w:rPr>
          <w:lang w:val="en-US"/>
        </w:rPr>
        <w:t>leadership potential and enhance their understanding of</w:t>
      </w:r>
      <w:r w:rsidR="004E295C">
        <w:rPr>
          <w:lang w:val="en-US"/>
        </w:rPr>
        <w:t xml:space="preserve"> </w:t>
      </w:r>
      <w:r w:rsidRPr="00A82DF9">
        <w:rPr>
          <w:lang w:val="en-US"/>
        </w:rPr>
        <w:t>the global women and sport movement.</w:t>
      </w:r>
      <w:r w:rsidR="00EE3F7B">
        <w:rPr>
          <w:lang w:val="en-US"/>
        </w:rPr>
        <w:t xml:space="preserve"> </w:t>
      </w:r>
      <w:r w:rsidR="00A16D8D">
        <w:rPr>
          <w:noProof/>
          <w:lang w:val="en-US"/>
        </w:rPr>
        <w:t xml:space="preserve">Further information on WSLA can be found at </w:t>
      </w:r>
      <w:hyperlink r:id="rId18" w:history="1">
        <w:r w:rsidR="00A16D8D" w:rsidRPr="00E57D00">
          <w:rPr>
            <w:rStyle w:val="Hyperlink"/>
            <w:noProof/>
            <w:lang w:val="en-US"/>
          </w:rPr>
          <w:t>https://www.wsla.co.uk</w:t>
        </w:r>
      </w:hyperlink>
    </w:p>
    <w:p w14:paraId="10C4329D" w14:textId="2C130732" w:rsidR="00680C50" w:rsidRDefault="00680C50" w:rsidP="00CF4E7F">
      <w:pPr>
        <w:pStyle w:val="T2"/>
      </w:pPr>
      <w:bookmarkStart w:id="8" w:name="_Toc94782549"/>
      <w:r w:rsidRPr="00404E45">
        <w:t xml:space="preserve">High level requirements </w:t>
      </w:r>
      <w:bookmarkEnd w:id="8"/>
    </w:p>
    <w:p w14:paraId="520CC1F5" w14:textId="6B7A4AF8" w:rsidR="00A82DF9" w:rsidRDefault="00A82DF9" w:rsidP="00A82DF9">
      <w:pPr>
        <w:pStyle w:val="T3"/>
        <w:rPr>
          <w:lang w:val="en-US"/>
        </w:rPr>
      </w:pPr>
      <w:r>
        <w:rPr>
          <w:lang w:val="en-US"/>
        </w:rPr>
        <w:t xml:space="preserve">At this stage of development, we would like to engage an experienced sports leadership development organisation, with whom we can plan and deliver our WSLA 2022 residential at our Bognor Regis Campus, and then develop forwards to a sustainable annual programme and potentially co-develop into new areas. We recognise that sports leadership is a fast-moving environment and we are keen to implement new ideas into our </w:t>
      </w:r>
      <w:r w:rsidR="00B94023">
        <w:rPr>
          <w:lang w:val="en-US"/>
        </w:rPr>
        <w:t xml:space="preserve">established </w:t>
      </w:r>
      <w:r>
        <w:rPr>
          <w:lang w:val="en-US"/>
        </w:rPr>
        <w:t>WSLA programme</w:t>
      </w:r>
      <w:r w:rsidR="00B94023">
        <w:rPr>
          <w:lang w:val="en-US"/>
        </w:rPr>
        <w:t>.</w:t>
      </w:r>
      <w:r>
        <w:rPr>
          <w:lang w:val="en-US"/>
        </w:rPr>
        <w:t xml:space="preserve"> </w:t>
      </w:r>
    </w:p>
    <w:p w14:paraId="4E79A9A5" w14:textId="4193B17A" w:rsidR="00A82DF9" w:rsidRDefault="00A82DF9" w:rsidP="00A82DF9">
      <w:pPr>
        <w:pStyle w:val="T3"/>
        <w:rPr>
          <w:lang w:val="en-US"/>
        </w:rPr>
      </w:pPr>
      <w:r>
        <w:rPr>
          <w:lang w:val="en-US"/>
        </w:rPr>
        <w:t>In th</w:t>
      </w:r>
      <w:r w:rsidR="00B94023">
        <w:rPr>
          <w:lang w:val="en-US"/>
        </w:rPr>
        <w:t>is call</w:t>
      </w:r>
      <w:r>
        <w:rPr>
          <w:lang w:val="en-US"/>
        </w:rPr>
        <w:t>, we a</w:t>
      </w:r>
      <w:r w:rsidR="00B94023">
        <w:rPr>
          <w:lang w:val="en-US"/>
        </w:rPr>
        <w:t>re seeking an organization to partner with us to;</w:t>
      </w:r>
      <w:r>
        <w:rPr>
          <w:lang w:val="en-US"/>
        </w:rPr>
        <w:t xml:space="preserve"> </w:t>
      </w:r>
    </w:p>
    <w:p w14:paraId="5A303FFF" w14:textId="79C08063" w:rsidR="00B94023" w:rsidRDefault="00B94023" w:rsidP="00B94023">
      <w:pPr>
        <w:pStyle w:val="T3"/>
        <w:numPr>
          <w:ilvl w:val="0"/>
          <w:numId w:val="38"/>
        </w:numPr>
        <w:rPr>
          <w:lang w:val="en-US"/>
        </w:rPr>
      </w:pPr>
      <w:r>
        <w:rPr>
          <w:lang w:val="en-US"/>
        </w:rPr>
        <w:t xml:space="preserve">Engage and take a lead on WSLA </w:t>
      </w:r>
      <w:r w:rsidRPr="00B94023">
        <w:rPr>
          <w:lang w:val="en-US"/>
        </w:rPr>
        <w:t>Programme development inc</w:t>
      </w:r>
      <w:r>
        <w:rPr>
          <w:lang w:val="en-US"/>
        </w:rPr>
        <w:t xml:space="preserve">l. facilitators and </w:t>
      </w:r>
      <w:r w:rsidRPr="00B94023">
        <w:rPr>
          <w:lang w:val="en-US"/>
        </w:rPr>
        <w:t>activities</w:t>
      </w:r>
    </w:p>
    <w:p w14:paraId="690A54D1" w14:textId="27260106" w:rsidR="00B94023" w:rsidRDefault="00B94023" w:rsidP="00B94023">
      <w:pPr>
        <w:pStyle w:val="T3"/>
        <w:numPr>
          <w:ilvl w:val="0"/>
          <w:numId w:val="38"/>
        </w:numPr>
        <w:rPr>
          <w:lang w:val="en-US"/>
        </w:rPr>
      </w:pPr>
      <w:r>
        <w:rPr>
          <w:lang w:val="en-US"/>
        </w:rPr>
        <w:t>Lead the f</w:t>
      </w:r>
      <w:r w:rsidRPr="00B94023">
        <w:rPr>
          <w:lang w:val="en-US"/>
        </w:rPr>
        <w:t xml:space="preserve">acilitation </w:t>
      </w:r>
      <w:r>
        <w:rPr>
          <w:lang w:val="en-US"/>
        </w:rPr>
        <w:t xml:space="preserve">of the programme </w:t>
      </w:r>
      <w:r w:rsidRPr="00B94023">
        <w:rPr>
          <w:lang w:val="en-US"/>
        </w:rPr>
        <w:t>across the residential week</w:t>
      </w:r>
    </w:p>
    <w:p w14:paraId="7801FFA5" w14:textId="07CC3174" w:rsidR="00B94023" w:rsidRDefault="00B94023" w:rsidP="00B94023">
      <w:pPr>
        <w:pStyle w:val="T3"/>
        <w:numPr>
          <w:ilvl w:val="0"/>
          <w:numId w:val="38"/>
        </w:numPr>
        <w:rPr>
          <w:lang w:val="en-US"/>
        </w:rPr>
      </w:pPr>
      <w:r w:rsidRPr="00B94023">
        <w:rPr>
          <w:lang w:val="en-US"/>
        </w:rPr>
        <w:t>Support</w:t>
      </w:r>
      <w:r>
        <w:rPr>
          <w:lang w:val="en-US"/>
        </w:rPr>
        <w:t xml:space="preserve"> the University</w:t>
      </w:r>
      <w:r w:rsidRPr="00B94023">
        <w:rPr>
          <w:lang w:val="en-US"/>
        </w:rPr>
        <w:t xml:space="preserve"> in </w:t>
      </w:r>
      <w:r>
        <w:rPr>
          <w:lang w:val="en-US"/>
        </w:rPr>
        <w:t xml:space="preserve">the </w:t>
      </w:r>
      <w:r w:rsidRPr="00B94023">
        <w:rPr>
          <w:lang w:val="en-US"/>
        </w:rPr>
        <w:t>selection process</w:t>
      </w:r>
      <w:r>
        <w:rPr>
          <w:lang w:val="en-US"/>
        </w:rPr>
        <w:t xml:space="preserve"> of attendees</w:t>
      </w:r>
    </w:p>
    <w:p w14:paraId="3F91F007" w14:textId="442DCF6C" w:rsidR="00B94023" w:rsidRDefault="00B94023" w:rsidP="00B94023">
      <w:pPr>
        <w:pStyle w:val="T3"/>
        <w:numPr>
          <w:ilvl w:val="0"/>
          <w:numId w:val="38"/>
        </w:numPr>
        <w:rPr>
          <w:lang w:val="en-US"/>
        </w:rPr>
      </w:pPr>
      <w:r>
        <w:rPr>
          <w:lang w:val="en-US"/>
        </w:rPr>
        <w:t>Support the University with o</w:t>
      </w:r>
      <w:r w:rsidRPr="00B94023">
        <w:rPr>
          <w:lang w:val="en-US"/>
        </w:rPr>
        <w:t xml:space="preserve">ngoing </w:t>
      </w:r>
      <w:r>
        <w:rPr>
          <w:lang w:val="en-US"/>
        </w:rPr>
        <w:t xml:space="preserve">attendee </w:t>
      </w:r>
      <w:r w:rsidRPr="00B94023">
        <w:rPr>
          <w:lang w:val="en-US"/>
        </w:rPr>
        <w:t>mentoring</w:t>
      </w:r>
    </w:p>
    <w:p w14:paraId="62BF6AF0" w14:textId="715F04FC" w:rsidR="00450F6B" w:rsidRDefault="00A82DF9" w:rsidP="00B94023">
      <w:pPr>
        <w:pStyle w:val="T3"/>
        <w:rPr>
          <w:lang w:val="en-US"/>
        </w:rPr>
      </w:pPr>
      <w:r>
        <w:rPr>
          <w:lang w:val="en-US"/>
        </w:rPr>
        <w:t xml:space="preserve">We understand that there could be a range of interpretations of what is meant by the bullet points above, which makes it difficult to bid, and of course difficult to assess which is the most economically advantageous tender. We have set out guiding notes in section </w:t>
      </w:r>
      <w:r w:rsidR="00703FB1">
        <w:rPr>
          <w:lang w:val="en-US"/>
        </w:rPr>
        <w:t>1.9</w:t>
      </w:r>
      <w:r>
        <w:rPr>
          <w:lang w:val="en-US"/>
        </w:rPr>
        <w:t xml:space="preserve">, to help guide you. </w:t>
      </w:r>
    </w:p>
    <w:p w14:paraId="03406A48" w14:textId="77777777" w:rsidR="00450F6B" w:rsidRPr="00450F6B" w:rsidRDefault="00450F6B" w:rsidP="00450F6B">
      <w:pPr>
        <w:rPr>
          <w:lang w:val="en-US"/>
        </w:rPr>
      </w:pPr>
    </w:p>
    <w:p w14:paraId="707CF38E" w14:textId="7675E717" w:rsidR="003E21BA" w:rsidRDefault="000F2C13" w:rsidP="007A484E">
      <w:pPr>
        <w:pStyle w:val="T2"/>
      </w:pPr>
      <w:bookmarkStart w:id="9" w:name="_Toc94782550"/>
      <w:r>
        <w:lastRenderedPageBreak/>
        <w:t xml:space="preserve">The </w:t>
      </w:r>
      <w:r w:rsidR="00C6360F">
        <w:t>b</w:t>
      </w:r>
      <w:r>
        <w:t xml:space="preserve">idding </w:t>
      </w:r>
      <w:r w:rsidR="00C6360F">
        <w:t>p</w:t>
      </w:r>
      <w:r>
        <w:t>rocess</w:t>
      </w:r>
      <w:bookmarkEnd w:id="9"/>
      <w:r>
        <w:t xml:space="preserve"> </w:t>
      </w:r>
    </w:p>
    <w:p w14:paraId="515CBE80" w14:textId="1CB638F5" w:rsidR="00576DB4" w:rsidRDefault="00576DB4" w:rsidP="00576DB4">
      <w:pPr>
        <w:pStyle w:val="T3"/>
      </w:pPr>
      <w:r>
        <w:t xml:space="preserve">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6E050F63" w14:textId="1C0C4CD2" w:rsidR="00576DB4" w:rsidRDefault="00576DB4" w:rsidP="00576DB4">
      <w:pPr>
        <w:pStyle w:val="T3"/>
      </w:pPr>
      <w:r>
        <w:t xml:space="preserve">Submission should be made by email to </w:t>
      </w:r>
      <w:hyperlink r:id="rId19" w:history="1">
        <w:r w:rsidRPr="002C0750">
          <w:rPr>
            <w:rStyle w:val="Hyperlink"/>
            <w:rFonts w:cstheme="minorHAnsi"/>
          </w:rPr>
          <w:t>tenders@chi.ac.uk</w:t>
        </w:r>
      </w:hyperlink>
      <w:r>
        <w:t xml:space="preserve">  The closing date for submission is </w:t>
      </w:r>
      <w:r w:rsidR="00346E5C">
        <w:t xml:space="preserve">18 February </w:t>
      </w:r>
      <w:r w:rsidR="00363780">
        <w:t>2022 @ 17:00</w:t>
      </w:r>
    </w:p>
    <w:p w14:paraId="7394B2A6" w14:textId="1024F938" w:rsidR="00B40112" w:rsidRPr="00DF3161" w:rsidRDefault="00B40112" w:rsidP="00392938">
      <w:pPr>
        <w:pStyle w:val="T2"/>
      </w:pPr>
      <w:bookmarkStart w:id="10" w:name="_Toc94782551"/>
      <w:r w:rsidRPr="00F00DEB">
        <w:t>Seeking clarification</w:t>
      </w:r>
      <w:bookmarkEnd w:id="10"/>
      <w:r w:rsidRPr="00F00DEB">
        <w:tab/>
      </w:r>
    </w:p>
    <w:p w14:paraId="0A0E3301" w14:textId="77777777" w:rsidR="002C1A88" w:rsidRDefault="00875F25" w:rsidP="00875F25">
      <w:pPr>
        <w:pStyle w:val="T3"/>
      </w:pPr>
      <w:bookmarkStart w:id="11" w:name="_Toc386458066"/>
      <w:bookmarkStart w:id="12" w:name="_Toc471285729"/>
      <w:r>
        <w:t xml:space="preserve">For all queries please contact us by email </w:t>
      </w:r>
      <w:hyperlink r:id="rId20" w:history="1">
        <w:r w:rsidRPr="001E1B82">
          <w:rPr>
            <w:rStyle w:val="Hyperlink"/>
            <w:rFonts w:cs="Arial"/>
          </w:rPr>
          <w:t>tenders@chi.ac.uk</w:t>
        </w:r>
      </w:hyperlink>
      <w:r>
        <w:t xml:space="preserve">. Please note that during the tender period you should not contact University staff directly, as this might be considered canvassing. </w:t>
      </w:r>
    </w:p>
    <w:p w14:paraId="1C4314EC" w14:textId="7697735F" w:rsidR="00875F25" w:rsidRPr="00A47B6F" w:rsidRDefault="00892338" w:rsidP="00875F25">
      <w:pPr>
        <w:pStyle w:val="T3"/>
        <w:rPr>
          <w:rStyle w:val="Emphasis"/>
          <w:i w:val="0"/>
          <w:iCs w:val="0"/>
        </w:rPr>
      </w:pPr>
      <w:r>
        <w:rPr>
          <w:rStyle w:val="Emphasis"/>
          <w:i w:val="0"/>
          <w:iCs w:val="0"/>
        </w:rPr>
        <w:t>D</w:t>
      </w:r>
      <w:r w:rsidR="00875F25" w:rsidRPr="00A47B6F">
        <w:rPr>
          <w:rStyle w:val="Emphasis"/>
          <w:i w:val="0"/>
          <w:iCs w:val="0"/>
        </w:rPr>
        <w:t>epend</w:t>
      </w:r>
      <w:r>
        <w:rPr>
          <w:rStyle w:val="Emphasis"/>
          <w:i w:val="0"/>
          <w:iCs w:val="0"/>
        </w:rPr>
        <w:t xml:space="preserve">ing </w:t>
      </w:r>
      <w:r w:rsidR="00875F25" w:rsidRPr="00A47B6F">
        <w:rPr>
          <w:rStyle w:val="Emphasis"/>
          <w:i w:val="0"/>
          <w:iCs w:val="0"/>
        </w:rPr>
        <w:t xml:space="preserve">on the nature of the enquiry, and in so much as it does not identify your organisation, the answers to </w:t>
      </w:r>
      <w:r w:rsidR="00A47B6F" w:rsidRPr="00A47B6F">
        <w:rPr>
          <w:rStyle w:val="Emphasis"/>
          <w:i w:val="0"/>
          <w:iCs w:val="0"/>
        </w:rPr>
        <w:t xml:space="preserve"> </w:t>
      </w:r>
      <w:r w:rsidR="00875F25" w:rsidRPr="00A47B6F">
        <w:rPr>
          <w:rStyle w:val="Emphasis"/>
          <w:i w:val="0"/>
          <w:iCs w:val="0"/>
        </w:rPr>
        <w:t xml:space="preserve">questions </w:t>
      </w:r>
      <w:r w:rsidR="00A47B6F" w:rsidRPr="00A47B6F">
        <w:rPr>
          <w:rStyle w:val="Emphasis"/>
          <w:i w:val="0"/>
          <w:iCs w:val="0"/>
        </w:rPr>
        <w:t>raised</w:t>
      </w:r>
      <w:r w:rsidR="00875F25" w:rsidRPr="00A47B6F">
        <w:rPr>
          <w:rStyle w:val="Emphasis"/>
          <w:i w:val="0"/>
          <w:iCs w:val="0"/>
        </w:rPr>
        <w:t xml:space="preserve"> may be published on the procurement web pages </w:t>
      </w:r>
      <w:hyperlink r:id="rId21" w:history="1">
        <w:r w:rsidR="00875F25" w:rsidRPr="00892338">
          <w:rPr>
            <w:rStyle w:val="Hyperlink"/>
          </w:rPr>
          <w:t>https://help.chi.ac.uk/tenders</w:t>
        </w:r>
      </w:hyperlink>
      <w:r w:rsidR="00875F25" w:rsidRPr="00A47B6F">
        <w:rPr>
          <w:rStyle w:val="Emphasis"/>
          <w:i w:val="0"/>
          <w:iCs w:val="0"/>
        </w:rPr>
        <w:t xml:space="preserve"> </w:t>
      </w:r>
    </w:p>
    <w:p w14:paraId="518BD190" w14:textId="74E7331C" w:rsidR="00DE1F1D" w:rsidRPr="00F00DEB" w:rsidRDefault="00DE1F1D" w:rsidP="00631489">
      <w:pPr>
        <w:pStyle w:val="T2"/>
      </w:pPr>
      <w:bookmarkStart w:id="13" w:name="_Toc94782552"/>
      <w:r>
        <w:t>Procurement timetable</w:t>
      </w:r>
      <w:bookmarkEnd w:id="11"/>
      <w:bookmarkEnd w:id="12"/>
      <w:bookmarkEnd w:id="13"/>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27033530" w:rsidR="00054F04" w:rsidRPr="00664FF0" w:rsidRDefault="00EE3F7B" w:rsidP="006028BF">
            <w:pPr>
              <w:pStyle w:val="T3"/>
              <w:spacing w:before="0" w:line="240" w:lineRule="auto"/>
              <w:jc w:val="center"/>
            </w:pPr>
            <w:r w:rsidRPr="00664FF0">
              <w:t>04 February 2022</w:t>
            </w:r>
          </w:p>
        </w:tc>
      </w:tr>
      <w:tr w:rsidR="00054F04" w:rsidRPr="00A81647" w14:paraId="6F5CA169" w14:textId="51F65B04" w:rsidTr="00CF6CDE">
        <w:trPr>
          <w:trHeight w:val="484"/>
        </w:trPr>
        <w:tc>
          <w:tcPr>
            <w:tcW w:w="5689"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553" w:type="dxa"/>
            <w:vAlign w:val="center"/>
          </w:tcPr>
          <w:p w14:paraId="730E7973" w14:textId="483C504C" w:rsidR="00054F04" w:rsidRPr="00664FF0" w:rsidRDefault="00EE3F7B" w:rsidP="4B96ADE7">
            <w:pPr>
              <w:pStyle w:val="T3"/>
              <w:spacing w:before="0" w:line="240" w:lineRule="auto"/>
              <w:jc w:val="center"/>
            </w:pPr>
            <w:r w:rsidRPr="00664FF0">
              <w:t>18 February 2022 @ 17:00</w:t>
            </w:r>
          </w:p>
        </w:tc>
      </w:tr>
      <w:tr w:rsidR="00054F04" w:rsidRPr="00A81647" w14:paraId="61B04B95" w14:textId="4DE46723" w:rsidTr="00CF6CDE">
        <w:trPr>
          <w:trHeight w:val="484"/>
        </w:trPr>
        <w:tc>
          <w:tcPr>
            <w:tcW w:w="5689" w:type="dxa"/>
            <w:vAlign w:val="center"/>
          </w:tcPr>
          <w:p w14:paraId="4FA9299C" w14:textId="50967312" w:rsidR="00054F04" w:rsidRPr="00A81647" w:rsidRDefault="00B13873" w:rsidP="006028BF">
            <w:pPr>
              <w:pStyle w:val="T3"/>
              <w:spacing w:before="0" w:line="240" w:lineRule="auto"/>
            </w:pPr>
            <w:r>
              <w:t>Clarifications</w:t>
            </w:r>
            <w:r w:rsidR="009F280E">
              <w:t xml:space="preserve"> </w:t>
            </w:r>
            <w:r w:rsidR="00EE3F7B">
              <w:t>(if required)</w:t>
            </w:r>
          </w:p>
        </w:tc>
        <w:tc>
          <w:tcPr>
            <w:tcW w:w="3553" w:type="dxa"/>
            <w:vAlign w:val="center"/>
          </w:tcPr>
          <w:p w14:paraId="4E559563" w14:textId="3855C773" w:rsidR="00054F04" w:rsidRPr="00664FF0" w:rsidRDefault="009F280E" w:rsidP="006028BF">
            <w:pPr>
              <w:pStyle w:val="T3"/>
              <w:spacing w:before="0" w:line="240" w:lineRule="auto"/>
              <w:jc w:val="center"/>
            </w:pPr>
            <w:r w:rsidRPr="00664FF0">
              <w:t xml:space="preserve">W/C </w:t>
            </w:r>
            <w:r w:rsidR="00EE3F7B" w:rsidRPr="00664FF0">
              <w:t>21 February 2022</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2EA024D2" w:rsidR="001B4327" w:rsidRPr="00664FF0" w:rsidRDefault="000935F5" w:rsidP="000935F5">
            <w:pPr>
              <w:pStyle w:val="T3"/>
              <w:spacing w:before="0" w:line="240" w:lineRule="auto"/>
            </w:pPr>
            <w:r w:rsidRPr="00664FF0">
              <w:t xml:space="preserve">          </w:t>
            </w:r>
            <w:r w:rsidR="001B4327" w:rsidRPr="00664FF0">
              <w:t>Appointment Notice + 10 Days</w:t>
            </w:r>
          </w:p>
        </w:tc>
      </w:tr>
    </w:tbl>
    <w:p w14:paraId="141A96C2" w14:textId="30ADF0D9" w:rsidR="007863A8" w:rsidRDefault="00DA2F07" w:rsidP="007863A8">
      <w:pPr>
        <w:pStyle w:val="T2"/>
      </w:pPr>
      <w:bookmarkStart w:id="14" w:name="_Toc94782553"/>
      <w:bookmarkStart w:id="15" w:name="_Toc386458067"/>
      <w:bookmarkStart w:id="16" w:name="_Toc471285730"/>
      <w:bookmarkStart w:id="17" w:name="_Toc471285734"/>
      <w:r>
        <w:t>The assessment process</w:t>
      </w:r>
      <w:bookmarkEnd w:id="14"/>
      <w:r>
        <w:t xml:space="preserve"> </w:t>
      </w:r>
    </w:p>
    <w:p w14:paraId="301E793F" w14:textId="7C18EEE6" w:rsidR="006502A4" w:rsidRDefault="006502A4" w:rsidP="006502A4">
      <w:pPr>
        <w:pStyle w:val="T3"/>
      </w:pPr>
      <w:bookmarkStart w:id="18" w:name="_Toc386458084"/>
      <w:bookmarkStart w:id="19" w:name="_Toc471285731"/>
      <w:bookmarkEnd w:id="15"/>
      <w:bookmarkEnd w:id="16"/>
      <w:bookmarkEnd w:id="17"/>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7A6173">
        <w:tc>
          <w:tcPr>
            <w:tcW w:w="7933"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523"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7A6173">
        <w:tc>
          <w:tcPr>
            <w:tcW w:w="7933"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523" w:type="dxa"/>
          </w:tcPr>
          <w:p w14:paraId="1627ED40" w14:textId="77777777" w:rsidR="006502A4" w:rsidRPr="00265F88" w:rsidRDefault="006502A4" w:rsidP="00EE3F7B">
            <w:pPr>
              <w:ind w:left="34"/>
              <w:jc w:val="center"/>
              <w:rPr>
                <w:rFonts w:asciiTheme="minorHAnsi" w:hAnsiTheme="minorHAnsi" w:cstheme="minorHAnsi"/>
              </w:rPr>
            </w:pPr>
            <w:r w:rsidRPr="00265F88">
              <w:rPr>
                <w:rFonts w:asciiTheme="minorHAnsi" w:hAnsiTheme="minorHAnsi" w:cstheme="minorHAnsi"/>
              </w:rPr>
              <w:t>30%</w:t>
            </w:r>
          </w:p>
        </w:tc>
      </w:tr>
      <w:tr w:rsidR="006502A4" w:rsidRPr="00265F88" w14:paraId="7B4E1839" w14:textId="77777777" w:rsidTr="007A6173">
        <w:tc>
          <w:tcPr>
            <w:tcW w:w="7933"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523" w:type="dxa"/>
          </w:tcPr>
          <w:p w14:paraId="7CF5C331" w14:textId="77777777" w:rsidR="006502A4" w:rsidRPr="00265F88" w:rsidRDefault="006502A4" w:rsidP="00EE3F7B">
            <w:pPr>
              <w:ind w:left="34"/>
              <w:jc w:val="center"/>
              <w:rPr>
                <w:rFonts w:asciiTheme="minorHAnsi" w:hAnsiTheme="minorHAnsi" w:cstheme="minorHAnsi"/>
              </w:rPr>
            </w:pPr>
            <w:r w:rsidRPr="00265F88">
              <w:rPr>
                <w:rFonts w:asciiTheme="minorHAnsi" w:hAnsiTheme="minorHAnsi" w:cstheme="minorHAnsi"/>
              </w:rPr>
              <w:t>10%</w:t>
            </w:r>
          </w:p>
        </w:tc>
      </w:tr>
      <w:tr w:rsidR="006502A4" w:rsidRPr="00265F88" w14:paraId="20E9FAD1" w14:textId="77777777" w:rsidTr="007A6173">
        <w:tc>
          <w:tcPr>
            <w:tcW w:w="7933"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523" w:type="dxa"/>
          </w:tcPr>
          <w:p w14:paraId="020F52D9" w14:textId="77777777" w:rsidR="006502A4" w:rsidRPr="00265F88" w:rsidRDefault="006502A4" w:rsidP="00EE3F7B">
            <w:pPr>
              <w:ind w:left="34"/>
              <w:jc w:val="center"/>
              <w:rPr>
                <w:rFonts w:asciiTheme="minorHAnsi" w:hAnsiTheme="minorHAnsi" w:cstheme="minorHAnsi"/>
              </w:rPr>
            </w:pPr>
            <w:r w:rsidRPr="00265F88">
              <w:rPr>
                <w:rFonts w:asciiTheme="minorHAnsi" w:hAnsiTheme="minorHAnsi" w:cstheme="minorHAnsi"/>
              </w:rPr>
              <w:t>30%</w:t>
            </w:r>
          </w:p>
        </w:tc>
      </w:tr>
      <w:tr w:rsidR="006502A4" w:rsidRPr="00265F88" w14:paraId="214D232A" w14:textId="77777777" w:rsidTr="007A6173">
        <w:tc>
          <w:tcPr>
            <w:tcW w:w="7933"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523" w:type="dxa"/>
          </w:tcPr>
          <w:p w14:paraId="21B469D7" w14:textId="77777777" w:rsidR="006502A4" w:rsidRPr="00265F88" w:rsidRDefault="006502A4" w:rsidP="00EE3F7B">
            <w:pPr>
              <w:ind w:left="34"/>
              <w:jc w:val="center"/>
              <w:rPr>
                <w:rFonts w:asciiTheme="minorHAnsi" w:hAnsiTheme="minorHAnsi" w:cstheme="minorHAnsi"/>
              </w:rPr>
            </w:pPr>
            <w:r w:rsidRPr="00265F88">
              <w:rPr>
                <w:rFonts w:asciiTheme="minorHAnsi" w:hAnsiTheme="minorHAnsi" w:cstheme="minorHAnsi"/>
              </w:rPr>
              <w:t>20%</w:t>
            </w:r>
          </w:p>
        </w:tc>
      </w:tr>
      <w:tr w:rsidR="006502A4" w:rsidRPr="00265F88" w14:paraId="0A5FA8CD" w14:textId="77777777" w:rsidTr="007A6173">
        <w:tc>
          <w:tcPr>
            <w:tcW w:w="7933"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523" w:type="dxa"/>
          </w:tcPr>
          <w:p w14:paraId="7CF627BE" w14:textId="77777777" w:rsidR="006502A4" w:rsidRPr="00265F88" w:rsidRDefault="006502A4" w:rsidP="00EE3F7B">
            <w:pPr>
              <w:ind w:left="34"/>
              <w:jc w:val="center"/>
              <w:rPr>
                <w:rFonts w:asciiTheme="minorHAnsi" w:hAnsiTheme="minorHAnsi" w:cstheme="minorHAnsi"/>
              </w:rPr>
            </w:pPr>
            <w:r w:rsidRPr="00265F88">
              <w:rPr>
                <w:rFonts w:asciiTheme="minorHAnsi" w:hAnsiTheme="minorHAnsi" w:cstheme="minorHAnsi"/>
              </w:rPr>
              <w:t>10%</w:t>
            </w:r>
          </w:p>
        </w:tc>
      </w:tr>
      <w:tr w:rsidR="006502A4" w:rsidRPr="00265F88" w14:paraId="1F55DD1B" w14:textId="77777777" w:rsidTr="007A6173">
        <w:tc>
          <w:tcPr>
            <w:tcW w:w="7933"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2" w:history="1">
              <w:r w:rsidRPr="00270252">
                <w:rPr>
                  <w:rStyle w:val="Hyperlink"/>
                  <w:rFonts w:asciiTheme="minorHAnsi" w:hAnsiTheme="minorHAnsi" w:cstheme="minorHAnsi"/>
                </w:rPr>
                <w:t>link</w:t>
              </w:r>
            </w:hyperlink>
            <w:r>
              <w:rPr>
                <w:rFonts w:asciiTheme="minorHAnsi" w:hAnsiTheme="minorHAnsi" w:cstheme="minorHAnsi"/>
              </w:rPr>
              <w:t>)</w:t>
            </w:r>
          </w:p>
        </w:tc>
        <w:tc>
          <w:tcPr>
            <w:tcW w:w="2523" w:type="dxa"/>
          </w:tcPr>
          <w:p w14:paraId="07388BBF" w14:textId="4DD146D7" w:rsidR="006502A4" w:rsidRPr="00265F88" w:rsidRDefault="006502A4" w:rsidP="00EE3F7B">
            <w:pPr>
              <w:ind w:left="34"/>
              <w:jc w:val="center"/>
              <w:rPr>
                <w:rFonts w:cstheme="minorHAnsi"/>
              </w:rPr>
            </w:pPr>
            <w:r w:rsidRPr="00265F88">
              <w:rPr>
                <w:rFonts w:asciiTheme="minorHAnsi" w:hAnsiTheme="minorHAnsi" w:cstheme="minorHAnsi"/>
              </w:rPr>
              <w:t>Pass / Fail</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0" w:name="_Toc94782554"/>
      <w:r>
        <w:t>Confidentiality</w:t>
      </w:r>
      <w:bookmarkEnd w:id="18"/>
      <w:r>
        <w:t xml:space="preserve"> and Freedom of Information</w:t>
      </w:r>
      <w:bookmarkEnd w:id="19"/>
      <w:bookmarkEnd w:id="20"/>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127C723D" w14:textId="74E1F8D6" w:rsidR="005A7E4D" w:rsidRDefault="005A7E4D" w:rsidP="00D55D1A">
      <w:pPr>
        <w:pStyle w:val="T3"/>
      </w:pPr>
    </w:p>
    <w:p w14:paraId="1C141E09" w14:textId="4AD0EF26" w:rsidR="00EE3F7B" w:rsidRDefault="00EE3F7B" w:rsidP="00D55D1A">
      <w:pPr>
        <w:pStyle w:val="T3"/>
      </w:pPr>
    </w:p>
    <w:p w14:paraId="4C736144" w14:textId="77777777" w:rsidR="00EE3F7B" w:rsidRDefault="00EE3F7B" w:rsidP="00D55D1A">
      <w:pPr>
        <w:pStyle w:val="T3"/>
      </w:pPr>
    </w:p>
    <w:p w14:paraId="6E628C92" w14:textId="790FBCE3" w:rsidR="00CB38C4" w:rsidRDefault="002A4EC1" w:rsidP="002A4EC1">
      <w:pPr>
        <w:pStyle w:val="T2"/>
      </w:pPr>
      <w:bookmarkStart w:id="21" w:name="_Toc94782555"/>
      <w:bookmarkStart w:id="22" w:name="_Toc471285736"/>
      <w:r>
        <w:t xml:space="preserve">The </w:t>
      </w:r>
      <w:r w:rsidR="00B06F46">
        <w:t xml:space="preserve">template </w:t>
      </w:r>
      <w:r w:rsidR="008069F1">
        <w:t xml:space="preserve">for </w:t>
      </w:r>
      <w:r w:rsidR="00F352F9">
        <w:t>your bid/quote</w:t>
      </w:r>
      <w:bookmarkEnd w:id="21"/>
      <w:r w:rsidR="00F352F9">
        <w:t xml:space="preserve"> </w:t>
      </w:r>
      <w:bookmarkEnd w:id="22"/>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3F057A63" w:rsidR="00C70BB6" w:rsidRPr="00C70BB6" w:rsidRDefault="00C70BB6" w:rsidP="00D1129B">
            <w:pPr>
              <w:pStyle w:val="T3"/>
              <w:spacing w:before="0"/>
            </w:pPr>
            <w:r w:rsidRPr="00C70BB6">
              <w:t xml:space="preserve">Please describe your </w:t>
            </w:r>
            <w:r w:rsidR="00513D76">
              <w:t>proposed input into programme planning/selection</w:t>
            </w:r>
            <w:r w:rsidR="004E295C">
              <w:t xml:space="preserve"> of attendees</w:t>
            </w:r>
            <w:r w:rsidR="00513D76">
              <w:t xml:space="preserve"> process ahead of WSLA 2022 </w:t>
            </w:r>
            <w:r w:rsidRPr="00C70BB6">
              <w:t xml:space="preserve"> with associated costs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3468FDE8" w14:textId="33447E10" w:rsidR="00FB4E57" w:rsidRDefault="00FB4E57" w:rsidP="00513D76">
            <w:pPr>
              <w:pStyle w:val="T3"/>
            </w:pPr>
            <w:r w:rsidRPr="00A84EC1">
              <w:t xml:space="preserve">Please describe </w:t>
            </w:r>
            <w:r w:rsidR="00513D76">
              <w:t>your approach to the design, development &amp; preparation for the WSLA 2022 event (based on 4 days of event and includes design time &amp; event agenda construction), with associated costs.</w:t>
            </w:r>
          </w:p>
          <w:p w14:paraId="7B6CCB57" w14:textId="61005F7F" w:rsidR="00FB4E57" w:rsidRPr="00A84EC1" w:rsidRDefault="00FB4E57" w:rsidP="00D1129B">
            <w:pPr>
              <w:pStyle w:val="T3"/>
              <w:spacing w:before="0"/>
            </w:pPr>
            <w:r w:rsidRPr="00A84EC1">
              <w:t xml:space="preserve">It will be helpful if you can supply </w:t>
            </w:r>
            <w:r w:rsidR="00513D76">
              <w:t xml:space="preserve">examples </w:t>
            </w:r>
            <w:r w:rsidRPr="00A84EC1">
              <w:t xml:space="preserve">of similar </w:t>
            </w:r>
            <w:r w:rsidR="00513D76">
              <w:t>programmes</w:t>
            </w:r>
            <w:r w:rsidRPr="00A84EC1">
              <w:t xml:space="preserve"> you have been involved in.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602D4151"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3</w:t>
            </w:r>
          </w:p>
        </w:tc>
        <w:tc>
          <w:tcPr>
            <w:tcW w:w="8707" w:type="dxa"/>
            <w:shd w:val="clear" w:color="auto" w:fill="BDD6EE" w:themeFill="accent1" w:themeFillTint="66"/>
            <w:vAlign w:val="center"/>
          </w:tcPr>
          <w:p w14:paraId="54663B1B" w14:textId="5BCF7D7C" w:rsidR="00FB4E57" w:rsidRPr="00A84EC1" w:rsidRDefault="00FB4E57" w:rsidP="00D1129B">
            <w:pPr>
              <w:pStyle w:val="T3"/>
              <w:spacing w:before="0"/>
            </w:pPr>
            <w:r w:rsidRPr="00A84EC1">
              <w:t>Please describe</w:t>
            </w:r>
            <w:r w:rsidR="00513D76">
              <w:t xml:space="preserve"> the approaches you will adopt to facilitating the WSLA 2022 residential to </w:t>
            </w:r>
            <w:r w:rsidR="00A16D8D">
              <w:t xml:space="preserve">meet the objectives of WSLA  and how this will </w:t>
            </w:r>
            <w:r w:rsidRPr="00A84EC1">
              <w:t>operat</w:t>
            </w:r>
            <w:r w:rsidR="00A16D8D">
              <w:t>e</w:t>
            </w:r>
            <w:r w:rsidRPr="00A84EC1">
              <w:t xml:space="preserve"> from a </w:t>
            </w:r>
            <w:r w:rsidR="00A16D8D">
              <w:t>participant’s</w:t>
            </w:r>
            <w:r w:rsidRPr="00A84EC1">
              <w:t xml:space="preserve"> point of view</w:t>
            </w:r>
            <w:r w:rsidR="00A16D8D">
              <w:t>. Please include associated costs.</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717198D0" w14:textId="77777777" w:rsidR="00FB4E57" w:rsidRPr="00A84EC1" w:rsidRDefault="00FB4E57" w:rsidP="00D1129B">
      <w:pPr>
        <w:pStyle w:val="T3"/>
        <w:spacing w:before="0"/>
        <w:rPr>
          <w:rFonts w:cstheme="minorHAnsi"/>
        </w:rPr>
      </w:pPr>
    </w:p>
    <w:p w14:paraId="4490CDD8" w14:textId="77777777" w:rsidR="00FB4E57" w:rsidRPr="00A84EC1" w:rsidRDefault="00FB4E57" w:rsidP="00D1129B">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FB4E57" w:rsidRPr="00A84EC1" w14:paraId="7D65BD59" w14:textId="77777777" w:rsidTr="00B06AD3">
        <w:trPr>
          <w:trHeight w:val="303"/>
        </w:trPr>
        <w:tc>
          <w:tcPr>
            <w:tcW w:w="496" w:type="dxa"/>
            <w:shd w:val="clear" w:color="auto" w:fill="BDD6EE" w:themeFill="accent1" w:themeFillTint="66"/>
            <w:vAlign w:val="center"/>
          </w:tcPr>
          <w:p w14:paraId="0235A34D" w14:textId="1599C4BB"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4</w:t>
            </w:r>
          </w:p>
        </w:tc>
        <w:tc>
          <w:tcPr>
            <w:tcW w:w="8768" w:type="dxa"/>
            <w:shd w:val="clear" w:color="auto" w:fill="BDD6EE" w:themeFill="accent1" w:themeFillTint="66"/>
            <w:vAlign w:val="center"/>
          </w:tcPr>
          <w:p w14:paraId="5EC66D8E" w14:textId="7EEF7B8F" w:rsidR="00FB4E57" w:rsidRPr="00A84EC1" w:rsidRDefault="00FB4E57" w:rsidP="00D1129B">
            <w:pPr>
              <w:pStyle w:val="T3"/>
              <w:spacing w:before="0"/>
            </w:pPr>
            <w:r w:rsidRPr="00A84EC1">
              <w:t xml:space="preserve">Please describe </w:t>
            </w:r>
            <w:r w:rsidR="00A16D8D">
              <w:t>any post WSLA 2022 activities assuming the University wishes to host the WSLA residential annually, with any associated costs</w:t>
            </w:r>
            <w:r w:rsidRPr="00A84EC1">
              <w:t xml:space="preserve"> </w:t>
            </w:r>
          </w:p>
        </w:tc>
      </w:tr>
      <w:tr w:rsidR="00FB4E57" w:rsidRPr="00A84EC1" w14:paraId="6DD5FF7C" w14:textId="77777777" w:rsidTr="00B06AD3">
        <w:trPr>
          <w:trHeight w:val="674"/>
        </w:trPr>
        <w:tc>
          <w:tcPr>
            <w:tcW w:w="9265" w:type="dxa"/>
            <w:gridSpan w:val="2"/>
          </w:tcPr>
          <w:p w14:paraId="431DEB3B" w14:textId="77777777" w:rsidR="00FB4E57" w:rsidRPr="00A84EC1" w:rsidRDefault="00FB4E57" w:rsidP="00D1129B">
            <w:pPr>
              <w:pStyle w:val="T3"/>
              <w:spacing w:before="0"/>
              <w:rPr>
                <w:rFonts w:asciiTheme="minorHAnsi" w:hAnsiTheme="minorHAnsi" w:cstheme="minorHAnsi"/>
              </w:rPr>
            </w:pPr>
          </w:p>
        </w:tc>
      </w:tr>
    </w:tbl>
    <w:p w14:paraId="45B73C12"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3F085951" w:rsidR="00FB4E57" w:rsidRPr="00A84EC1" w:rsidRDefault="00A16D8D" w:rsidP="00D1129B">
            <w:pPr>
              <w:pStyle w:val="T3"/>
              <w:spacing w:before="0"/>
              <w:rPr>
                <w:rFonts w:asciiTheme="minorHAnsi" w:hAnsiTheme="minorHAnsi" w:cstheme="minorHAnsi"/>
              </w:rPr>
            </w:pPr>
            <w:r>
              <w:rPr>
                <w:rFonts w:asciiTheme="minorHAnsi" w:hAnsiTheme="minorHAnsi" w:cstheme="minorHAnsi"/>
              </w:rPr>
              <w:t>5</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586FB461" w14:textId="71F53E87" w:rsidR="00A62E56" w:rsidRDefault="00A62E56" w:rsidP="00B611CA">
      <w:pPr>
        <w:pStyle w:val="T3"/>
      </w:pPr>
    </w:p>
    <w:p w14:paraId="686CA5E5" w14:textId="00D1C48B" w:rsidR="004E295C" w:rsidRDefault="004E295C" w:rsidP="00B611CA">
      <w:pPr>
        <w:pStyle w:val="T3"/>
      </w:pPr>
    </w:p>
    <w:p w14:paraId="0A6DC903" w14:textId="77777777" w:rsidR="00EE3F7B" w:rsidRDefault="00EE3F7B" w:rsidP="00B611CA">
      <w:pPr>
        <w:pStyle w:val="T3"/>
      </w:pPr>
    </w:p>
    <w:p w14:paraId="4C858FFD" w14:textId="77777777" w:rsidR="004E295C" w:rsidRDefault="004E295C" w:rsidP="00B611CA">
      <w:pPr>
        <w:pStyle w:val="T3"/>
      </w:pPr>
    </w:p>
    <w:p w14:paraId="3E4960D1" w14:textId="77777777" w:rsidR="007E7CAA" w:rsidRDefault="007E7CAA" w:rsidP="00B611CA">
      <w:pPr>
        <w:pStyle w:val="T3"/>
      </w:pPr>
    </w:p>
    <w:p w14:paraId="778C136A" w14:textId="3EEBF426" w:rsidR="00795EB8" w:rsidRDefault="00795EB8" w:rsidP="00795EB8">
      <w:pPr>
        <w:pStyle w:val="T2"/>
      </w:pPr>
      <w:bookmarkStart w:id="23" w:name="_Toc94782556"/>
      <w:r>
        <w:t>The techncial requirements</w:t>
      </w:r>
      <w:bookmarkEnd w:id="23"/>
      <w:r>
        <w:t xml:space="preserve">  </w:t>
      </w:r>
    </w:p>
    <w:p w14:paraId="693E790A" w14:textId="1EFF2EE5" w:rsidR="008F3B50" w:rsidRDefault="00795EB8" w:rsidP="00795EB8">
      <w:pPr>
        <w:pStyle w:val="T3"/>
        <w:rPr>
          <w:rFonts w:cstheme="minorHAnsi"/>
        </w:rPr>
      </w:pPr>
      <w:r>
        <w:rPr>
          <w:rFonts w:cstheme="minorHAnsi"/>
        </w:rPr>
        <w:t xml:space="preserve">To comply with the Public Contracts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sidR="00EE3F7B">
        <w:rPr>
          <w:rFonts w:cstheme="minorHAnsi"/>
        </w:rPr>
        <w:t xml:space="preserve"> </w:t>
      </w:r>
      <w:r>
        <w:rPr>
          <w:rFonts w:cstheme="minorHAnsi"/>
        </w:rPr>
        <w:t xml:space="preserve">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EE3F7B">
        <w:rPr>
          <w:rFonts w:cstheme="minorHAnsi"/>
          <w:b/>
        </w:rPr>
        <w:t xml:space="preserve">Appendix </w:t>
      </w:r>
      <w:r w:rsidR="00193E84" w:rsidRPr="00EE3F7B">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3"/>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4" w:name="_Toc94782557"/>
      <w:r>
        <w:lastRenderedPageBreak/>
        <w:t xml:space="preserve">Appendix </w:t>
      </w:r>
      <w:r w:rsidR="00193E84">
        <w:t>1</w:t>
      </w:r>
      <w:r>
        <w:t>: S</w:t>
      </w:r>
      <w:r w:rsidR="00F1788E">
        <w:t xml:space="preserve">ocial </w:t>
      </w:r>
      <w:r>
        <w:t>V</w:t>
      </w:r>
      <w:r w:rsidR="00F1788E">
        <w:t>alue Model</w:t>
      </w:r>
      <w:r>
        <w:t>: Model Award Criteria</w:t>
      </w:r>
      <w:bookmarkEnd w:id="24"/>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C32E" w14:textId="77777777" w:rsidR="00A50EDF" w:rsidRDefault="00A50EDF" w:rsidP="00C379D5">
      <w:pPr>
        <w:spacing w:after="0" w:line="240" w:lineRule="auto"/>
      </w:pPr>
      <w:r>
        <w:separator/>
      </w:r>
    </w:p>
    <w:p w14:paraId="69989F97" w14:textId="77777777" w:rsidR="00A50EDF" w:rsidRDefault="00A50EDF"/>
  </w:endnote>
  <w:endnote w:type="continuationSeparator" w:id="0">
    <w:p w14:paraId="73197EED" w14:textId="77777777" w:rsidR="00A50EDF" w:rsidRDefault="00A50EDF" w:rsidP="00C379D5">
      <w:pPr>
        <w:spacing w:after="0" w:line="240" w:lineRule="auto"/>
      </w:pPr>
      <w:r>
        <w:continuationSeparator/>
      </w:r>
    </w:p>
    <w:p w14:paraId="34274A87" w14:textId="77777777" w:rsidR="00A50EDF" w:rsidRDefault="00A50EDF"/>
  </w:endnote>
  <w:endnote w:type="continuationNotice" w:id="1">
    <w:p w14:paraId="05D4B9C0" w14:textId="77777777" w:rsidR="00A50EDF" w:rsidRDefault="00A50EDF">
      <w:pPr>
        <w:spacing w:after="0" w:line="240" w:lineRule="auto"/>
      </w:pPr>
    </w:p>
    <w:p w14:paraId="4CE69B7E" w14:textId="77777777" w:rsidR="00A50EDF" w:rsidRDefault="00A5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32CC" w14:textId="77777777" w:rsidR="00A50EDF" w:rsidRDefault="00A50EDF" w:rsidP="00C379D5">
      <w:pPr>
        <w:spacing w:after="0" w:line="240" w:lineRule="auto"/>
      </w:pPr>
      <w:r>
        <w:separator/>
      </w:r>
    </w:p>
    <w:p w14:paraId="62398A7C" w14:textId="77777777" w:rsidR="00A50EDF" w:rsidRDefault="00A50EDF"/>
  </w:footnote>
  <w:footnote w:type="continuationSeparator" w:id="0">
    <w:p w14:paraId="2FF76666" w14:textId="77777777" w:rsidR="00A50EDF" w:rsidRDefault="00A50EDF" w:rsidP="00C379D5">
      <w:pPr>
        <w:spacing w:after="0" w:line="240" w:lineRule="auto"/>
      </w:pPr>
      <w:r>
        <w:continuationSeparator/>
      </w:r>
    </w:p>
    <w:p w14:paraId="41201253" w14:textId="77777777" w:rsidR="00A50EDF" w:rsidRDefault="00A50EDF"/>
  </w:footnote>
  <w:footnote w:type="continuationNotice" w:id="1">
    <w:p w14:paraId="6FD63E48" w14:textId="77777777" w:rsidR="00A50EDF" w:rsidRDefault="00A50EDF">
      <w:pPr>
        <w:spacing w:after="0" w:line="240" w:lineRule="auto"/>
      </w:pPr>
    </w:p>
    <w:p w14:paraId="09204559" w14:textId="77777777" w:rsidR="00A50EDF" w:rsidRDefault="00A50EDF"/>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5C90FE4"/>
    <w:multiLevelType w:val="hybridMultilevel"/>
    <w:tmpl w:val="9CA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3"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9" w15:restartNumberingAfterBreak="0">
    <w:nsid w:val="69814675"/>
    <w:multiLevelType w:val="hybridMultilevel"/>
    <w:tmpl w:val="8D1C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2"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3"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56591A"/>
    <w:multiLevelType w:val="hybridMultilevel"/>
    <w:tmpl w:val="EA6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20"/>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0"/>
  </w:num>
  <w:num w:numId="10">
    <w:abstractNumId w:val="30"/>
  </w:num>
  <w:num w:numId="11">
    <w:abstractNumId w:val="32"/>
  </w:num>
  <w:num w:numId="12">
    <w:abstractNumId w:val="9"/>
  </w:num>
  <w:num w:numId="13">
    <w:abstractNumId w:val="37"/>
  </w:num>
  <w:num w:numId="14">
    <w:abstractNumId w:val="11"/>
  </w:num>
  <w:num w:numId="15">
    <w:abstractNumId w:val="31"/>
  </w:num>
  <w:num w:numId="16">
    <w:abstractNumId w:val="23"/>
  </w:num>
  <w:num w:numId="17">
    <w:abstractNumId w:val="27"/>
  </w:num>
  <w:num w:numId="18">
    <w:abstractNumId w:val="12"/>
  </w:num>
  <w:num w:numId="19">
    <w:abstractNumId w:val="26"/>
  </w:num>
  <w:num w:numId="20">
    <w:abstractNumId w:val="18"/>
  </w:num>
  <w:num w:numId="21">
    <w:abstractNumId w:val="7"/>
  </w:num>
  <w:num w:numId="22">
    <w:abstractNumId w:val="19"/>
  </w:num>
  <w:num w:numId="23">
    <w:abstractNumId w:val="16"/>
  </w:num>
  <w:num w:numId="24">
    <w:abstractNumId w:val="33"/>
  </w:num>
  <w:num w:numId="25">
    <w:abstractNumId w:val="28"/>
  </w:num>
  <w:num w:numId="26">
    <w:abstractNumId w:val="21"/>
  </w:num>
  <w:num w:numId="27">
    <w:abstractNumId w:val="8"/>
  </w:num>
  <w:num w:numId="28">
    <w:abstractNumId w:val="25"/>
  </w:num>
  <w:num w:numId="29">
    <w:abstractNumId w:val="17"/>
  </w:num>
  <w:num w:numId="30">
    <w:abstractNumId w:val="0"/>
  </w:num>
  <w:num w:numId="31">
    <w:abstractNumId w:val="35"/>
  </w:num>
  <w:num w:numId="32">
    <w:abstractNumId w:val="5"/>
  </w:num>
  <w:num w:numId="33">
    <w:abstractNumId w:val="1"/>
  </w:num>
  <w:num w:numId="34">
    <w:abstractNumId w:val="24"/>
  </w:num>
  <w:num w:numId="35">
    <w:abstractNumId w:val="3"/>
  </w:num>
  <w:num w:numId="36">
    <w:abstractNumId w:val="6"/>
  </w:num>
  <w:num w:numId="37">
    <w:abstractNumId w:val="14"/>
  </w:num>
  <w:num w:numId="38">
    <w:abstractNumId w:val="29"/>
  </w:num>
  <w:num w:numId="3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1A88"/>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46E5C"/>
    <w:rsid w:val="003509F6"/>
    <w:rsid w:val="00350A12"/>
    <w:rsid w:val="0035559B"/>
    <w:rsid w:val="00355DF6"/>
    <w:rsid w:val="0035750B"/>
    <w:rsid w:val="00357ABD"/>
    <w:rsid w:val="0036151D"/>
    <w:rsid w:val="00362A25"/>
    <w:rsid w:val="00363780"/>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17FE"/>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95C"/>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D76"/>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45F"/>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632"/>
    <w:rsid w:val="00655F35"/>
    <w:rsid w:val="00656187"/>
    <w:rsid w:val="006566AF"/>
    <w:rsid w:val="0065696A"/>
    <w:rsid w:val="00657788"/>
    <w:rsid w:val="0066175B"/>
    <w:rsid w:val="00664FF0"/>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3FB1"/>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E7CAA"/>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338"/>
    <w:rsid w:val="00892DA0"/>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1F13"/>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D7E82"/>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6D8D"/>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47B6F"/>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DF9"/>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D3691"/>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2E3A"/>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4023"/>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3EA1"/>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3F7B"/>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wsla.co.uk" TargetMode="External"/><Relationship Id="rId3" Type="http://schemas.openxmlformats.org/officeDocument/2006/relationships/customXml" Target="../customXml/item3.xml"/><Relationship Id="rId21" Type="http://schemas.openxmlformats.org/officeDocument/2006/relationships/hyperlink" Target="https://help.chi.ac.uk/tenders"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558520/PPN_8_16_StandardSQ_Template_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585095163E847981FA9B590F03BEF" ma:contentTypeVersion="10" ma:contentTypeDescription="Create a new document." ma:contentTypeScope="" ma:versionID="e7b65232bed6f6c6fd8ecd6b26ea7be2">
  <xsd:schema xmlns:xsd="http://www.w3.org/2001/XMLSchema" xmlns:xs="http://www.w3.org/2001/XMLSchema" xmlns:p="http://schemas.microsoft.com/office/2006/metadata/properties" xmlns:ns2="07e81b92-6d76-4061-9d08-de0ae503fd00" xmlns:ns3="c48dea3d-e816-4f4b-baf4-2c529b765901" targetNamespace="http://schemas.microsoft.com/office/2006/metadata/properties" ma:root="true" ma:fieldsID="60b46492df75d69ec542607ad149e5b6" ns2:_="" ns3:_="">
    <xsd:import namespace="07e81b92-6d76-4061-9d08-de0ae503fd00"/>
    <xsd:import namespace="c48dea3d-e816-4f4b-baf4-2c529b7659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81b92-6d76-4061-9d08-de0ae503f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dea3d-e816-4f4b-baf4-2c529b765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C20B9-A020-4D52-B5ED-17936187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81b92-6d76-4061-9d08-de0ae503fd00"/>
    <ds:schemaRef ds:uri="c48dea3d-e816-4f4b-baf4-2c529b76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BB4DF-967D-4AC9-867B-0127B53FAB4C}">
  <ds:schemaRefs>
    <ds:schemaRef ds:uri="http://schemas.openxmlformats.org/officeDocument/2006/bibliography"/>
  </ds:schemaRefs>
</ds:datastoreItem>
</file>

<file path=customXml/itemProps3.xml><?xml version="1.0" encoding="utf-8"?>
<ds:datastoreItem xmlns:ds="http://schemas.openxmlformats.org/officeDocument/2006/customXml" ds:itemID="{AADDEF49-8DAF-4320-A82C-91FB34F77F3B}">
  <ds:schemaRefs>
    <ds:schemaRef ds:uri="http://purl.org/dc/elements/1.1/"/>
    <ds:schemaRef ds:uri="http://schemas.microsoft.com/office/2006/metadata/properties"/>
    <ds:schemaRef ds:uri="c48dea3d-e816-4f4b-baf4-2c529b765901"/>
    <ds:schemaRef ds:uri="07e81b92-6d76-4061-9d08-de0ae503fd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6E9ADC-B2C7-4057-ABCA-49DC70875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9</cp:revision>
  <cp:lastPrinted>2016-04-20T12:00:00Z</cp:lastPrinted>
  <dcterms:created xsi:type="dcterms:W3CDTF">2022-02-04T08:02:00Z</dcterms:created>
  <dcterms:modified xsi:type="dcterms:W3CDTF">2022-02-04T08:07:00Z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0x010100E58585095163E847981FA9B590F03BEF</vt:lpwstr>
  </property>
</Properties>
</file>