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05EEF" w14:textId="77777777" w:rsidR="00515856" w:rsidRPr="001370AF" w:rsidRDefault="00650C99">
      <w:pPr>
        <w:rPr>
          <w:rFonts w:ascii="Arial" w:eastAsia="Arial" w:hAnsi="Arial" w:cs="Arial"/>
          <w:b/>
          <w:sz w:val="36"/>
          <w:szCs w:val="36"/>
        </w:rPr>
      </w:pPr>
      <w:bookmarkStart w:id="0" w:name="_heading=h.gjdgxs" w:colFirst="0" w:colLast="0"/>
      <w:bookmarkEnd w:id="0"/>
      <w:r w:rsidRPr="001370AF">
        <w:rPr>
          <w:rFonts w:ascii="Arial" w:eastAsia="Arial" w:hAnsi="Arial" w:cs="Arial"/>
          <w:b/>
          <w:sz w:val="36"/>
          <w:szCs w:val="36"/>
        </w:rPr>
        <w:t>Joint Schedule 1 (Definitions)</w:t>
      </w:r>
    </w:p>
    <w:p w14:paraId="24B6E8B8" w14:textId="77777777" w:rsidR="00515856" w:rsidRPr="001370AF" w:rsidRDefault="00650C99">
      <w:pPr>
        <w:numPr>
          <w:ilvl w:val="1"/>
          <w:numId w:val="19"/>
        </w:numPr>
        <w:pBdr>
          <w:top w:val="nil"/>
          <w:left w:val="nil"/>
          <w:bottom w:val="nil"/>
          <w:right w:val="nil"/>
          <w:between w:val="nil"/>
        </w:pBdr>
        <w:tabs>
          <w:tab w:val="left" w:pos="1134"/>
        </w:tabs>
        <w:spacing w:before="120" w:after="120" w:line="240" w:lineRule="auto"/>
        <w:ind w:left="284"/>
        <w:jc w:val="both"/>
        <w:rPr>
          <w:rFonts w:ascii="Arial" w:eastAsia="Arial" w:hAnsi="Arial" w:cs="Arial"/>
          <w:color w:val="000000"/>
          <w:sz w:val="24"/>
          <w:szCs w:val="24"/>
        </w:rPr>
      </w:pPr>
      <w:r w:rsidRPr="001370AF">
        <w:rPr>
          <w:rFonts w:ascii="Arial" w:eastAsia="Arial" w:hAnsi="Arial" w:cs="Arial"/>
          <w:color w:val="000000"/>
          <w:sz w:val="24"/>
          <w:szCs w:val="24"/>
        </w:rPr>
        <w:t xml:space="preserve">In </w:t>
      </w:r>
      <w:bookmarkStart w:id="1" w:name="bookmark=id.gjdgxs" w:colFirst="0" w:colLast="0"/>
      <w:bookmarkEnd w:id="1"/>
      <w:r w:rsidRPr="001370AF">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180A91EB" w14:textId="77777777" w:rsidR="00515856" w:rsidRPr="001370AF" w:rsidRDefault="00650C99">
      <w:pPr>
        <w:numPr>
          <w:ilvl w:val="1"/>
          <w:numId w:val="19"/>
        </w:numPr>
        <w:pBdr>
          <w:top w:val="nil"/>
          <w:left w:val="nil"/>
          <w:bottom w:val="nil"/>
          <w:right w:val="nil"/>
          <w:between w:val="nil"/>
        </w:pBdr>
        <w:tabs>
          <w:tab w:val="left" w:pos="1134"/>
        </w:tabs>
        <w:spacing w:before="120" w:after="120" w:line="240" w:lineRule="auto"/>
        <w:ind w:left="284"/>
        <w:jc w:val="both"/>
        <w:rPr>
          <w:rFonts w:ascii="Arial" w:eastAsia="Arial" w:hAnsi="Arial" w:cs="Arial"/>
          <w:color w:val="000000"/>
          <w:sz w:val="24"/>
          <w:szCs w:val="24"/>
        </w:rPr>
      </w:pPr>
      <w:bookmarkStart w:id="2" w:name="_heading=h.30j0zll" w:colFirst="0" w:colLast="0"/>
      <w:bookmarkEnd w:id="2"/>
      <w:r w:rsidRPr="001370AF">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w:t>
      </w:r>
      <w:bookmarkStart w:id="3" w:name="_GoBack"/>
      <w:bookmarkEnd w:id="3"/>
      <w:r w:rsidRPr="001370AF">
        <w:rPr>
          <w:rFonts w:ascii="Arial" w:eastAsia="Arial" w:hAnsi="Arial" w:cs="Arial"/>
          <w:color w:val="000000"/>
          <w:sz w:val="24"/>
          <w:szCs w:val="24"/>
        </w:rPr>
        <w:t>ant market sector/industry where appropriate. Otherwise, it shall be interpreted in accordance with the dictionary meaning.</w:t>
      </w:r>
    </w:p>
    <w:p w14:paraId="688CAB40" w14:textId="77777777" w:rsidR="00515856" w:rsidRPr="001370AF" w:rsidRDefault="00650C99">
      <w:pPr>
        <w:keepNext/>
        <w:numPr>
          <w:ilvl w:val="1"/>
          <w:numId w:val="19"/>
        </w:numPr>
        <w:pBdr>
          <w:top w:val="nil"/>
          <w:left w:val="nil"/>
          <w:bottom w:val="nil"/>
          <w:right w:val="nil"/>
          <w:between w:val="nil"/>
        </w:pBdr>
        <w:tabs>
          <w:tab w:val="left" w:pos="1134"/>
        </w:tabs>
        <w:spacing w:before="120" w:after="120" w:line="240" w:lineRule="auto"/>
        <w:ind w:left="284"/>
        <w:jc w:val="both"/>
        <w:rPr>
          <w:rFonts w:ascii="Arial" w:eastAsia="Arial" w:hAnsi="Arial" w:cs="Arial"/>
          <w:color w:val="000000"/>
          <w:sz w:val="24"/>
          <w:szCs w:val="24"/>
        </w:rPr>
      </w:pPr>
      <w:r w:rsidRPr="001370AF">
        <w:rPr>
          <w:rFonts w:ascii="Arial" w:eastAsia="Arial" w:hAnsi="Arial" w:cs="Arial"/>
          <w:color w:val="000000"/>
          <w:sz w:val="24"/>
          <w:szCs w:val="24"/>
        </w:rPr>
        <w:t>In each Contract, unless the context otherwise requires:</w:t>
      </w:r>
    </w:p>
    <w:p w14:paraId="7792B001"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the singular includes the plural and vice versa;</w:t>
      </w:r>
    </w:p>
    <w:p w14:paraId="51771CEF"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reference to a gender includes the other gender and the neuter;</w:t>
      </w:r>
    </w:p>
    <w:p w14:paraId="619DDF5A"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008E7A6F"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a reference to any Law includes a reference to that Law as amended, extended, consolidated or re-enacted from time to time;</w:t>
      </w:r>
    </w:p>
    <w:p w14:paraId="74FB95AA"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the words "</w:t>
      </w:r>
      <w:r w:rsidRPr="001370AF">
        <w:rPr>
          <w:rFonts w:ascii="Arial" w:eastAsia="Arial" w:hAnsi="Arial" w:cs="Arial"/>
          <w:b/>
          <w:color w:val="000000"/>
          <w:sz w:val="24"/>
          <w:szCs w:val="24"/>
        </w:rPr>
        <w:t>including</w:t>
      </w:r>
      <w:r w:rsidRPr="001370AF">
        <w:rPr>
          <w:rFonts w:ascii="Arial" w:eastAsia="Arial" w:hAnsi="Arial" w:cs="Arial"/>
          <w:color w:val="000000"/>
          <w:sz w:val="24"/>
          <w:szCs w:val="24"/>
        </w:rPr>
        <w:t>", "</w:t>
      </w:r>
      <w:r w:rsidRPr="001370AF">
        <w:rPr>
          <w:rFonts w:ascii="Arial" w:eastAsia="Arial" w:hAnsi="Arial" w:cs="Arial"/>
          <w:b/>
          <w:color w:val="000000"/>
          <w:sz w:val="24"/>
          <w:szCs w:val="24"/>
        </w:rPr>
        <w:t>other</w:t>
      </w:r>
      <w:r w:rsidRPr="001370AF">
        <w:rPr>
          <w:rFonts w:ascii="Arial" w:eastAsia="Arial" w:hAnsi="Arial" w:cs="Arial"/>
          <w:color w:val="000000"/>
          <w:sz w:val="24"/>
          <w:szCs w:val="24"/>
        </w:rPr>
        <w:t>", "</w:t>
      </w:r>
      <w:r w:rsidRPr="001370AF">
        <w:rPr>
          <w:rFonts w:ascii="Arial" w:eastAsia="Arial" w:hAnsi="Arial" w:cs="Arial"/>
          <w:b/>
          <w:color w:val="000000"/>
          <w:sz w:val="24"/>
          <w:szCs w:val="24"/>
        </w:rPr>
        <w:t>in particular</w:t>
      </w:r>
      <w:r w:rsidRPr="001370AF">
        <w:rPr>
          <w:rFonts w:ascii="Arial" w:eastAsia="Arial" w:hAnsi="Arial" w:cs="Arial"/>
          <w:color w:val="000000"/>
          <w:sz w:val="24"/>
          <w:szCs w:val="24"/>
        </w:rPr>
        <w:t>", "</w:t>
      </w:r>
      <w:r w:rsidRPr="001370AF">
        <w:rPr>
          <w:rFonts w:ascii="Arial" w:eastAsia="Arial" w:hAnsi="Arial" w:cs="Arial"/>
          <w:b/>
          <w:color w:val="000000"/>
          <w:sz w:val="24"/>
          <w:szCs w:val="24"/>
        </w:rPr>
        <w:t>for example</w:t>
      </w:r>
      <w:r w:rsidRPr="001370AF">
        <w:rPr>
          <w:rFonts w:ascii="Arial" w:eastAsia="Arial" w:hAnsi="Arial" w:cs="Arial"/>
          <w:color w:val="000000"/>
          <w:sz w:val="24"/>
          <w:szCs w:val="24"/>
        </w:rPr>
        <w:t>" and similar words shall not limit the generality of the preceding words and shall be construed as if they were immediately followed by the words "</w:t>
      </w:r>
      <w:r w:rsidRPr="001370AF">
        <w:rPr>
          <w:rFonts w:ascii="Arial" w:eastAsia="Arial" w:hAnsi="Arial" w:cs="Arial"/>
          <w:b/>
          <w:color w:val="000000"/>
          <w:sz w:val="24"/>
          <w:szCs w:val="24"/>
        </w:rPr>
        <w:t>without limitation</w:t>
      </w:r>
      <w:r w:rsidRPr="001370AF">
        <w:rPr>
          <w:rFonts w:ascii="Arial" w:eastAsia="Arial" w:hAnsi="Arial" w:cs="Arial"/>
          <w:color w:val="000000"/>
          <w:sz w:val="24"/>
          <w:szCs w:val="24"/>
        </w:rPr>
        <w:t>";</w:t>
      </w:r>
    </w:p>
    <w:p w14:paraId="72A99471"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references to "</w:t>
      </w:r>
      <w:r w:rsidRPr="001370AF">
        <w:rPr>
          <w:rFonts w:ascii="Arial" w:eastAsia="Arial" w:hAnsi="Arial" w:cs="Arial"/>
          <w:b/>
          <w:color w:val="000000"/>
          <w:sz w:val="24"/>
          <w:szCs w:val="24"/>
        </w:rPr>
        <w:t>writing</w:t>
      </w:r>
      <w:r w:rsidRPr="001370AF">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EB097D4"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references to "</w:t>
      </w:r>
      <w:r w:rsidRPr="001370AF">
        <w:rPr>
          <w:rFonts w:ascii="Arial" w:eastAsia="Arial" w:hAnsi="Arial" w:cs="Arial"/>
          <w:b/>
          <w:color w:val="000000"/>
          <w:sz w:val="24"/>
          <w:szCs w:val="24"/>
        </w:rPr>
        <w:t>representations</w:t>
      </w:r>
      <w:r w:rsidRPr="001370AF">
        <w:rPr>
          <w:rFonts w:ascii="Arial" w:eastAsia="Arial" w:hAnsi="Arial" w:cs="Arial"/>
          <w:color w:val="000000"/>
          <w:sz w:val="24"/>
          <w:szCs w:val="24"/>
        </w:rPr>
        <w:t>" shall be construed as references to present facts, to "</w:t>
      </w:r>
      <w:r w:rsidRPr="001370AF">
        <w:rPr>
          <w:rFonts w:ascii="Arial" w:eastAsia="Arial" w:hAnsi="Arial" w:cs="Arial"/>
          <w:b/>
          <w:color w:val="000000"/>
          <w:sz w:val="24"/>
          <w:szCs w:val="24"/>
        </w:rPr>
        <w:t>warranties</w:t>
      </w:r>
      <w:r w:rsidRPr="001370AF">
        <w:rPr>
          <w:rFonts w:ascii="Arial" w:eastAsia="Arial" w:hAnsi="Arial" w:cs="Arial"/>
          <w:color w:val="000000"/>
          <w:sz w:val="24"/>
          <w:szCs w:val="24"/>
        </w:rPr>
        <w:t>" as references to present and future facts and to "</w:t>
      </w:r>
      <w:r w:rsidRPr="001370AF">
        <w:rPr>
          <w:rFonts w:ascii="Arial" w:eastAsia="Arial" w:hAnsi="Arial" w:cs="Arial"/>
          <w:b/>
          <w:color w:val="000000"/>
          <w:sz w:val="24"/>
          <w:szCs w:val="24"/>
        </w:rPr>
        <w:t>undertakings"</w:t>
      </w:r>
      <w:r w:rsidRPr="001370AF">
        <w:rPr>
          <w:rFonts w:ascii="Arial" w:eastAsia="Arial" w:hAnsi="Arial" w:cs="Arial"/>
          <w:color w:val="000000"/>
          <w:sz w:val="24"/>
          <w:szCs w:val="24"/>
        </w:rPr>
        <w:t xml:space="preserve"> as references to obligations under the Contract; </w:t>
      </w:r>
    </w:p>
    <w:p w14:paraId="07BD85B2"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 xml:space="preserve">references to </w:t>
      </w:r>
      <w:r w:rsidRPr="001370AF">
        <w:rPr>
          <w:rFonts w:ascii="Arial" w:eastAsia="Arial" w:hAnsi="Arial" w:cs="Arial"/>
          <w:b/>
          <w:color w:val="000000"/>
          <w:sz w:val="24"/>
          <w:szCs w:val="24"/>
        </w:rPr>
        <w:t xml:space="preserve">"Clauses" </w:t>
      </w:r>
      <w:r w:rsidRPr="001370AF">
        <w:rPr>
          <w:rFonts w:ascii="Arial" w:eastAsia="Arial" w:hAnsi="Arial" w:cs="Arial"/>
          <w:color w:val="000000"/>
          <w:sz w:val="24"/>
          <w:szCs w:val="24"/>
        </w:rPr>
        <w:t xml:space="preserve">and </w:t>
      </w:r>
      <w:r w:rsidRPr="001370AF">
        <w:rPr>
          <w:rFonts w:ascii="Arial" w:eastAsia="Arial" w:hAnsi="Arial" w:cs="Arial"/>
          <w:b/>
          <w:color w:val="000000"/>
          <w:sz w:val="24"/>
          <w:szCs w:val="24"/>
        </w:rPr>
        <w:t>"Schedules"</w:t>
      </w:r>
      <w:r w:rsidRPr="001370AF">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CBEC3E0"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 xml:space="preserve">references to </w:t>
      </w:r>
      <w:r w:rsidRPr="001370AF">
        <w:rPr>
          <w:rFonts w:ascii="Arial" w:eastAsia="Arial" w:hAnsi="Arial" w:cs="Arial"/>
          <w:b/>
          <w:color w:val="000000"/>
          <w:sz w:val="24"/>
          <w:szCs w:val="24"/>
        </w:rPr>
        <w:t>"Paragraphs"</w:t>
      </w:r>
      <w:r w:rsidRPr="001370AF">
        <w:rPr>
          <w:rFonts w:ascii="Arial" w:eastAsia="Arial" w:hAnsi="Arial" w:cs="Arial"/>
          <w:color w:val="000000"/>
          <w:sz w:val="24"/>
          <w:szCs w:val="24"/>
        </w:rPr>
        <w:t xml:space="preserve"> are, unless otherwise provided, references to the paragraph of the appropriate Schedules unless otherwise provided; </w:t>
      </w:r>
    </w:p>
    <w:p w14:paraId="0D6D236C"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references to a series of Clauses or Paragraphs shall be inclusive of the clause numbers specified;</w:t>
      </w:r>
    </w:p>
    <w:p w14:paraId="2EF49ECE"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797D23FE"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lastRenderedPageBreak/>
        <w:t>where the Buyer is a Central Government Body it shall be treated as contracting with the Crown as a whole;</w:t>
      </w:r>
    </w:p>
    <w:p w14:paraId="50DABB56"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any reference in a Contract which immediately before Exit Day is a reference to (as it has effect from time to time):</w:t>
      </w:r>
    </w:p>
    <w:p w14:paraId="7251BA04" w14:textId="77777777" w:rsidR="00515856" w:rsidRPr="001370AF" w:rsidRDefault="00650C99">
      <w:pPr>
        <w:numPr>
          <w:ilvl w:val="3"/>
          <w:numId w:val="19"/>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370AF">
        <w:rPr>
          <w:rFonts w:ascii="Arial" w:eastAsia="Arial" w:hAnsi="Arial" w:cs="Arial"/>
          <w:color w:val="000000"/>
          <w:sz w:val="24"/>
          <w:szCs w:val="24"/>
        </w:rPr>
        <w:t>any EU regulation, EU decision, EU tertiary legislation or provision of the EEA agreement (“</w:t>
      </w:r>
      <w:r w:rsidRPr="001370AF">
        <w:rPr>
          <w:rFonts w:ascii="Arial" w:eastAsia="Arial" w:hAnsi="Arial" w:cs="Arial"/>
          <w:b/>
          <w:color w:val="000000"/>
          <w:sz w:val="24"/>
          <w:szCs w:val="24"/>
        </w:rPr>
        <w:t>EU References</w:t>
      </w:r>
      <w:r w:rsidRPr="001370AF">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45A1B3F" w14:textId="77777777" w:rsidR="00515856" w:rsidRPr="001370AF" w:rsidRDefault="00650C99">
      <w:pPr>
        <w:numPr>
          <w:ilvl w:val="3"/>
          <w:numId w:val="19"/>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370AF">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4FD41A06"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r w:rsidRPr="001370AF">
        <w:rPr>
          <w:rFonts w:ascii="Arial" w:eastAsia="Arial" w:hAnsi="Arial" w:cs="Arial"/>
          <w:color w:val="000000"/>
          <w:sz w:val="24"/>
          <w:szCs w:val="24"/>
        </w:rPr>
        <w:t>unless otherwise provided, references to “</w:t>
      </w:r>
      <w:r w:rsidRPr="001370AF">
        <w:rPr>
          <w:rFonts w:ascii="Arial" w:eastAsia="Arial" w:hAnsi="Arial" w:cs="Arial"/>
          <w:b/>
          <w:color w:val="000000"/>
          <w:sz w:val="24"/>
          <w:szCs w:val="24"/>
        </w:rPr>
        <w:t>Buyer</w:t>
      </w:r>
      <w:r w:rsidRPr="001370AF">
        <w:rPr>
          <w:rFonts w:ascii="Arial" w:eastAsia="Arial" w:hAnsi="Arial" w:cs="Arial"/>
          <w:color w:val="000000"/>
          <w:sz w:val="24"/>
          <w:szCs w:val="24"/>
        </w:rPr>
        <w:t>” shall be construed as including Exempt Buyers; and</w:t>
      </w:r>
    </w:p>
    <w:p w14:paraId="16F745BA" w14:textId="77777777" w:rsidR="00515856" w:rsidRPr="001370AF" w:rsidRDefault="00650C99">
      <w:pPr>
        <w:numPr>
          <w:ilvl w:val="2"/>
          <w:numId w:val="19"/>
        </w:numPr>
        <w:pBdr>
          <w:top w:val="nil"/>
          <w:left w:val="nil"/>
          <w:bottom w:val="nil"/>
          <w:right w:val="nil"/>
          <w:between w:val="nil"/>
        </w:pBdr>
        <w:tabs>
          <w:tab w:val="left" w:pos="1985"/>
          <w:tab w:val="left" w:pos="2127"/>
        </w:tabs>
        <w:spacing w:before="120" w:after="120" w:line="240" w:lineRule="auto"/>
        <w:ind w:left="993"/>
        <w:jc w:val="both"/>
        <w:rPr>
          <w:rFonts w:ascii="Arial" w:eastAsia="Arial" w:hAnsi="Arial" w:cs="Arial"/>
          <w:color w:val="000000"/>
          <w:sz w:val="24"/>
          <w:szCs w:val="24"/>
        </w:rPr>
      </w:pPr>
      <w:proofErr w:type="gramStart"/>
      <w:r w:rsidRPr="001370AF">
        <w:rPr>
          <w:rFonts w:ascii="Arial" w:eastAsia="Arial" w:hAnsi="Arial" w:cs="Arial"/>
          <w:color w:val="000000"/>
          <w:sz w:val="24"/>
          <w:szCs w:val="24"/>
        </w:rPr>
        <w:t>unless</w:t>
      </w:r>
      <w:proofErr w:type="gramEnd"/>
      <w:r w:rsidRPr="001370AF">
        <w:rPr>
          <w:rFonts w:ascii="Arial" w:eastAsia="Arial" w:hAnsi="Arial" w:cs="Arial"/>
          <w:color w:val="000000"/>
          <w:sz w:val="24"/>
          <w:szCs w:val="24"/>
        </w:rPr>
        <w:t xml:space="preserve"> otherwise provided, references to “</w:t>
      </w:r>
      <w:r w:rsidRPr="001370AF">
        <w:rPr>
          <w:rFonts w:ascii="Arial" w:eastAsia="Arial" w:hAnsi="Arial" w:cs="Arial"/>
          <w:b/>
          <w:color w:val="000000"/>
          <w:sz w:val="24"/>
          <w:szCs w:val="24"/>
        </w:rPr>
        <w:t>Call-Off Contract</w:t>
      </w:r>
      <w:r w:rsidRPr="001370AF">
        <w:rPr>
          <w:rFonts w:ascii="Arial" w:eastAsia="Arial" w:hAnsi="Arial" w:cs="Arial"/>
          <w:color w:val="000000"/>
          <w:sz w:val="24"/>
          <w:szCs w:val="24"/>
        </w:rPr>
        <w:t>” and “</w:t>
      </w:r>
      <w:r w:rsidRPr="001370AF">
        <w:rPr>
          <w:rFonts w:ascii="Arial" w:eastAsia="Arial" w:hAnsi="Arial" w:cs="Arial"/>
          <w:b/>
          <w:color w:val="000000"/>
          <w:sz w:val="24"/>
          <w:szCs w:val="24"/>
        </w:rPr>
        <w:t>Contract</w:t>
      </w:r>
      <w:r w:rsidRPr="001370AF">
        <w:rPr>
          <w:rFonts w:ascii="Arial" w:eastAsia="Arial" w:hAnsi="Arial" w:cs="Arial"/>
          <w:color w:val="000000"/>
          <w:sz w:val="24"/>
          <w:szCs w:val="24"/>
        </w:rPr>
        <w:t>” shall be construed as including Exempt Call-off Contracts.</w:t>
      </w:r>
    </w:p>
    <w:p w14:paraId="273AB97A" w14:textId="77777777" w:rsidR="00515856" w:rsidRPr="001370AF" w:rsidRDefault="00650C99">
      <w:pPr>
        <w:keepNext/>
        <w:numPr>
          <w:ilvl w:val="1"/>
          <w:numId w:val="19"/>
        </w:numPr>
        <w:pBdr>
          <w:top w:val="nil"/>
          <w:left w:val="nil"/>
          <w:bottom w:val="nil"/>
          <w:right w:val="nil"/>
          <w:between w:val="nil"/>
        </w:pBdr>
        <w:tabs>
          <w:tab w:val="left" w:pos="1134"/>
        </w:tabs>
        <w:spacing w:before="120" w:after="120" w:line="240" w:lineRule="auto"/>
        <w:ind w:left="284"/>
        <w:jc w:val="both"/>
        <w:rPr>
          <w:rFonts w:ascii="Arial" w:eastAsia="Arial" w:hAnsi="Arial" w:cs="Arial"/>
          <w:color w:val="000000"/>
          <w:sz w:val="24"/>
          <w:szCs w:val="24"/>
        </w:rPr>
      </w:pPr>
      <w:r w:rsidRPr="001370AF">
        <w:rPr>
          <w:rFonts w:ascii="Arial" w:eastAsia="Arial" w:hAnsi="Arial" w:cs="Arial"/>
          <w:color w:val="000000"/>
          <w:sz w:val="24"/>
          <w:szCs w:val="24"/>
        </w:rPr>
        <w:t>In each Contract, unless the context otherwise requires, the following words shall have the following meanings:</w:t>
      </w:r>
    </w:p>
    <w:p w14:paraId="12EA4D0C" w14:textId="77777777" w:rsidR="00515856" w:rsidRPr="001370AF" w:rsidRDefault="00515856">
      <w:pPr>
        <w:keepNext/>
        <w:pBdr>
          <w:top w:val="nil"/>
          <w:left w:val="nil"/>
          <w:bottom w:val="nil"/>
          <w:right w:val="nil"/>
          <w:between w:val="nil"/>
        </w:pBdr>
        <w:tabs>
          <w:tab w:val="left" w:pos="1134"/>
        </w:tabs>
        <w:spacing w:before="120" w:after="120" w:line="240" w:lineRule="auto"/>
        <w:ind w:left="567" w:hanging="567"/>
        <w:jc w:val="both"/>
        <w:rPr>
          <w:rFonts w:ascii="Arial" w:eastAsia="Arial" w:hAnsi="Arial" w:cs="Arial"/>
          <w:color w:val="000000"/>
          <w:sz w:val="24"/>
          <w:szCs w:val="24"/>
        </w:rPr>
      </w:pPr>
    </w:p>
    <w:tbl>
      <w:tblPr>
        <w:tblStyle w:val="a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342"/>
      </w:tblGrid>
      <w:tr w:rsidR="00515856" w:rsidRPr="001370AF" w14:paraId="4E65AC07" w14:textId="77777777" w:rsidTr="000E3A82">
        <w:tc>
          <w:tcPr>
            <w:tcW w:w="2405" w:type="dxa"/>
          </w:tcPr>
          <w:p w14:paraId="419A8307"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bookmarkStart w:id="4" w:name="_heading=h.1fob9te" w:colFirst="0" w:colLast="0"/>
            <w:bookmarkEnd w:id="4"/>
            <w:r w:rsidRPr="001370AF">
              <w:rPr>
                <w:rFonts w:ascii="Arial" w:eastAsia="Arial" w:hAnsi="Arial" w:cs="Arial"/>
                <w:b/>
                <w:color w:val="000000"/>
                <w:sz w:val="24"/>
                <w:szCs w:val="24"/>
              </w:rPr>
              <w:t>"Achieve"</w:t>
            </w:r>
          </w:p>
        </w:tc>
        <w:tc>
          <w:tcPr>
            <w:tcW w:w="7342" w:type="dxa"/>
          </w:tcPr>
          <w:p w14:paraId="5FA169D3"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in respect of a Test, to successfully pass such Test without any Test Issues and in respect of a Milestone, the issue of a Satisfaction Certificate in respect of that Milestone and "Achieved", "Achieving" and "Achievement" shall be construed accordingly;</w:t>
            </w:r>
          </w:p>
        </w:tc>
      </w:tr>
      <w:tr w:rsidR="00515856" w:rsidRPr="001370AF" w14:paraId="77E28665" w14:textId="77777777" w:rsidTr="000E3A82">
        <w:tc>
          <w:tcPr>
            <w:tcW w:w="2405" w:type="dxa"/>
          </w:tcPr>
          <w:p w14:paraId="2D85635C"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"Additional Insurances"</w:t>
            </w:r>
          </w:p>
        </w:tc>
        <w:tc>
          <w:tcPr>
            <w:tcW w:w="7342" w:type="dxa"/>
          </w:tcPr>
          <w:p w14:paraId="7141799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 xml:space="preserve">insurance requirements relating to a Call-Off Contract specified in the Order Form additional to those outlined in Joint Schedule 3 (Insurance Requirements); </w:t>
            </w:r>
          </w:p>
        </w:tc>
      </w:tr>
      <w:tr w:rsidR="00515856" w:rsidRPr="001370AF" w14:paraId="40751B2B" w14:textId="77777777" w:rsidTr="000E3A82">
        <w:tc>
          <w:tcPr>
            <w:tcW w:w="2405" w:type="dxa"/>
          </w:tcPr>
          <w:p w14:paraId="484ACA4D"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"Admin Fee”</w:t>
            </w:r>
          </w:p>
        </w:tc>
        <w:tc>
          <w:tcPr>
            <w:tcW w:w="7342" w:type="dxa"/>
          </w:tcPr>
          <w:p w14:paraId="783FBE51"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means the costs incurred by CCS in dealing with MI Failures calculated in accordance with the tariff of administration charges published by the CCS on: http://CCS.cabinetoffice.gov.uk/i-am-supplier/management-information/admin-fees;</w:t>
            </w:r>
          </w:p>
        </w:tc>
      </w:tr>
      <w:tr w:rsidR="00515856" w:rsidRPr="001370AF" w14:paraId="5CB43064" w14:textId="77777777" w:rsidTr="000E3A82">
        <w:tc>
          <w:tcPr>
            <w:tcW w:w="2405" w:type="dxa"/>
          </w:tcPr>
          <w:p w14:paraId="67A01045"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"Affected Party"</w:t>
            </w:r>
          </w:p>
        </w:tc>
        <w:tc>
          <w:tcPr>
            <w:tcW w:w="7342" w:type="dxa"/>
          </w:tcPr>
          <w:p w14:paraId="029D0422"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Party seeking to claim relief in respect of a Force Majeure Event;</w:t>
            </w:r>
          </w:p>
        </w:tc>
      </w:tr>
      <w:tr w:rsidR="00515856" w:rsidRPr="001370AF" w14:paraId="5F560944" w14:textId="77777777" w:rsidTr="000E3A82">
        <w:tc>
          <w:tcPr>
            <w:tcW w:w="2405" w:type="dxa"/>
          </w:tcPr>
          <w:p w14:paraId="07B15456"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"Affiliates"</w:t>
            </w:r>
          </w:p>
        </w:tc>
        <w:tc>
          <w:tcPr>
            <w:tcW w:w="7342" w:type="dxa"/>
          </w:tcPr>
          <w:p w14:paraId="38FD0FDB"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 xml:space="preserve">in relation to a body corporate, any other entity which directly or indirectly Controls, is Controlled by, or is under direct or </w:t>
            </w:r>
            <w:r w:rsidRPr="000E3A82">
              <w:rPr>
                <w:rFonts w:ascii="Arial" w:eastAsia="Arial" w:hAnsi="Arial" w:cs="Arial"/>
                <w:sz w:val="24"/>
                <w:szCs w:val="24"/>
              </w:rPr>
              <w:lastRenderedPageBreak/>
              <w:t>indirect common Control of that body corporate from time to time;</w:t>
            </w:r>
          </w:p>
        </w:tc>
      </w:tr>
      <w:tr w:rsidR="00515856" w:rsidRPr="001370AF" w14:paraId="2E9D2A6A" w14:textId="77777777" w:rsidTr="000E3A82">
        <w:tc>
          <w:tcPr>
            <w:tcW w:w="2405" w:type="dxa"/>
          </w:tcPr>
          <w:p w14:paraId="02AE6533"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“Annex”</w:t>
            </w:r>
          </w:p>
        </w:tc>
        <w:tc>
          <w:tcPr>
            <w:tcW w:w="7342" w:type="dxa"/>
          </w:tcPr>
          <w:p w14:paraId="776D13CA"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extra information which supports a Schedule;</w:t>
            </w:r>
          </w:p>
        </w:tc>
      </w:tr>
      <w:tr w:rsidR="00515856" w:rsidRPr="001370AF" w14:paraId="1EC89AFA" w14:textId="77777777" w:rsidTr="000E3A82">
        <w:tc>
          <w:tcPr>
            <w:tcW w:w="2405" w:type="dxa"/>
          </w:tcPr>
          <w:p w14:paraId="5E7102FE"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"Approval"</w:t>
            </w:r>
          </w:p>
        </w:tc>
        <w:tc>
          <w:tcPr>
            <w:tcW w:w="7342" w:type="dxa"/>
          </w:tcPr>
          <w:p w14:paraId="308CA5FD"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prior written consent of the Buyer and "Approve" and "Approved" shall be construed accordingly;</w:t>
            </w:r>
          </w:p>
        </w:tc>
      </w:tr>
      <w:tr w:rsidR="00515856" w:rsidRPr="001370AF" w14:paraId="1D052D3C" w14:textId="77777777" w:rsidTr="000E3A82">
        <w:tc>
          <w:tcPr>
            <w:tcW w:w="2405" w:type="dxa"/>
          </w:tcPr>
          <w:p w14:paraId="10EE27EA"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"Audit"</w:t>
            </w:r>
          </w:p>
        </w:tc>
        <w:tc>
          <w:tcPr>
            <w:tcW w:w="7342" w:type="dxa"/>
          </w:tcPr>
          <w:p w14:paraId="1B7DED3D" w14:textId="77777777" w:rsidR="00515856" w:rsidRPr="000E3A82" w:rsidRDefault="00650C99">
            <w:pPr>
              <w:pBdr>
                <w:top w:val="nil"/>
                <w:left w:val="nil"/>
                <w:bottom w:val="nil"/>
                <w:right w:val="nil"/>
                <w:between w:val="nil"/>
              </w:pBdr>
              <w:tabs>
                <w:tab w:val="left" w:pos="-179"/>
                <w:tab w:val="left" w:pos="-9"/>
              </w:tabs>
              <w:spacing w:after="120"/>
              <w:jc w:val="both"/>
              <w:rPr>
                <w:rFonts w:ascii="Arial" w:eastAsia="Arial" w:hAnsi="Arial" w:cs="Arial"/>
                <w:sz w:val="24"/>
                <w:szCs w:val="24"/>
              </w:rPr>
            </w:pPr>
            <w:r w:rsidRPr="000E3A82">
              <w:rPr>
                <w:rFonts w:ascii="Arial" w:eastAsia="Arial" w:hAnsi="Arial" w:cs="Arial"/>
                <w:sz w:val="24"/>
                <w:szCs w:val="24"/>
              </w:rPr>
              <w:t xml:space="preserve">the Relevant Authority’s right to: </w:t>
            </w:r>
          </w:p>
          <w:p w14:paraId="4902FD99" w14:textId="77777777" w:rsidR="00515856" w:rsidRPr="000E3A82" w:rsidRDefault="00650C99">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 xml:space="preserve">verify the accuracy of the Charges and any other amounts payable by a Buyer under a Call-Off Contract (including proposed or actual variations to them in accordance with the Contract); </w:t>
            </w:r>
          </w:p>
          <w:p w14:paraId="12C7B884" w14:textId="5570FEC5" w:rsidR="00515856" w:rsidRPr="000E3A82" w:rsidRDefault="00650C99">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 xml:space="preserve">verify the costs of the Supplier (including the costs of all Subcontractors and any third party suppliers) in connection with the provision of the </w:t>
            </w:r>
            <w:r w:rsidR="00805011" w:rsidRPr="000E3A82">
              <w:rPr>
                <w:rFonts w:ascii="Arial" w:eastAsia="Arial" w:hAnsi="Arial" w:cs="Arial"/>
                <w:sz w:val="24"/>
                <w:szCs w:val="24"/>
              </w:rPr>
              <w:t>Deliverables</w:t>
            </w:r>
            <w:r w:rsidRPr="000E3A82">
              <w:rPr>
                <w:rFonts w:ascii="Arial" w:eastAsia="Arial" w:hAnsi="Arial" w:cs="Arial"/>
                <w:sz w:val="24"/>
                <w:szCs w:val="24"/>
              </w:rPr>
              <w:t>;</w:t>
            </w:r>
          </w:p>
          <w:p w14:paraId="12FE62F1" w14:textId="77777777" w:rsidR="00515856" w:rsidRPr="000E3A82" w:rsidRDefault="00650C99">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verify the Open Book Data;</w:t>
            </w:r>
          </w:p>
          <w:p w14:paraId="442679DD" w14:textId="77777777" w:rsidR="00515856" w:rsidRPr="000E3A82" w:rsidRDefault="00650C99">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verify the Supplier’s and each Subcontractor’s compliance with the applicable Law;</w:t>
            </w:r>
          </w:p>
          <w:p w14:paraId="131DE39D" w14:textId="77777777" w:rsidR="00515856" w:rsidRPr="000E3A82" w:rsidRDefault="00650C99">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CB1A6B8" w14:textId="77777777" w:rsidR="00515856" w:rsidRPr="000E3A82" w:rsidRDefault="00650C99">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identify or investigate any circumstances which may impact upon the financial stability of the Supplier, any Guarantor, and/or any Subcontractors or their ability to provide the Deliverables;</w:t>
            </w:r>
          </w:p>
          <w:p w14:paraId="4655D2E2" w14:textId="77777777" w:rsidR="00515856" w:rsidRPr="000E3A82" w:rsidRDefault="00650C99">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588139F" w14:textId="77777777" w:rsidR="00515856" w:rsidRPr="000E3A82" w:rsidRDefault="00650C99">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review any books of account and the internal contract management accounts kept by the Supplier in connection with each Contract;</w:t>
            </w:r>
          </w:p>
          <w:p w14:paraId="3065ADB4" w14:textId="77777777" w:rsidR="00515856" w:rsidRPr="000E3A82" w:rsidRDefault="00650C99">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carry out the Relevant Authority’s internal and statutory audits and to prepare, examine and/or certify the Relevant Authority's annual and interim reports and accounts;</w:t>
            </w:r>
          </w:p>
          <w:p w14:paraId="47C59E4B" w14:textId="30BED060" w:rsidR="00515856" w:rsidRPr="000E3A82" w:rsidRDefault="00650C99">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 xml:space="preserve">enable the National Audit Office to carry out an examination pursuant to Section 6(1) of the National Audit Act 1983 of the economy, efficiency and effectiveness with which the Relevant Authority has used its resources; </w:t>
            </w:r>
          </w:p>
          <w:p w14:paraId="03567D2A" w14:textId="77777777" w:rsidR="006D521C" w:rsidRPr="000E3A82" w:rsidRDefault="00650C99">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verify the accuracy and completeness of any</w:t>
            </w:r>
            <w:r w:rsidR="006D521C" w:rsidRPr="000E3A82">
              <w:rPr>
                <w:rFonts w:ascii="Arial" w:eastAsia="Arial" w:hAnsi="Arial" w:cs="Arial"/>
                <w:sz w:val="24"/>
                <w:szCs w:val="24"/>
              </w:rPr>
              <w:t>:</w:t>
            </w:r>
          </w:p>
          <w:p w14:paraId="280C6689" w14:textId="77777777" w:rsidR="006D521C" w:rsidRPr="000E3A82" w:rsidRDefault="006D521C" w:rsidP="006D521C">
            <w:pPr>
              <w:pBdr>
                <w:top w:val="nil"/>
                <w:left w:val="nil"/>
                <w:bottom w:val="nil"/>
                <w:right w:val="nil"/>
                <w:between w:val="nil"/>
              </w:pBdr>
              <w:tabs>
                <w:tab w:val="left" w:pos="-179"/>
                <w:tab w:val="left" w:pos="-9"/>
              </w:tabs>
              <w:spacing w:after="120"/>
              <w:ind w:left="461"/>
              <w:jc w:val="both"/>
              <w:rPr>
                <w:rFonts w:ascii="Arial" w:eastAsia="Arial" w:hAnsi="Arial" w:cs="Arial"/>
                <w:sz w:val="24"/>
                <w:szCs w:val="24"/>
              </w:rPr>
            </w:pPr>
            <w:r w:rsidRPr="000E3A82">
              <w:rPr>
                <w:rFonts w:ascii="Arial" w:eastAsia="Arial" w:hAnsi="Arial" w:cs="Arial"/>
                <w:sz w:val="24"/>
                <w:szCs w:val="24"/>
              </w:rPr>
              <w:lastRenderedPageBreak/>
              <w:t>(</w:t>
            </w:r>
            <w:proofErr w:type="spellStart"/>
            <w:r w:rsidRPr="000E3A82">
              <w:rPr>
                <w:rFonts w:ascii="Arial" w:eastAsia="Arial" w:hAnsi="Arial" w:cs="Arial"/>
                <w:sz w:val="24"/>
                <w:szCs w:val="24"/>
              </w:rPr>
              <w:t>i</w:t>
            </w:r>
            <w:proofErr w:type="spellEnd"/>
            <w:r w:rsidRPr="000E3A82">
              <w:rPr>
                <w:rFonts w:ascii="Arial" w:eastAsia="Arial" w:hAnsi="Arial" w:cs="Arial"/>
                <w:sz w:val="24"/>
                <w:szCs w:val="24"/>
              </w:rPr>
              <w:t>)</w:t>
            </w:r>
            <w:r w:rsidR="00650C99" w:rsidRPr="000E3A82">
              <w:rPr>
                <w:rFonts w:ascii="Arial" w:eastAsia="Arial" w:hAnsi="Arial" w:cs="Arial"/>
                <w:sz w:val="24"/>
                <w:szCs w:val="24"/>
              </w:rPr>
              <w:t xml:space="preserve"> Management Information delivered or required by the Framework Contract;</w:t>
            </w:r>
            <w:r w:rsidR="00805011" w:rsidRPr="000E3A82">
              <w:rPr>
                <w:rFonts w:ascii="Arial" w:eastAsia="Arial" w:hAnsi="Arial" w:cs="Arial"/>
                <w:sz w:val="24"/>
                <w:szCs w:val="24"/>
              </w:rPr>
              <w:t xml:space="preserve"> or</w:t>
            </w:r>
          </w:p>
          <w:p w14:paraId="7EC66B09" w14:textId="29DE3587" w:rsidR="00805011" w:rsidRPr="000E3A82" w:rsidRDefault="006D521C" w:rsidP="006D521C">
            <w:pPr>
              <w:pBdr>
                <w:top w:val="nil"/>
                <w:left w:val="nil"/>
                <w:bottom w:val="nil"/>
                <w:right w:val="nil"/>
                <w:between w:val="nil"/>
              </w:pBdr>
              <w:tabs>
                <w:tab w:val="left" w:pos="-179"/>
                <w:tab w:val="left" w:pos="-9"/>
              </w:tabs>
              <w:spacing w:after="120"/>
              <w:ind w:left="461"/>
              <w:jc w:val="both"/>
              <w:rPr>
                <w:rFonts w:ascii="Arial" w:eastAsia="Arial" w:hAnsi="Arial" w:cs="Arial"/>
                <w:sz w:val="24"/>
                <w:szCs w:val="24"/>
              </w:rPr>
            </w:pPr>
            <w:r w:rsidRPr="000E3A82">
              <w:rPr>
                <w:rFonts w:ascii="Arial" w:eastAsia="Arial" w:hAnsi="Arial" w:cs="Arial"/>
                <w:sz w:val="24"/>
                <w:szCs w:val="24"/>
              </w:rPr>
              <w:t xml:space="preserve">(ii) </w:t>
            </w:r>
            <w:r w:rsidR="00805011" w:rsidRPr="000E3A82">
              <w:rPr>
                <w:rFonts w:ascii="Arial" w:eastAsia="Arial" w:hAnsi="Arial" w:cs="Arial"/>
                <w:sz w:val="24"/>
                <w:szCs w:val="24"/>
              </w:rPr>
              <w:t xml:space="preserve">Financial Report and compliance with Financial Transparency Objectives </w:t>
            </w:r>
            <w:r w:rsidR="00812195" w:rsidRPr="000E3A82">
              <w:rPr>
                <w:rFonts w:ascii="Arial" w:eastAsia="Arial" w:hAnsi="Arial" w:cs="Arial"/>
                <w:sz w:val="24"/>
                <w:szCs w:val="24"/>
              </w:rPr>
              <w:t xml:space="preserve">as </w:t>
            </w:r>
            <w:r w:rsidR="00805011" w:rsidRPr="000E3A82">
              <w:rPr>
                <w:rFonts w:ascii="Arial" w:eastAsia="Arial" w:hAnsi="Arial" w:cs="Arial"/>
                <w:sz w:val="24"/>
                <w:szCs w:val="24"/>
              </w:rPr>
              <w:t>specified by the Buyer in the Order Form;</w:t>
            </w:r>
          </w:p>
        </w:tc>
      </w:tr>
      <w:tr w:rsidR="00515856" w:rsidRPr="001370AF" w14:paraId="63AB67C5" w14:textId="77777777" w:rsidTr="000E3A82">
        <w:tc>
          <w:tcPr>
            <w:tcW w:w="2405" w:type="dxa"/>
          </w:tcPr>
          <w:p w14:paraId="6AA51F1A"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"Auditor"</w:t>
            </w:r>
          </w:p>
        </w:tc>
        <w:tc>
          <w:tcPr>
            <w:tcW w:w="7342" w:type="dxa"/>
          </w:tcPr>
          <w:p w14:paraId="5BA70D26" w14:textId="77777777" w:rsidR="00515856" w:rsidRPr="000E3A82" w:rsidRDefault="00650C99">
            <w:pPr>
              <w:numPr>
                <w:ilvl w:val="0"/>
                <w:numId w:val="2"/>
              </w:numPr>
              <w:pBdr>
                <w:top w:val="nil"/>
                <w:left w:val="nil"/>
                <w:bottom w:val="nil"/>
                <w:right w:val="nil"/>
                <w:between w:val="nil"/>
              </w:pBdr>
              <w:tabs>
                <w:tab w:val="left" w:pos="-179"/>
                <w:tab w:val="left" w:pos="-9"/>
              </w:tabs>
              <w:spacing w:after="120"/>
              <w:ind w:left="501" w:hanging="331"/>
              <w:jc w:val="both"/>
              <w:rPr>
                <w:rFonts w:ascii="Arial" w:eastAsia="Arial" w:hAnsi="Arial" w:cs="Arial"/>
                <w:sz w:val="24"/>
                <w:szCs w:val="24"/>
              </w:rPr>
            </w:pPr>
            <w:r w:rsidRPr="000E3A82">
              <w:rPr>
                <w:rFonts w:ascii="Arial" w:eastAsia="Arial" w:hAnsi="Arial" w:cs="Arial"/>
                <w:sz w:val="24"/>
                <w:szCs w:val="24"/>
              </w:rPr>
              <w:t>the Buyer’s internal and external auditors;</w:t>
            </w:r>
          </w:p>
          <w:p w14:paraId="32B04971" w14:textId="77777777" w:rsidR="00515856" w:rsidRPr="000E3A82" w:rsidRDefault="00650C99">
            <w:pPr>
              <w:numPr>
                <w:ilvl w:val="0"/>
                <w:numId w:val="2"/>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the Buyer’s statutory or regulatory auditors;</w:t>
            </w:r>
          </w:p>
          <w:p w14:paraId="2FFE3756" w14:textId="77777777" w:rsidR="00515856" w:rsidRPr="000E3A82" w:rsidRDefault="00650C99">
            <w:pPr>
              <w:numPr>
                <w:ilvl w:val="0"/>
                <w:numId w:val="2"/>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the Comptroller and Auditor General, their staff and/or any appointed representatives of the National Audit Office;</w:t>
            </w:r>
          </w:p>
          <w:p w14:paraId="469DBC6D" w14:textId="77777777" w:rsidR="00515856" w:rsidRPr="000E3A82" w:rsidRDefault="00650C99">
            <w:pPr>
              <w:numPr>
                <w:ilvl w:val="0"/>
                <w:numId w:val="2"/>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HM Treasury or the Cabinet Office;</w:t>
            </w:r>
          </w:p>
          <w:p w14:paraId="2C5287CD" w14:textId="77777777" w:rsidR="00515856" w:rsidRPr="000E3A82" w:rsidRDefault="00650C99">
            <w:pPr>
              <w:numPr>
                <w:ilvl w:val="0"/>
                <w:numId w:val="2"/>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any party formally appointed by the Buyer to carry out audit or similar review functions; and</w:t>
            </w:r>
          </w:p>
          <w:p w14:paraId="75309405" w14:textId="77777777" w:rsidR="00515856" w:rsidRPr="000E3A82" w:rsidRDefault="00650C99">
            <w:pPr>
              <w:numPr>
                <w:ilvl w:val="0"/>
                <w:numId w:val="2"/>
              </w:numPr>
              <w:pBdr>
                <w:top w:val="nil"/>
                <w:left w:val="nil"/>
                <w:bottom w:val="nil"/>
                <w:right w:val="nil"/>
                <w:between w:val="nil"/>
              </w:pBdr>
              <w:tabs>
                <w:tab w:val="left" w:pos="-179"/>
                <w:tab w:val="left" w:pos="-9"/>
              </w:tabs>
              <w:spacing w:after="120"/>
              <w:ind w:left="461" w:hanging="288"/>
              <w:jc w:val="both"/>
              <w:rPr>
                <w:rFonts w:ascii="Arial" w:eastAsia="Arial" w:hAnsi="Arial" w:cs="Arial"/>
                <w:sz w:val="24"/>
                <w:szCs w:val="24"/>
              </w:rPr>
            </w:pPr>
            <w:r w:rsidRPr="000E3A82">
              <w:rPr>
                <w:rFonts w:ascii="Arial" w:eastAsia="Arial" w:hAnsi="Arial" w:cs="Arial"/>
                <w:sz w:val="24"/>
                <w:szCs w:val="24"/>
              </w:rPr>
              <w:t>successors or assigns of any of the above;</w:t>
            </w:r>
          </w:p>
        </w:tc>
      </w:tr>
      <w:tr w:rsidR="00515856" w:rsidRPr="001370AF" w14:paraId="54F46F09" w14:textId="77777777" w:rsidTr="000E3A82">
        <w:trPr>
          <w:trHeight w:val="601"/>
        </w:trPr>
        <w:tc>
          <w:tcPr>
            <w:tcW w:w="2405" w:type="dxa"/>
          </w:tcPr>
          <w:p w14:paraId="41B8D665"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"Authority"</w:t>
            </w:r>
          </w:p>
        </w:tc>
        <w:tc>
          <w:tcPr>
            <w:tcW w:w="7342" w:type="dxa"/>
          </w:tcPr>
          <w:p w14:paraId="6B05B4C2" w14:textId="77777777" w:rsidR="00515856" w:rsidRPr="001370AF" w:rsidRDefault="00650C99" w:rsidP="000E3A82">
            <w:pPr>
              <w:tabs>
                <w:tab w:val="left" w:pos="-179"/>
                <w:tab w:val="left" w:pos="561"/>
              </w:tabs>
              <w:spacing w:after="120"/>
              <w:ind w:left="278" w:right="421"/>
              <w:jc w:val="both"/>
              <w:rPr>
                <w:rFonts w:ascii="Arial" w:eastAsia="Arial" w:hAnsi="Arial" w:cs="Arial"/>
                <w:sz w:val="24"/>
                <w:szCs w:val="24"/>
              </w:rPr>
            </w:pPr>
            <w:r w:rsidRPr="001370AF">
              <w:rPr>
                <w:rFonts w:ascii="Arial" w:eastAsia="Arial" w:hAnsi="Arial" w:cs="Arial"/>
                <w:sz w:val="24"/>
                <w:szCs w:val="24"/>
              </w:rPr>
              <w:t>CCS and each Buyer;</w:t>
            </w:r>
          </w:p>
        </w:tc>
      </w:tr>
      <w:tr w:rsidR="00515856" w:rsidRPr="001370AF" w14:paraId="12F3F236" w14:textId="77777777" w:rsidTr="000E3A82">
        <w:tc>
          <w:tcPr>
            <w:tcW w:w="2405" w:type="dxa"/>
          </w:tcPr>
          <w:p w14:paraId="40549026" w14:textId="77777777" w:rsidR="00515856" w:rsidRPr="001370AF" w:rsidRDefault="00650C99" w:rsidP="00705C17">
            <w:pPr>
              <w:pBdr>
                <w:top w:val="nil"/>
                <w:left w:val="nil"/>
                <w:bottom w:val="nil"/>
                <w:right w:val="nil"/>
                <w:between w:val="nil"/>
              </w:pBdr>
              <w:ind w:left="142"/>
              <w:rPr>
                <w:rFonts w:ascii="Arial" w:eastAsia="Arial" w:hAnsi="Arial" w:cs="Arial"/>
                <w:b/>
                <w:color w:val="000000"/>
                <w:sz w:val="24"/>
                <w:szCs w:val="24"/>
              </w:rPr>
            </w:pPr>
            <w:r w:rsidRPr="001370AF">
              <w:rPr>
                <w:rFonts w:ascii="Arial" w:eastAsia="Arial" w:hAnsi="Arial" w:cs="Arial"/>
                <w:b/>
                <w:color w:val="000000"/>
                <w:sz w:val="24"/>
                <w:szCs w:val="24"/>
              </w:rPr>
              <w:t>"Authority Cause"</w:t>
            </w:r>
          </w:p>
        </w:tc>
        <w:tc>
          <w:tcPr>
            <w:tcW w:w="7342" w:type="dxa"/>
          </w:tcPr>
          <w:p w14:paraId="072AE085"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515856" w:rsidRPr="001370AF" w14:paraId="26A7B264" w14:textId="77777777" w:rsidTr="000E3A82">
        <w:tc>
          <w:tcPr>
            <w:tcW w:w="2405" w:type="dxa"/>
          </w:tcPr>
          <w:p w14:paraId="339FB552"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"BACS"</w:t>
            </w:r>
          </w:p>
        </w:tc>
        <w:tc>
          <w:tcPr>
            <w:tcW w:w="7342" w:type="dxa"/>
          </w:tcPr>
          <w:p w14:paraId="10FBCB01"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Bankers’ Automated Clearing Services, which is a scheme for the electronic processing of financial transactions within the United Kingdom;</w:t>
            </w:r>
          </w:p>
        </w:tc>
      </w:tr>
      <w:tr w:rsidR="00515856" w:rsidRPr="001370AF" w14:paraId="78B704F1" w14:textId="77777777" w:rsidTr="000E3A82">
        <w:tc>
          <w:tcPr>
            <w:tcW w:w="2405" w:type="dxa"/>
          </w:tcPr>
          <w:p w14:paraId="0A7375AE"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"Beneficiary"</w:t>
            </w:r>
          </w:p>
        </w:tc>
        <w:tc>
          <w:tcPr>
            <w:tcW w:w="7342" w:type="dxa"/>
          </w:tcPr>
          <w:p w14:paraId="0A76556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 Party having (or claiming to have) the benefit of an indemnity under this Contract;</w:t>
            </w:r>
          </w:p>
        </w:tc>
      </w:tr>
      <w:tr w:rsidR="00515856" w:rsidRPr="001370AF" w14:paraId="4CB699E9" w14:textId="77777777" w:rsidTr="000E3A82">
        <w:tc>
          <w:tcPr>
            <w:tcW w:w="2405" w:type="dxa"/>
          </w:tcPr>
          <w:p w14:paraId="2045780E"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"Buyer"</w:t>
            </w:r>
          </w:p>
        </w:tc>
        <w:tc>
          <w:tcPr>
            <w:tcW w:w="7342" w:type="dxa"/>
          </w:tcPr>
          <w:p w14:paraId="241B7725"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relevant public sector purchaser identified as such in the Order Form;</w:t>
            </w:r>
          </w:p>
        </w:tc>
      </w:tr>
      <w:tr w:rsidR="00515856" w:rsidRPr="001370AF" w14:paraId="65F7FBC5" w14:textId="77777777" w:rsidTr="000E3A82">
        <w:tc>
          <w:tcPr>
            <w:tcW w:w="2405" w:type="dxa"/>
          </w:tcPr>
          <w:p w14:paraId="143B66D3" w14:textId="77777777" w:rsidR="00515856" w:rsidRPr="001370AF" w:rsidRDefault="00650C99"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"Buyer Assets"</w:t>
            </w:r>
          </w:p>
        </w:tc>
        <w:tc>
          <w:tcPr>
            <w:tcW w:w="7342" w:type="dxa"/>
          </w:tcPr>
          <w:p w14:paraId="45E464B3"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515856" w:rsidRPr="001370AF" w14:paraId="53676239" w14:textId="77777777" w:rsidTr="000E3A82">
        <w:tc>
          <w:tcPr>
            <w:tcW w:w="2405" w:type="dxa"/>
          </w:tcPr>
          <w:p w14:paraId="75829F1D"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"Buyer Authorised Representative"</w:t>
            </w:r>
          </w:p>
        </w:tc>
        <w:tc>
          <w:tcPr>
            <w:tcW w:w="7342" w:type="dxa"/>
          </w:tcPr>
          <w:p w14:paraId="2F1F009D"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representative appointed by the Buyer from time to time in relation to the Call-Off Contract initially identified in the Order Form;</w:t>
            </w:r>
          </w:p>
        </w:tc>
      </w:tr>
      <w:tr w:rsidR="00515856" w:rsidRPr="001370AF" w14:paraId="4EDEC3A0" w14:textId="77777777" w:rsidTr="000E3A82">
        <w:tc>
          <w:tcPr>
            <w:tcW w:w="2405" w:type="dxa"/>
          </w:tcPr>
          <w:p w14:paraId="403000B8"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"Buyer Premises"</w:t>
            </w:r>
          </w:p>
        </w:tc>
        <w:tc>
          <w:tcPr>
            <w:tcW w:w="7342" w:type="dxa"/>
          </w:tcPr>
          <w:p w14:paraId="0C986EC9"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premises owned, controlled or occupied by the Buyer which are made available for use by the Supplier or its Subcontractors for the provision of the Deliverables (or any of them);</w:t>
            </w:r>
          </w:p>
        </w:tc>
      </w:tr>
      <w:tr w:rsidR="00515856" w:rsidRPr="001370AF" w14:paraId="4B7700E7" w14:textId="77777777" w:rsidTr="000E3A82">
        <w:tc>
          <w:tcPr>
            <w:tcW w:w="2405" w:type="dxa"/>
          </w:tcPr>
          <w:p w14:paraId="5303AA37"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"Call-Off Contract"</w:t>
            </w:r>
          </w:p>
        </w:tc>
        <w:tc>
          <w:tcPr>
            <w:tcW w:w="7342" w:type="dxa"/>
          </w:tcPr>
          <w:p w14:paraId="4EA5D8B2"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contract between the Buyer and the Supplier (entered into pursuant to the provisions of the Framework Contract), which consists of the terms set out and referred to in the Order Form;</w:t>
            </w:r>
          </w:p>
        </w:tc>
      </w:tr>
      <w:tr w:rsidR="00515856" w:rsidRPr="001370AF" w14:paraId="0032029D" w14:textId="77777777" w:rsidTr="000E3A82">
        <w:tc>
          <w:tcPr>
            <w:tcW w:w="2405" w:type="dxa"/>
          </w:tcPr>
          <w:p w14:paraId="2F6A6866"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"Call-Off Contract Period"</w:t>
            </w:r>
          </w:p>
        </w:tc>
        <w:tc>
          <w:tcPr>
            <w:tcW w:w="7342" w:type="dxa"/>
          </w:tcPr>
          <w:p w14:paraId="2033D9AA"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Contract Period in respect of the Call-Off Contract;</w:t>
            </w:r>
          </w:p>
        </w:tc>
      </w:tr>
      <w:tr w:rsidR="00515856" w:rsidRPr="001370AF" w14:paraId="20D7C628" w14:textId="77777777" w:rsidTr="000E3A82">
        <w:tc>
          <w:tcPr>
            <w:tcW w:w="2405" w:type="dxa"/>
          </w:tcPr>
          <w:p w14:paraId="199AE8D3"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"Call-Off Expiry Date"</w:t>
            </w:r>
          </w:p>
        </w:tc>
        <w:tc>
          <w:tcPr>
            <w:tcW w:w="7342" w:type="dxa"/>
          </w:tcPr>
          <w:p w14:paraId="66E2AB70"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scheduled date of the end of a Call-Off Contract as stated in the Order Form;</w:t>
            </w:r>
          </w:p>
        </w:tc>
      </w:tr>
      <w:tr w:rsidR="00515856" w:rsidRPr="001370AF" w14:paraId="27146E3B" w14:textId="77777777" w:rsidTr="000E3A82">
        <w:tc>
          <w:tcPr>
            <w:tcW w:w="2405" w:type="dxa"/>
          </w:tcPr>
          <w:p w14:paraId="10D9A9C0"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"Call-Off Incorporated Terms"</w:t>
            </w:r>
          </w:p>
        </w:tc>
        <w:tc>
          <w:tcPr>
            <w:tcW w:w="7342" w:type="dxa"/>
          </w:tcPr>
          <w:p w14:paraId="0951ED9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contractual terms applicable to the Call-Off Contract specified under the relevant heading in the Order Form;</w:t>
            </w:r>
          </w:p>
        </w:tc>
      </w:tr>
      <w:tr w:rsidR="00515856" w:rsidRPr="001370AF" w14:paraId="4FA088B1" w14:textId="77777777" w:rsidTr="000E3A82">
        <w:tc>
          <w:tcPr>
            <w:tcW w:w="2405" w:type="dxa"/>
          </w:tcPr>
          <w:p w14:paraId="55D5A5FF"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"Call-Off Initial Period"</w:t>
            </w:r>
          </w:p>
        </w:tc>
        <w:tc>
          <w:tcPr>
            <w:tcW w:w="7342" w:type="dxa"/>
          </w:tcPr>
          <w:p w14:paraId="004E1C4E"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Initial Period of a Call-Off Contract specified in the Order Form;</w:t>
            </w:r>
          </w:p>
        </w:tc>
      </w:tr>
      <w:tr w:rsidR="00515856" w:rsidRPr="001370AF" w14:paraId="65F0AE91" w14:textId="77777777" w:rsidTr="000E3A82">
        <w:tc>
          <w:tcPr>
            <w:tcW w:w="2405" w:type="dxa"/>
          </w:tcPr>
          <w:p w14:paraId="5CA8DC85"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"Call-Off Optional Extension Period"</w:t>
            </w:r>
          </w:p>
        </w:tc>
        <w:tc>
          <w:tcPr>
            <w:tcW w:w="7342" w:type="dxa"/>
          </w:tcPr>
          <w:p w14:paraId="5520C9F5"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such period or periods beyond which the Call-Off Initial Period may be extended as specified in the Order Form;</w:t>
            </w:r>
          </w:p>
        </w:tc>
      </w:tr>
      <w:tr w:rsidR="00515856" w:rsidRPr="001370AF" w14:paraId="2A584BBC" w14:textId="77777777" w:rsidTr="000E3A82">
        <w:tc>
          <w:tcPr>
            <w:tcW w:w="2405" w:type="dxa"/>
          </w:tcPr>
          <w:p w14:paraId="5D65E676"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"Call-Off Procedure"</w:t>
            </w:r>
          </w:p>
        </w:tc>
        <w:tc>
          <w:tcPr>
            <w:tcW w:w="7342" w:type="dxa"/>
          </w:tcPr>
          <w:p w14:paraId="29472B63"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process for awarding a Call-Off Contract pursuant to Clause 2 (How the contract works) and Framework Schedule 7 (Call-Off Award Procedure);</w:t>
            </w:r>
          </w:p>
        </w:tc>
      </w:tr>
      <w:tr w:rsidR="00515856" w:rsidRPr="001370AF" w14:paraId="3C08DD50" w14:textId="77777777" w:rsidTr="000E3A82">
        <w:tc>
          <w:tcPr>
            <w:tcW w:w="2405" w:type="dxa"/>
          </w:tcPr>
          <w:p w14:paraId="185E2BD0"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"Call-Off Special Terms"</w:t>
            </w:r>
          </w:p>
        </w:tc>
        <w:tc>
          <w:tcPr>
            <w:tcW w:w="7342" w:type="dxa"/>
          </w:tcPr>
          <w:p w14:paraId="6FC38D19"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 xml:space="preserve">any additional terms and conditions specified in the Order Form incorporated into the applicable Call-Off Contract; </w:t>
            </w:r>
          </w:p>
        </w:tc>
      </w:tr>
      <w:tr w:rsidR="00515856" w:rsidRPr="001370AF" w14:paraId="5F73BDEB" w14:textId="77777777" w:rsidTr="000E3A82">
        <w:tc>
          <w:tcPr>
            <w:tcW w:w="2405" w:type="dxa"/>
          </w:tcPr>
          <w:p w14:paraId="3B1F08D3"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"Call-Off Start Date"</w:t>
            </w:r>
          </w:p>
        </w:tc>
        <w:tc>
          <w:tcPr>
            <w:tcW w:w="7342" w:type="dxa"/>
          </w:tcPr>
          <w:p w14:paraId="30A25A6C"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date of start of a Call-Off Contract as stated in the Order Form;</w:t>
            </w:r>
          </w:p>
        </w:tc>
      </w:tr>
      <w:tr w:rsidR="00515856" w:rsidRPr="001370AF" w14:paraId="2F93A2C1" w14:textId="77777777" w:rsidTr="000E3A82">
        <w:tc>
          <w:tcPr>
            <w:tcW w:w="2405" w:type="dxa"/>
          </w:tcPr>
          <w:p w14:paraId="7649D4A8"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"Call-Off Tender"</w:t>
            </w:r>
          </w:p>
        </w:tc>
        <w:tc>
          <w:tcPr>
            <w:tcW w:w="7342" w:type="dxa"/>
          </w:tcPr>
          <w:p w14:paraId="09702DA4"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tender submitted by the Supplier in response to the Buyer’s Statement of Requirements following a Further Competition Procedure and set out at Call-Off Schedule 4 (Call-Off Tender);</w:t>
            </w:r>
          </w:p>
        </w:tc>
      </w:tr>
      <w:tr w:rsidR="00515856" w:rsidRPr="001370AF" w14:paraId="235F932D" w14:textId="77777777" w:rsidTr="000E3A82">
        <w:tc>
          <w:tcPr>
            <w:tcW w:w="2405" w:type="dxa"/>
          </w:tcPr>
          <w:p w14:paraId="4DD7861A"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"CCS"</w:t>
            </w:r>
          </w:p>
        </w:tc>
        <w:tc>
          <w:tcPr>
            <w:tcW w:w="7342" w:type="dxa"/>
          </w:tcPr>
          <w:p w14:paraId="604071EE"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515856" w:rsidRPr="001370AF" w14:paraId="617A0F2C" w14:textId="77777777" w:rsidTr="000E3A82">
        <w:tc>
          <w:tcPr>
            <w:tcW w:w="2405" w:type="dxa"/>
          </w:tcPr>
          <w:p w14:paraId="249DE56A"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"CCS Authorised Representative"</w:t>
            </w:r>
          </w:p>
        </w:tc>
        <w:tc>
          <w:tcPr>
            <w:tcW w:w="7342" w:type="dxa"/>
          </w:tcPr>
          <w:p w14:paraId="5876D299"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representative appointed by CCS from time to time in relation to the Framework Contract initially identified in the Framework Award Form;</w:t>
            </w:r>
          </w:p>
        </w:tc>
      </w:tr>
      <w:tr w:rsidR="00515856" w:rsidRPr="001370AF" w14:paraId="3A7DAB93" w14:textId="77777777" w:rsidTr="000E3A82">
        <w:tc>
          <w:tcPr>
            <w:tcW w:w="2405" w:type="dxa"/>
          </w:tcPr>
          <w:p w14:paraId="22A4F1CA" w14:textId="77777777" w:rsidR="00515856" w:rsidRPr="001370AF" w:rsidRDefault="00650C99"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"Central Government Body"</w:t>
            </w:r>
          </w:p>
        </w:tc>
        <w:tc>
          <w:tcPr>
            <w:tcW w:w="7342" w:type="dxa"/>
          </w:tcPr>
          <w:p w14:paraId="2CDC8DF4"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 body listed in one of the following sub-categories of the Central Government classification of the Public Sector Classification Guide, as published and amended from time to time by the Office for National Statistics:</w:t>
            </w:r>
          </w:p>
          <w:p w14:paraId="243E8CA1"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sidRPr="001370AF">
              <w:rPr>
                <w:rFonts w:ascii="Arial" w:eastAsia="Arial" w:hAnsi="Arial" w:cs="Arial"/>
                <w:color w:val="000000"/>
                <w:sz w:val="24"/>
                <w:szCs w:val="24"/>
              </w:rPr>
              <w:t>Government Department;</w:t>
            </w:r>
          </w:p>
          <w:p w14:paraId="0EA5BECE"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Non-Departmental Public Body or Assembly Sponsored Public Body (advisory, executive, or tribunal);</w:t>
            </w:r>
          </w:p>
          <w:p w14:paraId="07958ECD"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sidRPr="001370AF">
              <w:rPr>
                <w:rFonts w:ascii="Arial" w:eastAsia="Arial" w:hAnsi="Arial" w:cs="Arial"/>
                <w:color w:val="000000"/>
                <w:sz w:val="24"/>
                <w:szCs w:val="24"/>
              </w:rPr>
              <w:t>Non-Ministerial Department; or</w:t>
            </w:r>
          </w:p>
          <w:p w14:paraId="0F93F729"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sidRPr="001370AF">
              <w:rPr>
                <w:rFonts w:ascii="Arial" w:eastAsia="Arial" w:hAnsi="Arial" w:cs="Arial"/>
                <w:color w:val="000000"/>
                <w:sz w:val="24"/>
                <w:szCs w:val="24"/>
              </w:rPr>
              <w:t>Executive Agency;</w:t>
            </w:r>
          </w:p>
        </w:tc>
      </w:tr>
      <w:tr w:rsidR="00515856" w:rsidRPr="001370AF" w14:paraId="2A5985F4" w14:textId="77777777" w:rsidTr="000E3A82">
        <w:tc>
          <w:tcPr>
            <w:tcW w:w="2405" w:type="dxa"/>
          </w:tcPr>
          <w:p w14:paraId="022BEB6A"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"Change in Law"</w:t>
            </w:r>
          </w:p>
        </w:tc>
        <w:tc>
          <w:tcPr>
            <w:tcW w:w="7342" w:type="dxa"/>
          </w:tcPr>
          <w:p w14:paraId="69F30025"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 xml:space="preserve">any change in Law which impacts on the supply of the Deliverables and performance of the Contract which comes into force after the Start Date; </w:t>
            </w:r>
          </w:p>
        </w:tc>
      </w:tr>
      <w:tr w:rsidR="00515856" w:rsidRPr="001370AF" w14:paraId="37CE0AD9" w14:textId="77777777" w:rsidTr="000E3A82">
        <w:tc>
          <w:tcPr>
            <w:tcW w:w="2405" w:type="dxa"/>
          </w:tcPr>
          <w:p w14:paraId="4774AB72"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"Change of Control"</w:t>
            </w:r>
          </w:p>
        </w:tc>
        <w:tc>
          <w:tcPr>
            <w:tcW w:w="7342" w:type="dxa"/>
          </w:tcPr>
          <w:p w14:paraId="61E20B08"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 change of control within the meaning of Section 450 of the Corporation Tax Act 2010;</w:t>
            </w:r>
          </w:p>
        </w:tc>
      </w:tr>
      <w:tr w:rsidR="00515856" w:rsidRPr="001370AF" w14:paraId="6139EBF8" w14:textId="77777777" w:rsidTr="000E3A82">
        <w:tc>
          <w:tcPr>
            <w:tcW w:w="2405" w:type="dxa"/>
          </w:tcPr>
          <w:p w14:paraId="7682F19C"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"Charges"</w:t>
            </w:r>
          </w:p>
        </w:tc>
        <w:tc>
          <w:tcPr>
            <w:tcW w:w="7342" w:type="dxa"/>
          </w:tcPr>
          <w:p w14:paraId="187BD22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515856" w:rsidRPr="001370AF" w14:paraId="150BAC40" w14:textId="77777777" w:rsidTr="000E3A82">
        <w:tc>
          <w:tcPr>
            <w:tcW w:w="2405" w:type="dxa"/>
          </w:tcPr>
          <w:p w14:paraId="061E8614"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"Claim"</w:t>
            </w:r>
          </w:p>
        </w:tc>
        <w:tc>
          <w:tcPr>
            <w:tcW w:w="7342" w:type="dxa"/>
          </w:tcPr>
          <w:p w14:paraId="5C0A5FD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any claim which it appears that a Beneficiary is, or may become, entitled to indemnification under this Contract;</w:t>
            </w:r>
          </w:p>
        </w:tc>
      </w:tr>
      <w:tr w:rsidR="00515856" w:rsidRPr="001370AF" w14:paraId="68EFA363" w14:textId="77777777" w:rsidTr="000E3A82">
        <w:tc>
          <w:tcPr>
            <w:tcW w:w="2405" w:type="dxa"/>
          </w:tcPr>
          <w:p w14:paraId="7BDBD15D"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"Commercially Sensitive Information"</w:t>
            </w:r>
          </w:p>
        </w:tc>
        <w:tc>
          <w:tcPr>
            <w:tcW w:w="7342" w:type="dxa"/>
          </w:tcPr>
          <w:p w14:paraId="3AFBCCE1"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515856" w:rsidRPr="001370AF" w14:paraId="62E8A3EA" w14:textId="77777777" w:rsidTr="000E3A82">
        <w:tc>
          <w:tcPr>
            <w:tcW w:w="2405" w:type="dxa"/>
          </w:tcPr>
          <w:p w14:paraId="4C5BEA06"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"Comparable Supply"</w:t>
            </w:r>
          </w:p>
        </w:tc>
        <w:tc>
          <w:tcPr>
            <w:tcW w:w="7342" w:type="dxa"/>
          </w:tcPr>
          <w:p w14:paraId="7D2DD8F1"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supply of Deliverables to another Buyer of the Supplier that are the same or similar to the Deliverables;</w:t>
            </w:r>
          </w:p>
        </w:tc>
      </w:tr>
      <w:tr w:rsidR="00515856" w:rsidRPr="001370AF" w14:paraId="632126B1" w14:textId="77777777" w:rsidTr="000E3A82">
        <w:tc>
          <w:tcPr>
            <w:tcW w:w="2405" w:type="dxa"/>
          </w:tcPr>
          <w:p w14:paraId="11E52658"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"Compliance Officer"</w:t>
            </w:r>
          </w:p>
        </w:tc>
        <w:tc>
          <w:tcPr>
            <w:tcW w:w="7342" w:type="dxa"/>
          </w:tcPr>
          <w:p w14:paraId="1EFCCBBF"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person(s) appointed by the Supplier who is responsible for ensuring that the Supplier complies with its legal obligations;</w:t>
            </w:r>
          </w:p>
        </w:tc>
      </w:tr>
      <w:tr w:rsidR="00515856" w:rsidRPr="001370AF" w14:paraId="45CD5549" w14:textId="77777777" w:rsidTr="000E3A82">
        <w:tc>
          <w:tcPr>
            <w:tcW w:w="2405" w:type="dxa"/>
          </w:tcPr>
          <w:p w14:paraId="09D63902"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"Confidential Information"</w:t>
            </w:r>
          </w:p>
        </w:tc>
        <w:tc>
          <w:tcPr>
            <w:tcW w:w="7342" w:type="dxa"/>
          </w:tcPr>
          <w:p w14:paraId="7A55B9FF"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"confidential") or which ought reasonably to be considered to be confidential;</w:t>
            </w:r>
          </w:p>
        </w:tc>
      </w:tr>
      <w:tr w:rsidR="00515856" w:rsidRPr="001370AF" w14:paraId="2177D5B3" w14:textId="77777777" w:rsidTr="000E3A82">
        <w:tc>
          <w:tcPr>
            <w:tcW w:w="2405" w:type="dxa"/>
          </w:tcPr>
          <w:p w14:paraId="714DAFDA" w14:textId="77777777" w:rsidR="00515856" w:rsidRPr="001370AF" w:rsidRDefault="00650C99"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"Conflict of Interest"</w:t>
            </w:r>
          </w:p>
        </w:tc>
        <w:tc>
          <w:tcPr>
            <w:tcW w:w="7342" w:type="dxa"/>
          </w:tcPr>
          <w:p w14:paraId="4C603255"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 conflict between the financial or personal duties of the Supplier or the Supplier Staff and the duties owed to CCS or any Buyer under a Contract, in the reasonable opinion of the Buyer or CCS;</w:t>
            </w:r>
          </w:p>
        </w:tc>
      </w:tr>
      <w:tr w:rsidR="00515856" w:rsidRPr="001370AF" w14:paraId="1F3377F9" w14:textId="77777777" w:rsidTr="000E3A82">
        <w:tc>
          <w:tcPr>
            <w:tcW w:w="2405" w:type="dxa"/>
          </w:tcPr>
          <w:p w14:paraId="0D4E004F"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"Contract"</w:t>
            </w:r>
          </w:p>
        </w:tc>
        <w:tc>
          <w:tcPr>
            <w:tcW w:w="7342" w:type="dxa"/>
          </w:tcPr>
          <w:p w14:paraId="046E86BB"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either the Framework Contract or the Call-Off Contract, as the context requires;</w:t>
            </w:r>
          </w:p>
        </w:tc>
      </w:tr>
      <w:tr w:rsidR="00515856" w:rsidRPr="001370AF" w14:paraId="225453B6" w14:textId="77777777" w:rsidTr="000E3A82">
        <w:tc>
          <w:tcPr>
            <w:tcW w:w="2405" w:type="dxa"/>
          </w:tcPr>
          <w:p w14:paraId="148E3C3D"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"Contract Period"</w:t>
            </w:r>
          </w:p>
        </w:tc>
        <w:tc>
          <w:tcPr>
            <w:tcW w:w="7342" w:type="dxa"/>
          </w:tcPr>
          <w:p w14:paraId="2FA9AD2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term of either a Framework Contract or Call-Off Contract on and from the earlier of the:</w:t>
            </w:r>
          </w:p>
          <w:p w14:paraId="1B64857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 applicable Start Date; or</w:t>
            </w:r>
          </w:p>
          <w:p w14:paraId="7A60E6F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b) the Effective Date</w:t>
            </w:r>
          </w:p>
          <w:p w14:paraId="72898F88"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 xml:space="preserve">up to and including the applicable End Date; </w:t>
            </w:r>
          </w:p>
        </w:tc>
      </w:tr>
      <w:tr w:rsidR="00515856" w:rsidRPr="001370AF" w14:paraId="37336A1B" w14:textId="77777777" w:rsidTr="000E3A82">
        <w:tc>
          <w:tcPr>
            <w:tcW w:w="2405" w:type="dxa"/>
          </w:tcPr>
          <w:p w14:paraId="181C37F9"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"Contract Value"</w:t>
            </w:r>
          </w:p>
        </w:tc>
        <w:tc>
          <w:tcPr>
            <w:tcW w:w="7342" w:type="dxa"/>
          </w:tcPr>
          <w:p w14:paraId="0D9C108B"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higher of the actual or expected total Charges paid or payable under a Contract where all obligations are met by the Supplier;</w:t>
            </w:r>
          </w:p>
        </w:tc>
      </w:tr>
      <w:tr w:rsidR="00515856" w:rsidRPr="001370AF" w14:paraId="53474C88" w14:textId="77777777" w:rsidTr="000E3A82">
        <w:tc>
          <w:tcPr>
            <w:tcW w:w="2405" w:type="dxa"/>
          </w:tcPr>
          <w:p w14:paraId="4A7A5DD5"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"Contract Year"</w:t>
            </w:r>
          </w:p>
        </w:tc>
        <w:tc>
          <w:tcPr>
            <w:tcW w:w="7342" w:type="dxa"/>
          </w:tcPr>
          <w:p w14:paraId="536E8DEB"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 consecutive period of twelve (12) Months commencing on the Start Date or each anniversary thereof;</w:t>
            </w:r>
          </w:p>
        </w:tc>
      </w:tr>
      <w:tr w:rsidR="00515856" w:rsidRPr="001370AF" w14:paraId="414B94F1" w14:textId="77777777" w:rsidTr="000E3A82">
        <w:tc>
          <w:tcPr>
            <w:tcW w:w="2405" w:type="dxa"/>
          </w:tcPr>
          <w:p w14:paraId="714FE747"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"Control"</w:t>
            </w:r>
          </w:p>
        </w:tc>
        <w:tc>
          <w:tcPr>
            <w:tcW w:w="7342" w:type="dxa"/>
          </w:tcPr>
          <w:p w14:paraId="216881E3"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control in either of the senses defined in sections 450 and 1124 of the Corporation Tax Act 2010 and "Controlled" shall be construed accordingly;</w:t>
            </w:r>
          </w:p>
        </w:tc>
      </w:tr>
      <w:tr w:rsidR="00515856" w:rsidRPr="001370AF" w14:paraId="37A66C4F" w14:textId="77777777" w:rsidTr="000E3A82">
        <w:tc>
          <w:tcPr>
            <w:tcW w:w="2405" w:type="dxa"/>
          </w:tcPr>
          <w:p w14:paraId="0B9DB33A"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“Controller”</w:t>
            </w:r>
          </w:p>
        </w:tc>
        <w:tc>
          <w:tcPr>
            <w:tcW w:w="7342" w:type="dxa"/>
          </w:tcPr>
          <w:p w14:paraId="3BF16B19"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has the meaning given to it in the GDPR;</w:t>
            </w:r>
          </w:p>
        </w:tc>
      </w:tr>
      <w:tr w:rsidR="00515856" w:rsidRPr="001370AF" w14:paraId="626D63C7" w14:textId="77777777" w:rsidTr="000E3A82">
        <w:tc>
          <w:tcPr>
            <w:tcW w:w="2405" w:type="dxa"/>
          </w:tcPr>
          <w:p w14:paraId="0695DE75"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“Core Terms”</w:t>
            </w:r>
          </w:p>
        </w:tc>
        <w:tc>
          <w:tcPr>
            <w:tcW w:w="7342" w:type="dxa"/>
          </w:tcPr>
          <w:p w14:paraId="3E83D41E"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CCS’ standard terms and conditions for common goods and services which govern how Supplier must interact with CCS and Buyers under Framework Contracts and Call-Off Contracts;</w:t>
            </w:r>
          </w:p>
        </w:tc>
      </w:tr>
      <w:tr w:rsidR="00515856" w:rsidRPr="001370AF" w14:paraId="5389ACD8" w14:textId="77777777" w:rsidTr="000E3A82">
        <w:tc>
          <w:tcPr>
            <w:tcW w:w="2405" w:type="dxa"/>
          </w:tcPr>
          <w:p w14:paraId="1999C42E"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"Costs"</w:t>
            </w:r>
          </w:p>
        </w:tc>
        <w:tc>
          <w:tcPr>
            <w:tcW w:w="7342" w:type="dxa"/>
          </w:tcPr>
          <w:p w14:paraId="3B07C7FE"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following costs (without double recovery) to the extent that they are reasonably and properly incurred by the Supplier in providing the Deliverables:</w:t>
            </w:r>
          </w:p>
          <w:p w14:paraId="3490265A"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the cost to the Supplier or the Key Subcontractor (as the context requires), calculated per Work Day, of engaging the Supplier Staff, including:</w:t>
            </w:r>
          </w:p>
          <w:p w14:paraId="191C24B0" w14:textId="77777777" w:rsidR="00515856" w:rsidRPr="001370AF" w:rsidRDefault="00650C99">
            <w:pPr>
              <w:numPr>
                <w:ilvl w:val="2"/>
                <w:numId w:val="1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base salary paid to the Supplier Staff;</w:t>
            </w:r>
          </w:p>
          <w:p w14:paraId="67B82D2E" w14:textId="77777777" w:rsidR="00515856" w:rsidRPr="001370AF" w:rsidRDefault="00650C99">
            <w:pPr>
              <w:numPr>
                <w:ilvl w:val="2"/>
                <w:numId w:val="1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employer’s National Insurance contributions;</w:t>
            </w:r>
          </w:p>
          <w:p w14:paraId="1FAA3539" w14:textId="77777777" w:rsidR="00515856" w:rsidRPr="001370AF" w:rsidRDefault="00650C99">
            <w:pPr>
              <w:numPr>
                <w:ilvl w:val="2"/>
                <w:numId w:val="1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pension contributions;</w:t>
            </w:r>
          </w:p>
          <w:p w14:paraId="5FC89AAE" w14:textId="77777777" w:rsidR="00515856" w:rsidRPr="001370AF" w:rsidRDefault="00650C99">
            <w:pPr>
              <w:numPr>
                <w:ilvl w:val="2"/>
                <w:numId w:val="1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 xml:space="preserve">car allowances; </w:t>
            </w:r>
          </w:p>
          <w:p w14:paraId="2DE2F049" w14:textId="77777777" w:rsidR="00515856" w:rsidRPr="001370AF" w:rsidRDefault="00650C99">
            <w:pPr>
              <w:numPr>
                <w:ilvl w:val="2"/>
                <w:numId w:val="1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any other contractual employment benefits;</w:t>
            </w:r>
          </w:p>
          <w:p w14:paraId="7628E9A6" w14:textId="77777777" w:rsidR="00515856" w:rsidRPr="001370AF" w:rsidRDefault="00650C99">
            <w:pPr>
              <w:numPr>
                <w:ilvl w:val="2"/>
                <w:numId w:val="1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staff training;</w:t>
            </w:r>
          </w:p>
          <w:p w14:paraId="1A9869F0" w14:textId="77777777" w:rsidR="00515856" w:rsidRPr="001370AF" w:rsidRDefault="00650C99">
            <w:pPr>
              <w:numPr>
                <w:ilvl w:val="2"/>
                <w:numId w:val="1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work place accommodation;</w:t>
            </w:r>
          </w:p>
          <w:p w14:paraId="6424CD90" w14:textId="77777777" w:rsidR="00515856" w:rsidRPr="001370AF" w:rsidRDefault="00650C99">
            <w:pPr>
              <w:numPr>
                <w:ilvl w:val="2"/>
                <w:numId w:val="1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lastRenderedPageBreak/>
              <w:t>work place IT equipment and tools reasonably necessary to provide the Deliverables (but not including items included within limb (b) below); and</w:t>
            </w:r>
          </w:p>
          <w:p w14:paraId="72EF020C" w14:textId="77777777" w:rsidR="00515856" w:rsidRPr="001370AF" w:rsidRDefault="00650C99">
            <w:pPr>
              <w:numPr>
                <w:ilvl w:val="2"/>
                <w:numId w:val="1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 xml:space="preserve">reasonable recruitment costs, as agreed with the Buyer; </w:t>
            </w:r>
          </w:p>
          <w:p w14:paraId="562E8669"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1E75451"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329A9007"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Reimbursable Expenses to the extent these have been specified as allowable in the Order Form and are incurred in delivering any Deliverables;</w:t>
            </w:r>
          </w:p>
          <w:p w14:paraId="6E9425E5" w14:textId="77777777" w:rsidR="00515856" w:rsidRPr="001370AF" w:rsidRDefault="00650C99">
            <w:pPr>
              <w:pBdr>
                <w:top w:val="nil"/>
                <w:left w:val="nil"/>
                <w:bottom w:val="nil"/>
                <w:right w:val="nil"/>
                <w:between w:val="nil"/>
              </w:pBdr>
              <w:tabs>
                <w:tab w:val="left" w:pos="-179"/>
                <w:tab w:val="left" w:pos="411"/>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ab/>
              <w:t>but excluding:</w:t>
            </w:r>
          </w:p>
          <w:p w14:paraId="447EBBBA"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sidRPr="001370AF">
              <w:rPr>
                <w:rFonts w:ascii="Arial" w:eastAsia="Arial" w:hAnsi="Arial" w:cs="Arial"/>
                <w:color w:val="000000"/>
                <w:sz w:val="24"/>
                <w:szCs w:val="24"/>
              </w:rPr>
              <w:t>Overhead;</w:t>
            </w:r>
          </w:p>
          <w:p w14:paraId="4CF49A06"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sidRPr="001370AF">
              <w:rPr>
                <w:rFonts w:ascii="Arial" w:eastAsia="Arial" w:hAnsi="Arial" w:cs="Arial"/>
                <w:color w:val="000000"/>
                <w:sz w:val="24"/>
                <w:szCs w:val="24"/>
              </w:rPr>
              <w:t>financing or similar costs;</w:t>
            </w:r>
          </w:p>
          <w:p w14:paraId="5EC5AEA5"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60C9E14E"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sidRPr="001370AF">
              <w:rPr>
                <w:rFonts w:ascii="Arial" w:eastAsia="Arial" w:hAnsi="Arial" w:cs="Arial"/>
                <w:color w:val="000000"/>
                <w:sz w:val="24"/>
                <w:szCs w:val="24"/>
              </w:rPr>
              <w:t>taxation;</w:t>
            </w:r>
          </w:p>
          <w:p w14:paraId="3BD566B8"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sidRPr="001370AF">
              <w:rPr>
                <w:rFonts w:ascii="Arial" w:eastAsia="Arial" w:hAnsi="Arial" w:cs="Arial"/>
                <w:color w:val="000000"/>
                <w:sz w:val="24"/>
                <w:szCs w:val="24"/>
              </w:rPr>
              <w:t>fines and penalties;</w:t>
            </w:r>
          </w:p>
          <w:p w14:paraId="04D28494"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amounts payable under Call-Off Schedule 16 (Benchmarking) where such Schedule is used; and</w:t>
            </w:r>
          </w:p>
          <w:p w14:paraId="1B34CC2D" w14:textId="77777777" w:rsidR="00515856" w:rsidRPr="001370AF" w:rsidRDefault="00650C99">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non-cash items (including depreciation, amortisation, impairments and movements in provisions);</w:t>
            </w:r>
          </w:p>
        </w:tc>
      </w:tr>
      <w:tr w:rsidR="00515856" w:rsidRPr="001370AF" w14:paraId="0CFC8CAC" w14:textId="77777777" w:rsidTr="000E3A82">
        <w:tc>
          <w:tcPr>
            <w:tcW w:w="2405" w:type="dxa"/>
          </w:tcPr>
          <w:p w14:paraId="63B8B3C8"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"CRTPA"</w:t>
            </w:r>
          </w:p>
        </w:tc>
        <w:tc>
          <w:tcPr>
            <w:tcW w:w="7342" w:type="dxa"/>
          </w:tcPr>
          <w:p w14:paraId="3FD5ED4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Contract Rights of Third Parties Act 1999;</w:t>
            </w:r>
          </w:p>
        </w:tc>
      </w:tr>
      <w:tr w:rsidR="00515856" w:rsidRPr="001370AF" w14:paraId="75AB11CB" w14:textId="77777777" w:rsidTr="000E3A82">
        <w:tc>
          <w:tcPr>
            <w:tcW w:w="2405" w:type="dxa"/>
          </w:tcPr>
          <w:p w14:paraId="4FAD47B9"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“Data Protection Impact Assessment”</w:t>
            </w:r>
          </w:p>
        </w:tc>
        <w:tc>
          <w:tcPr>
            <w:tcW w:w="7342" w:type="dxa"/>
          </w:tcPr>
          <w:p w14:paraId="45A5689C"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an assessment by the Controller of the impact of the envisaged Processing on the protection of Personal Data;</w:t>
            </w:r>
          </w:p>
        </w:tc>
      </w:tr>
      <w:tr w:rsidR="00515856" w:rsidRPr="001370AF" w14:paraId="13494944" w14:textId="77777777" w:rsidTr="000E3A82">
        <w:tc>
          <w:tcPr>
            <w:tcW w:w="2405" w:type="dxa"/>
          </w:tcPr>
          <w:p w14:paraId="3ED692E1"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"Data Protection Legislation"</w:t>
            </w:r>
          </w:p>
        </w:tc>
        <w:tc>
          <w:tcPr>
            <w:tcW w:w="7342" w:type="dxa"/>
          </w:tcPr>
          <w:p w14:paraId="48CD9E93"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515856" w:rsidRPr="001370AF" w14:paraId="6F6A8548" w14:textId="77777777" w:rsidTr="000E3A82">
        <w:tc>
          <w:tcPr>
            <w:tcW w:w="2405" w:type="dxa"/>
          </w:tcPr>
          <w:p w14:paraId="7D8C83B3"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“Data Protection Liability Cap”</w:t>
            </w:r>
          </w:p>
        </w:tc>
        <w:tc>
          <w:tcPr>
            <w:tcW w:w="7342" w:type="dxa"/>
          </w:tcPr>
          <w:p w14:paraId="12A56D9B"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amount specified in the Framework Award Form;</w:t>
            </w:r>
          </w:p>
        </w:tc>
      </w:tr>
      <w:tr w:rsidR="00515856" w:rsidRPr="001370AF" w14:paraId="7E496135" w14:textId="77777777" w:rsidTr="000E3A82">
        <w:tc>
          <w:tcPr>
            <w:tcW w:w="2405" w:type="dxa"/>
          </w:tcPr>
          <w:p w14:paraId="64882147"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"Data Protection Officer"</w:t>
            </w:r>
          </w:p>
        </w:tc>
        <w:tc>
          <w:tcPr>
            <w:tcW w:w="7342" w:type="dxa"/>
          </w:tcPr>
          <w:p w14:paraId="5571800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has the meaning given to it in the GDPR;</w:t>
            </w:r>
          </w:p>
        </w:tc>
      </w:tr>
      <w:tr w:rsidR="00515856" w:rsidRPr="001370AF" w14:paraId="3CD00D65" w14:textId="77777777" w:rsidTr="000E3A82">
        <w:tc>
          <w:tcPr>
            <w:tcW w:w="2405" w:type="dxa"/>
          </w:tcPr>
          <w:p w14:paraId="60233832"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"Data Subject"</w:t>
            </w:r>
          </w:p>
        </w:tc>
        <w:tc>
          <w:tcPr>
            <w:tcW w:w="7342" w:type="dxa"/>
          </w:tcPr>
          <w:p w14:paraId="422FBF70"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has the meaning given to it in the GDPR;</w:t>
            </w:r>
          </w:p>
        </w:tc>
      </w:tr>
      <w:tr w:rsidR="00515856" w:rsidRPr="001370AF" w14:paraId="4720B487" w14:textId="77777777" w:rsidTr="000E3A82">
        <w:tc>
          <w:tcPr>
            <w:tcW w:w="2405" w:type="dxa"/>
          </w:tcPr>
          <w:p w14:paraId="149EB023"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"Data Subject Access Request"</w:t>
            </w:r>
          </w:p>
        </w:tc>
        <w:tc>
          <w:tcPr>
            <w:tcW w:w="7342" w:type="dxa"/>
          </w:tcPr>
          <w:p w14:paraId="26D7FD64"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 request made by, or on behalf of, a Data Subject in accordance with rights granted pursuant to the Data Protection Legislation to access their Personal Data;</w:t>
            </w:r>
          </w:p>
        </w:tc>
      </w:tr>
      <w:tr w:rsidR="00515856" w:rsidRPr="001370AF" w14:paraId="0F4712A7" w14:textId="77777777" w:rsidTr="000E3A82">
        <w:tc>
          <w:tcPr>
            <w:tcW w:w="2405" w:type="dxa"/>
          </w:tcPr>
          <w:p w14:paraId="4CBA78A8"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"Deductions"</w:t>
            </w:r>
          </w:p>
        </w:tc>
        <w:tc>
          <w:tcPr>
            <w:tcW w:w="7342" w:type="dxa"/>
          </w:tcPr>
          <w:p w14:paraId="28B3A82A"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all Service Credits, Delay Payments (if applicable), or any other deduction which the Buyer is paid or is payable to the Buyer under a Call-Off Contract;</w:t>
            </w:r>
          </w:p>
        </w:tc>
      </w:tr>
      <w:tr w:rsidR="00515856" w:rsidRPr="001370AF" w14:paraId="092D0D84" w14:textId="77777777" w:rsidTr="000E3A82">
        <w:tc>
          <w:tcPr>
            <w:tcW w:w="2405" w:type="dxa"/>
          </w:tcPr>
          <w:p w14:paraId="34A33768"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"Default"</w:t>
            </w:r>
          </w:p>
        </w:tc>
        <w:tc>
          <w:tcPr>
            <w:tcW w:w="7342" w:type="dxa"/>
          </w:tcPr>
          <w:p w14:paraId="74916719" w14:textId="77777777" w:rsidR="00515856" w:rsidRPr="001370AF"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0E3A82">
              <w:rPr>
                <w:rFonts w:ascii="Arial" w:eastAsia="Arial" w:hAnsi="Arial" w:cs="Arial"/>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515856" w:rsidRPr="001370AF" w14:paraId="0F11330F" w14:textId="77777777" w:rsidTr="000E3A82">
        <w:tc>
          <w:tcPr>
            <w:tcW w:w="2405" w:type="dxa"/>
          </w:tcPr>
          <w:p w14:paraId="206C35EE"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"Default Management Charge"</w:t>
            </w:r>
          </w:p>
        </w:tc>
        <w:tc>
          <w:tcPr>
            <w:tcW w:w="7342" w:type="dxa"/>
          </w:tcPr>
          <w:p w14:paraId="725DAF0B"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has the meaning given to it in Paragraph 8.1.1 of Framework Schedule 5 (Management Charges and Information);</w:t>
            </w:r>
          </w:p>
        </w:tc>
      </w:tr>
      <w:tr w:rsidR="00515856" w:rsidRPr="001370AF" w14:paraId="7F10EADB" w14:textId="77777777" w:rsidTr="000E3A82">
        <w:tc>
          <w:tcPr>
            <w:tcW w:w="2405" w:type="dxa"/>
          </w:tcPr>
          <w:p w14:paraId="21E075E2"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"Delay Payments"</w:t>
            </w:r>
          </w:p>
        </w:tc>
        <w:tc>
          <w:tcPr>
            <w:tcW w:w="7342" w:type="dxa"/>
          </w:tcPr>
          <w:p w14:paraId="3B1711C1"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amounts (if any) payable by the Supplier to the Buyer in respect of a delay in respect of a Milestone as specified in the Implementation Plan;</w:t>
            </w:r>
          </w:p>
        </w:tc>
      </w:tr>
      <w:tr w:rsidR="00515856" w:rsidRPr="001370AF" w14:paraId="5A408435" w14:textId="77777777" w:rsidTr="000E3A82">
        <w:tc>
          <w:tcPr>
            <w:tcW w:w="2405" w:type="dxa"/>
          </w:tcPr>
          <w:p w14:paraId="470EDA48"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"Deliverables"</w:t>
            </w:r>
          </w:p>
        </w:tc>
        <w:tc>
          <w:tcPr>
            <w:tcW w:w="7342" w:type="dxa"/>
          </w:tcPr>
          <w:p w14:paraId="1FD8C66A"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 xml:space="preserve">Goods and/or Services that may be ordered under the Contract including the Documentation; </w:t>
            </w:r>
          </w:p>
        </w:tc>
      </w:tr>
      <w:tr w:rsidR="00515856" w:rsidRPr="001370AF" w14:paraId="2325A022" w14:textId="77777777" w:rsidTr="000E3A82">
        <w:tc>
          <w:tcPr>
            <w:tcW w:w="2405" w:type="dxa"/>
          </w:tcPr>
          <w:p w14:paraId="781CCBD4"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"Delivery"</w:t>
            </w:r>
          </w:p>
        </w:tc>
        <w:tc>
          <w:tcPr>
            <w:tcW w:w="7342" w:type="dxa"/>
          </w:tcPr>
          <w:p w14:paraId="03C47769"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proofErr w:type="gramStart"/>
            <w:r w:rsidRPr="000E3A82">
              <w:rPr>
                <w:rFonts w:ascii="Arial" w:eastAsia="Arial" w:hAnsi="Arial" w:cs="Arial"/>
                <w:sz w:val="24"/>
                <w:szCs w:val="24"/>
              </w:rPr>
              <w:t>delivery</w:t>
            </w:r>
            <w:proofErr w:type="gramEnd"/>
            <w:r w:rsidRPr="000E3A82">
              <w:rPr>
                <w:rFonts w:ascii="Arial" w:eastAsia="Arial" w:hAnsi="Arial" w:cs="Arial"/>
                <w:sz w:val="24"/>
                <w:szCs w:val="24"/>
              </w:rPr>
              <w:t xml:space="preserve">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"Deliver" and "Delivered" shall be construed accordingly;</w:t>
            </w:r>
          </w:p>
        </w:tc>
      </w:tr>
      <w:tr w:rsidR="00515856" w:rsidRPr="001370AF" w14:paraId="3A86EC65" w14:textId="77777777" w:rsidTr="000E3A82">
        <w:tc>
          <w:tcPr>
            <w:tcW w:w="2405" w:type="dxa"/>
          </w:tcPr>
          <w:p w14:paraId="757CF989"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"Disclosing Party"</w:t>
            </w:r>
          </w:p>
        </w:tc>
        <w:tc>
          <w:tcPr>
            <w:tcW w:w="7342" w:type="dxa"/>
          </w:tcPr>
          <w:p w14:paraId="567DFE05"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Party directly or indirectly providing Confidential Information to the other Party in accordance with Clause 15 (What you must keep confidential);</w:t>
            </w:r>
          </w:p>
        </w:tc>
      </w:tr>
      <w:tr w:rsidR="00515856" w:rsidRPr="001370AF" w14:paraId="41B01C5A" w14:textId="77777777" w:rsidTr="000E3A82">
        <w:tc>
          <w:tcPr>
            <w:tcW w:w="2405" w:type="dxa"/>
          </w:tcPr>
          <w:p w14:paraId="6527ABB7" w14:textId="77777777" w:rsidR="00515856" w:rsidRPr="001370AF" w:rsidRDefault="00650C99"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"Dispute"</w:t>
            </w:r>
          </w:p>
        </w:tc>
        <w:tc>
          <w:tcPr>
            <w:tcW w:w="7342" w:type="dxa"/>
          </w:tcPr>
          <w:p w14:paraId="3DF38131"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15856" w:rsidRPr="001370AF" w14:paraId="46C6F9E9" w14:textId="77777777" w:rsidTr="000E3A82">
        <w:tc>
          <w:tcPr>
            <w:tcW w:w="2405" w:type="dxa"/>
          </w:tcPr>
          <w:p w14:paraId="1C3C8396"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"Dispute Resolution Procedure"</w:t>
            </w:r>
          </w:p>
        </w:tc>
        <w:tc>
          <w:tcPr>
            <w:tcW w:w="7342" w:type="dxa"/>
          </w:tcPr>
          <w:p w14:paraId="5890D1A1"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dispute resolution procedure set out in Clause 34 (Resolving disputes);</w:t>
            </w:r>
          </w:p>
        </w:tc>
      </w:tr>
      <w:tr w:rsidR="00515856" w:rsidRPr="001370AF" w14:paraId="0BF205C2" w14:textId="77777777" w:rsidTr="000E3A82">
        <w:tc>
          <w:tcPr>
            <w:tcW w:w="2405" w:type="dxa"/>
          </w:tcPr>
          <w:p w14:paraId="5A6E331D"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"Documentation"</w:t>
            </w:r>
          </w:p>
        </w:tc>
        <w:tc>
          <w:tcPr>
            <w:tcW w:w="7342" w:type="dxa"/>
          </w:tcPr>
          <w:p w14:paraId="50ABC6B6" w14:textId="77777777" w:rsidR="00515856" w:rsidRPr="001370AF" w:rsidRDefault="00650C99">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8F31286" w14:textId="77777777" w:rsidR="00515856" w:rsidRPr="001370AF" w:rsidRDefault="00650C99">
            <w:pPr>
              <w:numPr>
                <w:ilvl w:val="0"/>
                <w:numId w:val="12"/>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501A99C9" w14:textId="77777777" w:rsidR="00515856" w:rsidRPr="001370AF" w:rsidRDefault="00650C99">
            <w:pPr>
              <w:numPr>
                <w:ilvl w:val="0"/>
                <w:numId w:val="12"/>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is required by the Supplier in order to provide the Deliverables; and/or</w:t>
            </w:r>
          </w:p>
          <w:p w14:paraId="278A9E92" w14:textId="77777777" w:rsidR="00515856" w:rsidRPr="001370AF" w:rsidRDefault="00650C99">
            <w:pPr>
              <w:numPr>
                <w:ilvl w:val="0"/>
                <w:numId w:val="1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has been or shall be generated for the purpose of providing the Deliverables;</w:t>
            </w:r>
          </w:p>
        </w:tc>
      </w:tr>
      <w:tr w:rsidR="00515856" w:rsidRPr="001370AF" w14:paraId="37213E98" w14:textId="77777777" w:rsidTr="000E3A82">
        <w:tc>
          <w:tcPr>
            <w:tcW w:w="2405" w:type="dxa"/>
          </w:tcPr>
          <w:p w14:paraId="5ED39839"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"DOTAS"</w:t>
            </w:r>
          </w:p>
        </w:tc>
        <w:tc>
          <w:tcPr>
            <w:tcW w:w="7342" w:type="dxa"/>
          </w:tcPr>
          <w:p w14:paraId="7683BE1C"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15856" w:rsidRPr="001370AF" w14:paraId="43492A16" w14:textId="77777777" w:rsidTr="000E3A82">
        <w:tc>
          <w:tcPr>
            <w:tcW w:w="2405" w:type="dxa"/>
          </w:tcPr>
          <w:p w14:paraId="116B21F7"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“DPA 2018”</w:t>
            </w:r>
          </w:p>
        </w:tc>
        <w:tc>
          <w:tcPr>
            <w:tcW w:w="7342" w:type="dxa"/>
          </w:tcPr>
          <w:p w14:paraId="5602C4EA"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Data Protection Act 2018;</w:t>
            </w:r>
          </w:p>
        </w:tc>
      </w:tr>
      <w:tr w:rsidR="00515856" w:rsidRPr="001370AF" w14:paraId="4E465C41" w14:textId="77777777" w:rsidTr="000E3A82">
        <w:tc>
          <w:tcPr>
            <w:tcW w:w="2405" w:type="dxa"/>
          </w:tcPr>
          <w:p w14:paraId="68E0691A"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"Due Diligence Information"</w:t>
            </w:r>
          </w:p>
        </w:tc>
        <w:tc>
          <w:tcPr>
            <w:tcW w:w="7342" w:type="dxa"/>
          </w:tcPr>
          <w:p w14:paraId="042D05DB"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any information supplied to the Supplier by or on behalf of the Authority prior to the Start Date;</w:t>
            </w:r>
          </w:p>
        </w:tc>
      </w:tr>
      <w:tr w:rsidR="00515856" w:rsidRPr="001370AF" w14:paraId="37ECF29B" w14:textId="77777777" w:rsidTr="000E3A82">
        <w:tc>
          <w:tcPr>
            <w:tcW w:w="2405" w:type="dxa"/>
          </w:tcPr>
          <w:p w14:paraId="7C4DFE34"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“Effective Date”</w:t>
            </w:r>
          </w:p>
        </w:tc>
        <w:tc>
          <w:tcPr>
            <w:tcW w:w="7342" w:type="dxa"/>
          </w:tcPr>
          <w:p w14:paraId="571E13DD"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date on which the final Party has signed the Contract;</w:t>
            </w:r>
          </w:p>
        </w:tc>
      </w:tr>
      <w:tr w:rsidR="00515856" w:rsidRPr="001370AF" w14:paraId="3D000BF2" w14:textId="77777777" w:rsidTr="000E3A82">
        <w:tc>
          <w:tcPr>
            <w:tcW w:w="2405" w:type="dxa"/>
          </w:tcPr>
          <w:p w14:paraId="1823FEAD"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"EIR"</w:t>
            </w:r>
          </w:p>
        </w:tc>
        <w:tc>
          <w:tcPr>
            <w:tcW w:w="7342" w:type="dxa"/>
          </w:tcPr>
          <w:p w14:paraId="37EDE892"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Environmental Information Regulations 2004;</w:t>
            </w:r>
          </w:p>
        </w:tc>
      </w:tr>
      <w:tr w:rsidR="00515856" w:rsidRPr="001370AF" w14:paraId="03F1FA89" w14:textId="77777777" w:rsidTr="000E3A82">
        <w:tc>
          <w:tcPr>
            <w:tcW w:w="2405" w:type="dxa"/>
          </w:tcPr>
          <w:p w14:paraId="45D713C3"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“Electronic Invoice”</w:t>
            </w:r>
          </w:p>
        </w:tc>
        <w:tc>
          <w:tcPr>
            <w:tcW w:w="7342" w:type="dxa"/>
          </w:tcPr>
          <w:p w14:paraId="671DF94D"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 xml:space="preserve">an invoice which has been issued, transmitted and received in a structured electronic format which allows for its automatic and electronic processing and which complies with (a) the </w:t>
            </w:r>
            <w:r w:rsidRPr="000E3A82">
              <w:rPr>
                <w:rFonts w:ascii="Arial" w:eastAsia="Arial" w:hAnsi="Arial" w:cs="Arial"/>
                <w:sz w:val="24"/>
                <w:szCs w:val="24"/>
              </w:rPr>
              <w:lastRenderedPageBreak/>
              <w:t>European standard and (b) any of the syntaxes published in Commission Implementing Decision (EU) 2017/1870;</w:t>
            </w:r>
          </w:p>
        </w:tc>
      </w:tr>
      <w:tr w:rsidR="00515856" w:rsidRPr="001370AF" w14:paraId="1ADDF2FC" w14:textId="77777777" w:rsidTr="000E3A82">
        <w:tc>
          <w:tcPr>
            <w:tcW w:w="2405" w:type="dxa"/>
          </w:tcPr>
          <w:p w14:paraId="7524FB09"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"Employment Regulations"</w:t>
            </w:r>
          </w:p>
        </w:tc>
        <w:tc>
          <w:tcPr>
            <w:tcW w:w="7342" w:type="dxa"/>
          </w:tcPr>
          <w:p w14:paraId="26BF7AFD"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Transfer of Undertakings (Protection of Employment) Regulations 2006 (SI 2006/246) as amended or replaced or any other Regulations implementing the European Council Directive 77/187/EEC;</w:t>
            </w:r>
          </w:p>
        </w:tc>
      </w:tr>
      <w:tr w:rsidR="00515856" w:rsidRPr="001370AF" w14:paraId="7452E079" w14:textId="77777777" w:rsidTr="000E3A82">
        <w:tc>
          <w:tcPr>
            <w:tcW w:w="2405" w:type="dxa"/>
          </w:tcPr>
          <w:p w14:paraId="4FBF746E"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 xml:space="preserve">"End Date" </w:t>
            </w:r>
          </w:p>
        </w:tc>
        <w:tc>
          <w:tcPr>
            <w:tcW w:w="7342" w:type="dxa"/>
          </w:tcPr>
          <w:p w14:paraId="7EE2735A" w14:textId="77777777" w:rsidR="00515856" w:rsidRPr="001370AF" w:rsidRDefault="00650C99">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sidRPr="001370AF">
              <w:rPr>
                <w:rFonts w:ascii="Arial" w:eastAsia="Arial" w:hAnsi="Arial" w:cs="Arial"/>
                <w:color w:val="000000"/>
                <w:sz w:val="24"/>
                <w:szCs w:val="24"/>
              </w:rPr>
              <w:t xml:space="preserve">the earlier of: </w:t>
            </w:r>
          </w:p>
          <w:p w14:paraId="50704A44" w14:textId="77777777" w:rsidR="00515856" w:rsidRPr="001370AF" w:rsidRDefault="00650C99" w:rsidP="00DC23CD">
            <w:pPr>
              <w:numPr>
                <w:ilvl w:val="0"/>
                <w:numId w:val="14"/>
              </w:numPr>
              <w:pBdr>
                <w:top w:val="nil"/>
                <w:left w:val="nil"/>
                <w:bottom w:val="nil"/>
                <w:right w:val="nil"/>
                <w:between w:val="nil"/>
              </w:pBdr>
              <w:tabs>
                <w:tab w:val="left" w:pos="-576"/>
                <w:tab w:val="left" w:pos="144"/>
              </w:tabs>
              <w:ind w:right="105"/>
              <w:jc w:val="both"/>
              <w:rPr>
                <w:rFonts w:ascii="Arial" w:eastAsia="Arial" w:hAnsi="Arial" w:cs="Arial"/>
                <w:color w:val="000000"/>
                <w:sz w:val="24"/>
                <w:szCs w:val="24"/>
              </w:rPr>
            </w:pPr>
            <w:r w:rsidRPr="001370AF">
              <w:rPr>
                <w:rFonts w:ascii="Arial" w:eastAsia="Arial" w:hAnsi="Arial" w:cs="Arial"/>
                <w:color w:val="000000"/>
                <w:sz w:val="24"/>
                <w:szCs w:val="24"/>
              </w:rPr>
              <w:t>the Expiry Date (as extended by any Extension Period exercised by the Relevant Authority under Clause 10.1.2); or</w:t>
            </w:r>
          </w:p>
          <w:p w14:paraId="2415D32B" w14:textId="1DD406E8" w:rsidR="00975EB4" w:rsidRPr="001370AF" w:rsidRDefault="00650C99" w:rsidP="00614707">
            <w:pPr>
              <w:numPr>
                <w:ilvl w:val="0"/>
                <w:numId w:val="14"/>
              </w:numPr>
              <w:pBdr>
                <w:top w:val="nil"/>
                <w:left w:val="nil"/>
                <w:bottom w:val="nil"/>
                <w:right w:val="nil"/>
                <w:between w:val="nil"/>
              </w:pBdr>
              <w:tabs>
                <w:tab w:val="left" w:pos="-576"/>
                <w:tab w:val="left" w:pos="144"/>
              </w:tabs>
              <w:spacing w:after="120"/>
              <w:ind w:right="105"/>
              <w:jc w:val="both"/>
              <w:rPr>
                <w:rFonts w:ascii="Arial" w:eastAsia="Arial" w:hAnsi="Arial" w:cs="Arial"/>
                <w:color w:val="000000"/>
                <w:sz w:val="24"/>
                <w:szCs w:val="24"/>
              </w:rPr>
            </w:pPr>
            <w:r w:rsidRPr="001370AF">
              <w:rPr>
                <w:rFonts w:ascii="Arial" w:eastAsia="Arial" w:hAnsi="Arial" w:cs="Arial"/>
                <w:color w:val="000000"/>
                <w:sz w:val="24"/>
                <w:szCs w:val="24"/>
              </w:rPr>
              <w:t>if a Contract is terminated before the date specified in (a) above, the date of termination of the Contract;</w:t>
            </w:r>
            <w:r w:rsidR="00975EB4" w:rsidRPr="001370AF">
              <w:rPr>
                <w:rFonts w:ascii="Arial" w:eastAsia="Arial" w:hAnsi="Arial" w:cs="Arial"/>
                <w:color w:val="000000"/>
                <w:sz w:val="24"/>
                <w:szCs w:val="24"/>
              </w:rPr>
              <w:t xml:space="preserve">  </w:t>
            </w:r>
          </w:p>
        </w:tc>
      </w:tr>
      <w:tr w:rsidR="00515856" w:rsidRPr="001370AF" w14:paraId="30F4B6FC" w14:textId="77777777" w:rsidTr="000E3A82">
        <w:tc>
          <w:tcPr>
            <w:tcW w:w="2405" w:type="dxa"/>
          </w:tcPr>
          <w:p w14:paraId="2A7A8994"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"Environmental Policy"</w:t>
            </w:r>
          </w:p>
        </w:tc>
        <w:tc>
          <w:tcPr>
            <w:tcW w:w="7342" w:type="dxa"/>
          </w:tcPr>
          <w:p w14:paraId="39FCC3EA"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15856" w:rsidRPr="001370AF" w14:paraId="16081F71" w14:textId="77777777" w:rsidTr="000E3A82">
        <w:tc>
          <w:tcPr>
            <w:tcW w:w="2405" w:type="dxa"/>
          </w:tcPr>
          <w:p w14:paraId="371CA642"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"Equality and Human Rights Commission"</w:t>
            </w:r>
          </w:p>
        </w:tc>
        <w:tc>
          <w:tcPr>
            <w:tcW w:w="7342" w:type="dxa"/>
          </w:tcPr>
          <w:p w14:paraId="6122FB1B"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UK Government body named as such as may be renamed or replaced by an equivalent body from time to time;</w:t>
            </w:r>
          </w:p>
        </w:tc>
      </w:tr>
      <w:tr w:rsidR="00515856" w:rsidRPr="001370AF" w14:paraId="3C36700B" w14:textId="77777777" w:rsidTr="000E3A82">
        <w:tc>
          <w:tcPr>
            <w:tcW w:w="2405" w:type="dxa"/>
          </w:tcPr>
          <w:p w14:paraId="50AAE35A" w14:textId="77777777" w:rsidR="00515856" w:rsidRPr="001370AF" w:rsidRDefault="00650C99"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“Estimated Year 1 Charges”</w:t>
            </w:r>
          </w:p>
        </w:tc>
        <w:tc>
          <w:tcPr>
            <w:tcW w:w="7342" w:type="dxa"/>
          </w:tcPr>
          <w:p w14:paraId="46E0E17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anticipated total Charges payable by the Buyer in the first Contract Year specified in the Order Form;</w:t>
            </w:r>
          </w:p>
        </w:tc>
      </w:tr>
    </w:tbl>
    <w:tbl>
      <w:tblPr>
        <w:tblStyle w:val="a3"/>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515856" w:rsidRPr="001370AF" w14:paraId="05A31EAA" w14:textId="77777777">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5A9D37" w14:textId="77777777" w:rsidR="00515856" w:rsidRPr="001370AF" w:rsidRDefault="00650C99" w:rsidP="00705C17">
            <w:pPr>
              <w:pBdr>
                <w:top w:val="nil"/>
                <w:left w:val="nil"/>
                <w:bottom w:val="nil"/>
                <w:right w:val="nil"/>
                <w:between w:val="nil"/>
              </w:pBdr>
              <w:spacing w:after="120"/>
              <w:ind w:left="29"/>
              <w:rPr>
                <w:rFonts w:ascii="Arial" w:eastAsia="Arial" w:hAnsi="Arial" w:cs="Arial"/>
                <w:b/>
                <w:color w:val="000000"/>
                <w:sz w:val="24"/>
                <w:szCs w:val="24"/>
              </w:rPr>
            </w:pPr>
            <w:r w:rsidRPr="001370AF">
              <w:rPr>
                <w:rFonts w:ascii="Arial" w:eastAsia="Arial" w:hAnsi="Arial" w:cs="Arial"/>
                <w:b/>
                <w:color w:val="000000"/>
                <w:sz w:val="24"/>
                <w:szCs w:val="24"/>
              </w:rPr>
              <w:t>"Estimated Yearly Charges"</w:t>
            </w:r>
          </w:p>
        </w:tc>
        <w:tc>
          <w:tcPr>
            <w:tcW w:w="7350" w:type="dxa"/>
            <w:tcBorders>
              <w:top w:val="nil"/>
              <w:left w:val="nil"/>
              <w:bottom w:val="single" w:sz="8" w:space="0" w:color="000000"/>
              <w:right w:val="single" w:sz="8" w:space="0" w:color="000000"/>
            </w:tcBorders>
            <w:tcMar>
              <w:top w:w="0" w:type="dxa"/>
              <w:left w:w="108" w:type="dxa"/>
              <w:bottom w:w="0" w:type="dxa"/>
              <w:right w:w="108" w:type="dxa"/>
            </w:tcMar>
          </w:tcPr>
          <w:p w14:paraId="214E02B3"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means for the purposes of calculating each Party’s annual liability under clause 11.2:</w:t>
            </w:r>
          </w:p>
          <w:p w14:paraId="48CA5DF3"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proofErr w:type="spellStart"/>
            <w:r w:rsidRPr="000E3A82">
              <w:rPr>
                <w:rFonts w:ascii="Arial" w:eastAsia="Arial" w:hAnsi="Arial" w:cs="Arial"/>
                <w:sz w:val="24"/>
                <w:szCs w:val="24"/>
              </w:rPr>
              <w:t>i</w:t>
            </w:r>
            <w:proofErr w:type="spellEnd"/>
            <w:r w:rsidRPr="000E3A82">
              <w:rPr>
                <w:rFonts w:ascii="Arial" w:eastAsia="Arial" w:hAnsi="Arial" w:cs="Arial"/>
                <w:sz w:val="24"/>
                <w:szCs w:val="24"/>
              </w:rPr>
              <w:t xml:space="preserve">)  in the first Contract Year, the Estimated Year 1 Charges; or </w:t>
            </w:r>
          </w:p>
          <w:p w14:paraId="168313B7" w14:textId="77777777" w:rsidR="00515856" w:rsidRPr="000E3A82" w:rsidRDefault="00515856"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p>
          <w:p w14:paraId="3D97FE31" w14:textId="77777777" w:rsidR="00515856" w:rsidRPr="000E3A82" w:rsidRDefault="004D4586"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 xml:space="preserve">ii) in </w:t>
            </w:r>
            <w:r w:rsidR="00650C99" w:rsidRPr="000E3A82">
              <w:rPr>
                <w:rFonts w:ascii="Arial" w:eastAsia="Arial" w:hAnsi="Arial" w:cs="Arial"/>
                <w:sz w:val="24"/>
                <w:szCs w:val="24"/>
              </w:rPr>
              <w:t>any subsequent Contract Years, the Charges paid or payable in the previous Call-off Contract Year; or</w:t>
            </w:r>
          </w:p>
          <w:p w14:paraId="0AFF65CF" w14:textId="77777777" w:rsidR="00515856" w:rsidRPr="000E3A82" w:rsidRDefault="00515856"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p>
          <w:p w14:paraId="02F17F09" w14:textId="77777777" w:rsidR="00515856" w:rsidRPr="001370AF"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0E3A82">
              <w:rPr>
                <w:rFonts w:ascii="Arial" w:eastAsia="Arial" w:hAnsi="Arial" w:cs="Arial"/>
                <w:sz w:val="24"/>
                <w:szCs w:val="24"/>
              </w:rPr>
              <w:t>iii) after the end of the Call-off Contract, the Charges paid or payable in the last Contract Year during the Call-off Contract Period;</w:t>
            </w:r>
            <w:r w:rsidRPr="001370AF">
              <w:rPr>
                <w:rFonts w:ascii="Arial" w:eastAsia="Arial" w:hAnsi="Arial" w:cs="Arial"/>
                <w:color w:val="000000"/>
                <w:sz w:val="24"/>
                <w:szCs w:val="24"/>
              </w:rPr>
              <w:t xml:space="preserve">  </w:t>
            </w:r>
          </w:p>
        </w:tc>
      </w:tr>
      <w:tr w:rsidR="00515856" w:rsidRPr="001370AF" w14:paraId="45C30A62" w14:textId="77777777">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DC218C" w14:textId="77777777" w:rsidR="00515856" w:rsidRPr="001370AF" w:rsidRDefault="00650C99" w:rsidP="00705C17">
            <w:pPr>
              <w:pBdr>
                <w:top w:val="nil"/>
                <w:left w:val="nil"/>
                <w:bottom w:val="nil"/>
                <w:right w:val="nil"/>
                <w:between w:val="nil"/>
              </w:pBdr>
              <w:spacing w:after="120"/>
              <w:ind w:left="29"/>
              <w:rPr>
                <w:rFonts w:ascii="Arial" w:eastAsia="Arial" w:hAnsi="Arial" w:cs="Arial"/>
                <w:b/>
                <w:color w:val="000000"/>
                <w:sz w:val="24"/>
                <w:szCs w:val="24"/>
              </w:rPr>
            </w:pPr>
            <w:r w:rsidRPr="001370AF">
              <w:rPr>
                <w:rFonts w:ascii="Arial" w:eastAsia="Arial" w:hAnsi="Arial" w:cs="Arial"/>
                <w:sz w:val="24"/>
                <w:szCs w:val="24"/>
              </w:rPr>
              <w:t>“</w:t>
            </w:r>
            <w:r w:rsidRPr="001370AF">
              <w:rPr>
                <w:rFonts w:ascii="Arial" w:eastAsia="Arial" w:hAnsi="Arial" w:cs="Arial"/>
                <w:b/>
                <w:sz w:val="24"/>
                <w:szCs w:val="24"/>
              </w:rPr>
              <w:t>Exempt Buyer</w:t>
            </w:r>
            <w:r w:rsidRPr="001370AF">
              <w:rPr>
                <w:rFonts w:ascii="Arial" w:eastAsia="Arial" w:hAnsi="Arial" w:cs="Arial"/>
                <w:sz w:val="24"/>
                <w:szCs w:val="24"/>
              </w:rPr>
              <w:t>”</w:t>
            </w:r>
          </w:p>
        </w:tc>
        <w:tc>
          <w:tcPr>
            <w:tcW w:w="7350" w:type="dxa"/>
            <w:tcBorders>
              <w:top w:val="nil"/>
              <w:left w:val="nil"/>
              <w:bottom w:val="single" w:sz="8" w:space="0" w:color="000000"/>
              <w:right w:val="single" w:sz="8" w:space="0" w:color="000000"/>
            </w:tcBorders>
            <w:tcMar>
              <w:top w:w="0" w:type="dxa"/>
              <w:left w:w="108" w:type="dxa"/>
              <w:bottom w:w="0" w:type="dxa"/>
              <w:right w:w="108" w:type="dxa"/>
            </w:tcMar>
          </w:tcPr>
          <w:p w14:paraId="60FFD4C2" w14:textId="77777777" w:rsidR="00515856" w:rsidRPr="001370AF" w:rsidRDefault="00650C99">
            <w:pPr>
              <w:pBdr>
                <w:top w:val="nil"/>
                <w:left w:val="nil"/>
                <w:bottom w:val="nil"/>
                <w:right w:val="nil"/>
                <w:between w:val="nil"/>
              </w:pBdr>
              <w:spacing w:after="200" w:line="276" w:lineRule="auto"/>
              <w:jc w:val="both"/>
              <w:rPr>
                <w:rFonts w:ascii="Arial" w:eastAsia="Arial" w:hAnsi="Arial" w:cs="Arial"/>
                <w:color w:val="000000"/>
                <w:sz w:val="24"/>
                <w:szCs w:val="24"/>
              </w:rPr>
            </w:pPr>
            <w:r w:rsidRPr="001370AF">
              <w:rPr>
                <w:rFonts w:ascii="Arial" w:eastAsia="Arial" w:hAnsi="Arial" w:cs="Arial"/>
                <w:color w:val="000000"/>
                <w:sz w:val="24"/>
                <w:szCs w:val="24"/>
              </w:rPr>
              <w:t>a public sector purchaser that is:</w:t>
            </w:r>
          </w:p>
          <w:p w14:paraId="51921062" w14:textId="77777777" w:rsidR="00515856" w:rsidRPr="001370AF" w:rsidRDefault="00650C99">
            <w:pPr>
              <w:numPr>
                <w:ilvl w:val="0"/>
                <w:numId w:val="15"/>
              </w:numPr>
              <w:pBdr>
                <w:top w:val="nil"/>
                <w:left w:val="nil"/>
                <w:bottom w:val="nil"/>
                <w:right w:val="nil"/>
                <w:between w:val="nil"/>
              </w:pBdr>
              <w:tabs>
                <w:tab w:val="left" w:pos="-179"/>
                <w:tab w:val="left" w:pos="-9"/>
              </w:tabs>
              <w:spacing w:after="120"/>
              <w:ind w:left="388"/>
              <w:jc w:val="both"/>
              <w:rPr>
                <w:rFonts w:ascii="Arial" w:hAnsi="Arial" w:cs="Arial"/>
                <w:sz w:val="24"/>
                <w:szCs w:val="24"/>
              </w:rPr>
            </w:pPr>
            <w:r w:rsidRPr="001370AF">
              <w:rPr>
                <w:rFonts w:ascii="Arial" w:eastAsia="Arial" w:hAnsi="Arial" w:cs="Arial"/>
                <w:color w:val="000000"/>
                <w:sz w:val="24"/>
                <w:szCs w:val="24"/>
              </w:rPr>
              <w:t>eligible to use the Framework Contract; and</w:t>
            </w:r>
          </w:p>
          <w:p w14:paraId="6B8B6DBE" w14:textId="77777777" w:rsidR="00515856" w:rsidRPr="001370AF" w:rsidRDefault="00650C99">
            <w:pPr>
              <w:numPr>
                <w:ilvl w:val="0"/>
                <w:numId w:val="15"/>
              </w:numPr>
              <w:pBdr>
                <w:top w:val="nil"/>
                <w:left w:val="nil"/>
                <w:bottom w:val="nil"/>
                <w:right w:val="nil"/>
                <w:between w:val="nil"/>
              </w:pBdr>
              <w:tabs>
                <w:tab w:val="left" w:pos="-179"/>
                <w:tab w:val="left" w:pos="-9"/>
              </w:tabs>
              <w:spacing w:after="120"/>
              <w:ind w:left="388"/>
              <w:jc w:val="both"/>
              <w:rPr>
                <w:rFonts w:ascii="Arial" w:hAnsi="Arial" w:cs="Arial"/>
                <w:sz w:val="24"/>
                <w:szCs w:val="24"/>
              </w:rPr>
            </w:pPr>
            <w:r w:rsidRPr="001370AF">
              <w:rPr>
                <w:rFonts w:ascii="Arial" w:eastAsia="Arial" w:hAnsi="Arial" w:cs="Arial"/>
                <w:color w:val="000000"/>
                <w:sz w:val="24"/>
                <w:szCs w:val="24"/>
              </w:rPr>
              <w:t>is entering into an Exempt Call-off Contract that is not subject to (as applicable) any of:</w:t>
            </w:r>
          </w:p>
          <w:p w14:paraId="5EFE12AC" w14:textId="77777777" w:rsidR="00515856" w:rsidRPr="001370AF" w:rsidRDefault="00650C99">
            <w:pPr>
              <w:numPr>
                <w:ilvl w:val="1"/>
                <w:numId w:val="15"/>
              </w:numPr>
              <w:pBdr>
                <w:top w:val="nil"/>
                <w:left w:val="nil"/>
                <w:bottom w:val="nil"/>
                <w:right w:val="nil"/>
                <w:between w:val="nil"/>
              </w:pBdr>
              <w:tabs>
                <w:tab w:val="left" w:pos="-179"/>
                <w:tab w:val="left" w:pos="-9"/>
              </w:tabs>
              <w:spacing w:after="120"/>
              <w:ind w:left="814"/>
              <w:jc w:val="both"/>
              <w:rPr>
                <w:rFonts w:ascii="Arial" w:hAnsi="Arial" w:cs="Arial"/>
                <w:sz w:val="24"/>
                <w:szCs w:val="24"/>
              </w:rPr>
            </w:pPr>
            <w:r w:rsidRPr="001370AF">
              <w:rPr>
                <w:rFonts w:ascii="Arial" w:eastAsia="Arial" w:hAnsi="Arial" w:cs="Arial"/>
                <w:color w:val="000000"/>
                <w:sz w:val="24"/>
                <w:szCs w:val="24"/>
              </w:rPr>
              <w:t>the Regulations;</w:t>
            </w:r>
          </w:p>
          <w:p w14:paraId="541F4C0A" w14:textId="77777777" w:rsidR="00515856" w:rsidRPr="001370AF" w:rsidRDefault="00650C99">
            <w:pPr>
              <w:numPr>
                <w:ilvl w:val="1"/>
                <w:numId w:val="15"/>
              </w:numPr>
              <w:pBdr>
                <w:top w:val="nil"/>
                <w:left w:val="nil"/>
                <w:bottom w:val="nil"/>
                <w:right w:val="nil"/>
                <w:between w:val="nil"/>
              </w:pBdr>
              <w:tabs>
                <w:tab w:val="left" w:pos="-179"/>
                <w:tab w:val="left" w:pos="-9"/>
              </w:tabs>
              <w:spacing w:after="120"/>
              <w:ind w:left="814"/>
              <w:jc w:val="both"/>
              <w:rPr>
                <w:rFonts w:ascii="Arial" w:hAnsi="Arial" w:cs="Arial"/>
                <w:sz w:val="24"/>
                <w:szCs w:val="24"/>
              </w:rPr>
            </w:pPr>
            <w:r w:rsidRPr="001370AF">
              <w:rPr>
                <w:rFonts w:ascii="Arial" w:eastAsia="Arial" w:hAnsi="Arial" w:cs="Arial"/>
                <w:color w:val="000000"/>
                <w:sz w:val="24"/>
                <w:szCs w:val="24"/>
              </w:rPr>
              <w:lastRenderedPageBreak/>
              <w:t>the Concession Contracts Regulations 2016 (SI 2016/273);</w:t>
            </w:r>
          </w:p>
          <w:p w14:paraId="4FB509A0" w14:textId="77777777" w:rsidR="00515856" w:rsidRPr="001370AF" w:rsidRDefault="00650C99">
            <w:pPr>
              <w:numPr>
                <w:ilvl w:val="1"/>
                <w:numId w:val="15"/>
              </w:numPr>
              <w:pBdr>
                <w:top w:val="nil"/>
                <w:left w:val="nil"/>
                <w:bottom w:val="nil"/>
                <w:right w:val="nil"/>
                <w:between w:val="nil"/>
              </w:pBdr>
              <w:tabs>
                <w:tab w:val="left" w:pos="-179"/>
                <w:tab w:val="left" w:pos="-9"/>
              </w:tabs>
              <w:spacing w:after="120"/>
              <w:ind w:left="814"/>
              <w:jc w:val="both"/>
              <w:rPr>
                <w:rFonts w:ascii="Arial" w:hAnsi="Arial" w:cs="Arial"/>
                <w:sz w:val="24"/>
                <w:szCs w:val="24"/>
              </w:rPr>
            </w:pPr>
            <w:r w:rsidRPr="001370AF">
              <w:rPr>
                <w:rFonts w:ascii="Arial" w:eastAsia="Arial" w:hAnsi="Arial" w:cs="Arial"/>
                <w:color w:val="000000"/>
                <w:sz w:val="24"/>
                <w:szCs w:val="24"/>
              </w:rPr>
              <w:t>the Utilities Contracts Regulations 2016 (SI 2016/274);</w:t>
            </w:r>
          </w:p>
          <w:p w14:paraId="6F3F31D6" w14:textId="77777777" w:rsidR="00515856" w:rsidRPr="001370AF" w:rsidRDefault="00650C99">
            <w:pPr>
              <w:numPr>
                <w:ilvl w:val="1"/>
                <w:numId w:val="15"/>
              </w:numPr>
              <w:pBdr>
                <w:top w:val="nil"/>
                <w:left w:val="nil"/>
                <w:bottom w:val="nil"/>
                <w:right w:val="nil"/>
                <w:between w:val="nil"/>
              </w:pBdr>
              <w:tabs>
                <w:tab w:val="left" w:pos="-179"/>
                <w:tab w:val="left" w:pos="-9"/>
              </w:tabs>
              <w:spacing w:after="120"/>
              <w:ind w:left="814"/>
              <w:jc w:val="both"/>
              <w:rPr>
                <w:rFonts w:ascii="Arial" w:hAnsi="Arial" w:cs="Arial"/>
                <w:sz w:val="24"/>
                <w:szCs w:val="24"/>
              </w:rPr>
            </w:pPr>
            <w:r w:rsidRPr="001370AF">
              <w:rPr>
                <w:rFonts w:ascii="Arial" w:eastAsia="Arial" w:hAnsi="Arial" w:cs="Arial"/>
                <w:color w:val="000000"/>
                <w:sz w:val="24"/>
                <w:szCs w:val="24"/>
              </w:rPr>
              <w:t>the Defence and Security Public Contracts Regulations 2011 (SI 2011/1848);</w:t>
            </w:r>
          </w:p>
          <w:p w14:paraId="6667E277" w14:textId="77777777" w:rsidR="00515856" w:rsidRPr="001370AF" w:rsidRDefault="00650C99">
            <w:pPr>
              <w:numPr>
                <w:ilvl w:val="1"/>
                <w:numId w:val="15"/>
              </w:numPr>
              <w:pBdr>
                <w:top w:val="nil"/>
                <w:left w:val="nil"/>
                <w:bottom w:val="nil"/>
                <w:right w:val="nil"/>
                <w:between w:val="nil"/>
              </w:pBdr>
              <w:tabs>
                <w:tab w:val="left" w:pos="-179"/>
                <w:tab w:val="left" w:pos="-9"/>
              </w:tabs>
              <w:spacing w:after="120"/>
              <w:ind w:left="814"/>
              <w:jc w:val="both"/>
              <w:rPr>
                <w:rFonts w:ascii="Arial" w:hAnsi="Arial" w:cs="Arial"/>
                <w:sz w:val="24"/>
                <w:szCs w:val="24"/>
              </w:rPr>
            </w:pPr>
            <w:r w:rsidRPr="001370AF">
              <w:rPr>
                <w:rFonts w:ascii="Arial" w:eastAsia="Arial" w:hAnsi="Arial" w:cs="Arial"/>
                <w:color w:val="000000"/>
                <w:sz w:val="24"/>
                <w:szCs w:val="24"/>
              </w:rPr>
              <w:t>the Remedies Directive (2007/66/EC);</w:t>
            </w:r>
          </w:p>
          <w:p w14:paraId="3A67D5A8" w14:textId="77777777" w:rsidR="00515856" w:rsidRPr="001370AF" w:rsidRDefault="00650C99">
            <w:pPr>
              <w:numPr>
                <w:ilvl w:val="1"/>
                <w:numId w:val="15"/>
              </w:numPr>
              <w:pBdr>
                <w:top w:val="nil"/>
                <w:left w:val="nil"/>
                <w:bottom w:val="nil"/>
                <w:right w:val="nil"/>
                <w:between w:val="nil"/>
              </w:pBdr>
              <w:tabs>
                <w:tab w:val="left" w:pos="-179"/>
                <w:tab w:val="left" w:pos="-9"/>
              </w:tabs>
              <w:spacing w:after="120"/>
              <w:ind w:left="814"/>
              <w:jc w:val="both"/>
              <w:rPr>
                <w:rFonts w:ascii="Arial" w:hAnsi="Arial" w:cs="Arial"/>
                <w:sz w:val="24"/>
                <w:szCs w:val="24"/>
              </w:rPr>
            </w:pPr>
            <w:r w:rsidRPr="001370AF">
              <w:rPr>
                <w:rFonts w:ascii="Arial" w:eastAsia="Arial" w:hAnsi="Arial" w:cs="Arial"/>
                <w:color w:val="000000"/>
                <w:sz w:val="24"/>
                <w:szCs w:val="24"/>
              </w:rPr>
              <w:t>Directive 2014/23/EU of the European Parliament and Council;</w:t>
            </w:r>
          </w:p>
          <w:p w14:paraId="3C7C737C" w14:textId="77777777" w:rsidR="00515856" w:rsidRPr="001370AF" w:rsidRDefault="00650C99">
            <w:pPr>
              <w:numPr>
                <w:ilvl w:val="1"/>
                <w:numId w:val="15"/>
              </w:numPr>
              <w:pBdr>
                <w:top w:val="nil"/>
                <w:left w:val="nil"/>
                <w:bottom w:val="nil"/>
                <w:right w:val="nil"/>
                <w:between w:val="nil"/>
              </w:pBdr>
              <w:tabs>
                <w:tab w:val="left" w:pos="-179"/>
                <w:tab w:val="left" w:pos="-9"/>
              </w:tabs>
              <w:spacing w:after="120"/>
              <w:ind w:left="814"/>
              <w:jc w:val="both"/>
              <w:rPr>
                <w:rFonts w:ascii="Arial" w:hAnsi="Arial" w:cs="Arial"/>
                <w:sz w:val="24"/>
                <w:szCs w:val="24"/>
              </w:rPr>
            </w:pPr>
            <w:r w:rsidRPr="001370AF">
              <w:rPr>
                <w:rFonts w:ascii="Arial" w:eastAsia="Arial" w:hAnsi="Arial" w:cs="Arial"/>
                <w:color w:val="000000"/>
                <w:sz w:val="24"/>
                <w:szCs w:val="24"/>
              </w:rPr>
              <w:t>Directive 2014/24/EU of the European Parliament and Council;</w:t>
            </w:r>
          </w:p>
          <w:p w14:paraId="0D6733A4" w14:textId="77777777" w:rsidR="00515856" w:rsidRPr="001370AF" w:rsidRDefault="00650C99">
            <w:pPr>
              <w:numPr>
                <w:ilvl w:val="1"/>
                <w:numId w:val="15"/>
              </w:numPr>
              <w:pBdr>
                <w:top w:val="nil"/>
                <w:left w:val="nil"/>
                <w:bottom w:val="nil"/>
                <w:right w:val="nil"/>
                <w:between w:val="nil"/>
              </w:pBdr>
              <w:tabs>
                <w:tab w:val="left" w:pos="-179"/>
                <w:tab w:val="left" w:pos="-9"/>
              </w:tabs>
              <w:spacing w:after="120"/>
              <w:ind w:left="814"/>
              <w:jc w:val="both"/>
              <w:rPr>
                <w:rFonts w:ascii="Arial" w:hAnsi="Arial" w:cs="Arial"/>
                <w:sz w:val="24"/>
                <w:szCs w:val="24"/>
              </w:rPr>
            </w:pPr>
            <w:r w:rsidRPr="001370AF">
              <w:rPr>
                <w:rFonts w:ascii="Arial" w:eastAsia="Arial" w:hAnsi="Arial" w:cs="Arial"/>
                <w:color w:val="000000"/>
                <w:sz w:val="24"/>
                <w:szCs w:val="24"/>
              </w:rPr>
              <w:t>Directive 2014/25/EU of the European Parliament and Council; or</w:t>
            </w:r>
          </w:p>
          <w:p w14:paraId="4B34DB04" w14:textId="77777777" w:rsidR="00515856" w:rsidRPr="001370AF" w:rsidRDefault="00650C99">
            <w:pPr>
              <w:numPr>
                <w:ilvl w:val="1"/>
                <w:numId w:val="15"/>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sidRPr="001370AF">
              <w:rPr>
                <w:rFonts w:ascii="Arial" w:eastAsia="Arial" w:hAnsi="Arial" w:cs="Arial"/>
                <w:color w:val="000000"/>
                <w:sz w:val="24"/>
                <w:szCs w:val="24"/>
              </w:rPr>
              <w:t>Directive 2009/81/EC of the European Parliament and Council;</w:t>
            </w:r>
          </w:p>
        </w:tc>
      </w:tr>
      <w:tr w:rsidR="00515856" w:rsidRPr="000E3A82" w14:paraId="4D3036C8" w14:textId="77777777" w:rsidTr="00614707">
        <w:trPr>
          <w:trHeight w:val="1289"/>
        </w:trPr>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723AF3"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b/>
                <w:sz w:val="24"/>
                <w:szCs w:val="24"/>
              </w:rPr>
            </w:pPr>
            <w:r w:rsidRPr="000E3A82">
              <w:rPr>
                <w:rFonts w:ascii="Arial" w:eastAsia="Arial" w:hAnsi="Arial" w:cs="Arial"/>
                <w:b/>
                <w:sz w:val="24"/>
                <w:szCs w:val="24"/>
              </w:rPr>
              <w:lastRenderedPageBreak/>
              <w:t>“Exempt Call-off Contract”</w:t>
            </w:r>
          </w:p>
        </w:tc>
        <w:tc>
          <w:tcPr>
            <w:tcW w:w="7350" w:type="dxa"/>
            <w:tcBorders>
              <w:top w:val="nil"/>
              <w:left w:val="nil"/>
              <w:bottom w:val="single" w:sz="8" w:space="0" w:color="000000"/>
              <w:right w:val="single" w:sz="8" w:space="0" w:color="000000"/>
            </w:tcBorders>
            <w:tcMar>
              <w:top w:w="0" w:type="dxa"/>
              <w:left w:w="108" w:type="dxa"/>
              <w:bottom w:w="0" w:type="dxa"/>
              <w:right w:w="108" w:type="dxa"/>
            </w:tcMar>
          </w:tcPr>
          <w:p w14:paraId="58C9B4F6" w14:textId="37EAB63A"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515856" w:rsidRPr="000E3A82" w14:paraId="7FE26FC1" w14:textId="77777777">
        <w:tc>
          <w:tcPr>
            <w:tcW w:w="240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B26255"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b/>
                <w:sz w:val="24"/>
                <w:szCs w:val="24"/>
              </w:rPr>
            </w:pPr>
            <w:r w:rsidRPr="000E3A82">
              <w:rPr>
                <w:rFonts w:ascii="Arial" w:eastAsia="Arial" w:hAnsi="Arial" w:cs="Arial"/>
                <w:b/>
                <w:sz w:val="24"/>
                <w:szCs w:val="24"/>
              </w:rPr>
              <w:t>“Exempt Procurement Amendments”</w:t>
            </w:r>
          </w:p>
        </w:tc>
        <w:tc>
          <w:tcPr>
            <w:tcW w:w="7350" w:type="dxa"/>
            <w:tcBorders>
              <w:top w:val="nil"/>
              <w:left w:val="nil"/>
              <w:bottom w:val="single" w:sz="8" w:space="0" w:color="000000"/>
              <w:right w:val="single" w:sz="8" w:space="0" w:color="000000"/>
            </w:tcBorders>
            <w:tcMar>
              <w:top w:w="0" w:type="dxa"/>
              <w:left w:w="108" w:type="dxa"/>
              <w:bottom w:w="0" w:type="dxa"/>
              <w:right w:w="108" w:type="dxa"/>
            </w:tcMar>
          </w:tcPr>
          <w:p w14:paraId="13C17642" w14:textId="599E4462"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tbl>
      <w:tblPr>
        <w:tblStyle w:val="a4"/>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9"/>
        <w:gridCol w:w="101"/>
      </w:tblGrid>
      <w:tr w:rsidR="00515856" w:rsidRPr="000E3A82" w14:paraId="52C4C223" w14:textId="77777777">
        <w:tc>
          <w:tcPr>
            <w:tcW w:w="2405" w:type="dxa"/>
          </w:tcPr>
          <w:p w14:paraId="17FDF96A"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b/>
                <w:sz w:val="24"/>
                <w:szCs w:val="24"/>
              </w:rPr>
            </w:pPr>
            <w:r w:rsidRPr="000E3A82">
              <w:rPr>
                <w:rFonts w:ascii="Arial" w:eastAsia="Arial" w:hAnsi="Arial" w:cs="Arial"/>
                <w:b/>
                <w:sz w:val="24"/>
                <w:szCs w:val="24"/>
              </w:rPr>
              <w:t>"Existing IPR"</w:t>
            </w:r>
          </w:p>
        </w:tc>
        <w:tc>
          <w:tcPr>
            <w:tcW w:w="7330" w:type="dxa"/>
            <w:gridSpan w:val="2"/>
          </w:tcPr>
          <w:p w14:paraId="05561733"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any and all IPR that are owned by or licensed to either Party and which are or have been developed independently of the Contract (whether prior to the Start Date or otherwise);</w:t>
            </w:r>
          </w:p>
        </w:tc>
      </w:tr>
      <w:tr w:rsidR="00515856" w:rsidRPr="000E3A82" w14:paraId="4FE7CB94" w14:textId="77777777">
        <w:tc>
          <w:tcPr>
            <w:tcW w:w="2405" w:type="dxa"/>
          </w:tcPr>
          <w:p w14:paraId="6158A4E9"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b/>
                <w:sz w:val="24"/>
                <w:szCs w:val="24"/>
              </w:rPr>
            </w:pPr>
            <w:r w:rsidRPr="000E3A82">
              <w:rPr>
                <w:rFonts w:ascii="Arial" w:eastAsia="Arial" w:hAnsi="Arial" w:cs="Arial"/>
                <w:b/>
                <w:sz w:val="24"/>
                <w:szCs w:val="24"/>
              </w:rPr>
              <w:t>“Exit Day”</w:t>
            </w:r>
          </w:p>
        </w:tc>
        <w:tc>
          <w:tcPr>
            <w:tcW w:w="7330" w:type="dxa"/>
            <w:gridSpan w:val="2"/>
          </w:tcPr>
          <w:p w14:paraId="20BB6393"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shall have the meaning in the European Union (Withdrawal) Act 2018;</w:t>
            </w:r>
          </w:p>
        </w:tc>
      </w:tr>
      <w:tr w:rsidR="00515856" w:rsidRPr="000E3A82" w14:paraId="7C5DF28A" w14:textId="77777777">
        <w:tc>
          <w:tcPr>
            <w:tcW w:w="2405" w:type="dxa"/>
          </w:tcPr>
          <w:p w14:paraId="0A79CA0E"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b/>
                <w:sz w:val="24"/>
                <w:szCs w:val="24"/>
              </w:rPr>
            </w:pPr>
            <w:r w:rsidRPr="000E3A82">
              <w:rPr>
                <w:rFonts w:ascii="Arial" w:eastAsia="Arial" w:hAnsi="Arial" w:cs="Arial"/>
                <w:b/>
                <w:sz w:val="24"/>
                <w:szCs w:val="24"/>
              </w:rPr>
              <w:t>"Expiry Date"</w:t>
            </w:r>
          </w:p>
        </w:tc>
        <w:tc>
          <w:tcPr>
            <w:tcW w:w="7330" w:type="dxa"/>
            <w:gridSpan w:val="2"/>
          </w:tcPr>
          <w:p w14:paraId="7D493407"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 xml:space="preserve">the Framework Expiry Date or the Call-Off Expiry Date (as the context dictates); </w:t>
            </w:r>
          </w:p>
        </w:tc>
      </w:tr>
      <w:tr w:rsidR="00515856" w:rsidRPr="000E3A82" w14:paraId="64E99E94" w14:textId="77777777">
        <w:tc>
          <w:tcPr>
            <w:tcW w:w="2405" w:type="dxa"/>
          </w:tcPr>
          <w:p w14:paraId="3B2E9E08" w14:textId="77777777" w:rsidR="005E62D2"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b/>
                <w:sz w:val="24"/>
                <w:szCs w:val="24"/>
              </w:rPr>
            </w:pPr>
            <w:r w:rsidRPr="000E3A82">
              <w:rPr>
                <w:rFonts w:ascii="Arial" w:eastAsia="Arial" w:hAnsi="Arial" w:cs="Arial"/>
                <w:b/>
                <w:sz w:val="24"/>
                <w:szCs w:val="24"/>
              </w:rPr>
              <w:t>"Extension Period"</w:t>
            </w:r>
          </w:p>
          <w:p w14:paraId="0671632A" w14:textId="77777777" w:rsidR="00515856" w:rsidRPr="000E3A82" w:rsidRDefault="00515856" w:rsidP="000E3A82">
            <w:pPr>
              <w:tabs>
                <w:tab w:val="left" w:pos="-179"/>
                <w:tab w:val="left" w:pos="561"/>
              </w:tabs>
              <w:spacing w:after="120"/>
              <w:ind w:left="278" w:right="421"/>
              <w:jc w:val="both"/>
              <w:rPr>
                <w:rFonts w:ascii="Arial" w:eastAsia="Arial" w:hAnsi="Arial" w:cs="Arial"/>
                <w:b/>
                <w:sz w:val="24"/>
                <w:szCs w:val="24"/>
              </w:rPr>
            </w:pPr>
          </w:p>
        </w:tc>
        <w:tc>
          <w:tcPr>
            <w:tcW w:w="7330" w:type="dxa"/>
            <w:gridSpan w:val="2"/>
          </w:tcPr>
          <w:p w14:paraId="46F5F5F5" w14:textId="77777777" w:rsidR="00515856" w:rsidRPr="000E3A82" w:rsidRDefault="00650C99" w:rsidP="000E3A82">
            <w:pPr>
              <w:pBdr>
                <w:top w:val="nil"/>
                <w:left w:val="nil"/>
                <w:bottom w:val="nil"/>
                <w:right w:val="nil"/>
                <w:between w:val="nil"/>
              </w:pBd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the Framework Optional Extension Period or the Call-Off Optional Extension Period as the context dictates;</w:t>
            </w:r>
          </w:p>
        </w:tc>
      </w:tr>
      <w:tr w:rsidR="00335AD1" w:rsidRPr="001370AF" w14:paraId="4A2C99E1" w14:textId="77777777">
        <w:tc>
          <w:tcPr>
            <w:tcW w:w="2405" w:type="dxa"/>
          </w:tcPr>
          <w:p w14:paraId="71758727" w14:textId="77777777" w:rsidR="00335AD1" w:rsidRPr="000E3A82" w:rsidRDefault="00610C78" w:rsidP="00705C17">
            <w:pPr>
              <w:pBdr>
                <w:top w:val="nil"/>
                <w:left w:val="nil"/>
                <w:bottom w:val="nil"/>
                <w:right w:val="nil"/>
                <w:between w:val="nil"/>
              </w:pBdr>
              <w:spacing w:after="120"/>
              <w:ind w:left="142"/>
              <w:rPr>
                <w:rFonts w:ascii="Arial" w:eastAsia="Arial" w:hAnsi="Arial" w:cs="Arial"/>
                <w:b/>
                <w:sz w:val="24"/>
                <w:szCs w:val="24"/>
              </w:rPr>
            </w:pPr>
            <w:r w:rsidRPr="000E3A82">
              <w:rPr>
                <w:rFonts w:ascii="Arial" w:eastAsia="Arial" w:hAnsi="Arial" w:cs="Arial"/>
                <w:b/>
                <w:sz w:val="24"/>
                <w:szCs w:val="24"/>
              </w:rPr>
              <w:t>“</w:t>
            </w:r>
            <w:r w:rsidR="00335AD1" w:rsidRPr="000E3A82">
              <w:rPr>
                <w:rFonts w:ascii="Arial" w:eastAsia="Arial" w:hAnsi="Arial" w:cs="Arial"/>
                <w:b/>
                <w:sz w:val="24"/>
                <w:szCs w:val="24"/>
              </w:rPr>
              <w:t>Financial Reports</w:t>
            </w:r>
            <w:r w:rsidRPr="000E3A82">
              <w:rPr>
                <w:rFonts w:ascii="Arial" w:eastAsia="Arial" w:hAnsi="Arial" w:cs="Arial"/>
                <w:b/>
                <w:sz w:val="24"/>
                <w:szCs w:val="24"/>
              </w:rPr>
              <w:t>”</w:t>
            </w:r>
          </w:p>
        </w:tc>
        <w:tc>
          <w:tcPr>
            <w:tcW w:w="7330" w:type="dxa"/>
            <w:gridSpan w:val="2"/>
          </w:tcPr>
          <w:p w14:paraId="44CED8E1"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 xml:space="preserve"> a report by the Supplier to the Buyer that: </w:t>
            </w:r>
          </w:p>
          <w:p w14:paraId="4E63175D"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 provides a true and fair reflection of the Costs and Supplier Profit Margin forecast by the Supplier;</w:t>
            </w:r>
          </w:p>
          <w:p w14:paraId="4A842CA4"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(b) provides detail a true and fair reflection of the costs and expenses to be incurred by Key Subcontractors (as requested by the Buyer);</w:t>
            </w:r>
          </w:p>
          <w:p w14:paraId="4BB171F5"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lastRenderedPageBreak/>
              <w:t>(c) is in the same software package (Microsoft Excel or Microsoft Word), layout and format as the blank templates which have been issued by the Buyer to the Supplier on or before the Start Date for the purposes of th</w:t>
            </w:r>
            <w:r w:rsidR="00272E62" w:rsidRPr="000E3A82">
              <w:rPr>
                <w:rFonts w:ascii="Arial" w:eastAsia="Arial" w:hAnsi="Arial" w:cs="Arial"/>
                <w:sz w:val="24"/>
                <w:szCs w:val="24"/>
              </w:rPr>
              <w:t>e</w:t>
            </w:r>
            <w:r w:rsidRPr="000E3A82">
              <w:rPr>
                <w:rFonts w:ascii="Arial" w:eastAsia="Arial" w:hAnsi="Arial" w:cs="Arial"/>
                <w:sz w:val="24"/>
                <w:szCs w:val="24"/>
              </w:rPr>
              <w:t xml:space="preserve"> Contract; and</w:t>
            </w:r>
          </w:p>
          <w:p w14:paraId="716DB0CC"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(d) is certified by the Supplier’s Chief Financial Officer or Director of Finance;</w:t>
            </w:r>
          </w:p>
          <w:p w14:paraId="1824786D"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p>
        </w:tc>
      </w:tr>
      <w:tr w:rsidR="00FF4F92" w:rsidRPr="001370AF" w14:paraId="1B21B0CA" w14:textId="77777777">
        <w:tc>
          <w:tcPr>
            <w:tcW w:w="2405" w:type="dxa"/>
          </w:tcPr>
          <w:p w14:paraId="2C1833FE" w14:textId="77777777" w:rsidR="00FF4F92" w:rsidRPr="000E3A82" w:rsidRDefault="00FF4F92" w:rsidP="00705C17">
            <w:pPr>
              <w:pBdr>
                <w:top w:val="nil"/>
                <w:left w:val="nil"/>
                <w:bottom w:val="nil"/>
                <w:right w:val="nil"/>
                <w:between w:val="nil"/>
              </w:pBdr>
              <w:spacing w:after="120"/>
              <w:ind w:left="142"/>
              <w:rPr>
                <w:rFonts w:ascii="Arial" w:eastAsia="Arial" w:hAnsi="Arial" w:cs="Arial"/>
                <w:b/>
                <w:sz w:val="24"/>
                <w:szCs w:val="24"/>
              </w:rPr>
            </w:pPr>
            <w:r w:rsidRPr="000E3A82">
              <w:rPr>
                <w:rFonts w:ascii="Arial" w:eastAsia="Arial" w:hAnsi="Arial" w:cs="Arial"/>
                <w:b/>
                <w:sz w:val="24"/>
                <w:szCs w:val="24"/>
              </w:rPr>
              <w:lastRenderedPageBreak/>
              <w:t>“Financial Representative”</w:t>
            </w:r>
          </w:p>
        </w:tc>
        <w:tc>
          <w:tcPr>
            <w:tcW w:w="7330" w:type="dxa"/>
            <w:gridSpan w:val="2"/>
          </w:tcPr>
          <w:p w14:paraId="10EE2582" w14:textId="6DAA9E93" w:rsidR="00FF4F92" w:rsidRPr="000E3A82" w:rsidRDefault="00FF4F92"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 reasonably skilled and experienced member of the Supplier Staff who has specific responsibility for preparing, maintaining, facilitating access to, discussing and explaining the records and accounts of everything to do with the Contract (as referred to in Clause 6), Financial Reports and Open Book Data;</w:t>
            </w:r>
          </w:p>
        </w:tc>
      </w:tr>
      <w:tr w:rsidR="00335AD1" w:rsidRPr="001370AF" w14:paraId="06EF0C1F" w14:textId="77777777">
        <w:tc>
          <w:tcPr>
            <w:tcW w:w="2405" w:type="dxa"/>
          </w:tcPr>
          <w:p w14:paraId="7687F093" w14:textId="77777777" w:rsidR="00335AD1" w:rsidRPr="000E3A82" w:rsidRDefault="00610C78" w:rsidP="00705C17">
            <w:pPr>
              <w:pBdr>
                <w:top w:val="nil"/>
                <w:left w:val="nil"/>
                <w:bottom w:val="nil"/>
                <w:right w:val="nil"/>
                <w:between w:val="nil"/>
              </w:pBdr>
              <w:spacing w:after="120"/>
              <w:ind w:left="142"/>
              <w:rPr>
                <w:rFonts w:ascii="Arial" w:eastAsia="Arial" w:hAnsi="Arial" w:cs="Arial"/>
                <w:b/>
                <w:sz w:val="24"/>
                <w:szCs w:val="24"/>
              </w:rPr>
            </w:pPr>
            <w:r w:rsidRPr="000E3A82">
              <w:rPr>
                <w:rFonts w:ascii="Arial" w:eastAsia="Arial" w:hAnsi="Arial" w:cs="Arial"/>
                <w:b/>
                <w:sz w:val="24"/>
                <w:szCs w:val="24"/>
              </w:rPr>
              <w:t>“</w:t>
            </w:r>
            <w:r w:rsidR="00335AD1" w:rsidRPr="000E3A82">
              <w:rPr>
                <w:rFonts w:ascii="Arial" w:eastAsia="Arial" w:hAnsi="Arial" w:cs="Arial"/>
                <w:b/>
                <w:sz w:val="24"/>
                <w:szCs w:val="24"/>
              </w:rPr>
              <w:t>Financial Transparency Objectives</w:t>
            </w:r>
            <w:r w:rsidRPr="000E3A82">
              <w:rPr>
                <w:rFonts w:ascii="Arial" w:eastAsia="Arial" w:hAnsi="Arial" w:cs="Arial"/>
                <w:b/>
                <w:sz w:val="24"/>
                <w:szCs w:val="24"/>
              </w:rPr>
              <w:t>”</w:t>
            </w:r>
          </w:p>
        </w:tc>
        <w:tc>
          <w:tcPr>
            <w:tcW w:w="7330" w:type="dxa"/>
            <w:gridSpan w:val="2"/>
          </w:tcPr>
          <w:p w14:paraId="58252446"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(a) the Buyer having a clear analysis of the Costs, Overhead recoveries (where relevant), time spent by Supplier Staff in providing the Services and Supplier Profit Margin so that it can understand any payment sought by the Supplier;</w:t>
            </w:r>
          </w:p>
          <w:p w14:paraId="23ED686C"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(b) the Parties being able to understand Costs forecasts and to have confidence that these are based on justifiable numbers and appropriate forecasting techniques;</w:t>
            </w:r>
          </w:p>
          <w:p w14:paraId="65CBCCA7"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(c) the Parties being able to understand the quantitative impact of any Variations that affect ongoing Costs and identifying how these could be mitigated and/or reflected in the Charges;</w:t>
            </w:r>
          </w:p>
          <w:p w14:paraId="5676FF34"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(d) the Parties being able to review, address issues with and re-forecast progress in relation to the provision of the Services;</w:t>
            </w:r>
          </w:p>
          <w:p w14:paraId="2E29543E"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(e) the Parties challenging each other with ideas for efficiency and improvements; and</w:t>
            </w:r>
          </w:p>
          <w:p w14:paraId="0291AD03"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r w:rsidRPr="000E3A82">
              <w:rPr>
                <w:rFonts w:ascii="Arial" w:eastAsia="Arial" w:hAnsi="Arial" w:cs="Arial"/>
                <w:sz w:val="24"/>
                <w:szCs w:val="24"/>
              </w:rPr>
              <w:t>(f) enabling the B</w:t>
            </w:r>
            <w:r w:rsidR="00272E62" w:rsidRPr="000E3A82">
              <w:rPr>
                <w:rFonts w:ascii="Arial" w:eastAsia="Arial" w:hAnsi="Arial" w:cs="Arial"/>
                <w:sz w:val="24"/>
                <w:szCs w:val="24"/>
              </w:rPr>
              <w:t>uyer</w:t>
            </w:r>
            <w:r w:rsidRPr="000E3A82">
              <w:rPr>
                <w:rFonts w:ascii="Arial" w:eastAsia="Arial" w:hAnsi="Arial" w:cs="Arial"/>
                <w:sz w:val="24"/>
                <w:szCs w:val="24"/>
              </w:rPr>
              <w:t xml:space="preserve"> to demonstrate that it is achieving value for money for the tax payer relative to current market prices;</w:t>
            </w:r>
          </w:p>
          <w:p w14:paraId="29A70171" w14:textId="77777777" w:rsidR="00335AD1" w:rsidRPr="000E3A82" w:rsidRDefault="00335AD1" w:rsidP="000E3A82">
            <w:pPr>
              <w:tabs>
                <w:tab w:val="left" w:pos="-179"/>
                <w:tab w:val="left" w:pos="561"/>
              </w:tabs>
              <w:spacing w:after="120"/>
              <w:ind w:left="278" w:right="421"/>
              <w:jc w:val="both"/>
              <w:rPr>
                <w:rFonts w:ascii="Arial" w:eastAsia="Arial" w:hAnsi="Arial" w:cs="Arial"/>
                <w:sz w:val="24"/>
                <w:szCs w:val="24"/>
              </w:rPr>
            </w:pPr>
          </w:p>
        </w:tc>
      </w:tr>
      <w:tr w:rsidR="00335AD1" w:rsidRPr="001370AF" w14:paraId="09444FBD" w14:textId="77777777">
        <w:tc>
          <w:tcPr>
            <w:tcW w:w="2405" w:type="dxa"/>
          </w:tcPr>
          <w:p w14:paraId="1BB0B0FE"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"FOIA"</w:t>
            </w:r>
          </w:p>
        </w:tc>
        <w:tc>
          <w:tcPr>
            <w:tcW w:w="7330" w:type="dxa"/>
            <w:gridSpan w:val="2"/>
          </w:tcPr>
          <w:p w14:paraId="6482CECC"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35AD1" w:rsidRPr="001370AF" w14:paraId="28702B25" w14:textId="77777777">
        <w:tc>
          <w:tcPr>
            <w:tcW w:w="2405" w:type="dxa"/>
          </w:tcPr>
          <w:p w14:paraId="1CB3C128"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"Force Majeure Event"</w:t>
            </w:r>
          </w:p>
        </w:tc>
        <w:tc>
          <w:tcPr>
            <w:tcW w:w="7330" w:type="dxa"/>
            <w:gridSpan w:val="2"/>
          </w:tcPr>
          <w:p w14:paraId="3705D78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w:t>
            </w:r>
            <w:r w:rsidRPr="001370AF">
              <w:rPr>
                <w:rFonts w:ascii="Arial" w:eastAsia="Arial" w:hAnsi="Arial" w:cs="Arial"/>
                <w:color w:val="000000"/>
                <w:sz w:val="24"/>
                <w:szCs w:val="24"/>
              </w:rPr>
              <w:lastRenderedPageBreak/>
              <w:t>to take reasonable preventative action by the Affected Party, including:</w:t>
            </w:r>
          </w:p>
          <w:p w14:paraId="762B02A7" w14:textId="77777777" w:rsidR="00335AD1" w:rsidRPr="001370AF" w:rsidRDefault="00335AD1" w:rsidP="00335AD1">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riots, civil commotion, war or armed conflict;</w:t>
            </w:r>
          </w:p>
          <w:p w14:paraId="6B11B6FA" w14:textId="77777777" w:rsidR="00335AD1" w:rsidRPr="001370AF" w:rsidRDefault="00335AD1" w:rsidP="00335AD1">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acts of terrorism;</w:t>
            </w:r>
          </w:p>
          <w:p w14:paraId="21A58DD5" w14:textId="77777777" w:rsidR="00335AD1" w:rsidRPr="001370AF" w:rsidRDefault="00335AD1" w:rsidP="00335AD1">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acts of a Central Government Body, local government or regulatory bodies;</w:t>
            </w:r>
          </w:p>
          <w:p w14:paraId="673EE557" w14:textId="77777777" w:rsidR="00335AD1" w:rsidRPr="001370AF" w:rsidRDefault="00335AD1" w:rsidP="00335AD1">
            <w:pPr>
              <w:numPr>
                <w:ilvl w:val="1"/>
                <w:numId w:val="21"/>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sidRPr="001370AF">
              <w:rPr>
                <w:rFonts w:ascii="Arial" w:eastAsia="Arial" w:hAnsi="Arial" w:cs="Arial"/>
                <w:color w:val="000000"/>
                <w:sz w:val="24"/>
                <w:szCs w:val="24"/>
              </w:rPr>
              <w:t>fire, flood, storm or earthquake or other natural disaster,</w:t>
            </w:r>
          </w:p>
          <w:p w14:paraId="72F126F3"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335AD1" w:rsidRPr="001370AF" w14:paraId="411613CD" w14:textId="77777777">
        <w:tc>
          <w:tcPr>
            <w:tcW w:w="2405" w:type="dxa"/>
          </w:tcPr>
          <w:p w14:paraId="7233EF73"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"Force Majeure Notice"</w:t>
            </w:r>
          </w:p>
        </w:tc>
        <w:tc>
          <w:tcPr>
            <w:tcW w:w="7330" w:type="dxa"/>
            <w:gridSpan w:val="2"/>
          </w:tcPr>
          <w:p w14:paraId="4D75F3C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335AD1" w:rsidRPr="001370AF" w14:paraId="5C8C23AB" w14:textId="77777777">
        <w:tc>
          <w:tcPr>
            <w:tcW w:w="2405" w:type="dxa"/>
          </w:tcPr>
          <w:p w14:paraId="070278A4"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"Framework Award Form"</w:t>
            </w:r>
          </w:p>
        </w:tc>
        <w:tc>
          <w:tcPr>
            <w:tcW w:w="7330" w:type="dxa"/>
            <w:gridSpan w:val="2"/>
          </w:tcPr>
          <w:p w14:paraId="04DAE4E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335AD1" w:rsidRPr="001370AF" w14:paraId="6484A9E8" w14:textId="77777777">
        <w:tc>
          <w:tcPr>
            <w:tcW w:w="2405" w:type="dxa"/>
          </w:tcPr>
          <w:p w14:paraId="0741485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"Framework Contract"</w:t>
            </w:r>
          </w:p>
        </w:tc>
        <w:tc>
          <w:tcPr>
            <w:tcW w:w="7330" w:type="dxa"/>
            <w:gridSpan w:val="2"/>
          </w:tcPr>
          <w:p w14:paraId="6E80F6B0"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335AD1" w:rsidRPr="001370AF" w14:paraId="5CC6E572" w14:textId="77777777">
        <w:tc>
          <w:tcPr>
            <w:tcW w:w="2405" w:type="dxa"/>
          </w:tcPr>
          <w:p w14:paraId="50771FBE"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"Framework Contract Period"</w:t>
            </w:r>
          </w:p>
        </w:tc>
        <w:tc>
          <w:tcPr>
            <w:tcW w:w="7330" w:type="dxa"/>
            <w:gridSpan w:val="2"/>
          </w:tcPr>
          <w:p w14:paraId="05099C89" w14:textId="77777777" w:rsidR="005C433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period from the Framework Start Date until the End Date of the Framework Contract;</w:t>
            </w:r>
          </w:p>
        </w:tc>
      </w:tr>
      <w:tr w:rsidR="00335AD1" w:rsidRPr="001370AF" w14:paraId="487E72F7" w14:textId="77777777">
        <w:tc>
          <w:tcPr>
            <w:tcW w:w="2405" w:type="dxa"/>
          </w:tcPr>
          <w:p w14:paraId="555D30A9"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"Framework Expiry Date"</w:t>
            </w:r>
          </w:p>
        </w:tc>
        <w:tc>
          <w:tcPr>
            <w:tcW w:w="7330" w:type="dxa"/>
            <w:gridSpan w:val="2"/>
          </w:tcPr>
          <w:p w14:paraId="7320B2F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scheduled date of the end of the Framework Contract as stated in the Framework Award Form;</w:t>
            </w:r>
          </w:p>
        </w:tc>
      </w:tr>
      <w:tr w:rsidR="00335AD1" w:rsidRPr="001370AF" w14:paraId="24EBC9B1" w14:textId="77777777">
        <w:tc>
          <w:tcPr>
            <w:tcW w:w="2405" w:type="dxa"/>
          </w:tcPr>
          <w:p w14:paraId="360D414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"Framework Incorporated Terms"</w:t>
            </w:r>
          </w:p>
        </w:tc>
        <w:tc>
          <w:tcPr>
            <w:tcW w:w="7330" w:type="dxa"/>
            <w:gridSpan w:val="2"/>
          </w:tcPr>
          <w:p w14:paraId="358E0893"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contractual terms applicable to the Framework Contract specified in the Framework Award Form;</w:t>
            </w:r>
          </w:p>
        </w:tc>
      </w:tr>
      <w:tr w:rsidR="00335AD1" w:rsidRPr="001370AF" w14:paraId="1DE47B08" w14:textId="77777777">
        <w:tc>
          <w:tcPr>
            <w:tcW w:w="2405" w:type="dxa"/>
          </w:tcPr>
          <w:p w14:paraId="04A5606C"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"Framework Optional Extension Period"</w:t>
            </w:r>
          </w:p>
        </w:tc>
        <w:tc>
          <w:tcPr>
            <w:tcW w:w="7330" w:type="dxa"/>
            <w:gridSpan w:val="2"/>
          </w:tcPr>
          <w:p w14:paraId="5770CFE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such period or periods beyond which the Framework Contract Period may be extended as specified in the Framework Award Form;</w:t>
            </w:r>
          </w:p>
        </w:tc>
      </w:tr>
      <w:tr w:rsidR="00335AD1" w:rsidRPr="001370AF" w14:paraId="320E903A" w14:textId="77777777">
        <w:tc>
          <w:tcPr>
            <w:tcW w:w="2405" w:type="dxa"/>
          </w:tcPr>
          <w:p w14:paraId="61509887"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"Framework Price(s)"</w:t>
            </w:r>
          </w:p>
        </w:tc>
        <w:tc>
          <w:tcPr>
            <w:tcW w:w="7330" w:type="dxa"/>
            <w:gridSpan w:val="2"/>
          </w:tcPr>
          <w:p w14:paraId="6BF85CD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price(s) applicable to the provision of the Deliverables set out in Framework Schedule 3 (Framework Prices);</w:t>
            </w:r>
          </w:p>
        </w:tc>
      </w:tr>
      <w:tr w:rsidR="00335AD1" w:rsidRPr="001370AF" w14:paraId="5C539CD7" w14:textId="77777777">
        <w:tc>
          <w:tcPr>
            <w:tcW w:w="2405" w:type="dxa"/>
          </w:tcPr>
          <w:p w14:paraId="73BFDF1A"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"Framework Special Terms"</w:t>
            </w:r>
          </w:p>
        </w:tc>
        <w:tc>
          <w:tcPr>
            <w:tcW w:w="7330" w:type="dxa"/>
            <w:gridSpan w:val="2"/>
          </w:tcPr>
          <w:p w14:paraId="22DEE714"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additional terms and conditions specified in the Framework Award Form incorporated into the Framework Contract;</w:t>
            </w:r>
          </w:p>
        </w:tc>
      </w:tr>
      <w:tr w:rsidR="00335AD1" w:rsidRPr="001370AF" w14:paraId="3B11FDE1" w14:textId="77777777">
        <w:tc>
          <w:tcPr>
            <w:tcW w:w="2405" w:type="dxa"/>
          </w:tcPr>
          <w:p w14:paraId="0EB4D540"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"Framework Start Date"</w:t>
            </w:r>
          </w:p>
        </w:tc>
        <w:tc>
          <w:tcPr>
            <w:tcW w:w="7330" w:type="dxa"/>
            <w:gridSpan w:val="2"/>
          </w:tcPr>
          <w:p w14:paraId="4A65B65E"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date of start of the Framework Contract as stated in the Framework Award Form;</w:t>
            </w:r>
          </w:p>
        </w:tc>
      </w:tr>
      <w:tr w:rsidR="00335AD1" w:rsidRPr="001370AF" w14:paraId="36E4CDF3" w14:textId="77777777">
        <w:tc>
          <w:tcPr>
            <w:tcW w:w="2405" w:type="dxa"/>
          </w:tcPr>
          <w:p w14:paraId="3C457063"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"Framework Tender Response"</w:t>
            </w:r>
          </w:p>
        </w:tc>
        <w:tc>
          <w:tcPr>
            <w:tcW w:w="7330" w:type="dxa"/>
            <w:gridSpan w:val="2"/>
          </w:tcPr>
          <w:p w14:paraId="4EF5630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tender submitted by the Supplier to CCS and annexed to or referred to in Framework Schedule 2 (Framework Tender);</w:t>
            </w:r>
          </w:p>
        </w:tc>
      </w:tr>
      <w:tr w:rsidR="00335AD1" w:rsidRPr="001370AF" w14:paraId="1DF794C0" w14:textId="77777777">
        <w:tc>
          <w:tcPr>
            <w:tcW w:w="2405" w:type="dxa"/>
          </w:tcPr>
          <w:p w14:paraId="02BDA4EB"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"Further Competition Procedure"</w:t>
            </w:r>
          </w:p>
        </w:tc>
        <w:tc>
          <w:tcPr>
            <w:tcW w:w="7330" w:type="dxa"/>
            <w:gridSpan w:val="2"/>
          </w:tcPr>
          <w:p w14:paraId="406C835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further competition procedure described in Framework Schedule 7 (Call-Off Award Procedure);</w:t>
            </w:r>
          </w:p>
        </w:tc>
      </w:tr>
      <w:tr w:rsidR="00335AD1" w:rsidRPr="001370AF" w14:paraId="4BB4A36E" w14:textId="77777777">
        <w:tc>
          <w:tcPr>
            <w:tcW w:w="2405" w:type="dxa"/>
          </w:tcPr>
          <w:p w14:paraId="3E1242B2"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"GDPR"</w:t>
            </w:r>
          </w:p>
        </w:tc>
        <w:tc>
          <w:tcPr>
            <w:tcW w:w="7330" w:type="dxa"/>
            <w:gridSpan w:val="2"/>
          </w:tcPr>
          <w:p w14:paraId="5D95824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General Data Protection Regulation (Regulation (EU) 2016/679);</w:t>
            </w:r>
          </w:p>
        </w:tc>
      </w:tr>
      <w:tr w:rsidR="00335AD1" w:rsidRPr="001370AF" w14:paraId="2D66EE30" w14:textId="77777777">
        <w:tc>
          <w:tcPr>
            <w:tcW w:w="2405" w:type="dxa"/>
          </w:tcPr>
          <w:p w14:paraId="6BEE9C88"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"General Anti-Abuse Rule"</w:t>
            </w:r>
          </w:p>
        </w:tc>
        <w:tc>
          <w:tcPr>
            <w:tcW w:w="7330" w:type="dxa"/>
            <w:gridSpan w:val="2"/>
          </w:tcPr>
          <w:p w14:paraId="3BF80AFD" w14:textId="77777777" w:rsidR="00335AD1" w:rsidRPr="001370AF" w:rsidRDefault="00335AD1" w:rsidP="00335AD1">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 xml:space="preserve">the legislation in Part 5 of the Finance Act 2013 and; and </w:t>
            </w:r>
          </w:p>
          <w:p w14:paraId="35CA4FDF" w14:textId="77777777" w:rsidR="00335AD1" w:rsidRPr="001370AF" w:rsidRDefault="00335AD1" w:rsidP="00335AD1">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sidRPr="001370AF">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335AD1" w:rsidRPr="001370AF" w14:paraId="020BF8B5" w14:textId="77777777">
        <w:tc>
          <w:tcPr>
            <w:tcW w:w="2405" w:type="dxa"/>
          </w:tcPr>
          <w:p w14:paraId="60CC688C"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"General Change in Law"</w:t>
            </w:r>
          </w:p>
        </w:tc>
        <w:tc>
          <w:tcPr>
            <w:tcW w:w="7330" w:type="dxa"/>
            <w:gridSpan w:val="2"/>
          </w:tcPr>
          <w:p w14:paraId="1CD3BD2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335AD1" w:rsidRPr="001370AF" w14:paraId="3B0F9F9D" w14:textId="77777777">
        <w:tc>
          <w:tcPr>
            <w:tcW w:w="2405" w:type="dxa"/>
          </w:tcPr>
          <w:p w14:paraId="2050D714"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"Goods"</w:t>
            </w:r>
          </w:p>
        </w:tc>
        <w:tc>
          <w:tcPr>
            <w:tcW w:w="7330" w:type="dxa"/>
            <w:gridSpan w:val="2"/>
          </w:tcPr>
          <w:p w14:paraId="5857CAE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335AD1" w:rsidRPr="001370AF" w14:paraId="732EEF0A" w14:textId="77777777">
        <w:tc>
          <w:tcPr>
            <w:tcW w:w="2405" w:type="dxa"/>
          </w:tcPr>
          <w:p w14:paraId="616B1D81"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"Good Industry Practice"</w:t>
            </w:r>
          </w:p>
        </w:tc>
        <w:tc>
          <w:tcPr>
            <w:tcW w:w="7330" w:type="dxa"/>
            <w:gridSpan w:val="2"/>
          </w:tcPr>
          <w:p w14:paraId="6557C50A"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35AD1" w:rsidRPr="001370AF" w14:paraId="74335433" w14:textId="77777777">
        <w:tc>
          <w:tcPr>
            <w:tcW w:w="2405" w:type="dxa"/>
          </w:tcPr>
          <w:p w14:paraId="6A954DBD"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"Government"</w:t>
            </w:r>
          </w:p>
        </w:tc>
        <w:tc>
          <w:tcPr>
            <w:tcW w:w="7330" w:type="dxa"/>
            <w:gridSpan w:val="2"/>
          </w:tcPr>
          <w:p w14:paraId="7CD4364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35AD1" w:rsidRPr="001370AF" w14:paraId="677F3D53" w14:textId="77777777">
        <w:tc>
          <w:tcPr>
            <w:tcW w:w="2405" w:type="dxa"/>
          </w:tcPr>
          <w:p w14:paraId="70322608"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"Government Data"</w:t>
            </w:r>
          </w:p>
        </w:tc>
        <w:tc>
          <w:tcPr>
            <w:tcW w:w="7330" w:type="dxa"/>
            <w:gridSpan w:val="2"/>
          </w:tcPr>
          <w:p w14:paraId="4EE9E45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7DE99294" w14:textId="77777777" w:rsidR="00335AD1" w:rsidRPr="001370AF" w:rsidRDefault="00335AD1" w:rsidP="00335AD1">
            <w:pPr>
              <w:numPr>
                <w:ilvl w:val="2"/>
                <w:numId w:val="2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are supplied to the Supplier by or on behalf of the Authority; or</w:t>
            </w:r>
          </w:p>
          <w:p w14:paraId="04A921B8" w14:textId="77777777" w:rsidR="00335AD1" w:rsidRPr="001370AF" w:rsidRDefault="00335AD1" w:rsidP="00335AD1">
            <w:pPr>
              <w:numPr>
                <w:ilvl w:val="2"/>
                <w:numId w:val="2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 xml:space="preserve">the Supplier is required to generate, process, store or transmit pursuant to a Contract; </w:t>
            </w:r>
          </w:p>
        </w:tc>
      </w:tr>
      <w:tr w:rsidR="00335AD1" w:rsidRPr="001370AF" w14:paraId="14FE8BFC" w14:textId="77777777">
        <w:tc>
          <w:tcPr>
            <w:tcW w:w="2405" w:type="dxa"/>
          </w:tcPr>
          <w:p w14:paraId="17607CCF"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"Guarantor"</w:t>
            </w:r>
          </w:p>
        </w:tc>
        <w:tc>
          <w:tcPr>
            <w:tcW w:w="7330" w:type="dxa"/>
            <w:gridSpan w:val="2"/>
          </w:tcPr>
          <w:p w14:paraId="6BA0DB00"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person (if any) who has entered into a guarantee in the form set out in Joint Schedule 8 (Guarantee) in relation to this Contract;</w:t>
            </w:r>
          </w:p>
        </w:tc>
      </w:tr>
      <w:tr w:rsidR="00335AD1" w:rsidRPr="001370AF" w14:paraId="09112EE7" w14:textId="77777777">
        <w:tc>
          <w:tcPr>
            <w:tcW w:w="2405" w:type="dxa"/>
          </w:tcPr>
          <w:p w14:paraId="044CF521"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"Halifax Abuse Principle"</w:t>
            </w:r>
          </w:p>
        </w:tc>
        <w:tc>
          <w:tcPr>
            <w:tcW w:w="7330" w:type="dxa"/>
            <w:gridSpan w:val="2"/>
          </w:tcPr>
          <w:p w14:paraId="1764976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principle explained in the CJEU Case C-255/02 Halifax and others;</w:t>
            </w:r>
          </w:p>
        </w:tc>
      </w:tr>
      <w:tr w:rsidR="00335AD1" w:rsidRPr="001370AF" w14:paraId="3690FDC2" w14:textId="77777777">
        <w:tc>
          <w:tcPr>
            <w:tcW w:w="2405" w:type="dxa"/>
          </w:tcPr>
          <w:p w14:paraId="7340F748"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"HMRC"</w:t>
            </w:r>
          </w:p>
        </w:tc>
        <w:tc>
          <w:tcPr>
            <w:tcW w:w="7330" w:type="dxa"/>
            <w:gridSpan w:val="2"/>
          </w:tcPr>
          <w:p w14:paraId="1E5B7B2C"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Her Majesty’s Revenue and Customs;</w:t>
            </w:r>
          </w:p>
        </w:tc>
      </w:tr>
      <w:tr w:rsidR="00335AD1" w:rsidRPr="001370AF" w14:paraId="330E18E7" w14:textId="77777777">
        <w:tc>
          <w:tcPr>
            <w:tcW w:w="2405" w:type="dxa"/>
          </w:tcPr>
          <w:p w14:paraId="7363CCD9"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"ICT Policy"</w:t>
            </w:r>
          </w:p>
        </w:tc>
        <w:tc>
          <w:tcPr>
            <w:tcW w:w="7330" w:type="dxa"/>
            <w:gridSpan w:val="2"/>
          </w:tcPr>
          <w:p w14:paraId="56B684B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35AD1" w:rsidRPr="001370AF" w14:paraId="5B1DF6E6" w14:textId="77777777">
        <w:tc>
          <w:tcPr>
            <w:tcW w:w="2405" w:type="dxa"/>
          </w:tcPr>
          <w:p w14:paraId="3EDE2724"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"Impact Assessment"</w:t>
            </w:r>
          </w:p>
        </w:tc>
        <w:tc>
          <w:tcPr>
            <w:tcW w:w="7330" w:type="dxa"/>
            <w:gridSpan w:val="2"/>
          </w:tcPr>
          <w:p w14:paraId="6B90660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 assessment of the impact of a Variation request by the Relevant Authority completed in good faith, including:</w:t>
            </w:r>
          </w:p>
          <w:p w14:paraId="1DA6B4C5" w14:textId="77777777" w:rsidR="00335AD1" w:rsidRPr="001370AF" w:rsidRDefault="00335AD1" w:rsidP="00335AD1">
            <w:pPr>
              <w:numPr>
                <w:ilvl w:val="0"/>
                <w:numId w:val="18"/>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1F71B339" w14:textId="77777777" w:rsidR="00335AD1" w:rsidRPr="001370AF" w:rsidRDefault="00335AD1" w:rsidP="00335AD1">
            <w:pPr>
              <w:numPr>
                <w:ilvl w:val="0"/>
                <w:numId w:val="18"/>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details of the cost of implementing the proposed Variation;</w:t>
            </w:r>
          </w:p>
          <w:p w14:paraId="67F55A63" w14:textId="77777777" w:rsidR="00335AD1" w:rsidRPr="001370AF" w:rsidRDefault="00335AD1" w:rsidP="00335AD1">
            <w:pPr>
              <w:numPr>
                <w:ilvl w:val="0"/>
                <w:numId w:val="18"/>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4A996926" w14:textId="77777777" w:rsidR="00335AD1" w:rsidRPr="001370AF" w:rsidRDefault="00335AD1" w:rsidP="00335AD1">
            <w:pPr>
              <w:numPr>
                <w:ilvl w:val="0"/>
                <w:numId w:val="18"/>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a timetable for the implementation, together with any proposals for the testing of the Variation; and</w:t>
            </w:r>
          </w:p>
          <w:p w14:paraId="7A63A0D5" w14:textId="77777777" w:rsidR="00335AD1" w:rsidRPr="001370AF" w:rsidRDefault="00335AD1" w:rsidP="00335AD1">
            <w:pPr>
              <w:numPr>
                <w:ilvl w:val="0"/>
                <w:numId w:val="18"/>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such other information as the Relevant Authority may reasonably request in (or in response to) the Variation request;</w:t>
            </w:r>
          </w:p>
        </w:tc>
      </w:tr>
      <w:tr w:rsidR="00335AD1" w:rsidRPr="001370AF" w14:paraId="7E9ECF6F" w14:textId="77777777">
        <w:tc>
          <w:tcPr>
            <w:tcW w:w="2405" w:type="dxa"/>
          </w:tcPr>
          <w:p w14:paraId="2795C892"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"Implementation Plan"</w:t>
            </w:r>
          </w:p>
        </w:tc>
        <w:tc>
          <w:tcPr>
            <w:tcW w:w="7330" w:type="dxa"/>
            <w:gridSpan w:val="2"/>
          </w:tcPr>
          <w:p w14:paraId="383C5BE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335AD1" w:rsidRPr="001370AF" w14:paraId="519B5212" w14:textId="77777777">
        <w:tc>
          <w:tcPr>
            <w:tcW w:w="2405" w:type="dxa"/>
          </w:tcPr>
          <w:p w14:paraId="2D88D4B4"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"Indemnifier"</w:t>
            </w:r>
          </w:p>
        </w:tc>
        <w:tc>
          <w:tcPr>
            <w:tcW w:w="7330" w:type="dxa"/>
            <w:gridSpan w:val="2"/>
          </w:tcPr>
          <w:p w14:paraId="7554CF22"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Party from whom an indemnity is sought under this Contract;</w:t>
            </w:r>
          </w:p>
        </w:tc>
      </w:tr>
      <w:tr w:rsidR="00335AD1" w:rsidRPr="001370AF" w14:paraId="2AC2BACC" w14:textId="77777777">
        <w:tc>
          <w:tcPr>
            <w:tcW w:w="2405" w:type="dxa"/>
          </w:tcPr>
          <w:p w14:paraId="4EA86D28"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“Independent Control”</w:t>
            </w:r>
          </w:p>
        </w:tc>
        <w:tc>
          <w:tcPr>
            <w:tcW w:w="7330" w:type="dxa"/>
            <w:gridSpan w:val="2"/>
          </w:tcPr>
          <w:p w14:paraId="2E70719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tc>
      </w:tr>
      <w:tr w:rsidR="00335AD1" w:rsidRPr="001370AF" w14:paraId="1F009C5E" w14:textId="77777777">
        <w:tc>
          <w:tcPr>
            <w:tcW w:w="2405" w:type="dxa"/>
          </w:tcPr>
          <w:p w14:paraId="0B84F124"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"Indexation"</w:t>
            </w:r>
          </w:p>
        </w:tc>
        <w:tc>
          <w:tcPr>
            <w:tcW w:w="7330" w:type="dxa"/>
            <w:gridSpan w:val="2"/>
          </w:tcPr>
          <w:p w14:paraId="06239B11"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adjustment of an amount or sum in accordance with Framework Schedule 3 (Framework Prices) and the relevant Order Form;</w:t>
            </w:r>
          </w:p>
        </w:tc>
      </w:tr>
      <w:tr w:rsidR="00335AD1" w:rsidRPr="001370AF" w14:paraId="23D4D1F8" w14:textId="77777777">
        <w:tc>
          <w:tcPr>
            <w:tcW w:w="2405" w:type="dxa"/>
          </w:tcPr>
          <w:p w14:paraId="757B76AC"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"Information"</w:t>
            </w:r>
          </w:p>
        </w:tc>
        <w:tc>
          <w:tcPr>
            <w:tcW w:w="7330" w:type="dxa"/>
            <w:gridSpan w:val="2"/>
          </w:tcPr>
          <w:p w14:paraId="1C848AF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has the meaning given under section 84 of the Freedom of Information Act 2000;</w:t>
            </w:r>
          </w:p>
        </w:tc>
      </w:tr>
      <w:tr w:rsidR="00335AD1" w:rsidRPr="001370AF" w14:paraId="536102D2" w14:textId="77777777">
        <w:tc>
          <w:tcPr>
            <w:tcW w:w="2405" w:type="dxa"/>
          </w:tcPr>
          <w:p w14:paraId="3687EA91"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"Information Commissioner"</w:t>
            </w:r>
          </w:p>
        </w:tc>
        <w:tc>
          <w:tcPr>
            <w:tcW w:w="7330" w:type="dxa"/>
            <w:gridSpan w:val="2"/>
          </w:tcPr>
          <w:p w14:paraId="173E7D7E"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335AD1" w:rsidRPr="001370AF" w14:paraId="15A34F39" w14:textId="77777777">
        <w:tc>
          <w:tcPr>
            <w:tcW w:w="2405" w:type="dxa"/>
          </w:tcPr>
          <w:p w14:paraId="4BB60708"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"Initial Period"</w:t>
            </w:r>
          </w:p>
        </w:tc>
        <w:tc>
          <w:tcPr>
            <w:tcW w:w="7330" w:type="dxa"/>
            <w:gridSpan w:val="2"/>
          </w:tcPr>
          <w:p w14:paraId="2138A87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initial term of a Contract specified in the Framework Award Form or the Order Form, as the context requires;</w:t>
            </w:r>
          </w:p>
        </w:tc>
      </w:tr>
      <w:tr w:rsidR="00335AD1" w:rsidRPr="001370AF" w14:paraId="4976E677" w14:textId="77777777">
        <w:tc>
          <w:tcPr>
            <w:tcW w:w="2405" w:type="dxa"/>
          </w:tcPr>
          <w:p w14:paraId="3522F275"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"Insolvency Event"</w:t>
            </w:r>
          </w:p>
        </w:tc>
        <w:tc>
          <w:tcPr>
            <w:tcW w:w="7330" w:type="dxa"/>
            <w:gridSpan w:val="2"/>
          </w:tcPr>
          <w:p w14:paraId="18BC478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with respect to any person, means:</w:t>
            </w:r>
          </w:p>
          <w:p w14:paraId="0A11A5EC"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6216FCF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w:t>
            </w:r>
            <w:proofErr w:type="spellStart"/>
            <w:r w:rsidRPr="001370AF">
              <w:rPr>
                <w:rFonts w:ascii="Arial" w:eastAsia="Arial" w:hAnsi="Arial" w:cs="Arial"/>
                <w:color w:val="000000"/>
                <w:sz w:val="24"/>
                <w:szCs w:val="24"/>
              </w:rPr>
              <w:t>i</w:t>
            </w:r>
            <w:proofErr w:type="spellEnd"/>
            <w:r w:rsidRPr="001370AF">
              <w:rPr>
                <w:rFonts w:ascii="Arial" w:eastAsia="Arial" w:hAnsi="Arial" w:cs="Arial"/>
                <w:color w:val="000000"/>
                <w:sz w:val="24"/>
                <w:szCs w:val="24"/>
              </w:rPr>
              <w:t>) (being a company or a LLP) is deemed unable to pay its debts within the meaning of section 123 of the Insolvency Act 1986, or</w:t>
            </w:r>
          </w:p>
          <w:p w14:paraId="26F36C5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(ii) (being a partnership) is deemed unable to pay its debts within the meaning of section 222 of the Insolvency Act 1986;</w:t>
            </w:r>
          </w:p>
          <w:p w14:paraId="639032E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2DFE887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(c) another person becomes entitled to appoint a receiver over the assets of that person or a receiver is appointed over the assets of that person;</w:t>
            </w:r>
          </w:p>
          <w:p w14:paraId="18C5F2F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7D065D8B"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(e) that person suspends or ceases, or threatens to suspend or cease, carrying on all or a substantial part of its business;</w:t>
            </w:r>
          </w:p>
          <w:p w14:paraId="783F94B4"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(f) where that person is a company, a LLP or a partnership:</w:t>
            </w:r>
          </w:p>
          <w:p w14:paraId="3A38BD4B"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w:t>
            </w:r>
            <w:proofErr w:type="spellStart"/>
            <w:r w:rsidRPr="001370AF">
              <w:rPr>
                <w:rFonts w:ascii="Arial" w:eastAsia="Arial" w:hAnsi="Arial" w:cs="Arial"/>
                <w:color w:val="000000"/>
                <w:sz w:val="24"/>
                <w:szCs w:val="24"/>
              </w:rPr>
              <w:t>i</w:t>
            </w:r>
            <w:proofErr w:type="spellEnd"/>
            <w:r w:rsidRPr="001370AF">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2DC2C27C"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(ii) an application is made to court, or an order is made, for the appointment of an administrator, or if a notice of intention to </w:t>
            </w:r>
            <w:r w:rsidRPr="001370AF">
              <w:rPr>
                <w:rFonts w:ascii="Arial" w:eastAsia="Arial" w:hAnsi="Arial" w:cs="Arial"/>
                <w:color w:val="000000"/>
                <w:sz w:val="24"/>
                <w:szCs w:val="24"/>
              </w:rPr>
              <w:lastRenderedPageBreak/>
              <w:t>appoint an administrator is filed at Court or given or if an administrator is appointed, over that person;</w:t>
            </w:r>
          </w:p>
          <w:p w14:paraId="23ABD98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12C4D8A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24B8328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335AD1" w:rsidRPr="001370AF" w14:paraId="272656D4" w14:textId="77777777">
        <w:tc>
          <w:tcPr>
            <w:tcW w:w="2405" w:type="dxa"/>
          </w:tcPr>
          <w:p w14:paraId="71744E60"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"Installation Works"</w:t>
            </w:r>
          </w:p>
        </w:tc>
        <w:tc>
          <w:tcPr>
            <w:tcW w:w="7330" w:type="dxa"/>
            <w:gridSpan w:val="2"/>
          </w:tcPr>
          <w:p w14:paraId="15EFAF5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335AD1" w:rsidRPr="001370AF" w14:paraId="75DD0A06" w14:textId="77777777">
        <w:tc>
          <w:tcPr>
            <w:tcW w:w="2405" w:type="dxa"/>
          </w:tcPr>
          <w:p w14:paraId="04DDBBAA"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"Intellectual Property Rights" or "IPR"</w:t>
            </w:r>
          </w:p>
        </w:tc>
        <w:tc>
          <w:tcPr>
            <w:tcW w:w="7330" w:type="dxa"/>
            <w:gridSpan w:val="2"/>
          </w:tcPr>
          <w:p w14:paraId="49752886" w14:textId="77777777" w:rsidR="00335AD1" w:rsidRPr="001370AF" w:rsidRDefault="00335AD1" w:rsidP="00335AD1">
            <w:pPr>
              <w:numPr>
                <w:ilvl w:val="0"/>
                <w:numId w:val="22"/>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2EA06643" w14:textId="77777777" w:rsidR="00335AD1" w:rsidRPr="001370AF" w:rsidRDefault="00335AD1" w:rsidP="00335AD1">
            <w:pPr>
              <w:numPr>
                <w:ilvl w:val="0"/>
                <w:numId w:val="22"/>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5A7FDA0D" w14:textId="77777777" w:rsidR="00335AD1" w:rsidRPr="001370AF" w:rsidRDefault="00335AD1" w:rsidP="00335AD1">
            <w:pPr>
              <w:numPr>
                <w:ilvl w:val="0"/>
                <w:numId w:val="2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all other rights having equivalent or similar effect in any country or jurisdiction;</w:t>
            </w:r>
          </w:p>
        </w:tc>
      </w:tr>
      <w:tr w:rsidR="00335AD1" w:rsidRPr="001370AF" w14:paraId="53AD834E" w14:textId="77777777">
        <w:tc>
          <w:tcPr>
            <w:tcW w:w="2405" w:type="dxa"/>
          </w:tcPr>
          <w:p w14:paraId="3BD67833"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"Invoicing Address"</w:t>
            </w:r>
          </w:p>
        </w:tc>
        <w:tc>
          <w:tcPr>
            <w:tcW w:w="7330" w:type="dxa"/>
            <w:gridSpan w:val="2"/>
          </w:tcPr>
          <w:p w14:paraId="2DCE054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address to which the Supplier shall invoice the Buyer as specified in the Order Form;</w:t>
            </w:r>
          </w:p>
        </w:tc>
      </w:tr>
      <w:tr w:rsidR="00335AD1" w:rsidRPr="001370AF" w14:paraId="5414934F" w14:textId="77777777">
        <w:tc>
          <w:tcPr>
            <w:tcW w:w="2405" w:type="dxa"/>
          </w:tcPr>
          <w:p w14:paraId="4293339C"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"IPR Claim"</w:t>
            </w:r>
          </w:p>
        </w:tc>
        <w:tc>
          <w:tcPr>
            <w:tcW w:w="7330" w:type="dxa"/>
            <w:gridSpan w:val="2"/>
          </w:tcPr>
          <w:p w14:paraId="242FAD3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35AD1" w:rsidRPr="001370AF" w14:paraId="17C902A7" w14:textId="77777777">
        <w:tc>
          <w:tcPr>
            <w:tcW w:w="2405" w:type="dxa"/>
          </w:tcPr>
          <w:p w14:paraId="34641B5C"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"IR35"</w:t>
            </w:r>
          </w:p>
        </w:tc>
        <w:tc>
          <w:tcPr>
            <w:tcW w:w="7330" w:type="dxa"/>
            <w:gridSpan w:val="2"/>
          </w:tcPr>
          <w:p w14:paraId="7F7A743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the off-payroll rules requiring individuals who work through their company pay the same tax and National Insurance contributions as an employee which can be found online at: </w:t>
            </w:r>
            <w:hyperlink r:id="rId8">
              <w:r w:rsidRPr="001370AF">
                <w:rPr>
                  <w:rFonts w:ascii="Arial" w:eastAsia="Arial" w:hAnsi="Arial" w:cs="Arial"/>
                  <w:color w:val="000000"/>
                  <w:sz w:val="24"/>
                  <w:szCs w:val="24"/>
                </w:rPr>
                <w:t>https://www.gov.uk/guidance/ir35-find-out-if-it-applies</w:t>
              </w:r>
            </w:hyperlink>
            <w:r w:rsidRPr="001370AF">
              <w:rPr>
                <w:rFonts w:ascii="Arial" w:eastAsia="Arial" w:hAnsi="Arial" w:cs="Arial"/>
                <w:color w:val="000000"/>
                <w:sz w:val="24"/>
                <w:szCs w:val="24"/>
              </w:rPr>
              <w:t>;</w:t>
            </w:r>
          </w:p>
        </w:tc>
      </w:tr>
      <w:tr w:rsidR="00335AD1" w:rsidRPr="001370AF" w14:paraId="557A6BFD" w14:textId="77777777">
        <w:tc>
          <w:tcPr>
            <w:tcW w:w="2405" w:type="dxa"/>
          </w:tcPr>
          <w:p w14:paraId="15777BA4"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“Joint Controller Agreement”</w:t>
            </w:r>
          </w:p>
        </w:tc>
        <w:tc>
          <w:tcPr>
            <w:tcW w:w="7330" w:type="dxa"/>
            <w:gridSpan w:val="2"/>
          </w:tcPr>
          <w:p w14:paraId="23CEF42F"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agreement (if any) entered into between the Relevant Authority and the Supplier substantially in the form set out in Annex 2 of Joint Schedule 11 (Processing Data);</w:t>
            </w:r>
          </w:p>
        </w:tc>
      </w:tr>
      <w:tr w:rsidR="00335AD1" w:rsidRPr="001370AF" w14:paraId="1455C9E8" w14:textId="77777777">
        <w:tc>
          <w:tcPr>
            <w:tcW w:w="2405" w:type="dxa"/>
          </w:tcPr>
          <w:p w14:paraId="548DBC99"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“Joint Controllers”</w:t>
            </w:r>
          </w:p>
        </w:tc>
        <w:tc>
          <w:tcPr>
            <w:tcW w:w="7330" w:type="dxa"/>
            <w:gridSpan w:val="2"/>
          </w:tcPr>
          <w:p w14:paraId="5C8924CE"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where two or more Controllers jointly determine the purposes and means of Processing;</w:t>
            </w:r>
          </w:p>
        </w:tc>
      </w:tr>
      <w:tr w:rsidR="00335AD1" w:rsidRPr="001370AF" w14:paraId="1850CB7B" w14:textId="77777777">
        <w:tc>
          <w:tcPr>
            <w:tcW w:w="2405" w:type="dxa"/>
          </w:tcPr>
          <w:p w14:paraId="3A2F7F4E"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"Key Staff"</w:t>
            </w:r>
          </w:p>
        </w:tc>
        <w:tc>
          <w:tcPr>
            <w:tcW w:w="7330" w:type="dxa"/>
            <w:gridSpan w:val="2"/>
          </w:tcPr>
          <w:p w14:paraId="4B33ABC0"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individuals (if any) identified as such in the Order Form;</w:t>
            </w:r>
          </w:p>
        </w:tc>
      </w:tr>
      <w:tr w:rsidR="00335AD1" w:rsidRPr="001370AF" w14:paraId="4661CF80" w14:textId="77777777">
        <w:trPr>
          <w:trHeight w:val="357"/>
        </w:trPr>
        <w:tc>
          <w:tcPr>
            <w:tcW w:w="2405" w:type="dxa"/>
          </w:tcPr>
          <w:p w14:paraId="6E9AE248"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"Key Sub-Contract"</w:t>
            </w:r>
          </w:p>
        </w:tc>
        <w:tc>
          <w:tcPr>
            <w:tcW w:w="7330" w:type="dxa"/>
            <w:gridSpan w:val="2"/>
          </w:tcPr>
          <w:p w14:paraId="46E7D1A0"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each Sub-Contract with a Key Subcontractor;</w:t>
            </w:r>
          </w:p>
        </w:tc>
      </w:tr>
      <w:tr w:rsidR="00335AD1" w:rsidRPr="001370AF" w14:paraId="36E245C0" w14:textId="77777777">
        <w:trPr>
          <w:trHeight w:val="426"/>
        </w:trPr>
        <w:tc>
          <w:tcPr>
            <w:tcW w:w="2405" w:type="dxa"/>
          </w:tcPr>
          <w:p w14:paraId="31623C50"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"Key Subcontractor"</w:t>
            </w:r>
          </w:p>
        </w:tc>
        <w:tc>
          <w:tcPr>
            <w:tcW w:w="7330" w:type="dxa"/>
            <w:gridSpan w:val="2"/>
          </w:tcPr>
          <w:p w14:paraId="20B0A89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Subcontractor:</w:t>
            </w:r>
          </w:p>
          <w:p w14:paraId="3440BFC3" w14:textId="77777777" w:rsidR="00335AD1" w:rsidRPr="001370AF" w:rsidRDefault="00335AD1" w:rsidP="00335AD1">
            <w:pPr>
              <w:numPr>
                <w:ilvl w:val="0"/>
                <w:numId w:val="23"/>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which is relied upon to deliver any work package within the Deliverables in their entirety; and/or</w:t>
            </w:r>
          </w:p>
          <w:p w14:paraId="33096EF0" w14:textId="77777777" w:rsidR="00335AD1" w:rsidRPr="001370AF" w:rsidRDefault="00335AD1" w:rsidP="00335AD1">
            <w:pPr>
              <w:numPr>
                <w:ilvl w:val="0"/>
                <w:numId w:val="23"/>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0BF1B187" w14:textId="77777777" w:rsidR="00335AD1" w:rsidRPr="001370AF" w:rsidRDefault="00335AD1" w:rsidP="00335AD1">
            <w:pPr>
              <w:numPr>
                <w:ilvl w:val="0"/>
                <w:numId w:val="2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52342E5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335AD1" w:rsidRPr="001370AF" w14:paraId="5D775856" w14:textId="77777777">
        <w:tc>
          <w:tcPr>
            <w:tcW w:w="2405" w:type="dxa"/>
          </w:tcPr>
          <w:p w14:paraId="219AAC8C"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"Know-How"</w:t>
            </w:r>
          </w:p>
        </w:tc>
        <w:tc>
          <w:tcPr>
            <w:tcW w:w="7330" w:type="dxa"/>
            <w:gridSpan w:val="2"/>
          </w:tcPr>
          <w:p w14:paraId="45DA2983"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335AD1" w:rsidRPr="001370AF" w14:paraId="2B5037DA" w14:textId="77777777">
        <w:tc>
          <w:tcPr>
            <w:tcW w:w="2405" w:type="dxa"/>
          </w:tcPr>
          <w:p w14:paraId="4684BB9A"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"Law"</w:t>
            </w:r>
          </w:p>
        </w:tc>
        <w:tc>
          <w:tcPr>
            <w:tcW w:w="7330" w:type="dxa"/>
            <w:gridSpan w:val="2"/>
          </w:tcPr>
          <w:p w14:paraId="6D1DCD0C"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35AD1" w:rsidRPr="001370AF" w14:paraId="1F39C24F" w14:textId="77777777">
        <w:tc>
          <w:tcPr>
            <w:tcW w:w="2405" w:type="dxa"/>
          </w:tcPr>
          <w:p w14:paraId="3F7B6EA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“LED”</w:t>
            </w:r>
          </w:p>
        </w:tc>
        <w:tc>
          <w:tcPr>
            <w:tcW w:w="7330" w:type="dxa"/>
            <w:gridSpan w:val="2"/>
          </w:tcPr>
          <w:p w14:paraId="7D50C8F1"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Law Enforcement Directive (Directive (EU) 2016/680);</w:t>
            </w:r>
          </w:p>
        </w:tc>
      </w:tr>
      <w:tr w:rsidR="00335AD1" w:rsidRPr="001370AF" w14:paraId="756FE0EE" w14:textId="77777777">
        <w:tc>
          <w:tcPr>
            <w:tcW w:w="2405" w:type="dxa"/>
          </w:tcPr>
          <w:p w14:paraId="05E014D0"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"Losses"</w:t>
            </w:r>
          </w:p>
        </w:tc>
        <w:tc>
          <w:tcPr>
            <w:tcW w:w="7330" w:type="dxa"/>
            <w:gridSpan w:val="2"/>
          </w:tcPr>
          <w:p w14:paraId="008B2750"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335AD1" w:rsidRPr="001370AF" w14:paraId="5ECF8FFA" w14:textId="77777777">
        <w:tc>
          <w:tcPr>
            <w:tcW w:w="2405" w:type="dxa"/>
          </w:tcPr>
          <w:p w14:paraId="6015057E"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"Lots"</w:t>
            </w:r>
          </w:p>
        </w:tc>
        <w:tc>
          <w:tcPr>
            <w:tcW w:w="7330" w:type="dxa"/>
            <w:gridSpan w:val="2"/>
          </w:tcPr>
          <w:p w14:paraId="2180A1E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number of lots specified in Framework Schedule 1 (Specification), if applicable;</w:t>
            </w:r>
          </w:p>
        </w:tc>
      </w:tr>
      <w:tr w:rsidR="00335AD1" w:rsidRPr="001370AF" w14:paraId="276932AC" w14:textId="77777777">
        <w:tc>
          <w:tcPr>
            <w:tcW w:w="2405" w:type="dxa"/>
          </w:tcPr>
          <w:p w14:paraId="5BD3561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"Management Charge"</w:t>
            </w:r>
          </w:p>
        </w:tc>
        <w:tc>
          <w:tcPr>
            <w:tcW w:w="7330" w:type="dxa"/>
            <w:gridSpan w:val="2"/>
          </w:tcPr>
          <w:p w14:paraId="559A9C40"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335AD1" w:rsidRPr="001370AF" w14:paraId="7DC3FF71" w14:textId="77777777">
        <w:tc>
          <w:tcPr>
            <w:tcW w:w="2405" w:type="dxa"/>
          </w:tcPr>
          <w:p w14:paraId="09C9A7C9"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"Management Information" or “MI”</w:t>
            </w:r>
          </w:p>
        </w:tc>
        <w:tc>
          <w:tcPr>
            <w:tcW w:w="7330" w:type="dxa"/>
            <w:gridSpan w:val="2"/>
          </w:tcPr>
          <w:p w14:paraId="18367F72"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management information specified in Framework Schedule 5 (Management Charges and Information);</w:t>
            </w:r>
          </w:p>
        </w:tc>
      </w:tr>
      <w:tr w:rsidR="00335AD1" w:rsidRPr="001370AF" w14:paraId="55079BD8" w14:textId="77777777">
        <w:tc>
          <w:tcPr>
            <w:tcW w:w="2405" w:type="dxa"/>
          </w:tcPr>
          <w:p w14:paraId="632B99BE"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“MI Default”</w:t>
            </w:r>
          </w:p>
        </w:tc>
        <w:tc>
          <w:tcPr>
            <w:tcW w:w="7330" w:type="dxa"/>
            <w:gridSpan w:val="2"/>
          </w:tcPr>
          <w:p w14:paraId="1AB60C6E"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means when two (2) MI Reports are not provided in any rolling six (6) month period</w:t>
            </w:r>
          </w:p>
        </w:tc>
      </w:tr>
      <w:tr w:rsidR="00335AD1" w:rsidRPr="001370AF" w14:paraId="16CB0803" w14:textId="77777777">
        <w:tc>
          <w:tcPr>
            <w:tcW w:w="2405" w:type="dxa"/>
          </w:tcPr>
          <w:p w14:paraId="1FF29D0A"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"MI Failure"</w:t>
            </w:r>
          </w:p>
        </w:tc>
        <w:tc>
          <w:tcPr>
            <w:tcW w:w="7330" w:type="dxa"/>
            <w:gridSpan w:val="2"/>
          </w:tcPr>
          <w:p w14:paraId="397F4DDE"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means when an MI report:</w:t>
            </w:r>
          </w:p>
          <w:p w14:paraId="63DB1131" w14:textId="77777777" w:rsidR="00335AD1" w:rsidRPr="001370AF" w:rsidRDefault="00335AD1" w:rsidP="00335AD1">
            <w:pPr>
              <w:numPr>
                <w:ilvl w:val="0"/>
                <w:numId w:val="24"/>
              </w:numPr>
              <w:pBdr>
                <w:top w:val="nil"/>
                <w:left w:val="nil"/>
                <w:bottom w:val="nil"/>
                <w:right w:val="nil"/>
                <w:between w:val="nil"/>
              </w:pBdr>
              <w:tabs>
                <w:tab w:val="left" w:pos="-576"/>
                <w:tab w:val="left" w:pos="175"/>
              </w:tabs>
              <w:jc w:val="both"/>
              <w:rPr>
                <w:rFonts w:ascii="Arial" w:eastAsia="Arial" w:hAnsi="Arial" w:cs="Arial"/>
                <w:color w:val="000000"/>
                <w:sz w:val="24"/>
                <w:szCs w:val="24"/>
              </w:rPr>
            </w:pPr>
            <w:r w:rsidRPr="001370AF">
              <w:rPr>
                <w:rFonts w:ascii="Arial" w:eastAsia="Arial" w:hAnsi="Arial" w:cs="Arial"/>
                <w:color w:val="000000"/>
                <w:sz w:val="24"/>
                <w:szCs w:val="24"/>
              </w:rPr>
              <w:t xml:space="preserve">contains any material errors or material omissions or a missing mandatory field; or  </w:t>
            </w:r>
          </w:p>
          <w:p w14:paraId="662F72F2" w14:textId="77777777" w:rsidR="00335AD1" w:rsidRPr="001370AF" w:rsidRDefault="00335AD1" w:rsidP="00335AD1">
            <w:pPr>
              <w:numPr>
                <w:ilvl w:val="0"/>
                <w:numId w:val="24"/>
              </w:numPr>
              <w:pBdr>
                <w:top w:val="nil"/>
                <w:left w:val="nil"/>
                <w:bottom w:val="nil"/>
                <w:right w:val="nil"/>
                <w:between w:val="nil"/>
              </w:pBdr>
              <w:tabs>
                <w:tab w:val="left" w:pos="-576"/>
                <w:tab w:val="left" w:pos="175"/>
              </w:tabs>
              <w:jc w:val="both"/>
              <w:rPr>
                <w:rFonts w:ascii="Arial" w:eastAsia="Arial" w:hAnsi="Arial" w:cs="Arial"/>
                <w:color w:val="000000"/>
                <w:sz w:val="24"/>
                <w:szCs w:val="24"/>
              </w:rPr>
            </w:pPr>
            <w:r w:rsidRPr="001370AF">
              <w:rPr>
                <w:rFonts w:ascii="Arial" w:eastAsia="Arial" w:hAnsi="Arial" w:cs="Arial"/>
                <w:color w:val="000000"/>
                <w:sz w:val="24"/>
                <w:szCs w:val="24"/>
              </w:rPr>
              <w:t>is submitted using an incorrect MI reporting Template; or</w:t>
            </w:r>
          </w:p>
          <w:p w14:paraId="45598834" w14:textId="77777777" w:rsidR="00335AD1" w:rsidRPr="001370AF" w:rsidRDefault="00335AD1" w:rsidP="00335AD1">
            <w:pPr>
              <w:numPr>
                <w:ilvl w:val="0"/>
                <w:numId w:val="24"/>
              </w:numPr>
              <w:pBdr>
                <w:top w:val="nil"/>
                <w:left w:val="nil"/>
                <w:bottom w:val="nil"/>
                <w:right w:val="nil"/>
                <w:between w:val="nil"/>
              </w:pBdr>
              <w:tabs>
                <w:tab w:val="left" w:pos="-576"/>
                <w:tab w:val="left" w:pos="175"/>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is not submitted by the reporting date (including where a declaration of no business should have been filed);</w:t>
            </w:r>
          </w:p>
        </w:tc>
      </w:tr>
      <w:tr w:rsidR="00335AD1" w:rsidRPr="001370AF" w14:paraId="5C6FD67A" w14:textId="77777777">
        <w:tc>
          <w:tcPr>
            <w:tcW w:w="2405" w:type="dxa"/>
          </w:tcPr>
          <w:p w14:paraId="05FF1BC2"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"MI Report"</w:t>
            </w:r>
          </w:p>
        </w:tc>
        <w:tc>
          <w:tcPr>
            <w:tcW w:w="7330" w:type="dxa"/>
            <w:gridSpan w:val="2"/>
          </w:tcPr>
          <w:p w14:paraId="26D88B9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335AD1" w:rsidRPr="001370AF" w14:paraId="370AECC7" w14:textId="77777777">
        <w:tc>
          <w:tcPr>
            <w:tcW w:w="2405" w:type="dxa"/>
          </w:tcPr>
          <w:p w14:paraId="4983F01E"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"MI Reporting Template"</w:t>
            </w:r>
          </w:p>
        </w:tc>
        <w:tc>
          <w:tcPr>
            <w:tcW w:w="7330" w:type="dxa"/>
            <w:gridSpan w:val="2"/>
          </w:tcPr>
          <w:p w14:paraId="659F9B0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335AD1" w:rsidRPr="001370AF" w14:paraId="47044209" w14:textId="77777777">
        <w:tc>
          <w:tcPr>
            <w:tcW w:w="2405" w:type="dxa"/>
          </w:tcPr>
          <w:p w14:paraId="392A5F9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"Milestone"</w:t>
            </w:r>
          </w:p>
        </w:tc>
        <w:tc>
          <w:tcPr>
            <w:tcW w:w="7330" w:type="dxa"/>
            <w:gridSpan w:val="2"/>
          </w:tcPr>
          <w:p w14:paraId="29A200C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 event or task described in the Implementation Plan;</w:t>
            </w:r>
          </w:p>
        </w:tc>
      </w:tr>
      <w:tr w:rsidR="00335AD1" w:rsidRPr="001370AF" w14:paraId="19A98926" w14:textId="77777777">
        <w:tc>
          <w:tcPr>
            <w:tcW w:w="2405" w:type="dxa"/>
          </w:tcPr>
          <w:p w14:paraId="09661D2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"Milestone Date"</w:t>
            </w:r>
          </w:p>
        </w:tc>
        <w:tc>
          <w:tcPr>
            <w:tcW w:w="7330" w:type="dxa"/>
            <w:gridSpan w:val="2"/>
          </w:tcPr>
          <w:p w14:paraId="2D791864"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target date set out against the relevant Milestone in the Implementation Plan by which the Milestone must be Achieved;</w:t>
            </w:r>
          </w:p>
        </w:tc>
      </w:tr>
      <w:tr w:rsidR="00335AD1" w:rsidRPr="001370AF" w14:paraId="22069CDB" w14:textId="77777777">
        <w:tc>
          <w:tcPr>
            <w:tcW w:w="2405" w:type="dxa"/>
          </w:tcPr>
          <w:p w14:paraId="17FF41F6"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"Month"</w:t>
            </w:r>
          </w:p>
        </w:tc>
        <w:tc>
          <w:tcPr>
            <w:tcW w:w="7330" w:type="dxa"/>
            <w:gridSpan w:val="2"/>
          </w:tcPr>
          <w:p w14:paraId="369234F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calendar month and "Monthly" shall be interpreted accordingly;</w:t>
            </w:r>
          </w:p>
        </w:tc>
      </w:tr>
      <w:tr w:rsidR="00335AD1" w:rsidRPr="001370AF" w14:paraId="5ACD902B" w14:textId="77777777">
        <w:tc>
          <w:tcPr>
            <w:tcW w:w="2405" w:type="dxa"/>
          </w:tcPr>
          <w:p w14:paraId="72BC4F14"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"National Insurance"</w:t>
            </w:r>
          </w:p>
        </w:tc>
        <w:tc>
          <w:tcPr>
            <w:tcW w:w="7330" w:type="dxa"/>
            <w:gridSpan w:val="2"/>
          </w:tcPr>
          <w:p w14:paraId="3D32A41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335AD1" w:rsidRPr="001370AF" w14:paraId="27F61B37" w14:textId="77777777">
        <w:tc>
          <w:tcPr>
            <w:tcW w:w="2405" w:type="dxa"/>
          </w:tcPr>
          <w:p w14:paraId="1B20B9F5"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"New IPR"</w:t>
            </w:r>
          </w:p>
        </w:tc>
        <w:tc>
          <w:tcPr>
            <w:tcW w:w="7330" w:type="dxa"/>
            <w:gridSpan w:val="2"/>
          </w:tcPr>
          <w:p w14:paraId="518ABAE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5231140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3FD9F76E" w14:textId="77777777" w:rsidR="00335AD1" w:rsidRPr="001370AF" w:rsidRDefault="00335AD1" w:rsidP="001370AF">
            <w:pPr>
              <w:pBdr>
                <w:top w:val="nil"/>
                <w:left w:val="nil"/>
                <w:bottom w:val="nil"/>
                <w:right w:val="nil"/>
                <w:between w:val="nil"/>
              </w:pBdr>
              <w:tabs>
                <w:tab w:val="left" w:pos="-179"/>
                <w:tab w:val="left" w:pos="-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but shall not include the Supplier’s Existing IPR;</w:t>
            </w:r>
          </w:p>
        </w:tc>
      </w:tr>
      <w:tr w:rsidR="00335AD1" w:rsidRPr="001370AF" w14:paraId="0D51B589" w14:textId="77777777">
        <w:tc>
          <w:tcPr>
            <w:tcW w:w="2405" w:type="dxa"/>
          </w:tcPr>
          <w:p w14:paraId="277EE82C"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"Occasion of Tax Non–Compliance"</w:t>
            </w:r>
          </w:p>
        </w:tc>
        <w:tc>
          <w:tcPr>
            <w:tcW w:w="7330" w:type="dxa"/>
            <w:gridSpan w:val="2"/>
          </w:tcPr>
          <w:p w14:paraId="4A9D95A2" w14:textId="77777777" w:rsidR="00335AD1" w:rsidRPr="001370AF" w:rsidRDefault="00335AD1" w:rsidP="00335AD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 xml:space="preserve">where: </w:t>
            </w:r>
          </w:p>
          <w:p w14:paraId="1A8243CB" w14:textId="77777777" w:rsidR="00335AD1" w:rsidRPr="001370AF" w:rsidRDefault="00335AD1" w:rsidP="00335AD1">
            <w:pPr>
              <w:numPr>
                <w:ilvl w:val="0"/>
                <w:numId w:val="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lastRenderedPageBreak/>
              <w:t>any tax return of the Supplier submitted to a Relevant Tax Authority on or after 1 October 2012 which is found on or after 1 April 2013 to be incorrect as a result of:</w:t>
            </w:r>
          </w:p>
          <w:p w14:paraId="126F715B" w14:textId="77777777" w:rsidR="00335AD1" w:rsidRPr="001370AF" w:rsidRDefault="00335AD1" w:rsidP="00335AD1">
            <w:pPr>
              <w:pBdr>
                <w:top w:val="nil"/>
                <w:left w:val="nil"/>
                <w:bottom w:val="nil"/>
                <w:right w:val="nil"/>
                <w:between w:val="nil"/>
              </w:pBdr>
              <w:tabs>
                <w:tab w:val="left" w:pos="-576"/>
                <w:tab w:val="left" w:pos="144"/>
              </w:tabs>
              <w:spacing w:after="120"/>
              <w:ind w:left="708"/>
              <w:jc w:val="both"/>
              <w:rPr>
                <w:rFonts w:ascii="Arial" w:eastAsia="Arial" w:hAnsi="Arial" w:cs="Arial"/>
                <w:color w:val="000000"/>
                <w:sz w:val="24"/>
                <w:szCs w:val="24"/>
              </w:rPr>
            </w:pPr>
            <w:proofErr w:type="spellStart"/>
            <w:r w:rsidRPr="001370AF">
              <w:rPr>
                <w:rFonts w:ascii="Arial" w:eastAsia="Arial" w:hAnsi="Arial" w:cs="Arial"/>
                <w:sz w:val="24"/>
                <w:szCs w:val="24"/>
              </w:rPr>
              <w:t>i</w:t>
            </w:r>
            <w:proofErr w:type="spellEnd"/>
            <w:r w:rsidRPr="001370AF">
              <w:rPr>
                <w:rFonts w:ascii="Arial" w:eastAsia="Arial" w:hAnsi="Arial" w:cs="Arial"/>
                <w:sz w:val="24"/>
                <w:szCs w:val="24"/>
              </w:rPr>
              <w:t xml:space="preserve">) </w:t>
            </w:r>
            <w:r w:rsidRPr="001370AF">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85C62C9" w14:textId="77777777" w:rsidR="00335AD1" w:rsidRPr="001370AF" w:rsidRDefault="00335AD1" w:rsidP="00335AD1">
            <w:pPr>
              <w:pBdr>
                <w:top w:val="nil"/>
                <w:left w:val="nil"/>
                <w:bottom w:val="nil"/>
                <w:right w:val="nil"/>
                <w:between w:val="nil"/>
              </w:pBdr>
              <w:tabs>
                <w:tab w:val="left" w:pos="-576"/>
                <w:tab w:val="left" w:pos="144"/>
              </w:tabs>
              <w:spacing w:after="120"/>
              <w:ind w:left="708"/>
              <w:jc w:val="both"/>
              <w:rPr>
                <w:rFonts w:ascii="Arial" w:eastAsia="Arial" w:hAnsi="Arial" w:cs="Arial"/>
                <w:color w:val="000000"/>
                <w:sz w:val="24"/>
                <w:szCs w:val="24"/>
              </w:rPr>
            </w:pPr>
            <w:r w:rsidRPr="001370AF">
              <w:rPr>
                <w:rFonts w:ascii="Arial" w:eastAsia="Arial" w:hAnsi="Arial" w:cs="Arial"/>
                <w:sz w:val="24"/>
                <w:szCs w:val="24"/>
              </w:rPr>
              <w:t xml:space="preserve">ii) </w:t>
            </w:r>
            <w:r w:rsidRPr="001370AF">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6B4691BB" w14:textId="77777777" w:rsidR="00335AD1" w:rsidRPr="001370AF" w:rsidRDefault="00335AD1" w:rsidP="00335AD1">
            <w:pPr>
              <w:numPr>
                <w:ilvl w:val="0"/>
                <w:numId w:val="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35AD1" w:rsidRPr="001370AF" w14:paraId="6D573FB6" w14:textId="77777777">
        <w:trPr>
          <w:trHeight w:val="5726"/>
        </w:trPr>
        <w:tc>
          <w:tcPr>
            <w:tcW w:w="2405" w:type="dxa"/>
          </w:tcPr>
          <w:p w14:paraId="12AE1354"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"Open Book Data "</w:t>
            </w:r>
          </w:p>
        </w:tc>
        <w:tc>
          <w:tcPr>
            <w:tcW w:w="7330" w:type="dxa"/>
            <w:gridSpan w:val="2"/>
          </w:tcPr>
          <w:p w14:paraId="3B2826BA"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0E6283AB" w14:textId="77777777" w:rsidR="00335AD1" w:rsidRPr="001370AF" w:rsidRDefault="00335AD1" w:rsidP="00335AD1">
            <w:pPr>
              <w:numPr>
                <w:ilvl w:val="0"/>
                <w:numId w:val="5"/>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7461DF48" w14:textId="77777777" w:rsidR="00335AD1" w:rsidRPr="001370AF" w:rsidRDefault="00335AD1" w:rsidP="00335AD1">
            <w:pPr>
              <w:numPr>
                <w:ilvl w:val="0"/>
                <w:numId w:val="5"/>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operating expenditure relating to the provision of the Deliverables including an analysis showing:</w:t>
            </w:r>
          </w:p>
          <w:p w14:paraId="69BFB4C8" w14:textId="77777777" w:rsidR="00335AD1" w:rsidRPr="001370AF" w:rsidRDefault="00335AD1" w:rsidP="00335AD1">
            <w:pPr>
              <w:numPr>
                <w:ilvl w:val="2"/>
                <w:numId w:val="2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the unit costs and quantity of Goods and any other consumables and bought-in Deliverables;</w:t>
            </w:r>
          </w:p>
          <w:p w14:paraId="7A873E96" w14:textId="77777777" w:rsidR="00335AD1" w:rsidRPr="001370AF" w:rsidRDefault="00335AD1" w:rsidP="00335AD1">
            <w:pPr>
              <w:numPr>
                <w:ilvl w:val="2"/>
                <w:numId w:val="2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3178E9D8" w14:textId="77777777" w:rsidR="00335AD1" w:rsidRPr="001370AF" w:rsidRDefault="00335AD1" w:rsidP="00335AD1">
            <w:pPr>
              <w:numPr>
                <w:ilvl w:val="2"/>
                <w:numId w:val="2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a list of Costs underpinning those rates for each grade, being the agreed rate less the Supplier Profit Margin; and</w:t>
            </w:r>
          </w:p>
          <w:p w14:paraId="06AFC5EF" w14:textId="77777777" w:rsidR="00335AD1" w:rsidRPr="001370AF" w:rsidRDefault="00335AD1" w:rsidP="00335AD1">
            <w:pPr>
              <w:numPr>
                <w:ilvl w:val="2"/>
                <w:numId w:val="2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 xml:space="preserve">Reimbursable Expenses, if allowed under the Order Form; </w:t>
            </w:r>
          </w:p>
          <w:p w14:paraId="204919B9" w14:textId="77777777" w:rsidR="00335AD1" w:rsidRPr="001370AF" w:rsidRDefault="00335AD1" w:rsidP="00335AD1">
            <w:pPr>
              <w:numPr>
                <w:ilvl w:val="0"/>
                <w:numId w:val="5"/>
              </w:numPr>
              <w:pBdr>
                <w:top w:val="nil"/>
                <w:left w:val="nil"/>
                <w:bottom w:val="nil"/>
                <w:right w:val="nil"/>
                <w:between w:val="nil"/>
              </w:pBdr>
              <w:tabs>
                <w:tab w:val="left" w:pos="-576"/>
                <w:tab w:val="left" w:pos="144"/>
              </w:tabs>
              <w:jc w:val="both"/>
              <w:rPr>
                <w:rFonts w:ascii="Arial" w:eastAsia="Arial" w:hAnsi="Arial" w:cs="Arial"/>
                <w:sz w:val="24"/>
                <w:szCs w:val="24"/>
              </w:rPr>
            </w:pPr>
            <w:r w:rsidRPr="001370AF">
              <w:rPr>
                <w:rFonts w:ascii="Arial" w:eastAsia="Arial" w:hAnsi="Arial" w:cs="Arial"/>
                <w:sz w:val="24"/>
                <w:szCs w:val="24"/>
              </w:rPr>
              <w:t xml:space="preserve">Overheads; </w:t>
            </w:r>
          </w:p>
          <w:p w14:paraId="2F6C9504" w14:textId="77777777" w:rsidR="00335AD1" w:rsidRPr="001370AF" w:rsidRDefault="00335AD1" w:rsidP="00335AD1">
            <w:pPr>
              <w:numPr>
                <w:ilvl w:val="0"/>
                <w:numId w:val="5"/>
              </w:numPr>
              <w:pBdr>
                <w:top w:val="nil"/>
                <w:left w:val="nil"/>
                <w:bottom w:val="nil"/>
                <w:right w:val="nil"/>
                <w:between w:val="nil"/>
              </w:pBdr>
              <w:tabs>
                <w:tab w:val="left" w:pos="-576"/>
                <w:tab w:val="left" w:pos="144"/>
              </w:tabs>
              <w:jc w:val="both"/>
              <w:rPr>
                <w:rFonts w:ascii="Arial" w:eastAsia="Arial" w:hAnsi="Arial" w:cs="Arial"/>
                <w:sz w:val="24"/>
                <w:szCs w:val="24"/>
              </w:rPr>
            </w:pPr>
            <w:r w:rsidRPr="001370AF">
              <w:rPr>
                <w:rFonts w:ascii="Arial" w:eastAsia="Arial" w:hAnsi="Arial" w:cs="Arial"/>
                <w:color w:val="000000"/>
                <w:sz w:val="24"/>
                <w:szCs w:val="24"/>
              </w:rPr>
              <w:t>all interest, expenses and any other third party financing costs incurred in relation to the provision of the Deliverables;</w:t>
            </w:r>
          </w:p>
          <w:p w14:paraId="739D86E1" w14:textId="77777777" w:rsidR="00335AD1" w:rsidRPr="001370AF" w:rsidRDefault="00335AD1" w:rsidP="00335AD1">
            <w:pPr>
              <w:numPr>
                <w:ilvl w:val="0"/>
                <w:numId w:val="5"/>
              </w:numPr>
              <w:pBdr>
                <w:top w:val="nil"/>
                <w:left w:val="nil"/>
                <w:bottom w:val="nil"/>
                <w:right w:val="nil"/>
                <w:between w:val="nil"/>
              </w:pBdr>
              <w:tabs>
                <w:tab w:val="left" w:pos="-576"/>
                <w:tab w:val="left" w:pos="144"/>
              </w:tabs>
              <w:jc w:val="both"/>
              <w:rPr>
                <w:rFonts w:ascii="Arial" w:eastAsia="Arial" w:hAnsi="Arial" w:cs="Arial"/>
                <w:sz w:val="24"/>
                <w:szCs w:val="24"/>
              </w:rPr>
            </w:pPr>
            <w:r w:rsidRPr="001370AF">
              <w:rPr>
                <w:rFonts w:ascii="Arial" w:eastAsia="Arial" w:hAnsi="Arial" w:cs="Arial"/>
                <w:sz w:val="24"/>
                <w:szCs w:val="24"/>
              </w:rPr>
              <w:t>the Supplier Profit achieved over the Framework Contract Period and on an annual basis;</w:t>
            </w:r>
          </w:p>
          <w:p w14:paraId="7D4C4A10" w14:textId="77777777" w:rsidR="00335AD1" w:rsidRPr="001370AF" w:rsidRDefault="00335AD1" w:rsidP="00335AD1">
            <w:pPr>
              <w:numPr>
                <w:ilvl w:val="0"/>
                <w:numId w:val="5"/>
              </w:numPr>
              <w:pBdr>
                <w:top w:val="nil"/>
                <w:left w:val="nil"/>
                <w:bottom w:val="nil"/>
                <w:right w:val="nil"/>
                <w:between w:val="nil"/>
              </w:pBdr>
              <w:tabs>
                <w:tab w:val="left" w:pos="-576"/>
                <w:tab w:val="left" w:pos="144"/>
              </w:tabs>
              <w:jc w:val="both"/>
              <w:rPr>
                <w:rFonts w:ascii="Arial" w:eastAsia="Arial" w:hAnsi="Arial" w:cs="Arial"/>
                <w:sz w:val="24"/>
                <w:szCs w:val="24"/>
              </w:rPr>
            </w:pPr>
            <w:r w:rsidRPr="001370AF">
              <w:rPr>
                <w:rFonts w:ascii="Arial" w:eastAsia="Arial" w:hAnsi="Arial" w:cs="Arial"/>
                <w:sz w:val="24"/>
                <w:szCs w:val="24"/>
              </w:rPr>
              <w:lastRenderedPageBreak/>
              <w:t>confirmation that all methods of Cost apportionment and Overhead allocation are consistent with and not more onerous than such methods applied generally by the Supplier;</w:t>
            </w:r>
          </w:p>
          <w:p w14:paraId="72C25067" w14:textId="77777777" w:rsidR="00335AD1" w:rsidRPr="001370AF" w:rsidRDefault="00335AD1" w:rsidP="00335AD1">
            <w:pPr>
              <w:numPr>
                <w:ilvl w:val="0"/>
                <w:numId w:val="5"/>
              </w:numPr>
              <w:pBdr>
                <w:top w:val="nil"/>
                <w:left w:val="nil"/>
                <w:bottom w:val="nil"/>
                <w:right w:val="nil"/>
                <w:between w:val="nil"/>
              </w:pBdr>
              <w:tabs>
                <w:tab w:val="left" w:pos="-576"/>
                <w:tab w:val="left" w:pos="144"/>
              </w:tabs>
              <w:jc w:val="both"/>
              <w:rPr>
                <w:rFonts w:ascii="Arial" w:eastAsia="Arial" w:hAnsi="Arial" w:cs="Arial"/>
                <w:sz w:val="24"/>
                <w:szCs w:val="24"/>
              </w:rPr>
            </w:pPr>
            <w:r w:rsidRPr="001370AF">
              <w:rPr>
                <w:rFonts w:ascii="Arial" w:eastAsia="Arial" w:hAnsi="Arial" w:cs="Arial"/>
                <w:sz w:val="24"/>
                <w:szCs w:val="24"/>
              </w:rPr>
              <w:t>an explanation of the type and value of risk and contingencies associated with the provision of the Deliverables, including the amount of money attributed to each risk and/or contingency; and</w:t>
            </w:r>
          </w:p>
          <w:p w14:paraId="239384B8" w14:textId="77777777" w:rsidR="00335AD1" w:rsidRPr="001370AF" w:rsidRDefault="00335AD1" w:rsidP="00335AD1">
            <w:pPr>
              <w:numPr>
                <w:ilvl w:val="0"/>
                <w:numId w:val="5"/>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sidRPr="001370AF">
              <w:rPr>
                <w:rFonts w:ascii="Arial" w:eastAsia="Arial" w:hAnsi="Arial" w:cs="Arial"/>
                <w:sz w:val="24"/>
                <w:szCs w:val="24"/>
              </w:rPr>
              <w:t>the actual Costs profile for each Service Period;</w:t>
            </w:r>
          </w:p>
        </w:tc>
      </w:tr>
      <w:tr w:rsidR="00335AD1" w:rsidRPr="001370AF" w14:paraId="7583BD8A" w14:textId="77777777">
        <w:tc>
          <w:tcPr>
            <w:tcW w:w="2405" w:type="dxa"/>
          </w:tcPr>
          <w:p w14:paraId="47342426"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"Order"</w:t>
            </w:r>
          </w:p>
        </w:tc>
        <w:tc>
          <w:tcPr>
            <w:tcW w:w="7330" w:type="dxa"/>
            <w:gridSpan w:val="2"/>
          </w:tcPr>
          <w:p w14:paraId="365BA98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means an order for the provision of the Deliverables placed by a Buyer with the Supplier under a Contract;</w:t>
            </w:r>
          </w:p>
        </w:tc>
      </w:tr>
      <w:tr w:rsidR="00335AD1" w:rsidRPr="001370AF" w14:paraId="086EF3FD" w14:textId="77777777">
        <w:tc>
          <w:tcPr>
            <w:tcW w:w="2405" w:type="dxa"/>
          </w:tcPr>
          <w:p w14:paraId="5A0B4FFE"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"Order Form"</w:t>
            </w:r>
          </w:p>
        </w:tc>
        <w:tc>
          <w:tcPr>
            <w:tcW w:w="7330" w:type="dxa"/>
            <w:gridSpan w:val="2"/>
          </w:tcPr>
          <w:p w14:paraId="7F089CA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completed Order Form Template (or equivalent information issued by the Buyer) used to create a Call-Off Contract;</w:t>
            </w:r>
          </w:p>
        </w:tc>
      </w:tr>
      <w:tr w:rsidR="00335AD1" w:rsidRPr="001370AF" w14:paraId="0FEE322A" w14:textId="77777777">
        <w:tc>
          <w:tcPr>
            <w:tcW w:w="2405" w:type="dxa"/>
          </w:tcPr>
          <w:p w14:paraId="2392D64D"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"Order Form Template"</w:t>
            </w:r>
          </w:p>
        </w:tc>
        <w:tc>
          <w:tcPr>
            <w:tcW w:w="7330" w:type="dxa"/>
            <w:gridSpan w:val="2"/>
          </w:tcPr>
          <w:p w14:paraId="533413F3"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template in Framework Schedule 6 (Order Form Template and Call-Off Schedules);</w:t>
            </w:r>
          </w:p>
        </w:tc>
      </w:tr>
      <w:tr w:rsidR="00335AD1" w:rsidRPr="001370AF" w14:paraId="5F42F63F" w14:textId="77777777">
        <w:tc>
          <w:tcPr>
            <w:tcW w:w="2405" w:type="dxa"/>
          </w:tcPr>
          <w:p w14:paraId="4007236A"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"Other Contracting Authority"</w:t>
            </w:r>
          </w:p>
        </w:tc>
        <w:tc>
          <w:tcPr>
            <w:tcW w:w="7330" w:type="dxa"/>
            <w:gridSpan w:val="2"/>
          </w:tcPr>
          <w:p w14:paraId="6CE66F2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actual or potential Buyer under the Framework Contract;</w:t>
            </w:r>
          </w:p>
        </w:tc>
      </w:tr>
      <w:tr w:rsidR="00335AD1" w:rsidRPr="001370AF" w14:paraId="19DF007A" w14:textId="77777777">
        <w:tc>
          <w:tcPr>
            <w:tcW w:w="2405" w:type="dxa"/>
          </w:tcPr>
          <w:p w14:paraId="26EDA907"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"Overhead"</w:t>
            </w:r>
          </w:p>
        </w:tc>
        <w:tc>
          <w:tcPr>
            <w:tcW w:w="7330" w:type="dxa"/>
            <w:gridSpan w:val="2"/>
          </w:tcPr>
          <w:p w14:paraId="067A38BB"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35AD1" w:rsidRPr="001370AF" w14:paraId="794ECCD3" w14:textId="77777777">
        <w:tc>
          <w:tcPr>
            <w:tcW w:w="2405" w:type="dxa"/>
          </w:tcPr>
          <w:p w14:paraId="1B22180C"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"Parliament"</w:t>
            </w:r>
          </w:p>
        </w:tc>
        <w:tc>
          <w:tcPr>
            <w:tcW w:w="7330" w:type="dxa"/>
            <w:gridSpan w:val="2"/>
          </w:tcPr>
          <w:p w14:paraId="0601420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takes its natural meaning as interpreted by Law;</w:t>
            </w:r>
          </w:p>
        </w:tc>
      </w:tr>
      <w:tr w:rsidR="00335AD1" w:rsidRPr="001370AF" w14:paraId="7FFF4876" w14:textId="77777777">
        <w:tc>
          <w:tcPr>
            <w:tcW w:w="2405" w:type="dxa"/>
          </w:tcPr>
          <w:p w14:paraId="5F14A30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"Party"</w:t>
            </w:r>
          </w:p>
        </w:tc>
        <w:tc>
          <w:tcPr>
            <w:tcW w:w="7330" w:type="dxa"/>
            <w:gridSpan w:val="2"/>
          </w:tcPr>
          <w:p w14:paraId="35BF1E6F"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proofErr w:type="gramStart"/>
            <w:r w:rsidRPr="001370AF">
              <w:rPr>
                <w:rFonts w:ascii="Arial" w:eastAsia="Arial" w:hAnsi="Arial" w:cs="Arial"/>
                <w:color w:val="000000"/>
                <w:sz w:val="24"/>
                <w:szCs w:val="24"/>
              </w:rPr>
              <w:t>in</w:t>
            </w:r>
            <w:proofErr w:type="gramEnd"/>
            <w:r w:rsidRPr="001370AF">
              <w:rPr>
                <w:rFonts w:ascii="Arial" w:eastAsia="Arial" w:hAnsi="Arial" w:cs="Arial"/>
                <w:color w:val="000000"/>
                <w:sz w:val="24"/>
                <w:szCs w:val="24"/>
              </w:rPr>
              <w:t xml:space="preserve"> the context of the Framework Contract, CCS or the Supplier, and in the in the context of a Call-Off Contract the Buyer or the Supplier. "Parties" shall mean both of them where the context permits;</w:t>
            </w:r>
          </w:p>
        </w:tc>
      </w:tr>
      <w:tr w:rsidR="00335AD1" w:rsidRPr="001370AF" w14:paraId="503C60D1" w14:textId="77777777">
        <w:tc>
          <w:tcPr>
            <w:tcW w:w="2405" w:type="dxa"/>
          </w:tcPr>
          <w:p w14:paraId="7F8BC349"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"Performance Indicators" or "PIs"</w:t>
            </w:r>
          </w:p>
        </w:tc>
        <w:tc>
          <w:tcPr>
            <w:tcW w:w="7330" w:type="dxa"/>
            <w:gridSpan w:val="2"/>
          </w:tcPr>
          <w:p w14:paraId="2FCFC16E"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335AD1" w:rsidRPr="001370AF" w14:paraId="447770F1" w14:textId="77777777">
        <w:tc>
          <w:tcPr>
            <w:tcW w:w="2405" w:type="dxa"/>
          </w:tcPr>
          <w:p w14:paraId="375B132F"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"Personal Data"</w:t>
            </w:r>
          </w:p>
        </w:tc>
        <w:tc>
          <w:tcPr>
            <w:tcW w:w="7330" w:type="dxa"/>
            <w:gridSpan w:val="2"/>
          </w:tcPr>
          <w:p w14:paraId="3BFBC313"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has the meaning given to it in the GDPR;</w:t>
            </w:r>
          </w:p>
        </w:tc>
      </w:tr>
      <w:tr w:rsidR="00335AD1" w:rsidRPr="001370AF" w14:paraId="3C0DA932" w14:textId="77777777">
        <w:tc>
          <w:tcPr>
            <w:tcW w:w="2405" w:type="dxa"/>
          </w:tcPr>
          <w:p w14:paraId="35349A81"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“Personal Data Breach”</w:t>
            </w:r>
          </w:p>
        </w:tc>
        <w:tc>
          <w:tcPr>
            <w:tcW w:w="7330" w:type="dxa"/>
            <w:gridSpan w:val="2"/>
          </w:tcPr>
          <w:p w14:paraId="3E180F3F"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has the meaning given to it in the GDPR;</w:t>
            </w:r>
          </w:p>
        </w:tc>
      </w:tr>
      <w:tr w:rsidR="00335AD1" w:rsidRPr="001370AF" w14:paraId="4F4B68C0" w14:textId="77777777">
        <w:tc>
          <w:tcPr>
            <w:tcW w:w="2405" w:type="dxa"/>
          </w:tcPr>
          <w:p w14:paraId="7320BDAD"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“Personnel”</w:t>
            </w:r>
          </w:p>
        </w:tc>
        <w:tc>
          <w:tcPr>
            <w:tcW w:w="7330" w:type="dxa"/>
            <w:gridSpan w:val="2"/>
          </w:tcPr>
          <w:p w14:paraId="4A197FDF"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all directors, officers, employees, agents, consultants and suppliers of a Party and/or of any Subcontractor and/or </w:t>
            </w:r>
            <w:proofErr w:type="spellStart"/>
            <w:r w:rsidRPr="001370AF">
              <w:rPr>
                <w:rFonts w:ascii="Arial" w:eastAsia="Arial" w:hAnsi="Arial" w:cs="Arial"/>
                <w:color w:val="000000"/>
                <w:sz w:val="24"/>
                <w:szCs w:val="24"/>
              </w:rPr>
              <w:t>Subprocessor</w:t>
            </w:r>
            <w:proofErr w:type="spellEnd"/>
            <w:r w:rsidRPr="001370AF">
              <w:rPr>
                <w:rFonts w:ascii="Arial" w:eastAsia="Arial" w:hAnsi="Arial" w:cs="Arial"/>
                <w:color w:val="000000"/>
                <w:sz w:val="24"/>
                <w:szCs w:val="24"/>
              </w:rPr>
              <w:t xml:space="preserve"> engaged in the performance of its obligations under a Contract;</w:t>
            </w:r>
          </w:p>
        </w:tc>
      </w:tr>
      <w:tr w:rsidR="00335AD1" w:rsidRPr="001370AF" w14:paraId="440A554B" w14:textId="77777777">
        <w:tc>
          <w:tcPr>
            <w:tcW w:w="2405" w:type="dxa"/>
          </w:tcPr>
          <w:p w14:paraId="1AFE6651"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"Prescribed Person"</w:t>
            </w:r>
          </w:p>
        </w:tc>
        <w:tc>
          <w:tcPr>
            <w:tcW w:w="7330" w:type="dxa"/>
            <w:gridSpan w:val="2"/>
          </w:tcPr>
          <w:p w14:paraId="2CA7FFBA"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9">
              <w:r w:rsidRPr="001370AF">
                <w:rPr>
                  <w:rFonts w:ascii="Arial" w:eastAsia="Arial" w:hAnsi="Arial" w:cs="Arial"/>
                  <w:color w:val="000000"/>
                  <w:sz w:val="24"/>
                  <w:szCs w:val="24"/>
                </w:rPr>
                <w:t>https://www.gov.uk/government/publications/blowing-the-whistle-list-of-prescribed-people-and-bodies--2/whistleblowing-list-of-prescribed-people-and-bodies</w:t>
              </w:r>
            </w:hyperlink>
            <w:r w:rsidRPr="001370AF">
              <w:rPr>
                <w:rFonts w:ascii="Arial" w:eastAsia="Arial" w:hAnsi="Arial" w:cs="Arial"/>
                <w:color w:val="000000"/>
                <w:sz w:val="24"/>
                <w:szCs w:val="24"/>
              </w:rPr>
              <w:t>;</w:t>
            </w:r>
          </w:p>
        </w:tc>
      </w:tr>
      <w:tr w:rsidR="00335AD1" w:rsidRPr="001370AF" w14:paraId="1FCC4E64" w14:textId="77777777">
        <w:tc>
          <w:tcPr>
            <w:tcW w:w="2405" w:type="dxa"/>
          </w:tcPr>
          <w:p w14:paraId="5B76E61A"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“Processing”</w:t>
            </w:r>
          </w:p>
        </w:tc>
        <w:tc>
          <w:tcPr>
            <w:tcW w:w="7330" w:type="dxa"/>
            <w:gridSpan w:val="2"/>
          </w:tcPr>
          <w:p w14:paraId="7B6654B3"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has the meaning given to it in the GDPR;</w:t>
            </w:r>
          </w:p>
        </w:tc>
      </w:tr>
      <w:tr w:rsidR="00335AD1" w:rsidRPr="001370AF" w14:paraId="2C0B79B8" w14:textId="77777777">
        <w:tc>
          <w:tcPr>
            <w:tcW w:w="2405" w:type="dxa"/>
          </w:tcPr>
          <w:p w14:paraId="7BE81370"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“Processor”</w:t>
            </w:r>
          </w:p>
        </w:tc>
        <w:tc>
          <w:tcPr>
            <w:tcW w:w="7330" w:type="dxa"/>
            <w:gridSpan w:val="2"/>
          </w:tcPr>
          <w:p w14:paraId="113EA9F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has the meaning given to it in the GDPR;</w:t>
            </w:r>
          </w:p>
        </w:tc>
      </w:tr>
      <w:tr w:rsidR="00335AD1" w:rsidRPr="001370AF" w14:paraId="30242DB0" w14:textId="77777777">
        <w:tc>
          <w:tcPr>
            <w:tcW w:w="2405" w:type="dxa"/>
          </w:tcPr>
          <w:p w14:paraId="4F494D8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“Processor Personnel”</w:t>
            </w:r>
          </w:p>
        </w:tc>
        <w:tc>
          <w:tcPr>
            <w:tcW w:w="7330" w:type="dxa"/>
            <w:gridSpan w:val="2"/>
          </w:tcPr>
          <w:p w14:paraId="4A300B0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all directors, officers, employees, agents, consultants and suppliers of the Processor and/or of any </w:t>
            </w:r>
            <w:proofErr w:type="spellStart"/>
            <w:r w:rsidRPr="001370AF">
              <w:rPr>
                <w:rFonts w:ascii="Arial" w:eastAsia="Arial" w:hAnsi="Arial" w:cs="Arial"/>
                <w:color w:val="000000"/>
                <w:sz w:val="24"/>
                <w:szCs w:val="24"/>
              </w:rPr>
              <w:t>Subprocessor</w:t>
            </w:r>
            <w:proofErr w:type="spellEnd"/>
            <w:r w:rsidRPr="001370AF">
              <w:rPr>
                <w:rFonts w:ascii="Arial" w:eastAsia="Arial" w:hAnsi="Arial" w:cs="Arial"/>
                <w:color w:val="000000"/>
                <w:sz w:val="24"/>
                <w:szCs w:val="24"/>
              </w:rPr>
              <w:t xml:space="preserve"> engaged in the performance of its obligations under a Contract;</w:t>
            </w:r>
          </w:p>
        </w:tc>
      </w:tr>
      <w:tr w:rsidR="00335AD1" w:rsidRPr="001370AF" w14:paraId="68859A55" w14:textId="77777777">
        <w:tc>
          <w:tcPr>
            <w:tcW w:w="2405" w:type="dxa"/>
          </w:tcPr>
          <w:p w14:paraId="76F99579"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"Progress Meeting"</w:t>
            </w:r>
          </w:p>
        </w:tc>
        <w:tc>
          <w:tcPr>
            <w:tcW w:w="7330" w:type="dxa"/>
            <w:gridSpan w:val="2"/>
          </w:tcPr>
          <w:p w14:paraId="5FE8294F"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a meeting between the Buyer Authorised Representative and the Supplier Authorised Representative; </w:t>
            </w:r>
          </w:p>
        </w:tc>
      </w:tr>
      <w:tr w:rsidR="00335AD1" w:rsidRPr="001370AF" w14:paraId="496F0446" w14:textId="77777777">
        <w:tc>
          <w:tcPr>
            <w:tcW w:w="2405" w:type="dxa"/>
          </w:tcPr>
          <w:p w14:paraId="687E988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"Progress Meeting Frequency"</w:t>
            </w:r>
          </w:p>
        </w:tc>
        <w:tc>
          <w:tcPr>
            <w:tcW w:w="7330" w:type="dxa"/>
            <w:gridSpan w:val="2"/>
          </w:tcPr>
          <w:p w14:paraId="5BAE513A"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frequency at which the Supplier shall conduct a Progress Meeting in accordance with Clause 6.1 as specified in the Order Form;</w:t>
            </w:r>
          </w:p>
        </w:tc>
      </w:tr>
      <w:tr w:rsidR="00335AD1" w:rsidRPr="001370AF" w14:paraId="5840CC9B" w14:textId="77777777">
        <w:tc>
          <w:tcPr>
            <w:tcW w:w="2405" w:type="dxa"/>
          </w:tcPr>
          <w:p w14:paraId="4303C1FA"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“Progress Report”</w:t>
            </w:r>
          </w:p>
        </w:tc>
        <w:tc>
          <w:tcPr>
            <w:tcW w:w="7330" w:type="dxa"/>
            <w:gridSpan w:val="2"/>
          </w:tcPr>
          <w:p w14:paraId="023577C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report provided by the Supplier indicating the steps taken to achieve Milestones or delivery dates;</w:t>
            </w:r>
          </w:p>
        </w:tc>
      </w:tr>
      <w:tr w:rsidR="00335AD1" w:rsidRPr="001370AF" w14:paraId="50F5DFC8" w14:textId="77777777">
        <w:tc>
          <w:tcPr>
            <w:tcW w:w="2405" w:type="dxa"/>
          </w:tcPr>
          <w:p w14:paraId="48F642CF"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“Progress Report Frequency”</w:t>
            </w:r>
          </w:p>
        </w:tc>
        <w:tc>
          <w:tcPr>
            <w:tcW w:w="7330" w:type="dxa"/>
            <w:gridSpan w:val="2"/>
          </w:tcPr>
          <w:p w14:paraId="2A6DCA4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frequency at which the Supplier shall deliver Progress Reports in accordance with Clause 6.1 as specified in the Order Form;</w:t>
            </w:r>
          </w:p>
        </w:tc>
      </w:tr>
      <w:tr w:rsidR="00335AD1" w:rsidRPr="001370AF" w14:paraId="5416EE8E" w14:textId="77777777">
        <w:tc>
          <w:tcPr>
            <w:tcW w:w="2405" w:type="dxa"/>
          </w:tcPr>
          <w:p w14:paraId="0396DB45"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“Prohibited Acts”</w:t>
            </w:r>
          </w:p>
        </w:tc>
        <w:tc>
          <w:tcPr>
            <w:tcW w:w="7330" w:type="dxa"/>
            <w:gridSpan w:val="2"/>
          </w:tcPr>
          <w:p w14:paraId="4D6690DA" w14:textId="77777777" w:rsidR="00335AD1" w:rsidRPr="001370AF" w:rsidRDefault="00335AD1" w:rsidP="00335AD1">
            <w:pPr>
              <w:numPr>
                <w:ilvl w:val="0"/>
                <w:numId w:val="16"/>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2CFCA2B" w14:textId="77777777" w:rsidR="00335AD1" w:rsidRPr="001370AF" w:rsidRDefault="00335AD1" w:rsidP="00335AD1">
            <w:pPr>
              <w:numPr>
                <w:ilvl w:val="2"/>
                <w:numId w:val="21"/>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induce that person to perform improperly a relevant function or activity; or</w:t>
            </w:r>
          </w:p>
          <w:p w14:paraId="288BBEB2" w14:textId="77777777" w:rsidR="00335AD1" w:rsidRPr="001370AF" w:rsidRDefault="00335AD1" w:rsidP="00335AD1">
            <w:pPr>
              <w:numPr>
                <w:ilvl w:val="2"/>
                <w:numId w:val="21"/>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 xml:space="preserve">reward that person for improper performance of a </w:t>
            </w:r>
            <w:r w:rsidRPr="001370AF">
              <w:rPr>
                <w:rFonts w:ascii="Arial" w:eastAsia="Arial" w:hAnsi="Arial" w:cs="Arial"/>
                <w:sz w:val="24"/>
                <w:szCs w:val="24"/>
              </w:rPr>
              <w:t xml:space="preserve">relevant function or activity; </w:t>
            </w:r>
          </w:p>
          <w:p w14:paraId="141F7BDF" w14:textId="77777777" w:rsidR="00335AD1" w:rsidRPr="001370AF" w:rsidRDefault="00335AD1" w:rsidP="001370AF">
            <w:pPr>
              <w:pBdr>
                <w:top w:val="nil"/>
                <w:left w:val="nil"/>
                <w:bottom w:val="nil"/>
                <w:right w:val="nil"/>
                <w:between w:val="nil"/>
              </w:pBdr>
              <w:tabs>
                <w:tab w:val="left" w:pos="-576"/>
                <w:tab w:val="left" w:pos="419"/>
              </w:tabs>
              <w:spacing w:after="120"/>
              <w:ind w:left="561"/>
              <w:jc w:val="both"/>
              <w:rPr>
                <w:rFonts w:ascii="Arial" w:eastAsia="Arial" w:hAnsi="Arial" w:cs="Arial"/>
                <w:sz w:val="24"/>
                <w:szCs w:val="24"/>
              </w:rPr>
            </w:pPr>
            <w:r w:rsidRPr="001370AF">
              <w:rPr>
                <w:rFonts w:ascii="Arial" w:eastAsia="Arial" w:hAnsi="Arial" w:cs="Arial"/>
                <w:sz w:val="24"/>
                <w:szCs w:val="24"/>
              </w:rPr>
              <w:lastRenderedPageBreak/>
              <w:t>b) to directly or indirectly request, agree to receive or accept any financial or other advantage as an inducement or a reward for improper performance of a relevant function or activity in connection with each Contract; or</w:t>
            </w:r>
          </w:p>
          <w:p w14:paraId="16DFDF40" w14:textId="77777777" w:rsidR="00335AD1" w:rsidRPr="001370AF" w:rsidRDefault="00335AD1" w:rsidP="001370AF">
            <w:pPr>
              <w:pBdr>
                <w:top w:val="nil"/>
                <w:left w:val="nil"/>
                <w:bottom w:val="nil"/>
                <w:right w:val="nil"/>
                <w:between w:val="nil"/>
              </w:pBdr>
              <w:tabs>
                <w:tab w:val="left" w:pos="-576"/>
                <w:tab w:val="left" w:pos="419"/>
              </w:tabs>
              <w:spacing w:after="120"/>
              <w:ind w:left="561"/>
              <w:jc w:val="both"/>
              <w:rPr>
                <w:rFonts w:ascii="Arial" w:eastAsia="Arial" w:hAnsi="Arial" w:cs="Arial"/>
                <w:sz w:val="24"/>
                <w:szCs w:val="24"/>
              </w:rPr>
            </w:pPr>
            <w:r w:rsidRPr="001370AF">
              <w:rPr>
                <w:rFonts w:ascii="Arial" w:eastAsia="Arial" w:hAnsi="Arial" w:cs="Arial"/>
                <w:sz w:val="24"/>
                <w:szCs w:val="24"/>
              </w:rPr>
              <w:t>c) committing any offence:</w:t>
            </w:r>
            <w:r w:rsidRPr="001370AF">
              <w:rPr>
                <w:rFonts w:ascii="Arial" w:eastAsia="Arial" w:hAnsi="Arial" w:cs="Arial"/>
                <w:sz w:val="24"/>
                <w:szCs w:val="24"/>
              </w:rPr>
              <w:tab/>
            </w:r>
          </w:p>
          <w:p w14:paraId="2584476F" w14:textId="77777777" w:rsidR="00335AD1" w:rsidRPr="001370AF" w:rsidRDefault="00335AD1" w:rsidP="00335AD1">
            <w:pPr>
              <w:numPr>
                <w:ilvl w:val="2"/>
                <w:numId w:val="21"/>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under the Bribery Act 2010 (or any legislation repealed or revoked by such Act); or</w:t>
            </w:r>
          </w:p>
          <w:p w14:paraId="5EB5351B" w14:textId="77777777" w:rsidR="00335AD1" w:rsidRPr="001370AF" w:rsidRDefault="00335AD1" w:rsidP="00335AD1">
            <w:pPr>
              <w:numPr>
                <w:ilvl w:val="2"/>
                <w:numId w:val="21"/>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under legislation or common law concerning fraudulent acts; or</w:t>
            </w:r>
          </w:p>
          <w:p w14:paraId="68C32718" w14:textId="77777777" w:rsidR="00335AD1" w:rsidRPr="001370AF" w:rsidRDefault="00335AD1" w:rsidP="00335AD1">
            <w:pPr>
              <w:numPr>
                <w:ilvl w:val="2"/>
                <w:numId w:val="21"/>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1370AF">
              <w:rPr>
                <w:rFonts w:ascii="Arial" w:eastAsia="Arial" w:hAnsi="Arial" w:cs="Arial"/>
                <w:color w:val="000000"/>
                <w:sz w:val="24"/>
                <w:szCs w:val="24"/>
              </w:rPr>
              <w:t xml:space="preserve">defrauding, attempting to defraud or conspiring to defraud a Buyer or other public body; or </w:t>
            </w:r>
          </w:p>
          <w:p w14:paraId="21BFBF34" w14:textId="77777777" w:rsidR="00335AD1" w:rsidRPr="001370AF" w:rsidRDefault="00335AD1" w:rsidP="001370AF">
            <w:pPr>
              <w:pBdr>
                <w:top w:val="nil"/>
                <w:left w:val="nil"/>
                <w:bottom w:val="nil"/>
                <w:right w:val="nil"/>
                <w:between w:val="nil"/>
              </w:pBdr>
              <w:tabs>
                <w:tab w:val="left" w:pos="-576"/>
                <w:tab w:val="left" w:pos="419"/>
              </w:tabs>
              <w:spacing w:after="120"/>
              <w:ind w:left="561"/>
              <w:jc w:val="both"/>
              <w:rPr>
                <w:rFonts w:ascii="Arial" w:eastAsia="Arial" w:hAnsi="Arial" w:cs="Arial"/>
                <w:color w:val="000000"/>
                <w:sz w:val="24"/>
                <w:szCs w:val="24"/>
              </w:rPr>
            </w:pPr>
            <w:r w:rsidRPr="001370AF">
              <w:rPr>
                <w:rFonts w:ascii="Arial" w:eastAsia="Arial" w:hAnsi="Arial" w:cs="Arial"/>
                <w:sz w:val="24"/>
                <w:szCs w:val="24"/>
              </w:rPr>
              <w:t xml:space="preserve">d) </w:t>
            </w:r>
            <w:r w:rsidRPr="001370AF">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335AD1" w:rsidRPr="001370AF" w14:paraId="47A2361F" w14:textId="77777777">
        <w:tc>
          <w:tcPr>
            <w:tcW w:w="2405" w:type="dxa"/>
          </w:tcPr>
          <w:p w14:paraId="0ECA8E10"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“Protective Measures”</w:t>
            </w:r>
          </w:p>
        </w:tc>
        <w:tc>
          <w:tcPr>
            <w:tcW w:w="7330" w:type="dxa"/>
            <w:gridSpan w:val="2"/>
          </w:tcPr>
          <w:p w14:paraId="0BB8B270"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appropriate technical and organisational measures which may include: </w:t>
            </w:r>
            <w:proofErr w:type="spellStart"/>
            <w:r w:rsidRPr="001370AF">
              <w:rPr>
                <w:rFonts w:ascii="Arial" w:eastAsia="Arial" w:hAnsi="Arial" w:cs="Arial"/>
                <w:color w:val="000000"/>
                <w:sz w:val="24"/>
                <w:szCs w:val="24"/>
              </w:rPr>
              <w:t>pseudonymising</w:t>
            </w:r>
            <w:proofErr w:type="spellEnd"/>
            <w:r w:rsidRPr="001370AF">
              <w:rPr>
                <w:rFonts w:ascii="Arial" w:eastAsia="Arial" w:hAnsi="Arial" w:cs="Arial"/>
                <w:color w:val="00000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335AD1" w:rsidRPr="001370AF" w14:paraId="1545859D" w14:textId="77777777">
        <w:tc>
          <w:tcPr>
            <w:tcW w:w="2405" w:type="dxa"/>
          </w:tcPr>
          <w:p w14:paraId="35032F62"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“Recall”</w:t>
            </w:r>
          </w:p>
        </w:tc>
        <w:tc>
          <w:tcPr>
            <w:tcW w:w="7330" w:type="dxa"/>
            <w:gridSpan w:val="2"/>
          </w:tcPr>
          <w:p w14:paraId="563DA090"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335AD1" w:rsidRPr="001370AF" w14:paraId="1DC0C340" w14:textId="77777777">
        <w:tc>
          <w:tcPr>
            <w:tcW w:w="2405" w:type="dxa"/>
          </w:tcPr>
          <w:p w14:paraId="27238E96"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"Recipient Party"</w:t>
            </w:r>
          </w:p>
        </w:tc>
        <w:tc>
          <w:tcPr>
            <w:tcW w:w="7330" w:type="dxa"/>
            <w:gridSpan w:val="2"/>
          </w:tcPr>
          <w:p w14:paraId="1A21CCF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Party which receives or obtains directly or indirectly Confidential Information;</w:t>
            </w:r>
          </w:p>
        </w:tc>
      </w:tr>
      <w:tr w:rsidR="00335AD1" w:rsidRPr="001370AF" w14:paraId="3BCE4190" w14:textId="77777777">
        <w:tc>
          <w:tcPr>
            <w:tcW w:w="2405" w:type="dxa"/>
          </w:tcPr>
          <w:p w14:paraId="070F257A"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"Rectification Plan"</w:t>
            </w:r>
          </w:p>
        </w:tc>
        <w:tc>
          <w:tcPr>
            <w:tcW w:w="7330" w:type="dxa"/>
            <w:gridSpan w:val="2"/>
          </w:tcPr>
          <w:p w14:paraId="6B1D67C6" w14:textId="77777777" w:rsidR="00335AD1" w:rsidRPr="001370AF" w:rsidRDefault="00335AD1" w:rsidP="00335AD1">
            <w:pPr>
              <w:numPr>
                <w:ilvl w:val="0"/>
                <w:numId w:val="17"/>
              </w:numPr>
              <w:pBdr>
                <w:top w:val="nil"/>
                <w:left w:val="nil"/>
                <w:bottom w:val="nil"/>
                <w:right w:val="nil"/>
                <w:between w:val="nil"/>
              </w:pBdr>
              <w:tabs>
                <w:tab w:val="left" w:pos="-179"/>
                <w:tab w:val="left" w:pos="-9"/>
              </w:tabs>
              <w:jc w:val="both"/>
              <w:rPr>
                <w:rFonts w:ascii="Arial" w:eastAsia="Arial" w:hAnsi="Arial" w:cs="Arial"/>
                <w:color w:val="000000"/>
                <w:sz w:val="24"/>
                <w:szCs w:val="24"/>
              </w:rPr>
            </w:pPr>
            <w:r w:rsidRPr="001370AF">
              <w:rPr>
                <w:rFonts w:ascii="Arial" w:eastAsia="Arial" w:hAnsi="Arial" w:cs="Arial"/>
                <w:color w:val="000000"/>
                <w:sz w:val="24"/>
                <w:szCs w:val="24"/>
              </w:rPr>
              <w:t>the Supplier’s plan (or revised plan) to rectify it’s breach using the template in Joint Schedule 10 (Rectification Plan) which shall include:</w:t>
            </w:r>
          </w:p>
          <w:p w14:paraId="62230872" w14:textId="77777777" w:rsidR="00335AD1" w:rsidRPr="001370AF" w:rsidRDefault="00335AD1" w:rsidP="00335AD1">
            <w:pPr>
              <w:numPr>
                <w:ilvl w:val="0"/>
                <w:numId w:val="17"/>
              </w:numPr>
              <w:pBdr>
                <w:top w:val="nil"/>
                <w:left w:val="nil"/>
                <w:bottom w:val="nil"/>
                <w:right w:val="nil"/>
                <w:between w:val="nil"/>
              </w:pBdr>
              <w:tabs>
                <w:tab w:val="left" w:pos="-179"/>
                <w:tab w:val="left" w:pos="-9"/>
              </w:tabs>
              <w:jc w:val="both"/>
              <w:rPr>
                <w:rFonts w:ascii="Arial" w:eastAsia="Arial" w:hAnsi="Arial" w:cs="Arial"/>
                <w:color w:val="000000"/>
                <w:sz w:val="24"/>
                <w:szCs w:val="24"/>
              </w:rPr>
            </w:pPr>
            <w:r w:rsidRPr="001370AF">
              <w:rPr>
                <w:rFonts w:ascii="Arial" w:eastAsia="Arial" w:hAnsi="Arial" w:cs="Arial"/>
                <w:color w:val="000000"/>
                <w:sz w:val="24"/>
                <w:szCs w:val="24"/>
              </w:rPr>
              <w:t xml:space="preserve">full details of the Default that has occurred, including a root cause analysis; </w:t>
            </w:r>
          </w:p>
          <w:p w14:paraId="7507DE71" w14:textId="77777777" w:rsidR="00335AD1" w:rsidRPr="001370AF" w:rsidRDefault="00335AD1" w:rsidP="00335AD1">
            <w:pPr>
              <w:numPr>
                <w:ilvl w:val="0"/>
                <w:numId w:val="17"/>
              </w:numPr>
              <w:pBdr>
                <w:top w:val="nil"/>
                <w:left w:val="nil"/>
                <w:bottom w:val="nil"/>
                <w:right w:val="nil"/>
                <w:between w:val="nil"/>
              </w:pBdr>
              <w:tabs>
                <w:tab w:val="left" w:pos="-179"/>
                <w:tab w:val="left" w:pos="-9"/>
              </w:tabs>
              <w:jc w:val="both"/>
              <w:rPr>
                <w:rFonts w:ascii="Arial" w:eastAsia="Arial" w:hAnsi="Arial" w:cs="Arial"/>
                <w:color w:val="000000"/>
                <w:sz w:val="24"/>
                <w:szCs w:val="24"/>
              </w:rPr>
            </w:pPr>
            <w:r w:rsidRPr="001370AF">
              <w:rPr>
                <w:rFonts w:ascii="Arial" w:eastAsia="Arial" w:hAnsi="Arial" w:cs="Arial"/>
                <w:color w:val="000000"/>
                <w:sz w:val="24"/>
                <w:szCs w:val="24"/>
              </w:rPr>
              <w:t>the actual or anticipated effect of the Default; and</w:t>
            </w:r>
          </w:p>
          <w:p w14:paraId="49ED9DDF" w14:textId="77777777" w:rsidR="00335AD1" w:rsidRPr="001370AF" w:rsidRDefault="00335AD1" w:rsidP="00335AD1">
            <w:pPr>
              <w:numPr>
                <w:ilvl w:val="0"/>
                <w:numId w:val="17"/>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335AD1" w:rsidRPr="001370AF" w14:paraId="73D1AFAD" w14:textId="77777777">
        <w:tc>
          <w:tcPr>
            <w:tcW w:w="2405" w:type="dxa"/>
          </w:tcPr>
          <w:p w14:paraId="72B60B13"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"Rectification Plan Process"</w:t>
            </w:r>
          </w:p>
        </w:tc>
        <w:tc>
          <w:tcPr>
            <w:tcW w:w="7330" w:type="dxa"/>
            <w:gridSpan w:val="2"/>
          </w:tcPr>
          <w:p w14:paraId="4CD3C8F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the process set out in Clause 10.3.1 to 10.3.4 (Rectification Plan Process); </w:t>
            </w:r>
          </w:p>
        </w:tc>
      </w:tr>
      <w:tr w:rsidR="00335AD1" w:rsidRPr="001370AF" w14:paraId="767CF967" w14:textId="77777777">
        <w:tc>
          <w:tcPr>
            <w:tcW w:w="2405" w:type="dxa"/>
          </w:tcPr>
          <w:p w14:paraId="4E4D7B0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"Regulations"</w:t>
            </w:r>
          </w:p>
        </w:tc>
        <w:tc>
          <w:tcPr>
            <w:tcW w:w="7330" w:type="dxa"/>
            <w:gridSpan w:val="2"/>
          </w:tcPr>
          <w:p w14:paraId="0D75AD10"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Public Contracts Regulations 2015 and/or the Public Contracts (Scotland) Regulations 2015 (as the context requires);</w:t>
            </w:r>
          </w:p>
        </w:tc>
      </w:tr>
      <w:tr w:rsidR="00335AD1" w:rsidRPr="001370AF" w14:paraId="2A81BFD4" w14:textId="77777777">
        <w:tc>
          <w:tcPr>
            <w:tcW w:w="2405" w:type="dxa"/>
          </w:tcPr>
          <w:p w14:paraId="3378E645"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"Reimbursable Expenses"</w:t>
            </w:r>
          </w:p>
        </w:tc>
        <w:tc>
          <w:tcPr>
            <w:tcW w:w="7330" w:type="dxa"/>
            <w:gridSpan w:val="2"/>
          </w:tcPr>
          <w:p w14:paraId="4026B6AA"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83A6A2E" w14:textId="77777777" w:rsidR="00335AD1" w:rsidRPr="001370AF" w:rsidRDefault="00335AD1" w:rsidP="00335AD1">
            <w:pPr>
              <w:numPr>
                <w:ilvl w:val="0"/>
                <w:numId w:val="6"/>
              </w:numPr>
              <w:pBdr>
                <w:top w:val="nil"/>
                <w:left w:val="nil"/>
                <w:bottom w:val="nil"/>
                <w:right w:val="nil"/>
                <w:between w:val="nil"/>
              </w:pBdr>
              <w:tabs>
                <w:tab w:val="left" w:pos="-179"/>
                <w:tab w:val="left" w:pos="-9"/>
              </w:tabs>
              <w:jc w:val="both"/>
              <w:rPr>
                <w:rFonts w:ascii="Arial" w:eastAsia="Arial" w:hAnsi="Arial" w:cs="Arial"/>
                <w:color w:val="000000"/>
                <w:sz w:val="24"/>
                <w:szCs w:val="24"/>
              </w:rPr>
            </w:pPr>
            <w:r w:rsidRPr="001370AF">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6408390E" w14:textId="77777777" w:rsidR="00335AD1" w:rsidRPr="001370AF" w:rsidRDefault="00335AD1" w:rsidP="00335AD1">
            <w:pPr>
              <w:numPr>
                <w:ilvl w:val="0"/>
                <w:numId w:val="6"/>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335AD1" w:rsidRPr="001370AF" w14:paraId="16559BEA" w14:textId="77777777">
        <w:tc>
          <w:tcPr>
            <w:tcW w:w="2405" w:type="dxa"/>
          </w:tcPr>
          <w:p w14:paraId="4EA8F784"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"Relevant Authority"</w:t>
            </w:r>
          </w:p>
        </w:tc>
        <w:tc>
          <w:tcPr>
            <w:tcW w:w="7330" w:type="dxa"/>
            <w:gridSpan w:val="2"/>
          </w:tcPr>
          <w:p w14:paraId="432C5214"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the Authority which is party to the Contract to which a right or obligation is owed, as the context requires; </w:t>
            </w:r>
          </w:p>
        </w:tc>
      </w:tr>
      <w:tr w:rsidR="00335AD1" w:rsidRPr="001370AF" w14:paraId="6DB5FBBE" w14:textId="77777777">
        <w:tc>
          <w:tcPr>
            <w:tcW w:w="2405" w:type="dxa"/>
          </w:tcPr>
          <w:p w14:paraId="6D4B20E5"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"Relevant Authority's Confidential Information"</w:t>
            </w:r>
          </w:p>
        </w:tc>
        <w:tc>
          <w:tcPr>
            <w:tcW w:w="7330" w:type="dxa"/>
            <w:gridSpan w:val="2"/>
          </w:tcPr>
          <w:p w14:paraId="7639D691"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3E96FB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4D707143" w14:textId="77777777" w:rsidR="00335AD1" w:rsidRPr="001370AF" w:rsidRDefault="00335AD1" w:rsidP="001370AF">
            <w:pPr>
              <w:pBdr>
                <w:top w:val="nil"/>
                <w:left w:val="nil"/>
                <w:bottom w:val="nil"/>
                <w:right w:val="nil"/>
                <w:between w:val="nil"/>
              </w:pBdr>
              <w:tabs>
                <w:tab w:val="left" w:pos="-179"/>
                <w:tab w:val="left" w:pos="-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information derived from any of the above;</w:t>
            </w:r>
          </w:p>
        </w:tc>
      </w:tr>
      <w:tr w:rsidR="00335AD1" w:rsidRPr="001370AF" w14:paraId="611BEE08" w14:textId="77777777">
        <w:tc>
          <w:tcPr>
            <w:tcW w:w="2405" w:type="dxa"/>
          </w:tcPr>
          <w:p w14:paraId="79879125"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"Relevant   Requirements"</w:t>
            </w:r>
          </w:p>
        </w:tc>
        <w:tc>
          <w:tcPr>
            <w:tcW w:w="7330" w:type="dxa"/>
            <w:gridSpan w:val="2"/>
          </w:tcPr>
          <w:p w14:paraId="60D832A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335AD1" w:rsidRPr="001370AF" w14:paraId="7FCDF316" w14:textId="77777777">
        <w:tc>
          <w:tcPr>
            <w:tcW w:w="2405" w:type="dxa"/>
          </w:tcPr>
          <w:p w14:paraId="0787A00C"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"Relevant Tax Authority"</w:t>
            </w:r>
          </w:p>
        </w:tc>
        <w:tc>
          <w:tcPr>
            <w:tcW w:w="7330" w:type="dxa"/>
            <w:gridSpan w:val="2"/>
          </w:tcPr>
          <w:p w14:paraId="7913987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HMRC, or, if applicable, the tax authority in the jurisdiction in which the Supplier is established;</w:t>
            </w:r>
          </w:p>
        </w:tc>
      </w:tr>
      <w:tr w:rsidR="00335AD1" w:rsidRPr="001370AF" w14:paraId="4AD9541E" w14:textId="77777777">
        <w:tc>
          <w:tcPr>
            <w:tcW w:w="2405" w:type="dxa"/>
          </w:tcPr>
          <w:p w14:paraId="1AF3809D"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"Reminder Notice"</w:t>
            </w:r>
          </w:p>
        </w:tc>
        <w:tc>
          <w:tcPr>
            <w:tcW w:w="7330" w:type="dxa"/>
            <w:gridSpan w:val="2"/>
          </w:tcPr>
          <w:p w14:paraId="0A99D6F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335AD1" w:rsidRPr="001370AF" w14:paraId="527FF8DD" w14:textId="77777777">
        <w:tc>
          <w:tcPr>
            <w:tcW w:w="2405" w:type="dxa"/>
          </w:tcPr>
          <w:p w14:paraId="0E7CE32F"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"Replacement Deliverables"</w:t>
            </w:r>
          </w:p>
        </w:tc>
        <w:tc>
          <w:tcPr>
            <w:tcW w:w="7330" w:type="dxa"/>
            <w:gridSpan w:val="2"/>
          </w:tcPr>
          <w:p w14:paraId="6824453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any deliverables which are substantially similar to any of the Deliverables and which the Buyer receives in substitution for any of the Deliverables following the Call-Off Expiry Date, </w:t>
            </w:r>
            <w:r w:rsidRPr="001370AF">
              <w:rPr>
                <w:rFonts w:ascii="Arial" w:eastAsia="Arial" w:hAnsi="Arial" w:cs="Arial"/>
                <w:color w:val="000000"/>
                <w:sz w:val="24"/>
                <w:szCs w:val="24"/>
              </w:rPr>
              <w:lastRenderedPageBreak/>
              <w:t>whether those goods are provided by the Buyer internally and/or by any third party;</w:t>
            </w:r>
          </w:p>
        </w:tc>
      </w:tr>
      <w:tr w:rsidR="00335AD1" w:rsidRPr="001370AF" w14:paraId="50DF95EE" w14:textId="77777777">
        <w:tc>
          <w:tcPr>
            <w:tcW w:w="2405" w:type="dxa"/>
          </w:tcPr>
          <w:p w14:paraId="127B24BC"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"Replacement Subcontractor"</w:t>
            </w:r>
          </w:p>
        </w:tc>
        <w:tc>
          <w:tcPr>
            <w:tcW w:w="7330" w:type="dxa"/>
            <w:gridSpan w:val="2"/>
          </w:tcPr>
          <w:p w14:paraId="193CE9BC"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335AD1" w:rsidRPr="001370AF" w14:paraId="34BB41E7" w14:textId="77777777">
        <w:tc>
          <w:tcPr>
            <w:tcW w:w="2405" w:type="dxa"/>
          </w:tcPr>
          <w:p w14:paraId="2C87B3FD"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"Replacement Supplier"</w:t>
            </w:r>
          </w:p>
        </w:tc>
        <w:tc>
          <w:tcPr>
            <w:tcW w:w="7330" w:type="dxa"/>
            <w:gridSpan w:val="2"/>
          </w:tcPr>
          <w:p w14:paraId="6D10B34B"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335AD1" w:rsidRPr="001370AF" w14:paraId="783C2CD7" w14:textId="77777777">
        <w:tc>
          <w:tcPr>
            <w:tcW w:w="2405" w:type="dxa"/>
          </w:tcPr>
          <w:p w14:paraId="0EDC05ED"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"Request For Information"</w:t>
            </w:r>
          </w:p>
        </w:tc>
        <w:tc>
          <w:tcPr>
            <w:tcW w:w="7330" w:type="dxa"/>
            <w:gridSpan w:val="2"/>
          </w:tcPr>
          <w:p w14:paraId="29DC01C2"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335AD1" w:rsidRPr="001370AF" w14:paraId="1D23A4E0" w14:textId="77777777">
        <w:tc>
          <w:tcPr>
            <w:tcW w:w="2405" w:type="dxa"/>
          </w:tcPr>
          <w:p w14:paraId="37912B3E"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"Required Insurances"</w:t>
            </w:r>
          </w:p>
        </w:tc>
        <w:tc>
          <w:tcPr>
            <w:tcW w:w="7330" w:type="dxa"/>
            <w:gridSpan w:val="2"/>
          </w:tcPr>
          <w:p w14:paraId="5734BC2B"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335AD1" w:rsidRPr="001370AF" w14:paraId="62D17533" w14:textId="77777777">
        <w:tc>
          <w:tcPr>
            <w:tcW w:w="2405" w:type="dxa"/>
          </w:tcPr>
          <w:p w14:paraId="7B78E463"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"Satisfaction Certificate"</w:t>
            </w:r>
          </w:p>
        </w:tc>
        <w:tc>
          <w:tcPr>
            <w:tcW w:w="7330" w:type="dxa"/>
            <w:gridSpan w:val="2"/>
          </w:tcPr>
          <w:p w14:paraId="67DEA0F3"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335AD1" w:rsidRPr="001370AF" w14:paraId="372D0E6B" w14:textId="77777777">
        <w:tc>
          <w:tcPr>
            <w:tcW w:w="2405" w:type="dxa"/>
          </w:tcPr>
          <w:p w14:paraId="188A0716"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"Security Management Plan"</w:t>
            </w:r>
          </w:p>
        </w:tc>
        <w:tc>
          <w:tcPr>
            <w:tcW w:w="7330" w:type="dxa"/>
            <w:gridSpan w:val="2"/>
          </w:tcPr>
          <w:p w14:paraId="023E9D81"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the Supplier's security management plan prepared pursuant to Call-Off Schedule 9 (Security) (if applicable); </w:t>
            </w:r>
          </w:p>
        </w:tc>
      </w:tr>
      <w:tr w:rsidR="00335AD1" w:rsidRPr="001370AF" w14:paraId="0121CAB1" w14:textId="77777777">
        <w:tc>
          <w:tcPr>
            <w:tcW w:w="2405" w:type="dxa"/>
          </w:tcPr>
          <w:p w14:paraId="568EED53"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"Security Policy"</w:t>
            </w:r>
          </w:p>
        </w:tc>
        <w:tc>
          <w:tcPr>
            <w:tcW w:w="7330" w:type="dxa"/>
            <w:gridSpan w:val="2"/>
          </w:tcPr>
          <w:p w14:paraId="44335A73"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335AD1" w:rsidRPr="001370AF" w14:paraId="363C7580" w14:textId="77777777">
        <w:tc>
          <w:tcPr>
            <w:tcW w:w="2405" w:type="dxa"/>
          </w:tcPr>
          <w:p w14:paraId="0869A4C6"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w:t>
            </w:r>
            <w:proofErr w:type="spellStart"/>
            <w:r w:rsidRPr="001370AF">
              <w:rPr>
                <w:rFonts w:ascii="Arial" w:eastAsia="Arial" w:hAnsi="Arial" w:cs="Arial"/>
                <w:b/>
                <w:color w:val="000000"/>
                <w:sz w:val="24"/>
                <w:szCs w:val="24"/>
              </w:rPr>
              <w:t>Self Audit</w:t>
            </w:r>
            <w:proofErr w:type="spellEnd"/>
            <w:r w:rsidRPr="001370AF">
              <w:rPr>
                <w:rFonts w:ascii="Arial" w:eastAsia="Arial" w:hAnsi="Arial" w:cs="Arial"/>
                <w:b/>
                <w:color w:val="000000"/>
                <w:sz w:val="24"/>
                <w:szCs w:val="24"/>
              </w:rPr>
              <w:t xml:space="preserve"> Certificate"</w:t>
            </w:r>
          </w:p>
        </w:tc>
        <w:tc>
          <w:tcPr>
            <w:tcW w:w="7330" w:type="dxa"/>
            <w:gridSpan w:val="2"/>
          </w:tcPr>
          <w:p w14:paraId="57E2E372"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means the certificate in the form as set out in Framework Schedule 8 (Self Audit Certificate);</w:t>
            </w:r>
          </w:p>
        </w:tc>
      </w:tr>
      <w:tr w:rsidR="00335AD1" w:rsidRPr="001370AF" w14:paraId="7F1DF913" w14:textId="77777777">
        <w:tc>
          <w:tcPr>
            <w:tcW w:w="2405" w:type="dxa"/>
          </w:tcPr>
          <w:p w14:paraId="48749301"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"Serious Fraud Office"</w:t>
            </w:r>
          </w:p>
        </w:tc>
        <w:tc>
          <w:tcPr>
            <w:tcW w:w="7330" w:type="dxa"/>
            <w:gridSpan w:val="2"/>
          </w:tcPr>
          <w:p w14:paraId="3B386F9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UK Government body named as such as may be renamed or replaced by an equivalent body from time to time;</w:t>
            </w:r>
          </w:p>
        </w:tc>
      </w:tr>
      <w:tr w:rsidR="00335AD1" w:rsidRPr="001370AF" w14:paraId="71C79559" w14:textId="77777777">
        <w:tc>
          <w:tcPr>
            <w:tcW w:w="2405" w:type="dxa"/>
          </w:tcPr>
          <w:p w14:paraId="3BE94C75"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“Service Levels”</w:t>
            </w:r>
          </w:p>
        </w:tc>
        <w:tc>
          <w:tcPr>
            <w:tcW w:w="7330" w:type="dxa"/>
            <w:gridSpan w:val="2"/>
          </w:tcPr>
          <w:p w14:paraId="0026F66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335AD1" w:rsidRPr="001370AF" w14:paraId="6B10F677" w14:textId="77777777">
        <w:tc>
          <w:tcPr>
            <w:tcW w:w="2405" w:type="dxa"/>
          </w:tcPr>
          <w:p w14:paraId="10B95F90"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"Service Period"</w:t>
            </w:r>
          </w:p>
        </w:tc>
        <w:tc>
          <w:tcPr>
            <w:tcW w:w="7330" w:type="dxa"/>
            <w:gridSpan w:val="2"/>
          </w:tcPr>
          <w:p w14:paraId="3293CC4A"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has the meaning given to it in the Order Form;</w:t>
            </w:r>
          </w:p>
        </w:tc>
      </w:tr>
      <w:tr w:rsidR="00335AD1" w:rsidRPr="001370AF" w14:paraId="1467D6DE" w14:textId="77777777">
        <w:tc>
          <w:tcPr>
            <w:tcW w:w="2405" w:type="dxa"/>
          </w:tcPr>
          <w:p w14:paraId="04CC2D4B"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"Services"</w:t>
            </w:r>
          </w:p>
        </w:tc>
        <w:tc>
          <w:tcPr>
            <w:tcW w:w="7330" w:type="dxa"/>
            <w:gridSpan w:val="2"/>
          </w:tcPr>
          <w:p w14:paraId="27F245A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335AD1" w:rsidRPr="001370AF" w14:paraId="3E7E7FF5" w14:textId="77777777">
        <w:tc>
          <w:tcPr>
            <w:tcW w:w="2405" w:type="dxa"/>
          </w:tcPr>
          <w:p w14:paraId="6EAAAE08"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"Service Transfer"</w:t>
            </w:r>
          </w:p>
        </w:tc>
        <w:tc>
          <w:tcPr>
            <w:tcW w:w="7330" w:type="dxa"/>
            <w:gridSpan w:val="2"/>
          </w:tcPr>
          <w:p w14:paraId="24E34944"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bookmarkStart w:id="5" w:name="_heading=h.3znysh7" w:colFirst="0" w:colLast="0"/>
            <w:bookmarkEnd w:id="5"/>
            <w:r w:rsidRPr="001370AF">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335AD1" w:rsidRPr="001370AF" w14:paraId="145A7724" w14:textId="77777777">
        <w:tc>
          <w:tcPr>
            <w:tcW w:w="2405" w:type="dxa"/>
          </w:tcPr>
          <w:p w14:paraId="15FFB412"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highlight w:val="green"/>
              </w:rPr>
            </w:pPr>
            <w:r w:rsidRPr="001370AF">
              <w:rPr>
                <w:rFonts w:ascii="Arial" w:eastAsia="Arial" w:hAnsi="Arial" w:cs="Arial"/>
                <w:b/>
                <w:color w:val="000000"/>
                <w:sz w:val="24"/>
                <w:szCs w:val="24"/>
              </w:rPr>
              <w:t>"Service Transfer Date"</w:t>
            </w:r>
          </w:p>
        </w:tc>
        <w:tc>
          <w:tcPr>
            <w:tcW w:w="7330" w:type="dxa"/>
            <w:gridSpan w:val="2"/>
          </w:tcPr>
          <w:p w14:paraId="0DABD6C2"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date of a Service Transfer;</w:t>
            </w:r>
          </w:p>
        </w:tc>
      </w:tr>
      <w:tr w:rsidR="00335AD1" w:rsidRPr="001370AF" w14:paraId="016630D0" w14:textId="77777777">
        <w:tc>
          <w:tcPr>
            <w:tcW w:w="2405" w:type="dxa"/>
          </w:tcPr>
          <w:p w14:paraId="6D996F6D"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"Sites"</w:t>
            </w:r>
          </w:p>
        </w:tc>
        <w:tc>
          <w:tcPr>
            <w:tcW w:w="7330" w:type="dxa"/>
            <w:gridSpan w:val="2"/>
          </w:tcPr>
          <w:p w14:paraId="3254902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premises (including the Buyer Premises, the Supplier’s premises or third party premises) from, to or at which:</w:t>
            </w:r>
          </w:p>
          <w:p w14:paraId="712ADCD7" w14:textId="77777777" w:rsidR="00335AD1" w:rsidRPr="001370AF" w:rsidRDefault="00335AD1" w:rsidP="00335AD1">
            <w:pPr>
              <w:numPr>
                <w:ilvl w:val="0"/>
                <w:numId w:val="13"/>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the Deliverables are (or are to be) provided; or</w:t>
            </w:r>
          </w:p>
          <w:p w14:paraId="1467188C" w14:textId="77777777" w:rsidR="00335AD1" w:rsidRPr="001370AF" w:rsidRDefault="00335AD1" w:rsidP="00335AD1">
            <w:pPr>
              <w:numPr>
                <w:ilvl w:val="0"/>
                <w:numId w:val="13"/>
              </w:numPr>
              <w:pBdr>
                <w:top w:val="nil"/>
                <w:left w:val="nil"/>
                <w:bottom w:val="nil"/>
                <w:right w:val="nil"/>
                <w:between w:val="nil"/>
              </w:pBdr>
              <w:tabs>
                <w:tab w:val="left" w:pos="-576"/>
                <w:tab w:val="left" w:pos="144"/>
              </w:tabs>
              <w:spacing w:after="120"/>
              <w:jc w:val="both"/>
              <w:rPr>
                <w:rFonts w:ascii="Arial" w:eastAsia="Arial" w:hAnsi="Arial" w:cs="Arial"/>
                <w:sz w:val="24"/>
                <w:szCs w:val="24"/>
              </w:rPr>
            </w:pPr>
            <w:r w:rsidRPr="001370AF">
              <w:rPr>
                <w:rFonts w:ascii="Arial" w:eastAsia="Arial" w:hAnsi="Arial" w:cs="Arial"/>
                <w:color w:val="000000"/>
                <w:sz w:val="24"/>
                <w:szCs w:val="24"/>
              </w:rPr>
              <w:t xml:space="preserve">the </w:t>
            </w:r>
            <w:r w:rsidRPr="001370AF">
              <w:rPr>
                <w:rFonts w:ascii="Arial" w:eastAsia="Arial" w:hAnsi="Arial" w:cs="Arial"/>
                <w:sz w:val="24"/>
                <w:szCs w:val="24"/>
              </w:rPr>
              <w:t>Supplier manages, organises or otherwise directs the provision or the use of the Deliverables;</w:t>
            </w:r>
          </w:p>
          <w:p w14:paraId="522570D3" w14:textId="77777777" w:rsidR="008C4500" w:rsidRPr="001370AF" w:rsidRDefault="008C4500" w:rsidP="00DA360C">
            <w:pPr>
              <w:numPr>
                <w:ilvl w:val="0"/>
                <w:numId w:val="13"/>
              </w:numPr>
              <w:pBdr>
                <w:top w:val="nil"/>
                <w:left w:val="nil"/>
                <w:bottom w:val="nil"/>
                <w:right w:val="nil"/>
                <w:between w:val="nil"/>
              </w:pBdr>
              <w:tabs>
                <w:tab w:val="left" w:pos="-576"/>
                <w:tab w:val="left" w:pos="144"/>
              </w:tabs>
              <w:spacing w:after="120"/>
              <w:ind w:right="97"/>
              <w:jc w:val="both"/>
              <w:rPr>
                <w:rFonts w:ascii="Arial" w:eastAsia="Arial" w:hAnsi="Arial" w:cs="Arial"/>
                <w:color w:val="000000"/>
                <w:sz w:val="24"/>
                <w:szCs w:val="24"/>
              </w:rPr>
            </w:pPr>
            <w:r w:rsidRPr="001370AF">
              <w:rPr>
                <w:rFonts w:ascii="Arial" w:eastAsia="Arial" w:hAnsi="Arial" w:cs="Arial"/>
                <w:sz w:val="24"/>
                <w:szCs w:val="24"/>
              </w:rPr>
              <w:t xml:space="preserve">those premises at which any Supplier Equipment or any part of the Supplier System is located (where </w:t>
            </w:r>
            <w:r w:rsidR="00312241" w:rsidRPr="001370AF">
              <w:rPr>
                <w:rFonts w:ascii="Arial" w:eastAsia="Arial" w:hAnsi="Arial" w:cs="Arial"/>
                <w:sz w:val="24"/>
                <w:szCs w:val="24"/>
              </w:rPr>
              <w:t xml:space="preserve">any </w:t>
            </w:r>
            <w:r w:rsidR="00DA360C" w:rsidRPr="001370AF">
              <w:rPr>
                <w:rFonts w:ascii="Arial" w:eastAsia="Arial" w:hAnsi="Arial" w:cs="Arial"/>
                <w:sz w:val="24"/>
                <w:szCs w:val="24"/>
              </w:rPr>
              <w:t>part of the Deliverables</w:t>
            </w:r>
            <w:r w:rsidR="00B509AF" w:rsidRPr="001370AF">
              <w:rPr>
                <w:rFonts w:ascii="Arial" w:eastAsia="Arial" w:hAnsi="Arial" w:cs="Arial"/>
                <w:sz w:val="24"/>
                <w:szCs w:val="24"/>
              </w:rPr>
              <w:t xml:space="preserve"> provided fall</w:t>
            </w:r>
            <w:r w:rsidR="00DA360C" w:rsidRPr="001370AF">
              <w:rPr>
                <w:rFonts w:ascii="Arial" w:eastAsia="Arial" w:hAnsi="Arial" w:cs="Arial"/>
                <w:sz w:val="24"/>
                <w:szCs w:val="24"/>
              </w:rPr>
              <w:t>s</w:t>
            </w:r>
            <w:r w:rsidR="00B509AF" w:rsidRPr="001370AF">
              <w:rPr>
                <w:rFonts w:ascii="Arial" w:eastAsia="Arial" w:hAnsi="Arial" w:cs="Arial"/>
                <w:sz w:val="24"/>
                <w:szCs w:val="24"/>
              </w:rPr>
              <w:t xml:space="preserve"> within Call-Off Schedule 6 (ICT Services));</w:t>
            </w:r>
          </w:p>
        </w:tc>
      </w:tr>
      <w:tr w:rsidR="00335AD1" w:rsidRPr="001370AF" w14:paraId="62BF4808" w14:textId="77777777">
        <w:trPr>
          <w:trHeight w:val="945"/>
        </w:trPr>
        <w:tc>
          <w:tcPr>
            <w:tcW w:w="2405" w:type="dxa"/>
          </w:tcPr>
          <w:p w14:paraId="486B4D1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"SME"</w:t>
            </w:r>
          </w:p>
        </w:tc>
        <w:tc>
          <w:tcPr>
            <w:tcW w:w="7330" w:type="dxa"/>
            <w:gridSpan w:val="2"/>
          </w:tcPr>
          <w:p w14:paraId="577947AB"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335AD1" w:rsidRPr="001370AF" w14:paraId="17C49CB9" w14:textId="77777777" w:rsidTr="001370AF">
        <w:trPr>
          <w:trHeight w:val="744"/>
        </w:trPr>
        <w:tc>
          <w:tcPr>
            <w:tcW w:w="2405" w:type="dxa"/>
          </w:tcPr>
          <w:p w14:paraId="5F3B3DBC"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"Special Terms"</w:t>
            </w:r>
          </w:p>
        </w:tc>
        <w:tc>
          <w:tcPr>
            <w:tcW w:w="7330" w:type="dxa"/>
            <w:gridSpan w:val="2"/>
          </w:tcPr>
          <w:p w14:paraId="7EBC458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additional Clauses set out in the Framework Award Form or Order Form which shall form part of the respective Contract;</w:t>
            </w:r>
          </w:p>
        </w:tc>
      </w:tr>
      <w:tr w:rsidR="00335AD1" w:rsidRPr="001370AF" w14:paraId="38EFD47E" w14:textId="77777777">
        <w:trPr>
          <w:trHeight w:val="945"/>
        </w:trPr>
        <w:tc>
          <w:tcPr>
            <w:tcW w:w="2405" w:type="dxa"/>
          </w:tcPr>
          <w:p w14:paraId="6CBD13BC" w14:textId="77777777" w:rsidR="00335AD1" w:rsidRPr="001370AF" w:rsidRDefault="00335AD1" w:rsidP="00705C17">
            <w:pPr>
              <w:pBdr>
                <w:top w:val="nil"/>
                <w:left w:val="nil"/>
                <w:bottom w:val="nil"/>
                <w:right w:val="nil"/>
                <w:between w:val="nil"/>
              </w:pBdr>
              <w:spacing w:after="120"/>
              <w:ind w:left="142" w:hanging="142"/>
              <w:rPr>
                <w:rFonts w:ascii="Arial" w:eastAsia="Arial" w:hAnsi="Arial" w:cs="Arial"/>
                <w:b/>
                <w:color w:val="000000"/>
                <w:sz w:val="24"/>
                <w:szCs w:val="24"/>
              </w:rPr>
            </w:pPr>
            <w:r w:rsidRPr="001370AF">
              <w:rPr>
                <w:rFonts w:ascii="Arial" w:eastAsia="Arial" w:hAnsi="Arial" w:cs="Arial"/>
                <w:b/>
                <w:color w:val="000000"/>
                <w:sz w:val="24"/>
                <w:szCs w:val="24"/>
              </w:rPr>
              <w:t>"Specific Change in Law"</w:t>
            </w:r>
          </w:p>
        </w:tc>
        <w:tc>
          <w:tcPr>
            <w:tcW w:w="7330" w:type="dxa"/>
            <w:gridSpan w:val="2"/>
          </w:tcPr>
          <w:p w14:paraId="2CAB0BC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335AD1" w:rsidRPr="001370AF" w14:paraId="72211330" w14:textId="77777777">
        <w:trPr>
          <w:trHeight w:val="945"/>
        </w:trPr>
        <w:tc>
          <w:tcPr>
            <w:tcW w:w="2405" w:type="dxa"/>
          </w:tcPr>
          <w:p w14:paraId="63B7C1A2"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"Specification"</w:t>
            </w:r>
          </w:p>
        </w:tc>
        <w:tc>
          <w:tcPr>
            <w:tcW w:w="7330" w:type="dxa"/>
            <w:gridSpan w:val="2"/>
          </w:tcPr>
          <w:p w14:paraId="1B8C583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specification set out in Framework Schedule 1 (Specification), as may, in relation to a Call-Off Contract, be supplemented by the Order Form;</w:t>
            </w:r>
          </w:p>
        </w:tc>
      </w:tr>
      <w:tr w:rsidR="00335AD1" w:rsidRPr="001370AF" w14:paraId="7650C772" w14:textId="77777777">
        <w:tc>
          <w:tcPr>
            <w:tcW w:w="2405" w:type="dxa"/>
          </w:tcPr>
          <w:p w14:paraId="79EA1723"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"Standards"</w:t>
            </w:r>
          </w:p>
        </w:tc>
        <w:tc>
          <w:tcPr>
            <w:tcW w:w="7330" w:type="dxa"/>
            <w:gridSpan w:val="2"/>
          </w:tcPr>
          <w:p w14:paraId="24869FEA" w14:textId="77777777" w:rsidR="00335AD1" w:rsidRPr="001370AF" w:rsidRDefault="00335AD1" w:rsidP="00335AD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any:</w:t>
            </w:r>
          </w:p>
          <w:p w14:paraId="5BB193C5" w14:textId="77777777" w:rsidR="00335AD1" w:rsidRPr="001370AF" w:rsidRDefault="00335AD1" w:rsidP="00335AD1">
            <w:pPr>
              <w:numPr>
                <w:ilvl w:val="0"/>
                <w:numId w:val="8"/>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67EDC82" w14:textId="77777777" w:rsidR="00335AD1" w:rsidRPr="001370AF" w:rsidRDefault="00335AD1" w:rsidP="00335AD1">
            <w:pPr>
              <w:numPr>
                <w:ilvl w:val="0"/>
                <w:numId w:val="8"/>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standards detailed in the specification in Schedule 1 (Specification);</w:t>
            </w:r>
          </w:p>
          <w:p w14:paraId="0BDE4F4E" w14:textId="77777777" w:rsidR="00335AD1" w:rsidRPr="001370AF" w:rsidRDefault="00335AD1" w:rsidP="00335AD1">
            <w:pPr>
              <w:numPr>
                <w:ilvl w:val="0"/>
                <w:numId w:val="8"/>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lastRenderedPageBreak/>
              <w:t>standards detailed by the Buyer in the Order Form or agreed between the Parties from time to time;</w:t>
            </w:r>
          </w:p>
          <w:p w14:paraId="6A952246" w14:textId="77777777" w:rsidR="00335AD1" w:rsidRPr="001370AF" w:rsidRDefault="00335AD1" w:rsidP="00335AD1">
            <w:pPr>
              <w:numPr>
                <w:ilvl w:val="0"/>
                <w:numId w:val="8"/>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relevant Government codes of practice and guidance applicable from time to time;</w:t>
            </w:r>
          </w:p>
        </w:tc>
      </w:tr>
      <w:tr w:rsidR="00335AD1" w:rsidRPr="001370AF" w14:paraId="586015B5" w14:textId="77777777">
        <w:tc>
          <w:tcPr>
            <w:tcW w:w="2405" w:type="dxa"/>
          </w:tcPr>
          <w:p w14:paraId="14004F76"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"Start Date"</w:t>
            </w:r>
          </w:p>
        </w:tc>
        <w:tc>
          <w:tcPr>
            <w:tcW w:w="7330" w:type="dxa"/>
            <w:gridSpan w:val="2"/>
          </w:tcPr>
          <w:p w14:paraId="6AF51CD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335AD1" w:rsidRPr="001370AF" w14:paraId="18621860" w14:textId="77777777">
        <w:tc>
          <w:tcPr>
            <w:tcW w:w="2405" w:type="dxa"/>
          </w:tcPr>
          <w:p w14:paraId="792DA42E"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"Statement of Requirements"</w:t>
            </w:r>
          </w:p>
        </w:tc>
        <w:tc>
          <w:tcPr>
            <w:tcW w:w="7330" w:type="dxa"/>
            <w:gridSpan w:val="2"/>
          </w:tcPr>
          <w:p w14:paraId="67007A5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statement issued by the Buyer detailing its requirements in respect of Deliverables issued in accordance with the Call-Off Procedure;</w:t>
            </w:r>
          </w:p>
        </w:tc>
      </w:tr>
      <w:tr w:rsidR="00335AD1" w:rsidRPr="001370AF" w14:paraId="6F25C827" w14:textId="77777777">
        <w:tc>
          <w:tcPr>
            <w:tcW w:w="2405" w:type="dxa"/>
          </w:tcPr>
          <w:p w14:paraId="064DDA45"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"Storage Media"</w:t>
            </w:r>
          </w:p>
        </w:tc>
        <w:tc>
          <w:tcPr>
            <w:tcW w:w="7330" w:type="dxa"/>
            <w:gridSpan w:val="2"/>
          </w:tcPr>
          <w:p w14:paraId="73BB2FC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the part of any device that is capable of storing and retrieving data; </w:t>
            </w:r>
          </w:p>
        </w:tc>
      </w:tr>
      <w:tr w:rsidR="00335AD1" w:rsidRPr="001370AF" w14:paraId="56B30C40" w14:textId="77777777">
        <w:tc>
          <w:tcPr>
            <w:tcW w:w="2405" w:type="dxa"/>
          </w:tcPr>
          <w:p w14:paraId="177C639A"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"Sub-Contract"</w:t>
            </w:r>
          </w:p>
        </w:tc>
        <w:tc>
          <w:tcPr>
            <w:tcW w:w="7330" w:type="dxa"/>
            <w:gridSpan w:val="2"/>
          </w:tcPr>
          <w:p w14:paraId="1A05BFEC" w14:textId="77777777" w:rsidR="00335AD1" w:rsidRPr="001370AF" w:rsidRDefault="00335AD1" w:rsidP="001370AF">
            <w:pPr>
              <w:pBdr>
                <w:top w:val="nil"/>
                <w:left w:val="nil"/>
                <w:bottom w:val="nil"/>
                <w:right w:val="nil"/>
                <w:between w:val="nil"/>
              </w:pBdr>
              <w:tabs>
                <w:tab w:val="left" w:pos="136"/>
              </w:tabs>
              <w:spacing w:after="120"/>
              <w:ind w:left="278" w:right="240"/>
              <w:jc w:val="both"/>
              <w:rPr>
                <w:rFonts w:ascii="Arial" w:eastAsia="Arial" w:hAnsi="Arial" w:cs="Arial"/>
                <w:color w:val="000000"/>
                <w:sz w:val="24"/>
                <w:szCs w:val="24"/>
              </w:rPr>
            </w:pPr>
            <w:r w:rsidRPr="001370AF">
              <w:rPr>
                <w:rFonts w:ascii="Arial" w:eastAsia="Arial" w:hAnsi="Arial" w:cs="Arial"/>
                <w:color w:val="000000"/>
                <w:sz w:val="24"/>
                <w:szCs w:val="24"/>
              </w:rPr>
              <w:t>any contract or agreement (or proposed contract or agreement), other than a Call-Off Contract or the Framework Contract, pursuant to which a third party:</w:t>
            </w:r>
          </w:p>
          <w:p w14:paraId="69A08451" w14:textId="77777777" w:rsidR="00335AD1" w:rsidRPr="001370AF" w:rsidRDefault="00335AD1" w:rsidP="00335AD1">
            <w:pPr>
              <w:numPr>
                <w:ilvl w:val="0"/>
                <w:numId w:val="7"/>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provides the Deliverables (or any part of them);</w:t>
            </w:r>
          </w:p>
          <w:p w14:paraId="4E01117C" w14:textId="77777777" w:rsidR="00335AD1" w:rsidRPr="001370AF" w:rsidRDefault="00335AD1" w:rsidP="00335AD1">
            <w:pPr>
              <w:numPr>
                <w:ilvl w:val="0"/>
                <w:numId w:val="7"/>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provides facilities or services necessary for the provision of the Deliverables (or any part of them); and/or</w:t>
            </w:r>
          </w:p>
          <w:p w14:paraId="1A0897C4" w14:textId="77777777" w:rsidR="00335AD1" w:rsidRPr="001370AF" w:rsidRDefault="00335AD1" w:rsidP="00335AD1">
            <w:pPr>
              <w:numPr>
                <w:ilvl w:val="0"/>
                <w:numId w:val="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is responsible for the management, direction or control of the provision of the Deliverables (or any part of them);</w:t>
            </w:r>
          </w:p>
        </w:tc>
      </w:tr>
      <w:tr w:rsidR="00335AD1" w:rsidRPr="001370AF" w14:paraId="2165A2BB" w14:textId="77777777">
        <w:tc>
          <w:tcPr>
            <w:tcW w:w="2405" w:type="dxa"/>
          </w:tcPr>
          <w:p w14:paraId="2DE9C91F"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"Subcontractor"</w:t>
            </w:r>
          </w:p>
        </w:tc>
        <w:tc>
          <w:tcPr>
            <w:tcW w:w="7330" w:type="dxa"/>
            <w:gridSpan w:val="2"/>
          </w:tcPr>
          <w:p w14:paraId="7CD563E1"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person other than the Supplier, who is a party to a Sub-Contract and the servants or agents of that person;</w:t>
            </w:r>
          </w:p>
        </w:tc>
      </w:tr>
      <w:tr w:rsidR="00335AD1" w:rsidRPr="001370AF" w14:paraId="50E1DD41" w14:textId="77777777">
        <w:tc>
          <w:tcPr>
            <w:tcW w:w="2405" w:type="dxa"/>
          </w:tcPr>
          <w:p w14:paraId="53209A4D"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w:t>
            </w:r>
            <w:proofErr w:type="spellStart"/>
            <w:r w:rsidRPr="001370AF">
              <w:rPr>
                <w:rFonts w:ascii="Arial" w:eastAsia="Arial" w:hAnsi="Arial" w:cs="Arial"/>
                <w:b/>
                <w:color w:val="000000"/>
                <w:sz w:val="24"/>
                <w:szCs w:val="24"/>
              </w:rPr>
              <w:t>Subprocessor</w:t>
            </w:r>
            <w:proofErr w:type="spellEnd"/>
            <w:r w:rsidRPr="001370AF">
              <w:rPr>
                <w:rFonts w:ascii="Arial" w:eastAsia="Arial" w:hAnsi="Arial" w:cs="Arial"/>
                <w:b/>
                <w:color w:val="000000"/>
                <w:sz w:val="24"/>
                <w:szCs w:val="24"/>
              </w:rPr>
              <w:t>"</w:t>
            </w:r>
          </w:p>
        </w:tc>
        <w:tc>
          <w:tcPr>
            <w:tcW w:w="7330" w:type="dxa"/>
            <w:gridSpan w:val="2"/>
          </w:tcPr>
          <w:p w14:paraId="24CC68EC"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third Party appointed to process Personal Data on behalf of that Processor related to a Contract;</w:t>
            </w:r>
          </w:p>
        </w:tc>
      </w:tr>
      <w:tr w:rsidR="00335AD1" w:rsidRPr="001370AF" w14:paraId="1DE3949B" w14:textId="77777777">
        <w:tc>
          <w:tcPr>
            <w:tcW w:w="2405" w:type="dxa"/>
          </w:tcPr>
          <w:p w14:paraId="03F1F74F"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"Supplier"</w:t>
            </w:r>
          </w:p>
        </w:tc>
        <w:tc>
          <w:tcPr>
            <w:tcW w:w="7330" w:type="dxa"/>
            <w:gridSpan w:val="2"/>
          </w:tcPr>
          <w:p w14:paraId="74A94C5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person, firm or company identified in the Framework Award Form;</w:t>
            </w:r>
          </w:p>
        </w:tc>
      </w:tr>
      <w:tr w:rsidR="00335AD1" w:rsidRPr="001370AF" w14:paraId="46587AA4" w14:textId="77777777">
        <w:tc>
          <w:tcPr>
            <w:tcW w:w="2405" w:type="dxa"/>
          </w:tcPr>
          <w:p w14:paraId="3EC8CBDC"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"Supplier Assets"</w:t>
            </w:r>
          </w:p>
        </w:tc>
        <w:tc>
          <w:tcPr>
            <w:tcW w:w="7330" w:type="dxa"/>
            <w:gridSpan w:val="2"/>
          </w:tcPr>
          <w:p w14:paraId="384190B0"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335AD1" w:rsidRPr="001370AF" w14:paraId="2A591B88" w14:textId="77777777">
        <w:tc>
          <w:tcPr>
            <w:tcW w:w="2405" w:type="dxa"/>
          </w:tcPr>
          <w:p w14:paraId="4B65C31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"Supplier Authorised Representative"</w:t>
            </w:r>
          </w:p>
        </w:tc>
        <w:tc>
          <w:tcPr>
            <w:tcW w:w="7330" w:type="dxa"/>
            <w:gridSpan w:val="2"/>
          </w:tcPr>
          <w:p w14:paraId="19FA173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the representative appointed by the Supplier named in the Framework Award Form, or later defined in a Call-Off Contract; </w:t>
            </w:r>
          </w:p>
        </w:tc>
      </w:tr>
      <w:tr w:rsidR="00335AD1" w:rsidRPr="001370AF" w14:paraId="25DAFF6B" w14:textId="77777777">
        <w:tc>
          <w:tcPr>
            <w:tcW w:w="2405" w:type="dxa"/>
          </w:tcPr>
          <w:p w14:paraId="3781EAA0"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"Supplier's Confidential Information"</w:t>
            </w:r>
          </w:p>
        </w:tc>
        <w:tc>
          <w:tcPr>
            <w:tcW w:w="7330" w:type="dxa"/>
            <w:gridSpan w:val="2"/>
          </w:tcPr>
          <w:p w14:paraId="0E12DB23" w14:textId="77777777" w:rsidR="00335AD1" w:rsidRPr="001370AF" w:rsidRDefault="00335AD1" w:rsidP="00335AD1">
            <w:pPr>
              <w:numPr>
                <w:ilvl w:val="0"/>
                <w:numId w:val="9"/>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046D8D7C" w14:textId="77777777" w:rsidR="00335AD1" w:rsidRPr="001370AF" w:rsidRDefault="00335AD1" w:rsidP="00335AD1">
            <w:pPr>
              <w:numPr>
                <w:ilvl w:val="0"/>
                <w:numId w:val="9"/>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79D97143" w14:textId="77777777" w:rsidR="00335AD1" w:rsidRPr="001370AF" w:rsidRDefault="00335AD1" w:rsidP="00335AD1">
            <w:pPr>
              <w:numPr>
                <w:ilvl w:val="0"/>
                <w:numId w:val="9"/>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lastRenderedPageBreak/>
              <w:t>Information derived from any of (a) and (b) above;</w:t>
            </w:r>
          </w:p>
        </w:tc>
      </w:tr>
      <w:tr w:rsidR="00335AD1" w:rsidRPr="001370AF" w14:paraId="71B3D1EA" w14:textId="77777777">
        <w:tc>
          <w:tcPr>
            <w:tcW w:w="2405" w:type="dxa"/>
          </w:tcPr>
          <w:p w14:paraId="5D856AE2" w14:textId="77777777" w:rsidR="00335AD1" w:rsidRPr="001370AF" w:rsidRDefault="00335AD1" w:rsidP="00705C17">
            <w:pPr>
              <w:pBdr>
                <w:top w:val="nil"/>
                <w:left w:val="nil"/>
                <w:bottom w:val="nil"/>
                <w:right w:val="nil"/>
                <w:between w:val="nil"/>
              </w:pBdr>
              <w:tabs>
                <w:tab w:val="left" w:pos="142"/>
              </w:tabs>
              <w:spacing w:before="120"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 xml:space="preserve">"Supplier's Contract Manager </w:t>
            </w:r>
          </w:p>
        </w:tc>
        <w:tc>
          <w:tcPr>
            <w:tcW w:w="7330" w:type="dxa"/>
            <w:gridSpan w:val="2"/>
          </w:tcPr>
          <w:p w14:paraId="6262571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35AD1" w:rsidRPr="001370AF" w14:paraId="58E295BB" w14:textId="77777777">
        <w:tc>
          <w:tcPr>
            <w:tcW w:w="2405" w:type="dxa"/>
          </w:tcPr>
          <w:p w14:paraId="1A88DF91"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"Supplier Equipment"</w:t>
            </w:r>
          </w:p>
        </w:tc>
        <w:tc>
          <w:tcPr>
            <w:tcW w:w="7330" w:type="dxa"/>
            <w:gridSpan w:val="2"/>
          </w:tcPr>
          <w:p w14:paraId="0FF5845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35AD1" w:rsidRPr="001370AF" w14:paraId="6973BF00" w14:textId="77777777">
        <w:tc>
          <w:tcPr>
            <w:tcW w:w="2405" w:type="dxa"/>
          </w:tcPr>
          <w:p w14:paraId="07971382"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"Supplier Marketing Contact"</w:t>
            </w:r>
          </w:p>
        </w:tc>
        <w:tc>
          <w:tcPr>
            <w:tcW w:w="7330" w:type="dxa"/>
            <w:gridSpan w:val="2"/>
          </w:tcPr>
          <w:p w14:paraId="49D41D45"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shall be the person identified in the Framework Award Form;</w:t>
            </w:r>
          </w:p>
        </w:tc>
      </w:tr>
      <w:tr w:rsidR="00335AD1" w:rsidRPr="001370AF" w14:paraId="2637BA8F" w14:textId="77777777">
        <w:tc>
          <w:tcPr>
            <w:tcW w:w="2405" w:type="dxa"/>
          </w:tcPr>
          <w:p w14:paraId="18734229"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"Supplier Non-Performance"</w:t>
            </w:r>
          </w:p>
        </w:tc>
        <w:tc>
          <w:tcPr>
            <w:tcW w:w="7330" w:type="dxa"/>
            <w:gridSpan w:val="2"/>
          </w:tcPr>
          <w:p w14:paraId="18BDEC9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where the Supplier has failed to:</w:t>
            </w:r>
          </w:p>
          <w:p w14:paraId="492A6AEB" w14:textId="77777777" w:rsidR="00335AD1" w:rsidRPr="001370AF" w:rsidRDefault="00335AD1" w:rsidP="00335AD1">
            <w:pPr>
              <w:numPr>
                <w:ilvl w:val="0"/>
                <w:numId w:val="1"/>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Achieve a Milestone by its Milestone Date;</w:t>
            </w:r>
          </w:p>
          <w:p w14:paraId="7B54A231" w14:textId="77777777" w:rsidR="00335AD1" w:rsidRPr="001370AF" w:rsidRDefault="00335AD1" w:rsidP="00335AD1">
            <w:pPr>
              <w:numPr>
                <w:ilvl w:val="0"/>
                <w:numId w:val="1"/>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sidRPr="001370AF">
              <w:rPr>
                <w:rFonts w:ascii="Arial" w:eastAsia="Arial" w:hAnsi="Arial" w:cs="Arial"/>
                <w:color w:val="000000"/>
                <w:sz w:val="24"/>
                <w:szCs w:val="24"/>
              </w:rPr>
              <w:t>provide the Goods and/or Services in accordance with the Service Levels ; and/or</w:t>
            </w:r>
          </w:p>
          <w:p w14:paraId="78DF366C" w14:textId="77777777" w:rsidR="00335AD1" w:rsidRPr="001370AF" w:rsidRDefault="00335AD1" w:rsidP="00335AD1">
            <w:pPr>
              <w:numPr>
                <w:ilvl w:val="0"/>
                <w:numId w:val="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comply with an obligation under a Contract;</w:t>
            </w:r>
          </w:p>
        </w:tc>
      </w:tr>
      <w:tr w:rsidR="00335AD1" w:rsidRPr="001370AF" w14:paraId="703B3594" w14:textId="77777777">
        <w:tc>
          <w:tcPr>
            <w:tcW w:w="2405" w:type="dxa"/>
          </w:tcPr>
          <w:p w14:paraId="42FCB406"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"Supplier Profit"</w:t>
            </w:r>
          </w:p>
        </w:tc>
        <w:tc>
          <w:tcPr>
            <w:tcW w:w="7330" w:type="dxa"/>
            <w:gridSpan w:val="2"/>
          </w:tcPr>
          <w:p w14:paraId="73932D3B"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335AD1" w:rsidRPr="001370AF" w14:paraId="47A37DED" w14:textId="77777777">
        <w:tc>
          <w:tcPr>
            <w:tcW w:w="2405" w:type="dxa"/>
          </w:tcPr>
          <w:p w14:paraId="2A83666E"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"Supplier Profit Margin"</w:t>
            </w:r>
          </w:p>
        </w:tc>
        <w:tc>
          <w:tcPr>
            <w:tcW w:w="7330" w:type="dxa"/>
            <w:gridSpan w:val="2"/>
          </w:tcPr>
          <w:p w14:paraId="0DFD4096"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35AD1" w:rsidRPr="001370AF" w14:paraId="6C2EDCA1" w14:textId="77777777">
        <w:tc>
          <w:tcPr>
            <w:tcW w:w="2405" w:type="dxa"/>
          </w:tcPr>
          <w:p w14:paraId="6622D938"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"Supplier Staff"</w:t>
            </w:r>
          </w:p>
        </w:tc>
        <w:tc>
          <w:tcPr>
            <w:tcW w:w="7330" w:type="dxa"/>
            <w:gridSpan w:val="2"/>
          </w:tcPr>
          <w:p w14:paraId="61F4174D"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335AD1" w:rsidRPr="001370AF" w14:paraId="1E3E265E" w14:textId="77777777">
        <w:tc>
          <w:tcPr>
            <w:tcW w:w="2405" w:type="dxa"/>
          </w:tcPr>
          <w:p w14:paraId="5CD30FC3"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"Supporting Documentation"</w:t>
            </w:r>
          </w:p>
        </w:tc>
        <w:tc>
          <w:tcPr>
            <w:tcW w:w="7330" w:type="dxa"/>
            <w:gridSpan w:val="2"/>
          </w:tcPr>
          <w:p w14:paraId="28108EAC"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335AD1" w:rsidRPr="001370AF" w14:paraId="73BF6807" w14:textId="77777777">
        <w:tc>
          <w:tcPr>
            <w:tcW w:w="2405" w:type="dxa"/>
          </w:tcPr>
          <w:p w14:paraId="51529B5F"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"Termination Notice"</w:t>
            </w:r>
          </w:p>
        </w:tc>
        <w:tc>
          <w:tcPr>
            <w:tcW w:w="7330" w:type="dxa"/>
            <w:gridSpan w:val="2"/>
          </w:tcPr>
          <w:p w14:paraId="691F6054"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335AD1" w:rsidRPr="001370AF" w14:paraId="20EAA532" w14:textId="77777777">
        <w:tc>
          <w:tcPr>
            <w:tcW w:w="2405" w:type="dxa"/>
          </w:tcPr>
          <w:p w14:paraId="1106DBDE"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"Test Issue"</w:t>
            </w:r>
          </w:p>
        </w:tc>
        <w:tc>
          <w:tcPr>
            <w:tcW w:w="7330" w:type="dxa"/>
            <w:gridSpan w:val="2"/>
          </w:tcPr>
          <w:p w14:paraId="4F2D88EC" w14:textId="77777777" w:rsidR="00335AD1" w:rsidRPr="001370AF" w:rsidRDefault="00335AD1" w:rsidP="00335AD1">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sidRPr="001370AF">
              <w:rPr>
                <w:rFonts w:ascii="Arial" w:eastAsia="Arial" w:hAnsi="Arial" w:cs="Arial"/>
                <w:color w:val="000000"/>
                <w:sz w:val="24"/>
                <w:szCs w:val="24"/>
              </w:rPr>
              <w:t>any variance or non-conformity of the Deliverables from their requirements as set out in a Call-Off Contract;</w:t>
            </w:r>
          </w:p>
        </w:tc>
      </w:tr>
      <w:tr w:rsidR="00335AD1" w:rsidRPr="001370AF" w14:paraId="22A13E14" w14:textId="77777777">
        <w:tc>
          <w:tcPr>
            <w:tcW w:w="2405" w:type="dxa"/>
          </w:tcPr>
          <w:p w14:paraId="64D0325F"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"Test Plan"</w:t>
            </w:r>
          </w:p>
        </w:tc>
        <w:tc>
          <w:tcPr>
            <w:tcW w:w="7330" w:type="dxa"/>
            <w:gridSpan w:val="2"/>
          </w:tcPr>
          <w:p w14:paraId="2229641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plan:</w:t>
            </w:r>
          </w:p>
          <w:p w14:paraId="28F1B0AE" w14:textId="77777777" w:rsidR="00335AD1" w:rsidRPr="001370AF" w:rsidRDefault="00335AD1" w:rsidP="001370AF">
            <w:pPr>
              <w:numPr>
                <w:ilvl w:val="0"/>
                <w:numId w:val="10"/>
              </w:numPr>
              <w:pBdr>
                <w:top w:val="nil"/>
                <w:left w:val="nil"/>
                <w:bottom w:val="nil"/>
                <w:right w:val="nil"/>
                <w:between w:val="nil"/>
              </w:pBdr>
              <w:tabs>
                <w:tab w:val="left" w:pos="-576"/>
                <w:tab w:val="left" w:pos="141"/>
                <w:tab w:val="left" w:pos="561"/>
              </w:tabs>
              <w:ind w:left="278" w:right="421" w:firstLine="0"/>
              <w:jc w:val="both"/>
              <w:rPr>
                <w:rFonts w:ascii="Arial" w:eastAsia="Arial" w:hAnsi="Arial" w:cs="Arial"/>
                <w:color w:val="000000"/>
                <w:sz w:val="24"/>
                <w:szCs w:val="24"/>
              </w:rPr>
            </w:pPr>
            <w:r w:rsidRPr="001370AF">
              <w:rPr>
                <w:rFonts w:ascii="Arial" w:eastAsia="Arial" w:hAnsi="Arial" w:cs="Arial"/>
                <w:color w:val="000000"/>
                <w:sz w:val="24"/>
                <w:szCs w:val="24"/>
              </w:rPr>
              <w:t xml:space="preserve">for the Testing of the Deliverables; and </w:t>
            </w:r>
          </w:p>
          <w:p w14:paraId="5B13D362" w14:textId="77777777" w:rsidR="00335AD1" w:rsidRPr="001370AF" w:rsidRDefault="00335AD1" w:rsidP="001370AF">
            <w:pPr>
              <w:numPr>
                <w:ilvl w:val="0"/>
                <w:numId w:val="10"/>
              </w:numPr>
              <w:pBdr>
                <w:top w:val="nil"/>
                <w:left w:val="nil"/>
                <w:bottom w:val="nil"/>
                <w:right w:val="nil"/>
                <w:between w:val="nil"/>
              </w:pBdr>
              <w:tabs>
                <w:tab w:val="left" w:pos="-576"/>
                <w:tab w:val="left" w:pos="141"/>
                <w:tab w:val="left" w:pos="561"/>
              </w:tabs>
              <w:spacing w:after="120"/>
              <w:ind w:left="278" w:right="421" w:firstLine="0"/>
              <w:jc w:val="both"/>
              <w:rPr>
                <w:rFonts w:ascii="Arial" w:eastAsia="Arial" w:hAnsi="Arial" w:cs="Arial"/>
                <w:color w:val="000000"/>
                <w:sz w:val="24"/>
                <w:szCs w:val="24"/>
              </w:rPr>
            </w:pPr>
            <w:r w:rsidRPr="001370AF">
              <w:rPr>
                <w:rFonts w:ascii="Arial" w:eastAsia="Arial" w:hAnsi="Arial" w:cs="Arial"/>
                <w:color w:val="000000"/>
                <w:sz w:val="24"/>
                <w:szCs w:val="24"/>
              </w:rPr>
              <w:t>setting out other agreed criteria related to the achievement of Milestones;</w:t>
            </w:r>
          </w:p>
        </w:tc>
      </w:tr>
      <w:tr w:rsidR="00335AD1" w:rsidRPr="001370AF" w14:paraId="028F7AB7" w14:textId="77777777">
        <w:tc>
          <w:tcPr>
            <w:tcW w:w="2405" w:type="dxa"/>
          </w:tcPr>
          <w:p w14:paraId="1ED75930"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"Tests "</w:t>
            </w:r>
          </w:p>
        </w:tc>
        <w:tc>
          <w:tcPr>
            <w:tcW w:w="7330" w:type="dxa"/>
            <w:gridSpan w:val="2"/>
          </w:tcPr>
          <w:p w14:paraId="46854AB2"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tests required to be carried out pursuant to a Call-Off Contract as set out in the Test Plan or elsewhere in a Call-Off Contract and "Tested" and “Testing” shall be construed accordingly;</w:t>
            </w:r>
          </w:p>
        </w:tc>
      </w:tr>
      <w:tr w:rsidR="00335AD1" w:rsidRPr="001370AF" w14:paraId="3C624665" w14:textId="77777777">
        <w:tc>
          <w:tcPr>
            <w:tcW w:w="2405" w:type="dxa"/>
          </w:tcPr>
          <w:p w14:paraId="55636F1C"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"Third Party IPR"</w:t>
            </w:r>
          </w:p>
        </w:tc>
        <w:tc>
          <w:tcPr>
            <w:tcW w:w="7330" w:type="dxa"/>
            <w:gridSpan w:val="2"/>
          </w:tcPr>
          <w:p w14:paraId="62AA5A9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Intellectual Property Rights owned by a third party which is or will be used by the Supplier for the purpose of providing the Deliverables;</w:t>
            </w:r>
          </w:p>
        </w:tc>
      </w:tr>
      <w:tr w:rsidR="00335AD1" w:rsidRPr="001370AF" w14:paraId="50F8A0A0" w14:textId="77777777">
        <w:tc>
          <w:tcPr>
            <w:tcW w:w="2405" w:type="dxa"/>
          </w:tcPr>
          <w:p w14:paraId="21336DFB"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"Transferring Supplier Employees"</w:t>
            </w:r>
          </w:p>
        </w:tc>
        <w:tc>
          <w:tcPr>
            <w:tcW w:w="7330" w:type="dxa"/>
            <w:gridSpan w:val="2"/>
          </w:tcPr>
          <w:p w14:paraId="4D0EEF21"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335AD1" w:rsidRPr="001370AF" w14:paraId="04CF88C1" w14:textId="77777777" w:rsidTr="007D79B9">
        <w:trPr>
          <w:trHeight w:val="2259"/>
        </w:trPr>
        <w:tc>
          <w:tcPr>
            <w:tcW w:w="2405" w:type="dxa"/>
          </w:tcPr>
          <w:p w14:paraId="6D36F995" w14:textId="77777777" w:rsidR="00335AD1" w:rsidRPr="001370AF" w:rsidRDefault="00335AD1" w:rsidP="00705C17">
            <w:pPr>
              <w:keepNext/>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"Transparency Information"</w:t>
            </w:r>
          </w:p>
        </w:tc>
        <w:tc>
          <w:tcPr>
            <w:tcW w:w="7330" w:type="dxa"/>
            <w:gridSpan w:val="2"/>
          </w:tcPr>
          <w:p w14:paraId="7111B2B3" w14:textId="77777777" w:rsidR="00335AD1" w:rsidRPr="001370AF" w:rsidRDefault="00335AD1" w:rsidP="001370AF">
            <w:pPr>
              <w:keepNext/>
              <w:pBdr>
                <w:top w:val="nil"/>
                <w:left w:val="nil"/>
                <w:bottom w:val="nil"/>
                <w:right w:val="nil"/>
                <w:between w:val="nil"/>
              </w:pBdr>
              <w:tabs>
                <w:tab w:val="left" w:pos="-179"/>
                <w:tab w:val="left" w:pos="419"/>
              </w:tabs>
              <w:spacing w:after="120"/>
              <w:ind w:left="278" w:right="382"/>
              <w:jc w:val="both"/>
              <w:rPr>
                <w:rFonts w:ascii="Arial" w:eastAsia="Arial" w:hAnsi="Arial" w:cs="Arial"/>
                <w:color w:val="000000"/>
                <w:sz w:val="24"/>
                <w:szCs w:val="24"/>
              </w:rPr>
            </w:pPr>
            <w:r w:rsidRPr="001370AF">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06CC5695" w14:textId="42D8D39D" w:rsidR="00335AD1" w:rsidRPr="001370AF" w:rsidRDefault="00335AD1" w:rsidP="001370AF">
            <w:pPr>
              <w:keepNext/>
              <w:pBdr>
                <w:top w:val="nil"/>
                <w:left w:val="nil"/>
                <w:bottom w:val="nil"/>
                <w:right w:val="nil"/>
                <w:between w:val="nil"/>
              </w:pBdr>
              <w:tabs>
                <w:tab w:val="left" w:pos="-179"/>
                <w:tab w:val="left" w:pos="-9"/>
              </w:tabs>
              <w:spacing w:after="120"/>
              <w:ind w:left="720" w:right="382"/>
              <w:jc w:val="both"/>
              <w:rPr>
                <w:rFonts w:ascii="Arial" w:eastAsia="Arial" w:hAnsi="Arial" w:cs="Arial"/>
                <w:color w:val="000000"/>
                <w:sz w:val="24"/>
                <w:szCs w:val="24"/>
              </w:rPr>
            </w:pPr>
            <w:r w:rsidRPr="001370AF">
              <w:rPr>
                <w:rFonts w:ascii="Arial" w:eastAsia="Arial" w:hAnsi="Arial" w:cs="Arial"/>
                <w:color w:val="000000"/>
                <w:sz w:val="24"/>
                <w:szCs w:val="24"/>
              </w:rPr>
              <w:t>(</w:t>
            </w:r>
            <w:proofErr w:type="spellStart"/>
            <w:r w:rsidRPr="001370AF">
              <w:rPr>
                <w:rFonts w:ascii="Arial" w:eastAsia="Arial" w:hAnsi="Arial" w:cs="Arial"/>
                <w:color w:val="000000"/>
                <w:sz w:val="24"/>
                <w:szCs w:val="24"/>
              </w:rPr>
              <w:t>i</w:t>
            </w:r>
            <w:proofErr w:type="spellEnd"/>
            <w:r w:rsidRPr="001370AF">
              <w:rPr>
                <w:rFonts w:ascii="Arial" w:eastAsia="Arial" w:hAnsi="Arial" w:cs="Arial"/>
                <w:color w:val="000000"/>
                <w:sz w:val="24"/>
                <w:szCs w:val="24"/>
              </w:rPr>
              <w:t>)</w:t>
            </w:r>
            <w:r w:rsidRPr="001370AF">
              <w:rPr>
                <w:rFonts w:ascii="Arial" w:eastAsia="Arial" w:hAnsi="Arial" w:cs="Arial"/>
                <w:color w:val="000000"/>
                <w:sz w:val="24"/>
                <w:szCs w:val="24"/>
              </w:rPr>
              <w:tab/>
              <w:t>any information which is exempt from disclosure in accordance with the provisions of the FOIA, which shall be determined by the Relevant Authority; an</w:t>
            </w:r>
            <w:r w:rsidR="007D79B9" w:rsidRPr="001370AF">
              <w:rPr>
                <w:rFonts w:ascii="Arial" w:eastAsia="Arial" w:hAnsi="Arial" w:cs="Arial"/>
                <w:color w:val="FF0000"/>
                <w:sz w:val="24"/>
                <w:szCs w:val="24"/>
              </w:rPr>
              <w:t>d</w:t>
            </w:r>
          </w:p>
          <w:p w14:paraId="68223EC9" w14:textId="40FC7DEE" w:rsidR="00335AD1" w:rsidRPr="001370AF" w:rsidRDefault="00335AD1" w:rsidP="001370AF">
            <w:pPr>
              <w:keepNext/>
              <w:pBdr>
                <w:top w:val="nil"/>
                <w:left w:val="nil"/>
                <w:bottom w:val="nil"/>
                <w:right w:val="nil"/>
                <w:between w:val="nil"/>
              </w:pBdr>
              <w:tabs>
                <w:tab w:val="left" w:pos="-179"/>
                <w:tab w:val="left" w:pos="707"/>
              </w:tabs>
              <w:spacing w:after="120"/>
              <w:ind w:left="707" w:right="382"/>
              <w:jc w:val="both"/>
              <w:rPr>
                <w:rFonts w:ascii="Arial" w:eastAsia="Arial" w:hAnsi="Arial" w:cs="Arial"/>
                <w:color w:val="000000"/>
                <w:sz w:val="24"/>
                <w:szCs w:val="24"/>
              </w:rPr>
            </w:pPr>
            <w:r w:rsidRPr="001370AF">
              <w:rPr>
                <w:rFonts w:ascii="Arial" w:eastAsia="Arial" w:hAnsi="Arial" w:cs="Arial"/>
                <w:color w:val="000000"/>
                <w:sz w:val="24"/>
                <w:szCs w:val="24"/>
              </w:rPr>
              <w:t>(ii)</w:t>
            </w:r>
            <w:r w:rsidRPr="001370AF">
              <w:rPr>
                <w:rFonts w:ascii="Arial" w:eastAsia="Arial" w:hAnsi="Arial" w:cs="Arial"/>
                <w:color w:val="000000"/>
                <w:sz w:val="24"/>
                <w:szCs w:val="24"/>
              </w:rPr>
              <w:tab/>
              <w:t>Commercially Sensitive Information;</w:t>
            </w:r>
          </w:p>
        </w:tc>
      </w:tr>
      <w:tr w:rsidR="00335AD1" w:rsidRPr="001370AF" w14:paraId="1C03F0AA" w14:textId="77777777">
        <w:tc>
          <w:tcPr>
            <w:tcW w:w="2405" w:type="dxa"/>
          </w:tcPr>
          <w:p w14:paraId="28BDFE86"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"Transparency Reports"</w:t>
            </w:r>
          </w:p>
        </w:tc>
        <w:tc>
          <w:tcPr>
            <w:tcW w:w="7330" w:type="dxa"/>
            <w:gridSpan w:val="2"/>
          </w:tcPr>
          <w:p w14:paraId="1BDA2D2E"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335AD1" w:rsidRPr="001370AF" w14:paraId="6A28401E" w14:textId="77777777">
        <w:tc>
          <w:tcPr>
            <w:tcW w:w="2405" w:type="dxa"/>
          </w:tcPr>
          <w:p w14:paraId="5E347103"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"Variation"</w:t>
            </w:r>
          </w:p>
        </w:tc>
        <w:tc>
          <w:tcPr>
            <w:tcW w:w="7330" w:type="dxa"/>
            <w:gridSpan w:val="2"/>
          </w:tcPr>
          <w:p w14:paraId="1CE07654"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change to a Contract;</w:t>
            </w:r>
          </w:p>
        </w:tc>
      </w:tr>
      <w:tr w:rsidR="00335AD1" w:rsidRPr="001370AF" w14:paraId="4C8B54DA" w14:textId="77777777">
        <w:tc>
          <w:tcPr>
            <w:tcW w:w="2405" w:type="dxa"/>
          </w:tcPr>
          <w:p w14:paraId="2530A34E"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"Variation Form"</w:t>
            </w:r>
          </w:p>
        </w:tc>
        <w:tc>
          <w:tcPr>
            <w:tcW w:w="7330" w:type="dxa"/>
            <w:gridSpan w:val="2"/>
          </w:tcPr>
          <w:p w14:paraId="55F5AA1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form set out in Joint Schedule 2 (Variation Form);</w:t>
            </w:r>
          </w:p>
        </w:tc>
      </w:tr>
      <w:tr w:rsidR="00335AD1" w:rsidRPr="001370AF" w14:paraId="294D01CA" w14:textId="77777777">
        <w:tc>
          <w:tcPr>
            <w:tcW w:w="2405" w:type="dxa"/>
          </w:tcPr>
          <w:p w14:paraId="18430BE2"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"Variation Procedure"</w:t>
            </w:r>
          </w:p>
        </w:tc>
        <w:tc>
          <w:tcPr>
            <w:tcW w:w="7330" w:type="dxa"/>
            <w:gridSpan w:val="2"/>
          </w:tcPr>
          <w:p w14:paraId="5F2BAB07"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the procedure set out in Clause 24 (Changing the contract);</w:t>
            </w:r>
          </w:p>
        </w:tc>
      </w:tr>
      <w:tr w:rsidR="00335AD1" w:rsidRPr="001370AF" w14:paraId="3A59DCC8" w14:textId="77777777">
        <w:tc>
          <w:tcPr>
            <w:tcW w:w="2405" w:type="dxa"/>
          </w:tcPr>
          <w:p w14:paraId="0A4A587C"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"VAT"</w:t>
            </w:r>
          </w:p>
        </w:tc>
        <w:tc>
          <w:tcPr>
            <w:tcW w:w="7330" w:type="dxa"/>
            <w:gridSpan w:val="2"/>
          </w:tcPr>
          <w:p w14:paraId="61314611"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value added tax in accordance with the provisions of the Value Added Tax Act 1994;</w:t>
            </w:r>
          </w:p>
        </w:tc>
      </w:tr>
      <w:tr w:rsidR="00335AD1" w:rsidRPr="001370AF" w14:paraId="18BE2768" w14:textId="77777777">
        <w:tc>
          <w:tcPr>
            <w:tcW w:w="2405" w:type="dxa"/>
          </w:tcPr>
          <w:p w14:paraId="2477BFFF"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"VCSE"</w:t>
            </w:r>
          </w:p>
        </w:tc>
        <w:tc>
          <w:tcPr>
            <w:tcW w:w="7330" w:type="dxa"/>
            <w:gridSpan w:val="2"/>
          </w:tcPr>
          <w:p w14:paraId="210D5D39"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335AD1" w:rsidRPr="001370AF" w14:paraId="716BCEB4" w14:textId="77777777" w:rsidTr="001370AF">
        <w:trPr>
          <w:gridAfter w:val="1"/>
          <w:wAfter w:w="101" w:type="dxa"/>
        </w:trPr>
        <w:tc>
          <w:tcPr>
            <w:tcW w:w="2405" w:type="dxa"/>
          </w:tcPr>
          <w:p w14:paraId="51FA7023"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"Worker"</w:t>
            </w:r>
          </w:p>
        </w:tc>
        <w:tc>
          <w:tcPr>
            <w:tcW w:w="7229" w:type="dxa"/>
          </w:tcPr>
          <w:p w14:paraId="0FACC0C4"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335AD1" w:rsidRPr="001370AF" w14:paraId="68808E1F" w14:textId="77777777" w:rsidTr="001370AF">
        <w:trPr>
          <w:gridAfter w:val="1"/>
          <w:wAfter w:w="101" w:type="dxa"/>
        </w:trPr>
        <w:tc>
          <w:tcPr>
            <w:tcW w:w="2405" w:type="dxa"/>
          </w:tcPr>
          <w:p w14:paraId="4FE5D5BD"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lastRenderedPageBreak/>
              <w:t>"Working Day"</w:t>
            </w:r>
          </w:p>
        </w:tc>
        <w:tc>
          <w:tcPr>
            <w:tcW w:w="7229" w:type="dxa"/>
          </w:tcPr>
          <w:p w14:paraId="3F45815C"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any day other than a Saturday or Sunday or public holiday in England and Wales unless specified otherwise by the Parties in the Order Form;</w:t>
            </w:r>
          </w:p>
        </w:tc>
      </w:tr>
      <w:tr w:rsidR="00335AD1" w:rsidRPr="001370AF" w14:paraId="02430A6D" w14:textId="77777777" w:rsidTr="001370AF">
        <w:trPr>
          <w:gridAfter w:val="1"/>
          <w:wAfter w:w="101" w:type="dxa"/>
        </w:trPr>
        <w:tc>
          <w:tcPr>
            <w:tcW w:w="2405" w:type="dxa"/>
          </w:tcPr>
          <w:p w14:paraId="26D92417"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"Work Day"</w:t>
            </w:r>
          </w:p>
        </w:tc>
        <w:tc>
          <w:tcPr>
            <w:tcW w:w="7229" w:type="dxa"/>
          </w:tcPr>
          <w:p w14:paraId="734A3E40"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r w:rsidRPr="001370AF">
              <w:rPr>
                <w:rFonts w:ascii="Arial" w:eastAsia="Arial" w:hAnsi="Arial" w:cs="Arial"/>
                <w:color w:val="000000"/>
                <w:sz w:val="24"/>
                <w:szCs w:val="24"/>
              </w:rPr>
              <w:t>8.0 Work Hours, whether or not such hours are worked consecutively and whether or not they are worked on the same day; and</w:t>
            </w:r>
          </w:p>
        </w:tc>
      </w:tr>
      <w:tr w:rsidR="00335AD1" w:rsidRPr="001370AF" w14:paraId="2FAA5C42" w14:textId="77777777" w:rsidTr="001370AF">
        <w:trPr>
          <w:gridAfter w:val="1"/>
          <w:wAfter w:w="101" w:type="dxa"/>
        </w:trPr>
        <w:tc>
          <w:tcPr>
            <w:tcW w:w="2405" w:type="dxa"/>
          </w:tcPr>
          <w:p w14:paraId="60F39DBC" w14:textId="77777777" w:rsidR="00335AD1" w:rsidRPr="001370AF" w:rsidRDefault="00335AD1" w:rsidP="00705C17">
            <w:pPr>
              <w:pBdr>
                <w:top w:val="nil"/>
                <w:left w:val="nil"/>
                <w:bottom w:val="nil"/>
                <w:right w:val="nil"/>
                <w:between w:val="nil"/>
              </w:pBdr>
              <w:spacing w:after="120"/>
              <w:ind w:left="142"/>
              <w:rPr>
                <w:rFonts w:ascii="Arial" w:eastAsia="Arial" w:hAnsi="Arial" w:cs="Arial"/>
                <w:b/>
                <w:color w:val="000000"/>
                <w:sz w:val="24"/>
                <w:szCs w:val="24"/>
              </w:rPr>
            </w:pPr>
            <w:r w:rsidRPr="001370AF">
              <w:rPr>
                <w:rFonts w:ascii="Arial" w:eastAsia="Arial" w:hAnsi="Arial" w:cs="Arial"/>
                <w:b/>
                <w:color w:val="000000"/>
                <w:sz w:val="24"/>
                <w:szCs w:val="24"/>
              </w:rPr>
              <w:t>"Work Hours"</w:t>
            </w:r>
          </w:p>
        </w:tc>
        <w:tc>
          <w:tcPr>
            <w:tcW w:w="7229" w:type="dxa"/>
          </w:tcPr>
          <w:p w14:paraId="7CF72098" w14:textId="77777777" w:rsidR="00335AD1" w:rsidRPr="001370AF" w:rsidRDefault="00335AD1" w:rsidP="001370AF">
            <w:pPr>
              <w:pBdr>
                <w:top w:val="nil"/>
                <w:left w:val="nil"/>
                <w:bottom w:val="nil"/>
                <w:right w:val="nil"/>
                <w:between w:val="nil"/>
              </w:pBdr>
              <w:tabs>
                <w:tab w:val="left" w:pos="-179"/>
                <w:tab w:val="left" w:pos="561"/>
              </w:tabs>
              <w:spacing w:after="120"/>
              <w:ind w:left="278" w:right="421"/>
              <w:jc w:val="both"/>
              <w:rPr>
                <w:rFonts w:ascii="Arial" w:eastAsia="Arial" w:hAnsi="Arial" w:cs="Arial"/>
                <w:color w:val="000000"/>
                <w:sz w:val="24"/>
                <w:szCs w:val="24"/>
              </w:rPr>
            </w:pPr>
            <w:proofErr w:type="gramStart"/>
            <w:r w:rsidRPr="001370AF">
              <w:rPr>
                <w:rFonts w:ascii="Arial" w:eastAsia="Arial" w:hAnsi="Arial" w:cs="Arial"/>
                <w:color w:val="000000"/>
                <w:sz w:val="24"/>
                <w:szCs w:val="24"/>
              </w:rPr>
              <w:t>the</w:t>
            </w:r>
            <w:proofErr w:type="gramEnd"/>
            <w:r w:rsidRPr="001370AF">
              <w:rPr>
                <w:rFonts w:ascii="Arial" w:eastAsia="Arial" w:hAnsi="Arial" w:cs="Arial"/>
                <w:color w:val="000000"/>
                <w:sz w:val="24"/>
                <w:szCs w:val="24"/>
              </w:rPr>
              <w:t xml:space="preserve"> hours spent by the Supplier Staff properly working on the provision of the Deliverables including time spent travelling (other than to and from the Supplier's offices, or to and from the Sites) but excluding lunch breaks.</w:t>
            </w:r>
          </w:p>
        </w:tc>
      </w:tr>
    </w:tbl>
    <w:p w14:paraId="35A21F54" w14:textId="77777777" w:rsidR="00515856" w:rsidRPr="001370AF" w:rsidRDefault="00515856">
      <w:pPr>
        <w:spacing w:after="0" w:line="240" w:lineRule="auto"/>
        <w:rPr>
          <w:rFonts w:ascii="Arial" w:eastAsia="Arial" w:hAnsi="Arial" w:cs="Arial"/>
          <w:sz w:val="24"/>
          <w:szCs w:val="24"/>
        </w:rPr>
      </w:pPr>
    </w:p>
    <w:sectPr w:rsidR="00515856" w:rsidRPr="001370AF" w:rsidSect="001370AF">
      <w:headerReference w:type="default" r:id="rId10"/>
      <w:footerReference w:type="default" r:id="rId11"/>
      <w:headerReference w:type="first" r:id="rId12"/>
      <w:footerReference w:type="first" r:id="rId13"/>
      <w:pgSz w:w="11906" w:h="16838"/>
      <w:pgMar w:top="993"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196F8" w14:textId="77777777" w:rsidR="00376038" w:rsidRDefault="00376038">
      <w:pPr>
        <w:spacing w:after="0" w:line="240" w:lineRule="auto"/>
      </w:pPr>
      <w:r>
        <w:separator/>
      </w:r>
    </w:p>
  </w:endnote>
  <w:endnote w:type="continuationSeparator" w:id="0">
    <w:p w14:paraId="57BC6075" w14:textId="77777777" w:rsidR="00376038" w:rsidRDefault="0037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B6779" w14:textId="7C6164D4" w:rsidR="000E3A82" w:rsidRPr="000E3A82" w:rsidRDefault="001370AF" w:rsidP="000E3A8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0E3A82">
      <w:rPr>
        <w:rFonts w:ascii="Arial" w:eastAsia="Arial" w:hAnsi="Arial" w:cs="Arial"/>
        <w:color w:val="000000"/>
        <w:sz w:val="20"/>
        <w:szCs w:val="20"/>
      </w:rPr>
      <w:t>Framework Ref: RM6187</w:t>
    </w:r>
    <w:r w:rsidR="000E3A82" w:rsidRPr="000E3A82">
      <w:rPr>
        <w:rFonts w:ascii="Arial" w:eastAsia="Arial" w:hAnsi="Arial" w:cs="Arial"/>
        <w:color w:val="000000"/>
        <w:sz w:val="20"/>
        <w:szCs w:val="20"/>
      </w:rPr>
      <w:tab/>
      <w:t>CCCC21B39 Government Productivity Challenge</w:t>
    </w:r>
  </w:p>
  <w:p w14:paraId="36B4EA63" w14:textId="77777777" w:rsidR="000E3A82" w:rsidRDefault="001370A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14:paraId="3DE9F518" w14:textId="73B75C0F" w:rsidR="001370AF" w:rsidRDefault="000E3A8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3.8</w:t>
    </w:r>
    <w:r w:rsidR="001370AF">
      <w:rPr>
        <w:rFonts w:ascii="Arial" w:eastAsia="Arial" w:hAnsi="Arial" w:cs="Arial"/>
        <w:color w:val="000000"/>
        <w:sz w:val="20"/>
        <w:szCs w:val="20"/>
      </w:rPr>
      <w:tab/>
    </w:r>
    <w:r w:rsidR="001370AF">
      <w:rPr>
        <w:rFonts w:ascii="Arial" w:eastAsia="Arial" w:hAnsi="Arial" w:cs="Arial"/>
        <w:color w:val="000000"/>
        <w:sz w:val="20"/>
        <w:szCs w:val="20"/>
      </w:rPr>
      <w:tab/>
      <w:t xml:space="preserve"> </w:t>
    </w:r>
    <w:r w:rsidR="001370AF">
      <w:rPr>
        <w:rFonts w:ascii="Arial" w:eastAsia="Arial" w:hAnsi="Arial" w:cs="Arial"/>
        <w:color w:val="000000"/>
        <w:sz w:val="20"/>
        <w:szCs w:val="20"/>
      </w:rPr>
      <w:fldChar w:fldCharType="begin"/>
    </w:r>
    <w:r w:rsidR="001370AF">
      <w:rPr>
        <w:rFonts w:ascii="Arial" w:eastAsia="Arial" w:hAnsi="Arial" w:cs="Arial"/>
        <w:color w:val="000000"/>
        <w:sz w:val="20"/>
        <w:szCs w:val="20"/>
      </w:rPr>
      <w:instrText>PAGE</w:instrText>
    </w:r>
    <w:r w:rsidR="001370AF">
      <w:rPr>
        <w:rFonts w:ascii="Arial" w:eastAsia="Arial" w:hAnsi="Arial" w:cs="Arial"/>
        <w:color w:val="000000"/>
        <w:sz w:val="20"/>
        <w:szCs w:val="20"/>
      </w:rPr>
      <w:fldChar w:fldCharType="separate"/>
    </w:r>
    <w:r>
      <w:rPr>
        <w:rFonts w:ascii="Arial" w:eastAsia="Arial" w:hAnsi="Arial" w:cs="Arial"/>
        <w:noProof/>
        <w:color w:val="000000"/>
        <w:sz w:val="20"/>
        <w:szCs w:val="20"/>
      </w:rPr>
      <w:t>21</w:t>
    </w:r>
    <w:r w:rsidR="001370AF">
      <w:rPr>
        <w:rFonts w:ascii="Arial" w:eastAsia="Arial" w:hAnsi="Arial" w:cs="Arial"/>
        <w:color w:val="000000"/>
        <w:sz w:val="20"/>
        <w:szCs w:val="20"/>
      </w:rPr>
      <w:fldChar w:fldCharType="end"/>
    </w:r>
  </w:p>
  <w:p w14:paraId="536C7EA5" w14:textId="52536641" w:rsidR="001370AF" w:rsidRDefault="001370AF" w:rsidP="000E3A82">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sidRPr="000E3A82">
      <w:rPr>
        <w:rFonts w:ascii="Arial" w:eastAsia="Arial" w:hAnsi="Arial" w:cs="Arial"/>
        <w:color w:val="000000"/>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0A28B" w14:textId="77777777" w:rsidR="001370AF" w:rsidRDefault="001370AF">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14989813" w14:textId="77777777" w:rsidR="001370AF" w:rsidRDefault="001370AF">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3D0EC1D5" w14:textId="77777777" w:rsidR="001370AF" w:rsidRDefault="00137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EEB1B" w14:textId="77777777" w:rsidR="00376038" w:rsidRDefault="00376038">
      <w:pPr>
        <w:spacing w:after="0" w:line="240" w:lineRule="auto"/>
      </w:pPr>
      <w:r>
        <w:separator/>
      </w:r>
    </w:p>
  </w:footnote>
  <w:footnote w:type="continuationSeparator" w:id="0">
    <w:p w14:paraId="55E32AC7" w14:textId="77777777" w:rsidR="00376038" w:rsidRDefault="00376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0A2A" w14:textId="4AD71FB1" w:rsidR="001370AF" w:rsidRDefault="001370AF">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2021</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212F9" w14:textId="77777777" w:rsidR="001370AF" w:rsidRDefault="001370AF">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0C8E9368" w14:textId="77777777" w:rsidR="001370AF" w:rsidRDefault="001370A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6160E"/>
    <w:multiLevelType w:val="multilevel"/>
    <w:tmpl w:val="84E4BE68"/>
    <w:lvl w:ilvl="0">
      <w:start w:val="1"/>
      <w:numFmt w:val="lowerLetter"/>
      <w:pStyle w:val="GPSDefinitionL4"/>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28B22E9"/>
    <w:multiLevelType w:val="multilevel"/>
    <w:tmpl w:val="E7CAF77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168C2C66"/>
    <w:multiLevelType w:val="multilevel"/>
    <w:tmpl w:val="05E46DD2"/>
    <w:lvl w:ilvl="0">
      <w:start w:val="1"/>
      <w:numFmt w:val="lowerLetter"/>
      <w:pStyle w:val="GPSL1CLAUSEHEADING"/>
      <w:lvlText w:val="%1)"/>
      <w:lvlJc w:val="left"/>
      <w:pPr>
        <w:ind w:left="720" w:hanging="360"/>
      </w:pPr>
      <w:rPr>
        <w:u w:val="none"/>
      </w:rPr>
    </w:lvl>
    <w:lvl w:ilvl="1">
      <w:start w:val="1"/>
      <w:numFmt w:val="lowerRoman"/>
      <w:pStyle w:val="GPSL2numberedclause"/>
      <w:lvlText w:val="%2)"/>
      <w:lvlJc w:val="right"/>
      <w:pPr>
        <w:ind w:left="1440" w:hanging="360"/>
      </w:pPr>
      <w:rPr>
        <w:u w:val="none"/>
      </w:rPr>
    </w:lvl>
    <w:lvl w:ilvl="2">
      <w:start w:val="1"/>
      <w:numFmt w:val="decimal"/>
      <w:pStyle w:val="GPSL3numberedclause"/>
      <w:lvlText w:val="%3)"/>
      <w:lvlJc w:val="left"/>
      <w:pPr>
        <w:ind w:left="2160" w:hanging="360"/>
      </w:pPr>
      <w:rPr>
        <w:u w:val="none"/>
      </w:rPr>
    </w:lvl>
    <w:lvl w:ilvl="3">
      <w:start w:val="1"/>
      <w:numFmt w:val="lowerLetter"/>
      <w:pStyle w:val="GPSL4numberedclause"/>
      <w:lvlText w:val="(%4)"/>
      <w:lvlJc w:val="left"/>
      <w:pPr>
        <w:ind w:left="2880" w:hanging="360"/>
      </w:pPr>
      <w:rPr>
        <w:u w:val="none"/>
      </w:rPr>
    </w:lvl>
    <w:lvl w:ilvl="4">
      <w:start w:val="1"/>
      <w:numFmt w:val="lowerRoman"/>
      <w:pStyle w:val="GPSL5numberedclause"/>
      <w:lvlText w:val="(%5)"/>
      <w:lvlJc w:val="right"/>
      <w:pPr>
        <w:ind w:left="3600" w:hanging="360"/>
      </w:pPr>
      <w:rPr>
        <w:u w:val="none"/>
      </w:rPr>
    </w:lvl>
    <w:lvl w:ilvl="5">
      <w:start w:val="1"/>
      <w:numFmt w:val="decimal"/>
      <w:pStyle w:val="GPSL6numbered"/>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8F056B0"/>
    <w:multiLevelType w:val="multilevel"/>
    <w:tmpl w:val="E66A06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A78114E"/>
    <w:multiLevelType w:val="multilevel"/>
    <w:tmpl w:val="0C56BF1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 w15:restartNumberingAfterBreak="0">
    <w:nsid w:val="1B80374A"/>
    <w:multiLevelType w:val="multilevel"/>
    <w:tmpl w:val="A720E7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2A25BBA"/>
    <w:multiLevelType w:val="multilevel"/>
    <w:tmpl w:val="66AE81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4AE6EF1"/>
    <w:multiLevelType w:val="multilevel"/>
    <w:tmpl w:val="C3C622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B4B07FB"/>
    <w:multiLevelType w:val="multilevel"/>
    <w:tmpl w:val="A19440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6C316A8"/>
    <w:multiLevelType w:val="multilevel"/>
    <w:tmpl w:val="A1CA2C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9A819CF"/>
    <w:multiLevelType w:val="multilevel"/>
    <w:tmpl w:val="8B6E7F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0040BD9"/>
    <w:multiLevelType w:val="multilevel"/>
    <w:tmpl w:val="68D420CA"/>
    <w:lvl w:ilvl="0">
      <w:start w:val="1"/>
      <w:numFmt w:val="lowerLetter"/>
      <w:pStyle w:val="ORDERFORML1PraraNo"/>
      <w:lvlText w:val="%1)"/>
      <w:lvlJc w:val="left"/>
      <w:pPr>
        <w:ind w:left="720" w:hanging="360"/>
      </w:pPr>
      <w:rPr>
        <w:u w:val="none"/>
      </w:rPr>
    </w:lvl>
    <w:lvl w:ilvl="1">
      <w:start w:val="1"/>
      <w:numFmt w:val="lowerRoman"/>
      <w:pStyle w:val="ORDERFORML2Title"/>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2B43B01"/>
    <w:multiLevelType w:val="multilevel"/>
    <w:tmpl w:val="CBD2ED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C6165AB"/>
    <w:multiLevelType w:val="multilevel"/>
    <w:tmpl w:val="2DE637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24977F4"/>
    <w:multiLevelType w:val="multilevel"/>
    <w:tmpl w:val="4F6AF0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4AA343F"/>
    <w:multiLevelType w:val="multilevel"/>
    <w:tmpl w:val="0E726ED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971D8E"/>
    <w:multiLevelType w:val="multilevel"/>
    <w:tmpl w:val="106EB2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A90D6D"/>
    <w:multiLevelType w:val="multilevel"/>
    <w:tmpl w:val="03AC153A"/>
    <w:lvl w:ilvl="0">
      <w:start w:val="1"/>
      <w:numFmt w:val="lowerLetter"/>
      <w:lvlText w:val="%1)"/>
      <w:lvlJc w:val="left"/>
      <w:pPr>
        <w:ind w:left="890" w:hanging="360"/>
      </w:pPr>
      <w:rPr>
        <w:rFonts w:ascii="Arial" w:hAnsi="Arial" w:cs="Arial" w:hint="default"/>
      </w:rPr>
    </w:lvl>
    <w:lvl w:ilvl="1">
      <w:start w:val="1"/>
      <w:numFmt w:val="lowerRoman"/>
      <w:lvlText w:val="%2)"/>
      <w:lvlJc w:val="left"/>
      <w:pPr>
        <w:ind w:left="1610" w:hanging="360"/>
      </w:pPr>
      <w:rPr>
        <w:rFonts w:ascii="Arial" w:hAnsi="Arial" w:cs="Arial" w:hint="default"/>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8" w15:restartNumberingAfterBreak="0">
    <w:nsid w:val="6967574B"/>
    <w:multiLevelType w:val="multilevel"/>
    <w:tmpl w:val="56D48AE0"/>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9720C48"/>
    <w:multiLevelType w:val="multilevel"/>
    <w:tmpl w:val="AE0464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9A07754"/>
    <w:multiLevelType w:val="multilevel"/>
    <w:tmpl w:val="6BA4EAAE"/>
    <w:lvl w:ilvl="0">
      <w:start w:val="1"/>
      <w:numFmt w:val="lowerLetter"/>
      <w:pStyle w:val="GPSL2GuidanceNumbered"/>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7041D0D"/>
    <w:multiLevelType w:val="multilevel"/>
    <w:tmpl w:val="8A80E9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7AF613A8"/>
    <w:multiLevelType w:val="multilevel"/>
    <w:tmpl w:val="7A6C1A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C4E7E04"/>
    <w:multiLevelType w:val="multilevel"/>
    <w:tmpl w:val="678822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 w:numId="3">
    <w:abstractNumId w:val="4"/>
  </w:num>
  <w:num w:numId="4">
    <w:abstractNumId w:val="20"/>
  </w:num>
  <w:num w:numId="5">
    <w:abstractNumId w:val="14"/>
  </w:num>
  <w:num w:numId="6">
    <w:abstractNumId w:val="2"/>
  </w:num>
  <w:num w:numId="7">
    <w:abstractNumId w:val="11"/>
  </w:num>
  <w:num w:numId="8">
    <w:abstractNumId w:val="9"/>
  </w:num>
  <w:num w:numId="9">
    <w:abstractNumId w:val="10"/>
  </w:num>
  <w:num w:numId="10">
    <w:abstractNumId w:val="12"/>
  </w:num>
  <w:num w:numId="11">
    <w:abstractNumId w:val="15"/>
  </w:num>
  <w:num w:numId="12">
    <w:abstractNumId w:val="19"/>
  </w:num>
  <w:num w:numId="13">
    <w:abstractNumId w:val="22"/>
  </w:num>
  <w:num w:numId="14">
    <w:abstractNumId w:val="21"/>
  </w:num>
  <w:num w:numId="15">
    <w:abstractNumId w:val="17"/>
  </w:num>
  <w:num w:numId="16">
    <w:abstractNumId w:val="5"/>
  </w:num>
  <w:num w:numId="17">
    <w:abstractNumId w:val="3"/>
  </w:num>
  <w:num w:numId="18">
    <w:abstractNumId w:val="8"/>
  </w:num>
  <w:num w:numId="19">
    <w:abstractNumId w:val="18"/>
  </w:num>
  <w:num w:numId="20">
    <w:abstractNumId w:val="7"/>
  </w:num>
  <w:num w:numId="21">
    <w:abstractNumId w:val="16"/>
  </w:num>
  <w:num w:numId="22">
    <w:abstractNumId w:val="23"/>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305981"/>
    <w:docVar w:name="CLIENTID" w:val="4440"/>
    <w:docVar w:name="COMPANYID" w:val="2122615613"/>
    <w:docVar w:name="DOCID" w:val=" "/>
    <w:docVar w:name="EDITION" w:val="FM"/>
    <w:docVar w:name="FILEID" w:val="294774"/>
    <w:docVar w:name="SERIALNO" w:val="11311"/>
  </w:docVars>
  <w:rsids>
    <w:rsidRoot w:val="00515856"/>
    <w:rsid w:val="000972EC"/>
    <w:rsid w:val="000E3A82"/>
    <w:rsid w:val="000F2FAB"/>
    <w:rsid w:val="001053E5"/>
    <w:rsid w:val="001370AF"/>
    <w:rsid w:val="00233250"/>
    <w:rsid w:val="0026172A"/>
    <w:rsid w:val="0026354A"/>
    <w:rsid w:val="00272E62"/>
    <w:rsid w:val="002E096B"/>
    <w:rsid w:val="00312241"/>
    <w:rsid w:val="00335AD1"/>
    <w:rsid w:val="00376038"/>
    <w:rsid w:val="00405BA3"/>
    <w:rsid w:val="00443438"/>
    <w:rsid w:val="004D4586"/>
    <w:rsid w:val="005112D1"/>
    <w:rsid w:val="00515856"/>
    <w:rsid w:val="005C4331"/>
    <w:rsid w:val="005E62D2"/>
    <w:rsid w:val="00610C78"/>
    <w:rsid w:val="00614707"/>
    <w:rsid w:val="00615058"/>
    <w:rsid w:val="0064252F"/>
    <w:rsid w:val="00644B29"/>
    <w:rsid w:val="00650C99"/>
    <w:rsid w:val="00696731"/>
    <w:rsid w:val="006D521C"/>
    <w:rsid w:val="00705C17"/>
    <w:rsid w:val="00787EF3"/>
    <w:rsid w:val="007D79B9"/>
    <w:rsid w:val="00805011"/>
    <w:rsid w:val="00812195"/>
    <w:rsid w:val="008B2AF3"/>
    <w:rsid w:val="008C4500"/>
    <w:rsid w:val="009573A8"/>
    <w:rsid w:val="00975EB4"/>
    <w:rsid w:val="00A05A0D"/>
    <w:rsid w:val="00A71794"/>
    <w:rsid w:val="00AC61F7"/>
    <w:rsid w:val="00AC6806"/>
    <w:rsid w:val="00B11CBD"/>
    <w:rsid w:val="00B509AF"/>
    <w:rsid w:val="00BD3232"/>
    <w:rsid w:val="00C36184"/>
    <w:rsid w:val="00CF77D6"/>
    <w:rsid w:val="00D424CE"/>
    <w:rsid w:val="00DA360C"/>
    <w:rsid w:val="00DC23CD"/>
    <w:rsid w:val="00DF27F1"/>
    <w:rsid w:val="00F25A81"/>
    <w:rsid w:val="00FF4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C232"/>
  <w15:docId w15:val="{B94C52CE-DA3A-47CE-A257-FF0577A6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60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2QESqqT6jH+kTdkz0fU/bgPc7A==">AMUW2mXpAsTBCziKQImC4WPvHdJX6fnGIS/s7Ji0AH+y/fefH7LQorxterqjENv3neAI1yrALpgnuoqZXqU8ZawRAmV43pTho90SvW+NN4ejEhuCiUZ5eakvyiroSCiDd6pz9AISq5lRFoBzDAptEnGe9p5XGO8oGEHTbXFqnkFxi3Z1xPRKpVgWDapAyZdUd5ZIobAHXxPG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9631</Words>
  <Characters>54903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Tinkler</dc:creator>
  <cp:keywords>Z2010510</cp:keywords>
  <cp:lastModifiedBy>Fiona Ryan</cp:lastModifiedBy>
  <cp:revision>3</cp:revision>
  <dcterms:created xsi:type="dcterms:W3CDTF">2021-12-22T12:03:00Z</dcterms:created>
  <dcterms:modified xsi:type="dcterms:W3CDTF">2021-12-22T12:19:00Z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4440</vt:i4>
  </property>
  <property fmtid="{D5CDD505-2E9C-101B-9397-08002B2CF9AE}" pid="8" name="FILEID">
    <vt:i4>294774</vt:i4>
  </property>
  <property fmtid="{D5CDD505-2E9C-101B-9397-08002B2CF9AE}" pid="9" name="ASSOCID">
    <vt:i4>1305981</vt:i4>
  </property>
</Properties>
</file>