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25F44" w14:textId="77777777" w:rsidR="00DC1536" w:rsidRPr="00BA3A68" w:rsidRDefault="00BA3A68">
      <w:pPr>
        <w:rPr>
          <w:b/>
          <w:u w:val="single"/>
        </w:rPr>
      </w:pPr>
      <w:r w:rsidRPr="00BA3A68">
        <w:rPr>
          <w:b/>
          <w:u w:val="single"/>
        </w:rPr>
        <w:t xml:space="preserve">MHCLG TOWNS FUND – PRE-TENDER MARKET ENGAGEMENT </w:t>
      </w:r>
    </w:p>
    <w:p w14:paraId="063D92F1" w14:textId="77777777" w:rsidR="00BA3A68" w:rsidRPr="00AF3B17" w:rsidRDefault="00AF3B17">
      <w:pPr>
        <w:rPr>
          <w:b/>
          <w:u w:val="single"/>
        </w:rPr>
      </w:pPr>
      <w:r w:rsidRPr="00AF3B17">
        <w:rPr>
          <w:b/>
          <w:u w:val="single"/>
        </w:rPr>
        <w:t xml:space="preserve">QUESTIONS AND ANSWERS </w:t>
      </w:r>
    </w:p>
    <w:p w14:paraId="033AD5EF" w14:textId="77777777" w:rsidR="00AF3B17" w:rsidRPr="00AF3B17" w:rsidRDefault="00AF3B17">
      <w:pPr>
        <w:rPr>
          <w:rFonts w:cstheme="minorHAnsi"/>
        </w:rPr>
      </w:pPr>
    </w:p>
    <w:tbl>
      <w:tblPr>
        <w:tblStyle w:val="TableGrid"/>
        <w:tblW w:w="14029" w:type="dxa"/>
        <w:tblLook w:val="04A0" w:firstRow="1" w:lastRow="0" w:firstColumn="1" w:lastColumn="0" w:noHBand="0" w:noVBand="1"/>
      </w:tblPr>
      <w:tblGrid>
        <w:gridCol w:w="1555"/>
        <w:gridCol w:w="5419"/>
        <w:gridCol w:w="7055"/>
      </w:tblGrid>
      <w:tr w:rsidR="00BA3A68" w:rsidRPr="00AF3B17" w14:paraId="3E9A05A2" w14:textId="77777777" w:rsidTr="00BA3A68">
        <w:tc>
          <w:tcPr>
            <w:tcW w:w="1555" w:type="dxa"/>
          </w:tcPr>
          <w:p w14:paraId="032DF603" w14:textId="77777777" w:rsidR="00BA3A68" w:rsidRPr="00AF3B17" w:rsidRDefault="00BA3A68">
            <w:pPr>
              <w:rPr>
                <w:rFonts w:cstheme="minorHAnsi"/>
              </w:rPr>
            </w:pPr>
            <w:r w:rsidRPr="00AF3B17">
              <w:rPr>
                <w:rFonts w:cstheme="minorHAnsi"/>
              </w:rPr>
              <w:t>Question Number</w:t>
            </w:r>
          </w:p>
        </w:tc>
        <w:tc>
          <w:tcPr>
            <w:tcW w:w="5419" w:type="dxa"/>
          </w:tcPr>
          <w:p w14:paraId="15438FCF" w14:textId="77777777" w:rsidR="00BA3A68" w:rsidRPr="00AF3B17" w:rsidRDefault="00BA3A68">
            <w:pPr>
              <w:rPr>
                <w:rFonts w:cstheme="minorHAnsi"/>
              </w:rPr>
            </w:pPr>
            <w:r w:rsidRPr="00AF3B17">
              <w:rPr>
                <w:rFonts w:cstheme="minorHAnsi"/>
              </w:rPr>
              <w:t xml:space="preserve">Question </w:t>
            </w:r>
          </w:p>
        </w:tc>
        <w:tc>
          <w:tcPr>
            <w:tcW w:w="7055" w:type="dxa"/>
          </w:tcPr>
          <w:p w14:paraId="5BF0C3F2" w14:textId="77777777" w:rsidR="00BA3A68" w:rsidRPr="00AF3B17" w:rsidRDefault="00BA3A68">
            <w:pPr>
              <w:rPr>
                <w:rFonts w:cstheme="minorHAnsi"/>
              </w:rPr>
            </w:pPr>
            <w:r w:rsidRPr="00AF3B17">
              <w:rPr>
                <w:rFonts w:cstheme="minorHAnsi"/>
              </w:rPr>
              <w:t xml:space="preserve">Our Response </w:t>
            </w:r>
          </w:p>
        </w:tc>
      </w:tr>
      <w:tr w:rsidR="00BA3A68" w:rsidRPr="00AF3B17" w14:paraId="32513315" w14:textId="77777777" w:rsidTr="00BA3A68">
        <w:tc>
          <w:tcPr>
            <w:tcW w:w="1555" w:type="dxa"/>
          </w:tcPr>
          <w:p w14:paraId="35D6DCA3" w14:textId="77777777" w:rsidR="00BA3A68" w:rsidRPr="00AF3B17" w:rsidRDefault="00BA3A68">
            <w:pPr>
              <w:rPr>
                <w:rFonts w:cstheme="minorHAnsi"/>
              </w:rPr>
            </w:pPr>
          </w:p>
        </w:tc>
        <w:tc>
          <w:tcPr>
            <w:tcW w:w="5419" w:type="dxa"/>
          </w:tcPr>
          <w:p w14:paraId="0EDB2951" w14:textId="77777777" w:rsidR="00BA3A68" w:rsidRPr="00AF3B17" w:rsidRDefault="00BA3A68">
            <w:pPr>
              <w:rPr>
                <w:rFonts w:cstheme="minorHAnsi"/>
              </w:rPr>
            </w:pPr>
          </w:p>
        </w:tc>
        <w:tc>
          <w:tcPr>
            <w:tcW w:w="7055" w:type="dxa"/>
          </w:tcPr>
          <w:p w14:paraId="08CCC293" w14:textId="77777777" w:rsidR="00BA3A68" w:rsidRPr="00AF3B17" w:rsidRDefault="00BA3A68">
            <w:pPr>
              <w:rPr>
                <w:rFonts w:cstheme="minorHAnsi"/>
              </w:rPr>
            </w:pPr>
          </w:p>
        </w:tc>
      </w:tr>
      <w:tr w:rsidR="00BA3A68" w:rsidRPr="00AF3B17" w14:paraId="4BFD4971" w14:textId="77777777" w:rsidTr="00BA3A68">
        <w:tc>
          <w:tcPr>
            <w:tcW w:w="1555" w:type="dxa"/>
          </w:tcPr>
          <w:p w14:paraId="70217083" w14:textId="77777777" w:rsidR="00BA3A68" w:rsidRPr="00AF3B17" w:rsidRDefault="00BA3A68">
            <w:pPr>
              <w:rPr>
                <w:rFonts w:cstheme="minorHAnsi"/>
              </w:rPr>
            </w:pPr>
            <w:r w:rsidRPr="00AF3B17">
              <w:rPr>
                <w:rFonts w:cstheme="minorHAnsi"/>
              </w:rPr>
              <w:t>1</w:t>
            </w:r>
          </w:p>
        </w:tc>
        <w:tc>
          <w:tcPr>
            <w:tcW w:w="5419" w:type="dxa"/>
          </w:tcPr>
          <w:p w14:paraId="4DE64128" w14:textId="77777777" w:rsidR="00BA3A68" w:rsidRPr="00AF3B17" w:rsidRDefault="00BA3A68">
            <w:pPr>
              <w:rPr>
                <w:rFonts w:cstheme="minorHAnsi"/>
              </w:rPr>
            </w:pPr>
            <w:r w:rsidRPr="00AF3B17">
              <w:rPr>
                <w:rFonts w:eastAsia="Times New Roman" w:cstheme="minorHAnsi"/>
              </w:rPr>
              <w:t>The initial contract would be for 2.5 months up to the end of March 2020 with a possible extension for another 12 months. Do these timescales reflect the submission process for the places (e.g. do they have some sort of milestone or draft submission at the end of March 2019?). What would influence your decision to extend the support contract?</w:t>
            </w:r>
          </w:p>
        </w:tc>
        <w:tc>
          <w:tcPr>
            <w:tcW w:w="7055" w:type="dxa"/>
          </w:tcPr>
          <w:p w14:paraId="155E8735" w14:textId="77777777" w:rsidR="00BA3A68" w:rsidRPr="00AF3B17" w:rsidRDefault="00BA3A68" w:rsidP="00BA3A68">
            <w:pPr>
              <w:rPr>
                <w:rFonts w:eastAsia="Times New Roman" w:cstheme="minorHAnsi"/>
              </w:rPr>
            </w:pPr>
            <w:r w:rsidRPr="00AF3B17">
              <w:rPr>
                <w:rFonts w:eastAsia="Times New Roman" w:cstheme="minorHAnsi"/>
                <w:b/>
                <w:bCs/>
              </w:rPr>
              <w:t>The first two and half months would probably look like some sort of ‘universal support’ e.g. running workshops etc depending how advanced places are.</w:t>
            </w:r>
          </w:p>
          <w:p w14:paraId="6675B067" w14:textId="77777777" w:rsidR="00BA3A68" w:rsidRPr="00AF3B17" w:rsidRDefault="00BA3A68">
            <w:pPr>
              <w:rPr>
                <w:rFonts w:cstheme="minorHAnsi"/>
              </w:rPr>
            </w:pPr>
          </w:p>
        </w:tc>
      </w:tr>
      <w:tr w:rsidR="00BA3A68" w:rsidRPr="00AF3B17" w14:paraId="6FFAEE5C" w14:textId="77777777" w:rsidTr="00BA3A68">
        <w:tc>
          <w:tcPr>
            <w:tcW w:w="1555" w:type="dxa"/>
          </w:tcPr>
          <w:p w14:paraId="4EF74EB7" w14:textId="77777777" w:rsidR="00BA3A68" w:rsidRPr="00AF3B17" w:rsidRDefault="00BA3A68">
            <w:pPr>
              <w:rPr>
                <w:rFonts w:cstheme="minorHAnsi"/>
              </w:rPr>
            </w:pPr>
            <w:r w:rsidRPr="00AF3B17">
              <w:rPr>
                <w:rFonts w:cstheme="minorHAnsi"/>
              </w:rPr>
              <w:t>2</w:t>
            </w:r>
          </w:p>
        </w:tc>
        <w:tc>
          <w:tcPr>
            <w:tcW w:w="5419" w:type="dxa"/>
          </w:tcPr>
          <w:p w14:paraId="00939415" w14:textId="77777777" w:rsidR="00BA3A68" w:rsidRPr="00AF3B17" w:rsidRDefault="00BA3A68">
            <w:pPr>
              <w:rPr>
                <w:rFonts w:cstheme="minorHAnsi"/>
              </w:rPr>
            </w:pPr>
            <w:r w:rsidRPr="00AF3B17">
              <w:rPr>
                <w:rFonts w:eastAsia="Times New Roman" w:cstheme="minorHAnsi"/>
              </w:rPr>
              <w:t>This relates to Q2 “is the project deliverable in the timeframe proposed?” – what are the deliverables and what is the timeframe?</w:t>
            </w:r>
          </w:p>
        </w:tc>
        <w:tc>
          <w:tcPr>
            <w:tcW w:w="7055" w:type="dxa"/>
          </w:tcPr>
          <w:p w14:paraId="38A495B0" w14:textId="77777777" w:rsidR="00BA3A68" w:rsidRPr="00AF3B17" w:rsidRDefault="00BA3A68" w:rsidP="00BA3A68">
            <w:pPr>
              <w:rPr>
                <w:rFonts w:eastAsia="Times New Roman" w:cstheme="minorHAnsi"/>
              </w:rPr>
            </w:pPr>
            <w:r w:rsidRPr="00AF3B17">
              <w:rPr>
                <w:rFonts w:eastAsia="Times New Roman" w:cstheme="minorHAnsi"/>
                <w:b/>
                <w:bCs/>
              </w:rPr>
              <w:t>At this stage it</w:t>
            </w:r>
            <w:r w:rsidRPr="00AF3B17">
              <w:rPr>
                <w:rFonts w:eastAsia="Times New Roman" w:cstheme="minorHAnsi"/>
                <w:b/>
                <w:bCs/>
              </w:rPr>
              <w:t>’</w:t>
            </w:r>
            <w:r w:rsidRPr="00AF3B17">
              <w:rPr>
                <w:rFonts w:eastAsia="Times New Roman" w:cstheme="minorHAnsi"/>
                <w:b/>
                <w:bCs/>
              </w:rPr>
              <w:t>s your chance to pitch your ideas to us.</w:t>
            </w:r>
          </w:p>
          <w:p w14:paraId="1D0F534A" w14:textId="77777777" w:rsidR="00BA3A68" w:rsidRPr="00AF3B17" w:rsidRDefault="00BA3A68">
            <w:pPr>
              <w:rPr>
                <w:rFonts w:cstheme="minorHAnsi"/>
              </w:rPr>
            </w:pPr>
          </w:p>
        </w:tc>
      </w:tr>
      <w:tr w:rsidR="00BA3A68" w:rsidRPr="00AF3B17" w14:paraId="71132352" w14:textId="77777777" w:rsidTr="00BA3A68">
        <w:tc>
          <w:tcPr>
            <w:tcW w:w="1555" w:type="dxa"/>
          </w:tcPr>
          <w:p w14:paraId="08972D45" w14:textId="77777777" w:rsidR="00BA3A68" w:rsidRPr="00AF3B17" w:rsidRDefault="00BA3A68">
            <w:pPr>
              <w:rPr>
                <w:rFonts w:cstheme="minorHAnsi"/>
              </w:rPr>
            </w:pPr>
            <w:r w:rsidRPr="00AF3B17">
              <w:rPr>
                <w:rFonts w:cstheme="minorHAnsi"/>
              </w:rPr>
              <w:t>3</w:t>
            </w:r>
          </w:p>
        </w:tc>
        <w:tc>
          <w:tcPr>
            <w:tcW w:w="5419" w:type="dxa"/>
          </w:tcPr>
          <w:p w14:paraId="2AB06EA2" w14:textId="77777777" w:rsidR="00BA3A68" w:rsidRPr="00AF3B17" w:rsidRDefault="00BA3A68">
            <w:pPr>
              <w:rPr>
                <w:rFonts w:cstheme="minorHAnsi"/>
              </w:rPr>
            </w:pPr>
            <w:r w:rsidRPr="00AF3B17">
              <w:rPr>
                <w:rFonts w:eastAsia="Times New Roman" w:cstheme="minorHAnsi"/>
              </w:rPr>
              <w:t>When is the final submission required from a bidding place?</w:t>
            </w:r>
          </w:p>
        </w:tc>
        <w:tc>
          <w:tcPr>
            <w:tcW w:w="7055" w:type="dxa"/>
          </w:tcPr>
          <w:p w14:paraId="4D910A07" w14:textId="77777777" w:rsidR="00BA3A68" w:rsidRPr="00AF3B17" w:rsidRDefault="00BA3A68" w:rsidP="00BA3A68">
            <w:pPr>
              <w:rPr>
                <w:rFonts w:eastAsia="Times New Roman" w:cstheme="minorHAnsi"/>
              </w:rPr>
            </w:pPr>
            <w:r w:rsidRPr="00AF3B17">
              <w:rPr>
                <w:rFonts w:eastAsia="Times New Roman" w:cstheme="minorHAnsi"/>
                <w:b/>
                <w:bCs/>
              </w:rPr>
              <w:t>Not yet confirmed.</w:t>
            </w:r>
          </w:p>
          <w:p w14:paraId="503A8BD4" w14:textId="77777777" w:rsidR="00BA3A68" w:rsidRPr="00AF3B17" w:rsidRDefault="00BA3A68">
            <w:pPr>
              <w:rPr>
                <w:rFonts w:cstheme="minorHAnsi"/>
              </w:rPr>
            </w:pPr>
          </w:p>
        </w:tc>
      </w:tr>
      <w:tr w:rsidR="00BA3A68" w:rsidRPr="00AF3B17" w14:paraId="244AD120" w14:textId="77777777" w:rsidTr="00BA3A68">
        <w:tc>
          <w:tcPr>
            <w:tcW w:w="1555" w:type="dxa"/>
          </w:tcPr>
          <w:p w14:paraId="063F02CB" w14:textId="77777777" w:rsidR="00BA3A68" w:rsidRPr="00AF3B17" w:rsidRDefault="00BA3A68">
            <w:pPr>
              <w:rPr>
                <w:rFonts w:cstheme="minorHAnsi"/>
              </w:rPr>
            </w:pPr>
            <w:r w:rsidRPr="00AF3B17">
              <w:rPr>
                <w:rFonts w:cstheme="minorHAnsi"/>
              </w:rPr>
              <w:t>4</w:t>
            </w:r>
          </w:p>
        </w:tc>
        <w:tc>
          <w:tcPr>
            <w:tcW w:w="5419" w:type="dxa"/>
          </w:tcPr>
          <w:p w14:paraId="3A5ADEEB" w14:textId="77777777" w:rsidR="00BA3A68" w:rsidRPr="00AF3B17" w:rsidRDefault="00BA3A68">
            <w:pPr>
              <w:rPr>
                <w:rFonts w:cstheme="minorHAnsi"/>
              </w:rPr>
            </w:pPr>
            <w:r w:rsidRPr="00AF3B17">
              <w:rPr>
                <w:rFonts w:eastAsia="Times New Roman" w:cstheme="minorHAnsi"/>
              </w:rPr>
              <w:t>Will places be given any guidance / templates to follow in producing their vision document?</w:t>
            </w:r>
          </w:p>
        </w:tc>
        <w:tc>
          <w:tcPr>
            <w:tcW w:w="7055" w:type="dxa"/>
          </w:tcPr>
          <w:p w14:paraId="4B26A78D" w14:textId="77777777" w:rsidR="00BA3A68" w:rsidRPr="00AF3B17" w:rsidRDefault="00BA3A68" w:rsidP="00BA3A68">
            <w:pPr>
              <w:rPr>
                <w:rFonts w:eastAsia="Times New Roman" w:cstheme="minorHAnsi"/>
              </w:rPr>
            </w:pPr>
            <w:proofErr w:type="gramStart"/>
            <w:r w:rsidRPr="00AF3B17">
              <w:rPr>
                <w:rFonts w:eastAsia="Times New Roman" w:cstheme="minorHAnsi"/>
                <w:b/>
                <w:bCs/>
              </w:rPr>
              <w:t>Yes</w:t>
            </w:r>
            <w:proofErr w:type="gramEnd"/>
            <w:r w:rsidRPr="00AF3B17">
              <w:rPr>
                <w:rFonts w:eastAsia="Times New Roman" w:cstheme="minorHAnsi"/>
                <w:b/>
                <w:bCs/>
              </w:rPr>
              <w:t xml:space="preserve"> these will be available and potentially for our contracted partners to assist us in producing.</w:t>
            </w:r>
          </w:p>
          <w:p w14:paraId="24F69F52" w14:textId="77777777" w:rsidR="00BA3A68" w:rsidRPr="00AF3B17" w:rsidRDefault="00BA3A68">
            <w:pPr>
              <w:rPr>
                <w:rFonts w:cstheme="minorHAnsi"/>
              </w:rPr>
            </w:pPr>
          </w:p>
        </w:tc>
      </w:tr>
      <w:tr w:rsidR="00BA3A68" w:rsidRPr="00AF3B17" w14:paraId="6FDAB1E8" w14:textId="77777777" w:rsidTr="00BA3A68">
        <w:tc>
          <w:tcPr>
            <w:tcW w:w="1555" w:type="dxa"/>
          </w:tcPr>
          <w:p w14:paraId="65458546" w14:textId="77777777" w:rsidR="00BA3A68" w:rsidRPr="00AF3B17" w:rsidRDefault="00BA3A68">
            <w:pPr>
              <w:rPr>
                <w:rFonts w:cstheme="minorHAnsi"/>
              </w:rPr>
            </w:pPr>
            <w:r w:rsidRPr="00AF3B17">
              <w:rPr>
                <w:rFonts w:cstheme="minorHAnsi"/>
              </w:rPr>
              <w:t>5</w:t>
            </w:r>
          </w:p>
        </w:tc>
        <w:tc>
          <w:tcPr>
            <w:tcW w:w="5419" w:type="dxa"/>
          </w:tcPr>
          <w:p w14:paraId="3716C7AA" w14:textId="77777777" w:rsidR="00BA3A68" w:rsidRPr="00AF3B17" w:rsidRDefault="00BA3A68">
            <w:pPr>
              <w:rPr>
                <w:rFonts w:cstheme="minorHAnsi"/>
              </w:rPr>
            </w:pPr>
            <w:r w:rsidRPr="00AF3B17">
              <w:rPr>
                <w:rFonts w:eastAsia="Times New Roman" w:cstheme="minorHAnsi"/>
              </w:rPr>
              <w:t>Are business cases expected to follow Green Book standards?</w:t>
            </w:r>
          </w:p>
        </w:tc>
        <w:tc>
          <w:tcPr>
            <w:tcW w:w="7055" w:type="dxa"/>
          </w:tcPr>
          <w:p w14:paraId="7FF69A8C" w14:textId="77777777" w:rsidR="00BA3A68" w:rsidRPr="00AF3B17" w:rsidRDefault="00BA3A68" w:rsidP="00BA3A68">
            <w:pPr>
              <w:pStyle w:val="ListParagraph"/>
              <w:numPr>
                <w:ilvl w:val="0"/>
                <w:numId w:val="1"/>
              </w:numPr>
              <w:rPr>
                <w:rFonts w:asciiTheme="minorHAnsi" w:eastAsia="Times New Roman" w:hAnsiTheme="minorHAnsi" w:cstheme="minorHAnsi"/>
              </w:rPr>
            </w:pPr>
            <w:r w:rsidRPr="00AF3B17">
              <w:rPr>
                <w:rFonts w:asciiTheme="minorHAnsi" w:eastAsia="Times New Roman" w:hAnsiTheme="minorHAnsi" w:cstheme="minorHAnsi"/>
                <w:b/>
                <w:bCs/>
              </w:rPr>
              <w:t xml:space="preserve">Yes absolutely </w:t>
            </w:r>
          </w:p>
          <w:p w14:paraId="3293EC3D" w14:textId="77777777" w:rsidR="00BA3A68" w:rsidRPr="00AF3B17" w:rsidRDefault="00BA3A68">
            <w:pPr>
              <w:rPr>
                <w:rFonts w:cstheme="minorHAnsi"/>
              </w:rPr>
            </w:pPr>
          </w:p>
        </w:tc>
      </w:tr>
      <w:tr w:rsidR="00BA3A68" w:rsidRPr="00AF3B17" w14:paraId="72E68D83" w14:textId="77777777" w:rsidTr="00BA3A68">
        <w:tc>
          <w:tcPr>
            <w:tcW w:w="1555" w:type="dxa"/>
          </w:tcPr>
          <w:p w14:paraId="33E7F1A4" w14:textId="77777777" w:rsidR="00BA3A68" w:rsidRPr="00AF3B17" w:rsidRDefault="00BA3A68">
            <w:pPr>
              <w:rPr>
                <w:rFonts w:cstheme="minorHAnsi"/>
              </w:rPr>
            </w:pPr>
            <w:r w:rsidRPr="00AF3B17">
              <w:rPr>
                <w:rFonts w:cstheme="minorHAnsi"/>
              </w:rPr>
              <w:t>6</w:t>
            </w:r>
          </w:p>
        </w:tc>
        <w:tc>
          <w:tcPr>
            <w:tcW w:w="5419" w:type="dxa"/>
          </w:tcPr>
          <w:p w14:paraId="642DEAD5" w14:textId="77777777" w:rsidR="00BA3A68" w:rsidRPr="00AF3B17" w:rsidRDefault="00BA3A68">
            <w:pPr>
              <w:rPr>
                <w:rFonts w:cstheme="minorHAnsi"/>
              </w:rPr>
            </w:pPr>
            <w:r w:rsidRPr="00AF3B17">
              <w:rPr>
                <w:rFonts w:eastAsia="Times New Roman" w:cstheme="minorHAnsi"/>
              </w:rPr>
              <w:t>Will each place be allocated the same amount of the £3.6M budget or different amounts based on their business case?  Government will work with local people from the 100 communities to agree proposals to invest up to £25 million in each place.</w:t>
            </w:r>
          </w:p>
        </w:tc>
        <w:tc>
          <w:tcPr>
            <w:tcW w:w="7055" w:type="dxa"/>
          </w:tcPr>
          <w:p w14:paraId="5096C771" w14:textId="77777777" w:rsidR="00BA3A68" w:rsidRPr="00AF3B17" w:rsidRDefault="00BA3A68" w:rsidP="00BA3A68">
            <w:pPr>
              <w:rPr>
                <w:rFonts w:eastAsia="Times New Roman" w:cstheme="minorHAnsi"/>
              </w:rPr>
            </w:pPr>
            <w:r w:rsidRPr="00AF3B17">
              <w:rPr>
                <w:rFonts w:eastAsia="Times New Roman" w:cstheme="minorHAnsi"/>
                <w:b/>
                <w:bCs/>
              </w:rPr>
              <w:t xml:space="preserve">We have said that places from the 100 towns </w:t>
            </w:r>
            <w:proofErr w:type="gramStart"/>
            <w:r w:rsidRPr="00AF3B17">
              <w:rPr>
                <w:rFonts w:eastAsia="Times New Roman" w:cstheme="minorHAnsi"/>
                <w:b/>
                <w:bCs/>
              </w:rPr>
              <w:t>have the opportunity to</w:t>
            </w:r>
            <w:proofErr w:type="gramEnd"/>
            <w:r w:rsidRPr="00AF3B17">
              <w:rPr>
                <w:rFonts w:eastAsia="Times New Roman" w:cstheme="minorHAnsi"/>
                <w:b/>
                <w:bCs/>
              </w:rPr>
              <w:t xml:space="preserve"> put forward proposals to invest up to £25m. </w:t>
            </w:r>
          </w:p>
          <w:p w14:paraId="436E20A1" w14:textId="77777777" w:rsidR="00BA3A68" w:rsidRPr="00AF3B17" w:rsidRDefault="00BA3A68">
            <w:pPr>
              <w:rPr>
                <w:rFonts w:cstheme="minorHAnsi"/>
              </w:rPr>
            </w:pPr>
          </w:p>
        </w:tc>
      </w:tr>
      <w:tr w:rsidR="00BA3A68" w:rsidRPr="00AF3B17" w14:paraId="7649E3B6" w14:textId="77777777" w:rsidTr="00BA3A68">
        <w:tc>
          <w:tcPr>
            <w:tcW w:w="1555" w:type="dxa"/>
          </w:tcPr>
          <w:p w14:paraId="11CFD04E" w14:textId="77777777" w:rsidR="00BA3A68" w:rsidRPr="00AF3B17" w:rsidRDefault="00BA3A68">
            <w:pPr>
              <w:rPr>
                <w:rFonts w:cstheme="minorHAnsi"/>
              </w:rPr>
            </w:pPr>
            <w:r w:rsidRPr="00AF3B17">
              <w:rPr>
                <w:rFonts w:cstheme="minorHAnsi"/>
              </w:rPr>
              <w:lastRenderedPageBreak/>
              <w:t>7</w:t>
            </w:r>
          </w:p>
        </w:tc>
        <w:tc>
          <w:tcPr>
            <w:tcW w:w="5419" w:type="dxa"/>
          </w:tcPr>
          <w:p w14:paraId="6C770199" w14:textId="77777777" w:rsidR="00BA3A68" w:rsidRPr="00AF3B17" w:rsidRDefault="00BA3A68">
            <w:pPr>
              <w:rPr>
                <w:rFonts w:cstheme="minorHAnsi"/>
              </w:rPr>
            </w:pPr>
            <w:r w:rsidRPr="00AF3B17">
              <w:rPr>
                <w:rFonts w:eastAsia="Times New Roman" w:cstheme="minorHAnsi"/>
              </w:rPr>
              <w:t>Will places have had any centrally provided support, or review of progress prior to commencement of our contract in mid-January?</w:t>
            </w:r>
          </w:p>
        </w:tc>
        <w:tc>
          <w:tcPr>
            <w:tcW w:w="7055" w:type="dxa"/>
          </w:tcPr>
          <w:p w14:paraId="2C852C71" w14:textId="77777777" w:rsidR="00BA3A68" w:rsidRPr="00AF3B17" w:rsidRDefault="00BA3A68" w:rsidP="00BA3A68">
            <w:pPr>
              <w:rPr>
                <w:rFonts w:eastAsia="Times New Roman" w:cstheme="minorHAnsi"/>
              </w:rPr>
            </w:pPr>
            <w:r w:rsidRPr="00AF3B17">
              <w:rPr>
                <w:rFonts w:eastAsia="Times New Roman" w:cstheme="minorHAnsi"/>
                <w:b/>
                <w:bCs/>
              </w:rPr>
              <w:t>The Cities &amp; Local Growth Unit are already engaging with places selected from the 100.</w:t>
            </w:r>
          </w:p>
          <w:p w14:paraId="0C06A739" w14:textId="77777777" w:rsidR="00BA3A68" w:rsidRPr="00AF3B17" w:rsidRDefault="00BA3A68">
            <w:pPr>
              <w:rPr>
                <w:rFonts w:cstheme="minorHAnsi"/>
              </w:rPr>
            </w:pPr>
          </w:p>
        </w:tc>
      </w:tr>
      <w:tr w:rsidR="00BA3A68" w:rsidRPr="00AF3B17" w14:paraId="721C958C" w14:textId="77777777" w:rsidTr="00BA3A68">
        <w:tc>
          <w:tcPr>
            <w:tcW w:w="1555" w:type="dxa"/>
          </w:tcPr>
          <w:p w14:paraId="0BB1AB31" w14:textId="77777777" w:rsidR="00BA3A68" w:rsidRPr="00AF3B17" w:rsidRDefault="00BA3A68">
            <w:pPr>
              <w:rPr>
                <w:rFonts w:cstheme="minorHAnsi"/>
              </w:rPr>
            </w:pPr>
            <w:r w:rsidRPr="00AF3B17">
              <w:rPr>
                <w:rFonts w:cstheme="minorHAnsi"/>
              </w:rPr>
              <w:t>8</w:t>
            </w:r>
          </w:p>
        </w:tc>
        <w:tc>
          <w:tcPr>
            <w:tcW w:w="5419" w:type="dxa"/>
          </w:tcPr>
          <w:p w14:paraId="3A0123D5" w14:textId="77777777" w:rsidR="00BA3A68" w:rsidRPr="00AF3B17" w:rsidRDefault="00BA3A68">
            <w:pPr>
              <w:rPr>
                <w:rFonts w:cstheme="minorHAnsi"/>
              </w:rPr>
            </w:pPr>
            <w:r w:rsidRPr="00AF3B17">
              <w:rPr>
                <w:rFonts w:eastAsia="Times New Roman" w:cstheme="minorHAnsi"/>
              </w:rPr>
              <w:t xml:space="preserve">Will each place get the same amount of support (budget or consultant days) or as much as is required to achieve a vision &amp; business case of </w:t>
            </w:r>
            <w:proofErr w:type="gramStart"/>
            <w:r w:rsidRPr="00AF3B17">
              <w:rPr>
                <w:rFonts w:eastAsia="Times New Roman" w:cstheme="minorHAnsi"/>
              </w:rPr>
              <w:t>sufficient</w:t>
            </w:r>
            <w:proofErr w:type="gramEnd"/>
            <w:r w:rsidRPr="00AF3B17">
              <w:rPr>
                <w:rFonts w:eastAsia="Times New Roman" w:cstheme="minorHAnsi"/>
              </w:rPr>
              <w:t xml:space="preserve"> quality?</w:t>
            </w:r>
          </w:p>
        </w:tc>
        <w:tc>
          <w:tcPr>
            <w:tcW w:w="7055" w:type="dxa"/>
          </w:tcPr>
          <w:p w14:paraId="58C88296" w14:textId="77777777" w:rsidR="00BA3A68" w:rsidRPr="00AF3B17" w:rsidRDefault="00BA3A68" w:rsidP="00BA3A68">
            <w:pPr>
              <w:rPr>
                <w:rFonts w:eastAsia="Times New Roman" w:cstheme="minorHAnsi"/>
              </w:rPr>
            </w:pPr>
            <w:r w:rsidRPr="00AF3B17">
              <w:rPr>
                <w:rFonts w:eastAsia="Times New Roman" w:cstheme="minorHAnsi"/>
                <w:b/>
                <w:bCs/>
              </w:rPr>
              <w:t xml:space="preserve">Not clear yet - up to bidders to provide best approach. </w:t>
            </w:r>
          </w:p>
          <w:p w14:paraId="1F469706" w14:textId="77777777" w:rsidR="00BA3A68" w:rsidRPr="00AF3B17" w:rsidRDefault="00BA3A68">
            <w:pPr>
              <w:rPr>
                <w:rFonts w:cstheme="minorHAnsi"/>
              </w:rPr>
            </w:pPr>
          </w:p>
        </w:tc>
      </w:tr>
      <w:tr w:rsidR="00BA3A68" w:rsidRPr="00AF3B17" w14:paraId="043860BF" w14:textId="77777777" w:rsidTr="00BA3A68">
        <w:tc>
          <w:tcPr>
            <w:tcW w:w="1555" w:type="dxa"/>
          </w:tcPr>
          <w:p w14:paraId="4DA209EE" w14:textId="77777777" w:rsidR="00BA3A68" w:rsidRPr="00AF3B17" w:rsidRDefault="00BA3A68">
            <w:pPr>
              <w:rPr>
                <w:rFonts w:cstheme="minorHAnsi"/>
              </w:rPr>
            </w:pPr>
            <w:r w:rsidRPr="00AF3B17">
              <w:rPr>
                <w:rFonts w:cstheme="minorHAnsi"/>
              </w:rPr>
              <w:t>9</w:t>
            </w:r>
          </w:p>
        </w:tc>
        <w:tc>
          <w:tcPr>
            <w:tcW w:w="5419" w:type="dxa"/>
          </w:tcPr>
          <w:p w14:paraId="5C63C2DB" w14:textId="77777777" w:rsidR="00BA3A68" w:rsidRPr="00AF3B17" w:rsidRDefault="00BA3A68">
            <w:pPr>
              <w:rPr>
                <w:rFonts w:cstheme="minorHAnsi"/>
              </w:rPr>
            </w:pPr>
            <w:r w:rsidRPr="00AF3B17">
              <w:rPr>
                <w:rFonts w:eastAsia="Times New Roman" w:cstheme="minorHAnsi"/>
              </w:rPr>
              <w:t>Q5 asks for an indicative cost for this piece of work. Is that a cost to support all 100 places or for 1 place?</w:t>
            </w:r>
          </w:p>
        </w:tc>
        <w:tc>
          <w:tcPr>
            <w:tcW w:w="7055" w:type="dxa"/>
          </w:tcPr>
          <w:p w14:paraId="7A372BC3" w14:textId="77777777" w:rsidR="00BA3A68" w:rsidRPr="00AF3B17" w:rsidRDefault="00BA3A68" w:rsidP="00BA3A68">
            <w:pPr>
              <w:rPr>
                <w:rFonts w:eastAsia="Times New Roman" w:cstheme="minorHAnsi"/>
              </w:rPr>
            </w:pPr>
            <w:r w:rsidRPr="00AF3B17">
              <w:rPr>
                <w:rFonts w:eastAsia="Times New Roman" w:cstheme="minorHAnsi"/>
                <w:b/>
                <w:bCs/>
              </w:rPr>
              <w:t>We would like both.</w:t>
            </w:r>
          </w:p>
          <w:p w14:paraId="3196E0BC" w14:textId="77777777" w:rsidR="00BA3A68" w:rsidRPr="00AF3B17" w:rsidRDefault="00BA3A68">
            <w:pPr>
              <w:rPr>
                <w:rFonts w:cstheme="minorHAnsi"/>
              </w:rPr>
            </w:pPr>
          </w:p>
        </w:tc>
      </w:tr>
      <w:tr w:rsidR="00BA3A68" w:rsidRPr="00AF3B17" w14:paraId="1EB0E711" w14:textId="77777777" w:rsidTr="00BA3A68">
        <w:tc>
          <w:tcPr>
            <w:tcW w:w="1555" w:type="dxa"/>
          </w:tcPr>
          <w:p w14:paraId="01E427B4" w14:textId="77777777" w:rsidR="00BA3A68" w:rsidRPr="00AF3B17" w:rsidRDefault="00BA3A68">
            <w:pPr>
              <w:rPr>
                <w:rFonts w:cstheme="minorHAnsi"/>
              </w:rPr>
            </w:pPr>
            <w:r w:rsidRPr="00AF3B17">
              <w:rPr>
                <w:rFonts w:cstheme="minorHAnsi"/>
              </w:rPr>
              <w:t>10</w:t>
            </w:r>
          </w:p>
        </w:tc>
        <w:tc>
          <w:tcPr>
            <w:tcW w:w="5419" w:type="dxa"/>
          </w:tcPr>
          <w:p w14:paraId="28D3CD3A" w14:textId="77777777" w:rsidR="00BA3A68" w:rsidRPr="00AF3B17" w:rsidRDefault="00BA3A68" w:rsidP="00BA3A68">
            <w:pPr>
              <w:spacing w:after="120"/>
              <w:jc w:val="both"/>
              <w:rPr>
                <w:rFonts w:cstheme="minorHAnsi"/>
              </w:rPr>
            </w:pPr>
            <w:r w:rsidRPr="00AF3B17">
              <w:rPr>
                <w:rFonts w:cstheme="minorHAnsi"/>
              </w:rPr>
              <w:t>Would you be interested in bidding for this project and are you on a supplier under the CCS RM3745 Management Consultancy Framework, Lot 5 and/or the CCS RM6018 Management Consultancy Framework Two, Lot 4</w:t>
            </w:r>
            <w:r w:rsidRPr="00AF3B17">
              <w:rPr>
                <w:rFonts w:cstheme="minorHAnsi"/>
              </w:rPr>
              <w:t xml:space="preserve">. </w:t>
            </w:r>
            <w:r w:rsidRPr="00AF3B17">
              <w:rPr>
                <w:rFonts w:cstheme="minorHAnsi"/>
              </w:rPr>
              <w:t xml:space="preserve"> </w:t>
            </w:r>
          </w:p>
          <w:p w14:paraId="607503AF" w14:textId="77777777" w:rsidR="00BA3A68" w:rsidRPr="00AF3B17" w:rsidRDefault="00BA3A68" w:rsidP="00BA3A68">
            <w:pPr>
              <w:spacing w:after="120"/>
              <w:jc w:val="both"/>
              <w:rPr>
                <w:rFonts w:cstheme="minorHAnsi"/>
              </w:rPr>
            </w:pPr>
            <w:r w:rsidRPr="00AF3B17">
              <w:rPr>
                <w:rFonts w:cstheme="minorHAnsi"/>
              </w:rPr>
              <w:t xml:space="preserve">Our understanding is that RM6018 is the Research Marketplace framework and doesn’t have any lots – is that what you mean? </w:t>
            </w:r>
            <w:proofErr w:type="gramStart"/>
            <w:r w:rsidRPr="00AF3B17">
              <w:rPr>
                <w:rFonts w:cstheme="minorHAnsi"/>
              </w:rPr>
              <w:t>Also</w:t>
            </w:r>
            <w:proofErr w:type="gramEnd"/>
            <w:r w:rsidRPr="00AF3B17">
              <w:rPr>
                <w:rFonts w:cstheme="minorHAnsi"/>
              </w:rPr>
              <w:t xml:space="preserve"> the RM3745 Lot 5 is Health &amp; Community, it may also be useful to use Lot 7 Infrastructure on this framework – as this includes planning strategies, sector reviews and demographics. </w:t>
            </w:r>
          </w:p>
          <w:p w14:paraId="041B4AB6" w14:textId="77777777" w:rsidR="00BA3A68" w:rsidRPr="00AF3B17" w:rsidRDefault="00BA3A68">
            <w:pPr>
              <w:rPr>
                <w:rFonts w:cstheme="minorHAnsi"/>
              </w:rPr>
            </w:pPr>
          </w:p>
        </w:tc>
        <w:tc>
          <w:tcPr>
            <w:tcW w:w="7055" w:type="dxa"/>
          </w:tcPr>
          <w:p w14:paraId="260DDE71" w14:textId="77777777" w:rsidR="00BA3A68" w:rsidRPr="00AF3B17" w:rsidRDefault="00BA3A68" w:rsidP="00BA3A68">
            <w:pPr>
              <w:spacing w:after="120"/>
              <w:jc w:val="both"/>
              <w:rPr>
                <w:rFonts w:cstheme="minorHAnsi"/>
                <w:b/>
              </w:rPr>
            </w:pPr>
            <w:r w:rsidRPr="00AF3B17">
              <w:rPr>
                <w:rFonts w:cstheme="minorHAnsi"/>
                <w:b/>
              </w:rPr>
              <w:t>To be clear – this work will not be called off against the Research marketplace. It wi</w:t>
            </w:r>
            <w:bookmarkStart w:id="0" w:name="_GoBack"/>
            <w:bookmarkEnd w:id="0"/>
            <w:r w:rsidRPr="00AF3B17">
              <w:rPr>
                <w:rFonts w:cstheme="minorHAnsi"/>
                <w:b/>
              </w:rPr>
              <w:t>ll be called off using either of the Management Consultancy frameworks -</w:t>
            </w:r>
            <w:r w:rsidR="00AF3B17">
              <w:rPr>
                <w:rFonts w:cstheme="minorHAnsi"/>
                <w:b/>
              </w:rPr>
              <w:t xml:space="preserve"> </w:t>
            </w:r>
            <w:r w:rsidRPr="00AF3B17">
              <w:rPr>
                <w:rFonts w:cstheme="minorHAnsi"/>
                <w:b/>
              </w:rPr>
              <w:t>CCS RM3745 Management Consultancy Framework, Lot 5 and/or the CCS RM60</w:t>
            </w:r>
            <w:r w:rsidRPr="00AF3B17">
              <w:rPr>
                <w:rFonts w:cstheme="minorHAnsi"/>
                <w:b/>
              </w:rPr>
              <w:t>0</w:t>
            </w:r>
            <w:r w:rsidRPr="00AF3B17">
              <w:rPr>
                <w:rFonts w:cstheme="minorHAnsi"/>
                <w:b/>
              </w:rPr>
              <w:t xml:space="preserve">8 Management Consultancy Framework Two, Lot 4.  </w:t>
            </w:r>
            <w:r w:rsidR="00AF3B17" w:rsidRPr="00AF3B17">
              <w:rPr>
                <w:rFonts w:cstheme="minorHAnsi"/>
                <w:b/>
              </w:rPr>
              <w:t xml:space="preserve">However, no final decision has been made </w:t>
            </w:r>
            <w:r w:rsidR="00AF3B17">
              <w:rPr>
                <w:rFonts w:cstheme="minorHAnsi"/>
                <w:b/>
              </w:rPr>
              <w:t xml:space="preserve">at present </w:t>
            </w:r>
            <w:r w:rsidR="00AF3B17" w:rsidRPr="00AF3B17">
              <w:rPr>
                <w:rFonts w:cstheme="minorHAnsi"/>
                <w:b/>
              </w:rPr>
              <w:t xml:space="preserve">on which Lots or which framework will be used. </w:t>
            </w:r>
          </w:p>
          <w:p w14:paraId="7D1B62F9" w14:textId="77777777" w:rsidR="00BA3A68" w:rsidRPr="00AF3B17" w:rsidRDefault="00BA3A68">
            <w:pPr>
              <w:rPr>
                <w:rFonts w:cstheme="minorHAnsi"/>
                <w:b/>
              </w:rPr>
            </w:pPr>
          </w:p>
        </w:tc>
      </w:tr>
      <w:tr w:rsidR="00BA3A68" w:rsidRPr="00AF3B17" w14:paraId="23F1D02A" w14:textId="77777777" w:rsidTr="00BA3A68">
        <w:tc>
          <w:tcPr>
            <w:tcW w:w="1555" w:type="dxa"/>
          </w:tcPr>
          <w:p w14:paraId="039D2D5A" w14:textId="77777777" w:rsidR="00BA3A68" w:rsidRPr="00AF3B17" w:rsidRDefault="00BA3A68">
            <w:pPr>
              <w:rPr>
                <w:rFonts w:cstheme="minorHAnsi"/>
              </w:rPr>
            </w:pPr>
          </w:p>
        </w:tc>
        <w:tc>
          <w:tcPr>
            <w:tcW w:w="5419" w:type="dxa"/>
          </w:tcPr>
          <w:p w14:paraId="3FE195AF" w14:textId="77777777" w:rsidR="00BA3A68" w:rsidRPr="00AF3B17" w:rsidRDefault="00BA3A68">
            <w:pPr>
              <w:rPr>
                <w:rFonts w:cstheme="minorHAnsi"/>
              </w:rPr>
            </w:pPr>
          </w:p>
        </w:tc>
        <w:tc>
          <w:tcPr>
            <w:tcW w:w="7055" w:type="dxa"/>
          </w:tcPr>
          <w:p w14:paraId="4C38390F" w14:textId="77777777" w:rsidR="00BA3A68" w:rsidRPr="00AF3B17" w:rsidRDefault="00BA3A68">
            <w:pPr>
              <w:rPr>
                <w:rFonts w:cstheme="minorHAnsi"/>
              </w:rPr>
            </w:pPr>
          </w:p>
        </w:tc>
      </w:tr>
    </w:tbl>
    <w:p w14:paraId="0ECB9B53" w14:textId="77777777" w:rsidR="00BA3A68" w:rsidRPr="00AF3B17" w:rsidRDefault="00BA3A68">
      <w:pPr>
        <w:rPr>
          <w:rFonts w:cstheme="minorHAnsi"/>
        </w:rPr>
      </w:pPr>
    </w:p>
    <w:p w14:paraId="34127E3E" w14:textId="77777777" w:rsidR="00BA3A68" w:rsidRPr="00AF3B17" w:rsidRDefault="00BA3A68">
      <w:pPr>
        <w:rPr>
          <w:rFonts w:cstheme="minorHAnsi"/>
        </w:rPr>
      </w:pPr>
    </w:p>
    <w:p w14:paraId="4481E81D" w14:textId="77777777" w:rsidR="00BA3A68" w:rsidRPr="00AF3B17" w:rsidRDefault="00BA3A68">
      <w:pPr>
        <w:rPr>
          <w:rFonts w:cstheme="minorHAnsi"/>
        </w:rPr>
      </w:pPr>
    </w:p>
    <w:p w14:paraId="46B28756" w14:textId="77777777" w:rsidR="00BA3A68" w:rsidRPr="00AF3B17" w:rsidRDefault="00BA3A68">
      <w:pPr>
        <w:rPr>
          <w:rFonts w:cstheme="minorHAnsi"/>
        </w:rPr>
      </w:pPr>
    </w:p>
    <w:p w14:paraId="49FED02C" w14:textId="77777777" w:rsidR="00BA3A68" w:rsidRDefault="00BA3A68"/>
    <w:p w14:paraId="4F851155" w14:textId="77777777" w:rsidR="00BA3A68" w:rsidRDefault="00BA3A68"/>
    <w:p w14:paraId="3EF6D28E" w14:textId="77777777" w:rsidR="00BA3A68" w:rsidRDefault="00BA3A68"/>
    <w:p w14:paraId="1DF861E9" w14:textId="77777777" w:rsidR="00BA3A68" w:rsidRDefault="00BA3A68"/>
    <w:p w14:paraId="5CD0F6B1" w14:textId="77777777" w:rsidR="00BA3A68" w:rsidRDefault="00BA3A68"/>
    <w:p w14:paraId="5794D657" w14:textId="77777777" w:rsidR="00BA3A68" w:rsidRDefault="00BA3A68"/>
    <w:p w14:paraId="03EFB2FB" w14:textId="77777777" w:rsidR="00BA3A68" w:rsidRDefault="00BA3A68"/>
    <w:p w14:paraId="1DB205D3" w14:textId="77777777" w:rsidR="00BA3A68" w:rsidRDefault="00BA3A68"/>
    <w:p w14:paraId="519643CC" w14:textId="77777777" w:rsidR="00BA3A68" w:rsidRDefault="00BA3A68"/>
    <w:p w14:paraId="0CB3C247" w14:textId="77777777" w:rsidR="00BA3A68" w:rsidRDefault="00BA3A68"/>
    <w:p w14:paraId="6730D71C" w14:textId="77777777" w:rsidR="00BA3A68" w:rsidRDefault="00BA3A68"/>
    <w:p w14:paraId="57B94BA6" w14:textId="77777777" w:rsidR="00BA3A68" w:rsidRDefault="00BA3A68"/>
    <w:p w14:paraId="7A981085" w14:textId="77777777" w:rsidR="00BA3A68" w:rsidRDefault="00BA3A68"/>
    <w:p w14:paraId="36BEA9C4" w14:textId="77777777" w:rsidR="00BA3A68" w:rsidRDefault="00BA3A68"/>
    <w:sectPr w:rsidR="00BA3A68" w:rsidSect="00BA3A68">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B13EA" w14:textId="77777777" w:rsidR="00BA3A68" w:rsidRDefault="00BA3A68" w:rsidP="00BA3A68">
      <w:pPr>
        <w:spacing w:after="0" w:line="240" w:lineRule="auto"/>
      </w:pPr>
      <w:r>
        <w:separator/>
      </w:r>
    </w:p>
  </w:endnote>
  <w:endnote w:type="continuationSeparator" w:id="0">
    <w:p w14:paraId="144CE310" w14:textId="77777777" w:rsidR="00BA3A68" w:rsidRDefault="00BA3A68" w:rsidP="00BA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8415A" w14:textId="77777777" w:rsidR="00BA3A68" w:rsidRDefault="00BA3A68" w:rsidP="00BA3A68">
      <w:pPr>
        <w:spacing w:after="0" w:line="240" w:lineRule="auto"/>
      </w:pPr>
      <w:r>
        <w:separator/>
      </w:r>
    </w:p>
  </w:footnote>
  <w:footnote w:type="continuationSeparator" w:id="0">
    <w:p w14:paraId="65E3C2B2" w14:textId="77777777" w:rsidR="00BA3A68" w:rsidRDefault="00BA3A68" w:rsidP="00BA3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46B5D" w14:textId="77777777" w:rsidR="00BA3A68" w:rsidRDefault="00BA3A68">
    <w:pPr>
      <w:pStyle w:val="Header"/>
    </w:pPr>
    <w:r>
      <w:rPr>
        <w:noProof/>
      </w:rPr>
      <w:drawing>
        <wp:inline distT="0" distB="0" distL="0" distR="0" wp14:anchorId="36E589F8" wp14:editId="1EEACF3B">
          <wp:extent cx="1595832" cy="8286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CLG-logo.png"/>
                  <pic:cNvPicPr/>
                </pic:nvPicPr>
                <pic:blipFill>
                  <a:blip r:embed="rId1">
                    <a:extLst>
                      <a:ext uri="{28A0092B-C50C-407E-A947-70E740481C1C}">
                        <a14:useLocalDpi xmlns:a14="http://schemas.microsoft.com/office/drawing/2010/main" val="0"/>
                      </a:ext>
                    </a:extLst>
                  </a:blip>
                  <a:stretch>
                    <a:fillRect/>
                  </a:stretch>
                </pic:blipFill>
                <pic:spPr>
                  <a:xfrm>
                    <a:off x="0" y="0"/>
                    <a:ext cx="1597940" cy="829770"/>
                  </a:xfrm>
                  <a:prstGeom prst="rect">
                    <a:avLst/>
                  </a:prstGeom>
                </pic:spPr>
              </pic:pic>
            </a:graphicData>
          </a:graphic>
        </wp:inline>
      </w:drawing>
    </w:r>
  </w:p>
  <w:p w14:paraId="0A77A9D4" w14:textId="77777777" w:rsidR="00BA3A68" w:rsidRDefault="00BA3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80419"/>
    <w:multiLevelType w:val="hybridMultilevel"/>
    <w:tmpl w:val="3D7AD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6C23C88"/>
    <w:multiLevelType w:val="hybridMultilevel"/>
    <w:tmpl w:val="3D7AD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68"/>
    <w:rsid w:val="00AF3B17"/>
    <w:rsid w:val="00BA3A68"/>
    <w:rsid w:val="00DC1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8258"/>
  <w15:chartTrackingRefBased/>
  <w15:docId w15:val="{10008613-EC66-4D33-8521-1663511C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A68"/>
  </w:style>
  <w:style w:type="paragraph" w:styleId="Footer">
    <w:name w:val="footer"/>
    <w:basedOn w:val="Normal"/>
    <w:link w:val="FooterChar"/>
    <w:uiPriority w:val="99"/>
    <w:unhideWhenUsed/>
    <w:rsid w:val="00BA3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A68"/>
  </w:style>
  <w:style w:type="paragraph" w:styleId="ListParagraph">
    <w:name w:val="List Paragraph"/>
    <w:basedOn w:val="Normal"/>
    <w:uiPriority w:val="34"/>
    <w:qFormat/>
    <w:rsid w:val="00BA3A68"/>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BA3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A68"/>
    <w:rPr>
      <w:rFonts w:ascii="Segoe UI" w:hAnsi="Segoe UI" w:cs="Segoe UI"/>
      <w:sz w:val="18"/>
      <w:szCs w:val="18"/>
    </w:rPr>
  </w:style>
  <w:style w:type="table" w:styleId="TableGrid">
    <w:name w:val="Table Grid"/>
    <w:basedOn w:val="TableNormal"/>
    <w:uiPriority w:val="39"/>
    <w:rsid w:val="00BA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345422">
      <w:bodyDiv w:val="1"/>
      <w:marLeft w:val="0"/>
      <w:marRight w:val="0"/>
      <w:marTop w:val="0"/>
      <w:marBottom w:val="0"/>
      <w:divBdr>
        <w:top w:val="none" w:sz="0" w:space="0" w:color="auto"/>
        <w:left w:val="none" w:sz="0" w:space="0" w:color="auto"/>
        <w:bottom w:val="none" w:sz="0" w:space="0" w:color="auto"/>
        <w:right w:val="none" w:sz="0" w:space="0" w:color="auto"/>
      </w:divBdr>
    </w:div>
    <w:div w:id="14798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3" ma:contentTypeDescription="Create a new document." ma:contentTypeScope="" ma:versionID="c73e085907bce69a12919eb354d3534d">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02ac7bcd50457ee76cb134c1ebf12827"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E0B8F6D-D439-41C1-8A41-6DA8EE70B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22F70-0FF3-479D-8B70-A934783A2F45}">
  <ds:schemaRefs>
    <ds:schemaRef ds:uri="http://schemas.microsoft.com/sharepoint/v3/contenttype/forms"/>
  </ds:schemaRefs>
</ds:datastoreItem>
</file>

<file path=customXml/itemProps3.xml><?xml version="1.0" encoding="utf-8"?>
<ds:datastoreItem xmlns:ds="http://schemas.openxmlformats.org/officeDocument/2006/customXml" ds:itemID="{7EA7CC0F-3DE6-4A3C-8F19-0E3894FB53AE}">
  <ds:schemaRefs>
    <ds:schemaRef ds:uri="http://schemas.microsoft.com/office/2006/documentManagement/types"/>
    <ds:schemaRef ds:uri="http://schemas.openxmlformats.org/package/2006/metadata/core-properties"/>
    <ds:schemaRef ds:uri="http://purl.org/dc/elements/1.1/"/>
    <ds:schemaRef ds:uri="63fd57c9-5291-4ee5-b3d3-37b4b570c278"/>
    <ds:schemaRef ds:uri="http://schemas.microsoft.com/office/infopath/2007/PartnerControls"/>
    <ds:schemaRef ds:uri="3fa4860e-4e84-4984-b511-cb934d7752ca"/>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Froud</dc:creator>
  <cp:keywords/>
  <dc:description/>
  <cp:lastModifiedBy>Mark Froud</cp:lastModifiedBy>
  <cp:revision>1</cp:revision>
  <dcterms:created xsi:type="dcterms:W3CDTF">2019-10-02T11:35:00Z</dcterms:created>
  <dcterms:modified xsi:type="dcterms:W3CDTF">2019-10-02T11:48:00Z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0x010100ECCB7E1F660E4D499F35AD51896216AD</vt:lpwstr>
  </property>
</Properties>
</file>