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8849A"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44687C01" wp14:editId="776A08D4">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3F02C" w14:textId="77777777" w:rsidR="008D7A7D" w:rsidRPr="0093723A" w:rsidRDefault="008D7A7D" w:rsidP="00E65F5D">
      <w:pPr>
        <w:rPr>
          <w:rFonts w:ascii="Arial" w:hAnsi="Arial" w:cs="Arial"/>
          <w:szCs w:val="22"/>
        </w:rPr>
      </w:pPr>
    </w:p>
    <w:p w14:paraId="067194F1" w14:textId="77777777" w:rsidR="00031189" w:rsidRPr="0093723A" w:rsidRDefault="00031189" w:rsidP="00E65F5D">
      <w:pPr>
        <w:jc w:val="both"/>
        <w:rPr>
          <w:rFonts w:ascii="Arial" w:hAnsi="Arial" w:cs="Arial"/>
          <w:szCs w:val="22"/>
        </w:rPr>
      </w:pPr>
    </w:p>
    <w:p w14:paraId="4E6B8391" w14:textId="77777777" w:rsidR="00031189" w:rsidRPr="0093723A" w:rsidRDefault="00031189" w:rsidP="00E65F5D">
      <w:pPr>
        <w:jc w:val="both"/>
        <w:rPr>
          <w:rFonts w:ascii="Arial" w:hAnsi="Arial" w:cs="Arial"/>
          <w:szCs w:val="22"/>
        </w:rPr>
      </w:pPr>
    </w:p>
    <w:p w14:paraId="0DA33D5A" w14:textId="77777777" w:rsidR="00031189" w:rsidRPr="0093723A" w:rsidRDefault="00031189" w:rsidP="00E65F5D">
      <w:pPr>
        <w:jc w:val="both"/>
        <w:rPr>
          <w:rFonts w:ascii="Arial" w:hAnsi="Arial" w:cs="Arial"/>
          <w:szCs w:val="22"/>
        </w:rPr>
      </w:pPr>
    </w:p>
    <w:p w14:paraId="4A7559D8" w14:textId="77777777" w:rsidR="00031189" w:rsidRPr="0093723A" w:rsidRDefault="00031189" w:rsidP="00E65F5D">
      <w:pPr>
        <w:jc w:val="both"/>
        <w:rPr>
          <w:rFonts w:ascii="Arial" w:hAnsi="Arial" w:cs="Arial"/>
          <w:szCs w:val="22"/>
        </w:rPr>
      </w:pPr>
    </w:p>
    <w:p w14:paraId="13049D7F" w14:textId="77777777" w:rsidR="00031189" w:rsidRPr="0093723A" w:rsidRDefault="00031189" w:rsidP="00E65F5D">
      <w:pPr>
        <w:jc w:val="both"/>
        <w:rPr>
          <w:rFonts w:ascii="Arial" w:hAnsi="Arial" w:cs="Arial"/>
          <w:szCs w:val="22"/>
        </w:rPr>
      </w:pPr>
    </w:p>
    <w:p w14:paraId="331AC570" w14:textId="77777777" w:rsidR="000A352F" w:rsidRPr="0093723A" w:rsidRDefault="000A352F" w:rsidP="00E65F5D">
      <w:pPr>
        <w:jc w:val="both"/>
        <w:rPr>
          <w:rFonts w:ascii="Arial" w:hAnsi="Arial" w:cs="Arial"/>
          <w:szCs w:val="22"/>
        </w:rPr>
      </w:pPr>
    </w:p>
    <w:p w14:paraId="25152B49" w14:textId="77777777" w:rsidR="008113C3" w:rsidRPr="0093723A" w:rsidRDefault="008113C3" w:rsidP="00E65F5D">
      <w:pPr>
        <w:jc w:val="both"/>
        <w:rPr>
          <w:rFonts w:ascii="Arial" w:hAnsi="Arial" w:cs="Arial"/>
          <w:szCs w:val="22"/>
        </w:rPr>
      </w:pPr>
    </w:p>
    <w:p w14:paraId="382A61F1" w14:textId="77777777" w:rsidR="008113C3" w:rsidRPr="00CF7FF3" w:rsidRDefault="008113C3" w:rsidP="00E65F5D">
      <w:pPr>
        <w:jc w:val="both"/>
        <w:rPr>
          <w:rFonts w:ascii="Arial" w:hAnsi="Arial" w:cs="Arial"/>
          <w:szCs w:val="22"/>
        </w:rPr>
      </w:pPr>
    </w:p>
    <w:p w14:paraId="4CFC2CE6" w14:textId="31A75288" w:rsidR="00031189" w:rsidRPr="009E5ECA" w:rsidRDefault="00031189" w:rsidP="00E65F5D">
      <w:pPr>
        <w:jc w:val="both"/>
        <w:rPr>
          <w:rFonts w:ascii="Arial" w:hAnsi="Arial" w:cs="Arial"/>
          <w:i/>
          <w:szCs w:val="22"/>
        </w:rPr>
      </w:pPr>
      <w:r w:rsidRPr="009E5ECA">
        <w:rPr>
          <w:rFonts w:ascii="Arial" w:hAnsi="Arial" w:cs="Arial"/>
          <w:szCs w:val="22"/>
        </w:rPr>
        <w:t>Our Ref:</w:t>
      </w:r>
      <w:r w:rsidRPr="009E5ECA">
        <w:rPr>
          <w:rFonts w:ascii="Arial" w:hAnsi="Arial" w:cs="Arial"/>
          <w:szCs w:val="22"/>
        </w:rPr>
        <w:tab/>
      </w:r>
    </w:p>
    <w:p w14:paraId="01533EF0" w14:textId="77777777" w:rsidR="00031189" w:rsidRPr="009E5ECA" w:rsidRDefault="00031189" w:rsidP="00E65F5D">
      <w:pPr>
        <w:jc w:val="both"/>
        <w:rPr>
          <w:rFonts w:ascii="Arial" w:hAnsi="Arial" w:cs="Arial"/>
          <w:szCs w:val="22"/>
        </w:rPr>
      </w:pPr>
      <w:r w:rsidRPr="009E5ECA">
        <w:rPr>
          <w:rFonts w:ascii="Arial" w:hAnsi="Arial" w:cs="Arial"/>
          <w:szCs w:val="22"/>
        </w:rPr>
        <w:t>Your Ref:</w:t>
      </w:r>
      <w:r w:rsidRPr="009E5ECA">
        <w:rPr>
          <w:rFonts w:ascii="Arial" w:hAnsi="Arial" w:cs="Arial"/>
          <w:szCs w:val="22"/>
        </w:rPr>
        <w:tab/>
      </w:r>
    </w:p>
    <w:p w14:paraId="71A22652" w14:textId="77777777" w:rsidR="00031189" w:rsidRPr="009E5ECA" w:rsidRDefault="00031189" w:rsidP="00E65F5D">
      <w:pPr>
        <w:jc w:val="both"/>
        <w:rPr>
          <w:rFonts w:ascii="Arial" w:hAnsi="Arial" w:cs="Arial"/>
          <w:szCs w:val="22"/>
        </w:rPr>
      </w:pPr>
    </w:p>
    <w:p w14:paraId="74A50D46" w14:textId="5E779686" w:rsidR="00031189" w:rsidRPr="009E5ECA" w:rsidRDefault="00031189" w:rsidP="00E65F5D">
      <w:pPr>
        <w:jc w:val="both"/>
        <w:rPr>
          <w:rFonts w:ascii="Arial" w:hAnsi="Arial" w:cs="Arial"/>
          <w:szCs w:val="22"/>
        </w:rPr>
      </w:pPr>
      <w:r w:rsidRPr="009E5ECA">
        <w:rPr>
          <w:rFonts w:ascii="Arial" w:hAnsi="Arial" w:cs="Arial"/>
          <w:szCs w:val="22"/>
        </w:rPr>
        <w:t>Date:</w:t>
      </w:r>
      <w:r w:rsidRPr="009E5ECA">
        <w:rPr>
          <w:rFonts w:ascii="Arial" w:hAnsi="Arial" w:cs="Arial"/>
          <w:szCs w:val="22"/>
        </w:rPr>
        <w:tab/>
      </w:r>
      <w:r w:rsidR="00C8710D" w:rsidRPr="009E5ECA">
        <w:rPr>
          <w:rFonts w:ascii="Arial" w:hAnsi="Arial" w:cs="Arial"/>
          <w:szCs w:val="22"/>
        </w:rPr>
        <w:t>16</w:t>
      </w:r>
      <w:r w:rsidR="00494DB0" w:rsidRPr="009E5ECA">
        <w:rPr>
          <w:rFonts w:ascii="Arial" w:hAnsi="Arial" w:cs="Arial"/>
          <w:szCs w:val="22"/>
        </w:rPr>
        <w:t>/</w:t>
      </w:r>
      <w:r w:rsidR="00C8710D" w:rsidRPr="009E5ECA">
        <w:rPr>
          <w:rFonts w:ascii="Arial" w:hAnsi="Arial" w:cs="Arial"/>
          <w:szCs w:val="22"/>
        </w:rPr>
        <w:t>10</w:t>
      </w:r>
      <w:r w:rsidR="00494DB0" w:rsidRPr="009E5ECA">
        <w:rPr>
          <w:rFonts w:ascii="Arial" w:hAnsi="Arial" w:cs="Arial"/>
          <w:szCs w:val="22"/>
        </w:rPr>
        <w:t>/202</w:t>
      </w:r>
      <w:r w:rsidR="00C8710D" w:rsidRPr="009E5ECA">
        <w:rPr>
          <w:rFonts w:ascii="Arial" w:hAnsi="Arial" w:cs="Arial"/>
          <w:szCs w:val="22"/>
        </w:rPr>
        <w:t>4</w:t>
      </w:r>
    </w:p>
    <w:p w14:paraId="7AFB3AF9" w14:textId="77777777" w:rsidR="00031189" w:rsidRPr="009E5ECA" w:rsidRDefault="00031189" w:rsidP="00E65F5D">
      <w:pPr>
        <w:jc w:val="both"/>
        <w:rPr>
          <w:rFonts w:ascii="Arial" w:hAnsi="Arial" w:cs="Arial"/>
          <w:szCs w:val="22"/>
        </w:rPr>
      </w:pPr>
    </w:p>
    <w:p w14:paraId="13126F1A" w14:textId="77777777" w:rsidR="00031189" w:rsidRPr="009E5ECA" w:rsidRDefault="00031189" w:rsidP="00E65F5D">
      <w:pPr>
        <w:jc w:val="both"/>
        <w:rPr>
          <w:rFonts w:ascii="Arial" w:hAnsi="Arial" w:cs="Arial"/>
          <w:szCs w:val="22"/>
        </w:rPr>
      </w:pPr>
    </w:p>
    <w:p w14:paraId="453CE9AC" w14:textId="77777777" w:rsidR="00031189" w:rsidRPr="009E5ECA" w:rsidRDefault="00AB6556" w:rsidP="00E65F5D">
      <w:pPr>
        <w:jc w:val="both"/>
        <w:rPr>
          <w:rFonts w:ascii="Arial" w:hAnsi="Arial" w:cs="Arial"/>
          <w:szCs w:val="22"/>
        </w:rPr>
      </w:pPr>
      <w:r w:rsidRPr="009E5ECA">
        <w:rPr>
          <w:rFonts w:ascii="Arial" w:hAnsi="Arial" w:cs="Arial"/>
          <w:szCs w:val="22"/>
        </w:rPr>
        <w:t xml:space="preserve">Dear </w:t>
      </w:r>
      <w:r w:rsidR="00C87B46" w:rsidRPr="009E5ECA">
        <w:rPr>
          <w:rFonts w:ascii="Arial" w:hAnsi="Arial" w:cs="Arial"/>
          <w:szCs w:val="22"/>
        </w:rPr>
        <w:t>Sirs/Madams</w:t>
      </w:r>
      <w:r w:rsidR="00031189" w:rsidRPr="009E5ECA">
        <w:rPr>
          <w:rFonts w:ascii="Arial" w:hAnsi="Arial" w:cs="Arial"/>
          <w:szCs w:val="22"/>
        </w:rPr>
        <w:t>,</w:t>
      </w:r>
    </w:p>
    <w:p w14:paraId="4CDD5249" w14:textId="77777777" w:rsidR="00031189" w:rsidRPr="009E5ECA" w:rsidRDefault="00031189" w:rsidP="00E65F5D">
      <w:pPr>
        <w:jc w:val="both"/>
        <w:rPr>
          <w:rFonts w:ascii="Arial" w:hAnsi="Arial" w:cs="Arial"/>
          <w:szCs w:val="22"/>
        </w:rPr>
      </w:pPr>
    </w:p>
    <w:p w14:paraId="61AA9C73" w14:textId="77777777" w:rsidR="00031189" w:rsidRPr="009E5ECA" w:rsidRDefault="000878DD" w:rsidP="00E65F5D">
      <w:pPr>
        <w:jc w:val="both"/>
        <w:rPr>
          <w:rFonts w:ascii="Arial" w:hAnsi="Arial" w:cs="Arial"/>
          <w:b/>
          <w:szCs w:val="22"/>
        </w:rPr>
      </w:pPr>
      <w:r w:rsidRPr="009E5ECA">
        <w:rPr>
          <w:rFonts w:ascii="Arial" w:hAnsi="Arial" w:cs="Arial"/>
          <w:b/>
          <w:szCs w:val="22"/>
        </w:rPr>
        <w:t xml:space="preserve">Contract </w:t>
      </w:r>
      <w:r w:rsidR="00031189" w:rsidRPr="009E5ECA">
        <w:rPr>
          <w:rFonts w:ascii="Arial" w:hAnsi="Arial" w:cs="Arial"/>
          <w:b/>
          <w:szCs w:val="22"/>
        </w:rPr>
        <w:t>Ref:</w:t>
      </w:r>
      <w:r w:rsidR="00031189" w:rsidRPr="009E5ECA">
        <w:rPr>
          <w:rFonts w:ascii="Arial" w:hAnsi="Arial" w:cs="Arial"/>
          <w:b/>
          <w:szCs w:val="22"/>
        </w:rPr>
        <w:tab/>
      </w:r>
      <w:r w:rsidR="00494DB0" w:rsidRPr="009E5ECA">
        <w:rPr>
          <w:rFonts w:ascii="Arial" w:hAnsi="Arial" w:cs="Arial"/>
          <w:b/>
          <w:szCs w:val="22"/>
        </w:rPr>
        <w:t>SC210001</w:t>
      </w:r>
    </w:p>
    <w:p w14:paraId="6940D120" w14:textId="77777777" w:rsidR="00031189" w:rsidRPr="009E5ECA" w:rsidRDefault="000878DD" w:rsidP="002527BE">
      <w:pPr>
        <w:rPr>
          <w:rFonts w:ascii="Arial" w:hAnsi="Arial" w:cs="Arial"/>
          <w:b/>
          <w:szCs w:val="22"/>
        </w:rPr>
      </w:pPr>
      <w:r w:rsidRPr="009E5ECA">
        <w:rPr>
          <w:rFonts w:ascii="Arial" w:hAnsi="Arial" w:cs="Arial"/>
          <w:b/>
          <w:szCs w:val="22"/>
        </w:rPr>
        <w:t xml:space="preserve">Contract </w:t>
      </w:r>
      <w:r w:rsidR="00031189" w:rsidRPr="009E5ECA">
        <w:rPr>
          <w:rFonts w:ascii="Arial" w:hAnsi="Arial" w:cs="Arial"/>
          <w:b/>
          <w:szCs w:val="22"/>
        </w:rPr>
        <w:t>Title:</w:t>
      </w:r>
      <w:r w:rsidR="00031189" w:rsidRPr="009E5ECA">
        <w:rPr>
          <w:rFonts w:ascii="Arial" w:hAnsi="Arial" w:cs="Arial"/>
          <w:b/>
          <w:szCs w:val="22"/>
        </w:rPr>
        <w:tab/>
      </w:r>
      <w:r w:rsidR="00494DB0" w:rsidRPr="009E5ECA">
        <w:rPr>
          <w:rFonts w:ascii="Arial" w:hAnsi="Arial" w:cs="Arial"/>
          <w:b/>
          <w:szCs w:val="22"/>
        </w:rPr>
        <w:t>Toxicological advice on air pollutants</w:t>
      </w:r>
    </w:p>
    <w:p w14:paraId="76A3A14C" w14:textId="77777777" w:rsidR="00031189" w:rsidRPr="009E5ECA" w:rsidRDefault="00031189" w:rsidP="00E65F5D">
      <w:pPr>
        <w:ind w:left="720" w:hanging="720"/>
        <w:jc w:val="both"/>
        <w:rPr>
          <w:rFonts w:ascii="Arial" w:hAnsi="Arial" w:cs="Arial"/>
          <w:szCs w:val="22"/>
        </w:rPr>
      </w:pPr>
    </w:p>
    <w:p w14:paraId="7E6FD74B" w14:textId="77777777" w:rsidR="00031189" w:rsidRPr="009E5ECA" w:rsidRDefault="00031189" w:rsidP="00E65F5D">
      <w:pPr>
        <w:rPr>
          <w:rFonts w:ascii="Arial" w:hAnsi="Arial" w:cs="Arial"/>
          <w:szCs w:val="22"/>
        </w:rPr>
      </w:pPr>
      <w:r w:rsidRPr="009E5ECA">
        <w:rPr>
          <w:rFonts w:ascii="Arial" w:hAnsi="Arial" w:cs="Arial"/>
          <w:szCs w:val="22"/>
        </w:rPr>
        <w:t xml:space="preserve">You are invited to quote for the above in accordance with the enclosed documents. </w:t>
      </w:r>
    </w:p>
    <w:p w14:paraId="23A34DA9" w14:textId="77777777" w:rsidR="00050B8F" w:rsidRPr="009E5ECA" w:rsidRDefault="00050B8F" w:rsidP="00E65F5D">
      <w:pPr>
        <w:rPr>
          <w:rFonts w:ascii="Arial" w:hAnsi="Arial" w:cs="Arial"/>
          <w:szCs w:val="22"/>
        </w:rPr>
      </w:pPr>
    </w:p>
    <w:p w14:paraId="4AE71826" w14:textId="77777777" w:rsidR="00050B8F" w:rsidRPr="009E5ECA" w:rsidRDefault="00050B8F" w:rsidP="00E65F5D">
      <w:pPr>
        <w:rPr>
          <w:rFonts w:ascii="Arial" w:hAnsi="Arial" w:cs="Arial"/>
          <w:szCs w:val="22"/>
        </w:rPr>
      </w:pPr>
      <w:r w:rsidRPr="009E5ECA">
        <w:rPr>
          <w:rFonts w:ascii="Arial" w:hAnsi="Arial" w:cs="Arial"/>
          <w:szCs w:val="22"/>
        </w:rPr>
        <w:t>Instructions on what information we require you to provide</w:t>
      </w:r>
      <w:r w:rsidR="001A3679" w:rsidRPr="009E5ECA">
        <w:rPr>
          <w:rFonts w:ascii="Arial" w:hAnsi="Arial" w:cs="Arial"/>
          <w:szCs w:val="22"/>
        </w:rPr>
        <w:t xml:space="preserve"> is in Section </w:t>
      </w:r>
      <w:r w:rsidR="00B94CDD" w:rsidRPr="009E5ECA">
        <w:rPr>
          <w:rFonts w:ascii="Arial" w:hAnsi="Arial" w:cs="Arial"/>
          <w:szCs w:val="22"/>
        </w:rPr>
        <w:t>4</w:t>
      </w:r>
      <w:r w:rsidRPr="009E5ECA">
        <w:rPr>
          <w:rFonts w:ascii="Arial" w:hAnsi="Arial" w:cs="Arial"/>
          <w:szCs w:val="22"/>
        </w:rPr>
        <w:t xml:space="preserve"> of </w:t>
      </w:r>
      <w:r w:rsidR="000878DD" w:rsidRPr="009E5ECA">
        <w:rPr>
          <w:rFonts w:ascii="Arial" w:hAnsi="Arial" w:cs="Arial"/>
          <w:szCs w:val="22"/>
        </w:rPr>
        <w:t>the fo</w:t>
      </w:r>
      <w:r w:rsidR="00B94CDD" w:rsidRPr="009E5ECA">
        <w:rPr>
          <w:rFonts w:ascii="Arial" w:hAnsi="Arial" w:cs="Arial"/>
          <w:szCs w:val="22"/>
        </w:rPr>
        <w:t>llowing Request for Quotation</w:t>
      </w:r>
      <w:r w:rsidR="000878DD" w:rsidRPr="009E5ECA">
        <w:rPr>
          <w:rFonts w:ascii="Arial" w:hAnsi="Arial" w:cs="Arial"/>
          <w:szCs w:val="22"/>
        </w:rPr>
        <w:t xml:space="preserve"> document. </w:t>
      </w:r>
    </w:p>
    <w:p w14:paraId="1E9635C9" w14:textId="77777777" w:rsidR="00031189" w:rsidRPr="009E5ECA" w:rsidRDefault="00031189" w:rsidP="00E65F5D">
      <w:pPr>
        <w:rPr>
          <w:rFonts w:ascii="Arial" w:hAnsi="Arial" w:cs="Arial"/>
          <w:szCs w:val="22"/>
        </w:rPr>
      </w:pPr>
    </w:p>
    <w:p w14:paraId="039A1A8B" w14:textId="5CF51475" w:rsidR="00031189" w:rsidRPr="009E5ECA" w:rsidRDefault="00031189" w:rsidP="00E65F5D">
      <w:pPr>
        <w:rPr>
          <w:rFonts w:ascii="Arial" w:hAnsi="Arial" w:cs="Arial"/>
          <w:i/>
          <w:szCs w:val="22"/>
        </w:rPr>
      </w:pPr>
      <w:r w:rsidRPr="009E5ECA">
        <w:rPr>
          <w:rFonts w:ascii="Arial" w:hAnsi="Arial" w:cs="Arial"/>
          <w:szCs w:val="22"/>
        </w:rPr>
        <w:t xml:space="preserve">Your response should be returned to the following email address by </w:t>
      </w:r>
      <w:r w:rsidR="002527BE" w:rsidRPr="009E5ECA">
        <w:rPr>
          <w:rFonts w:ascii="Arial" w:hAnsi="Arial" w:cs="Arial"/>
          <w:szCs w:val="22"/>
        </w:rPr>
        <w:t>17:</w:t>
      </w:r>
      <w:r w:rsidR="00F77C98" w:rsidRPr="009E5ECA">
        <w:rPr>
          <w:rFonts w:ascii="Arial" w:hAnsi="Arial" w:cs="Arial"/>
          <w:szCs w:val="22"/>
        </w:rPr>
        <w:t>3</w:t>
      </w:r>
      <w:r w:rsidR="002527BE" w:rsidRPr="009E5ECA">
        <w:rPr>
          <w:rFonts w:ascii="Arial" w:hAnsi="Arial" w:cs="Arial"/>
          <w:szCs w:val="22"/>
        </w:rPr>
        <w:t xml:space="preserve">0 on </w:t>
      </w:r>
      <w:r w:rsidR="005A7015" w:rsidRPr="009E5ECA">
        <w:rPr>
          <w:rFonts w:ascii="Arial" w:hAnsi="Arial" w:cs="Arial"/>
          <w:szCs w:val="22"/>
        </w:rPr>
        <w:t>01</w:t>
      </w:r>
      <w:r w:rsidR="00494DB0" w:rsidRPr="009E5ECA">
        <w:rPr>
          <w:rFonts w:ascii="Arial" w:hAnsi="Arial" w:cs="Arial"/>
          <w:szCs w:val="22"/>
        </w:rPr>
        <w:t>/</w:t>
      </w:r>
      <w:r w:rsidR="005A7015" w:rsidRPr="009E5ECA">
        <w:rPr>
          <w:rFonts w:ascii="Arial" w:hAnsi="Arial" w:cs="Arial"/>
          <w:szCs w:val="22"/>
        </w:rPr>
        <w:t>1</w:t>
      </w:r>
      <w:r w:rsidR="00E77F8B">
        <w:rPr>
          <w:rFonts w:ascii="Arial" w:hAnsi="Arial" w:cs="Arial"/>
          <w:szCs w:val="22"/>
        </w:rPr>
        <w:t>2</w:t>
      </w:r>
      <w:r w:rsidR="002527BE" w:rsidRPr="009E5ECA">
        <w:rPr>
          <w:rFonts w:ascii="Arial" w:hAnsi="Arial" w:cs="Arial"/>
          <w:szCs w:val="22"/>
        </w:rPr>
        <w:t>/202</w:t>
      </w:r>
      <w:r w:rsidR="005A7015" w:rsidRPr="009E5ECA">
        <w:rPr>
          <w:rFonts w:ascii="Arial" w:hAnsi="Arial" w:cs="Arial"/>
          <w:szCs w:val="22"/>
        </w:rPr>
        <w:t>4</w:t>
      </w:r>
      <w:r w:rsidR="00494DB0" w:rsidRPr="009E5ECA">
        <w:rPr>
          <w:rFonts w:ascii="Arial" w:hAnsi="Arial" w:cs="Arial"/>
          <w:szCs w:val="22"/>
        </w:rPr>
        <w:t>.</w:t>
      </w:r>
      <w:r w:rsidR="00AB6556" w:rsidRPr="009E5ECA">
        <w:rPr>
          <w:rFonts w:ascii="Arial" w:hAnsi="Arial" w:cs="Arial"/>
          <w:szCs w:val="22"/>
        </w:rPr>
        <w:t xml:space="preserve"> </w:t>
      </w:r>
    </w:p>
    <w:p w14:paraId="49F8F4A7" w14:textId="77777777" w:rsidR="007D26D8" w:rsidRPr="009E5ECA" w:rsidRDefault="007D26D8" w:rsidP="00E65F5D">
      <w:pPr>
        <w:rPr>
          <w:rFonts w:ascii="Arial" w:hAnsi="Arial" w:cs="Arial"/>
          <w:szCs w:val="22"/>
        </w:rPr>
      </w:pPr>
    </w:p>
    <w:p w14:paraId="6ECE804F" w14:textId="4FC81FCB" w:rsidR="007D26D8" w:rsidRPr="009E5ECA" w:rsidRDefault="00C21A0A" w:rsidP="00E65F5D">
      <w:pPr>
        <w:rPr>
          <w:rFonts w:ascii="Arial" w:hAnsi="Arial" w:cs="Arial"/>
          <w:szCs w:val="22"/>
        </w:rPr>
      </w:pPr>
      <w:r>
        <w:rPr>
          <w:rFonts w:ascii="Arial" w:hAnsi="Arial" w:cs="Arial"/>
          <w:szCs w:val="22"/>
        </w:rPr>
        <w:t>Hannah.hodson-jeffery</w:t>
      </w:r>
      <w:r w:rsidR="002527BE" w:rsidRPr="009E5ECA">
        <w:rPr>
          <w:rFonts w:ascii="Arial" w:hAnsi="Arial" w:cs="Arial"/>
          <w:szCs w:val="22"/>
        </w:rPr>
        <w:t>@environment-agency.gov.uk</w:t>
      </w:r>
    </w:p>
    <w:p w14:paraId="031D4825" w14:textId="77777777" w:rsidR="00031189" w:rsidRPr="009E5ECA" w:rsidRDefault="00031189" w:rsidP="00E65F5D">
      <w:pPr>
        <w:rPr>
          <w:rFonts w:ascii="Arial" w:hAnsi="Arial" w:cs="Arial"/>
          <w:szCs w:val="22"/>
        </w:rPr>
      </w:pPr>
    </w:p>
    <w:p w14:paraId="15656738" w14:textId="6BAED900" w:rsidR="00031189" w:rsidRPr="009E5ECA" w:rsidRDefault="00031189" w:rsidP="00E65F5D">
      <w:pPr>
        <w:rPr>
          <w:rFonts w:ascii="Arial" w:hAnsi="Arial" w:cs="Arial"/>
          <w:szCs w:val="22"/>
        </w:rPr>
      </w:pPr>
      <w:r w:rsidRPr="009E5ECA">
        <w:rPr>
          <w:rFonts w:ascii="Arial" w:hAnsi="Arial" w:cs="Arial"/>
          <w:szCs w:val="22"/>
        </w:rPr>
        <w:t>Please confirm, by email, whether you intend to submit a quote</w:t>
      </w:r>
      <w:r w:rsidR="00F90369" w:rsidRPr="009E5ECA">
        <w:rPr>
          <w:rFonts w:ascii="Arial" w:hAnsi="Arial" w:cs="Arial"/>
          <w:szCs w:val="22"/>
        </w:rPr>
        <w:t xml:space="preserve"> as we may wish to update you with additional information during the quotation period</w:t>
      </w:r>
      <w:r w:rsidRPr="009E5ECA">
        <w:rPr>
          <w:rFonts w:ascii="Arial" w:hAnsi="Arial" w:cs="Arial"/>
          <w:szCs w:val="22"/>
        </w:rPr>
        <w:t xml:space="preserve">. </w:t>
      </w:r>
    </w:p>
    <w:p w14:paraId="6E359687" w14:textId="77777777" w:rsidR="00031189" w:rsidRPr="009E5ECA" w:rsidRDefault="00031189" w:rsidP="00E65F5D">
      <w:pPr>
        <w:rPr>
          <w:rFonts w:ascii="Arial" w:hAnsi="Arial" w:cs="Arial"/>
          <w:szCs w:val="22"/>
        </w:rPr>
      </w:pPr>
    </w:p>
    <w:p w14:paraId="18DC98F4" w14:textId="77777777" w:rsidR="00031189" w:rsidRPr="009E5ECA" w:rsidRDefault="00031189" w:rsidP="00E65F5D">
      <w:pPr>
        <w:rPr>
          <w:rFonts w:ascii="Arial" w:hAnsi="Arial" w:cs="Arial"/>
          <w:szCs w:val="22"/>
        </w:rPr>
      </w:pPr>
      <w:r w:rsidRPr="009E5ECA">
        <w:rPr>
          <w:rFonts w:ascii="Arial" w:hAnsi="Arial" w:cs="Arial"/>
          <w:szCs w:val="22"/>
        </w:rPr>
        <w:t xml:space="preserve">If you have any queries, please do not hesitate to contact me. </w:t>
      </w:r>
    </w:p>
    <w:p w14:paraId="61E48F4C" w14:textId="77777777" w:rsidR="00031189" w:rsidRPr="009E5ECA" w:rsidRDefault="00031189" w:rsidP="00E65F5D">
      <w:pPr>
        <w:rPr>
          <w:rFonts w:ascii="Arial" w:hAnsi="Arial" w:cs="Arial"/>
          <w:szCs w:val="22"/>
        </w:rPr>
      </w:pPr>
    </w:p>
    <w:p w14:paraId="185A3B77" w14:textId="77777777" w:rsidR="00031189" w:rsidRPr="009E5ECA" w:rsidRDefault="00031189" w:rsidP="00E65F5D">
      <w:pPr>
        <w:rPr>
          <w:rFonts w:ascii="Arial" w:hAnsi="Arial" w:cs="Arial"/>
          <w:szCs w:val="22"/>
        </w:rPr>
      </w:pPr>
    </w:p>
    <w:p w14:paraId="58A80A70" w14:textId="77777777" w:rsidR="00031189" w:rsidRPr="009E5ECA" w:rsidRDefault="00031189" w:rsidP="00E65F5D">
      <w:pPr>
        <w:rPr>
          <w:rFonts w:ascii="Arial" w:hAnsi="Arial" w:cs="Arial"/>
          <w:szCs w:val="22"/>
        </w:rPr>
      </w:pPr>
      <w:r w:rsidRPr="009E5ECA">
        <w:rPr>
          <w:rFonts w:ascii="Arial" w:hAnsi="Arial" w:cs="Arial"/>
          <w:szCs w:val="22"/>
        </w:rPr>
        <w:t xml:space="preserve">Yours </w:t>
      </w:r>
      <w:r w:rsidR="00AB6556" w:rsidRPr="009E5ECA">
        <w:rPr>
          <w:rFonts w:ascii="Arial" w:hAnsi="Arial" w:cs="Arial"/>
          <w:szCs w:val="22"/>
        </w:rPr>
        <w:t>sincerely</w:t>
      </w:r>
    </w:p>
    <w:p w14:paraId="41A54C18" w14:textId="77777777" w:rsidR="00031189" w:rsidRPr="009E5ECA" w:rsidRDefault="00031189" w:rsidP="00E65F5D">
      <w:pPr>
        <w:ind w:left="720" w:hanging="720"/>
        <w:jc w:val="both"/>
        <w:rPr>
          <w:rFonts w:ascii="Arial" w:hAnsi="Arial" w:cs="Arial"/>
          <w:szCs w:val="22"/>
        </w:rPr>
      </w:pPr>
    </w:p>
    <w:p w14:paraId="7D6513A6" w14:textId="77777777" w:rsidR="00031189" w:rsidRPr="009E5ECA" w:rsidRDefault="00031189" w:rsidP="00E65F5D">
      <w:pPr>
        <w:ind w:left="720" w:hanging="720"/>
        <w:jc w:val="both"/>
        <w:rPr>
          <w:rFonts w:ascii="Arial" w:hAnsi="Arial" w:cs="Arial"/>
          <w:szCs w:val="22"/>
        </w:rPr>
      </w:pPr>
    </w:p>
    <w:p w14:paraId="29AFCCD4" w14:textId="77777777" w:rsidR="00031189" w:rsidRPr="009E5ECA" w:rsidRDefault="00031189" w:rsidP="00E65F5D">
      <w:pPr>
        <w:jc w:val="both"/>
        <w:rPr>
          <w:rFonts w:ascii="Arial" w:hAnsi="Arial" w:cs="Arial"/>
          <w:szCs w:val="22"/>
        </w:rPr>
      </w:pPr>
    </w:p>
    <w:p w14:paraId="5851AEDD" w14:textId="2A05CABB" w:rsidR="00031189" w:rsidRPr="009E5ECA" w:rsidRDefault="00497D70" w:rsidP="00E65F5D">
      <w:pPr>
        <w:ind w:left="720" w:hanging="720"/>
        <w:jc w:val="both"/>
        <w:rPr>
          <w:rFonts w:ascii="Arial" w:hAnsi="Arial" w:cs="Arial"/>
          <w:szCs w:val="22"/>
        </w:rPr>
      </w:pPr>
      <w:r>
        <w:rPr>
          <w:rFonts w:ascii="Arial" w:hAnsi="Arial" w:cs="Arial"/>
          <w:szCs w:val="22"/>
        </w:rPr>
        <w:t>Hannah Hodson-Jeffery</w:t>
      </w:r>
    </w:p>
    <w:p w14:paraId="50AE49EC" w14:textId="5B3C19D7" w:rsidR="00031189" w:rsidRPr="009E5ECA" w:rsidRDefault="00B46E08" w:rsidP="00E65F5D">
      <w:pPr>
        <w:ind w:left="720" w:hanging="720"/>
        <w:jc w:val="both"/>
        <w:rPr>
          <w:rFonts w:ascii="Arial" w:hAnsi="Arial" w:cs="Arial"/>
          <w:szCs w:val="22"/>
        </w:rPr>
      </w:pPr>
      <w:r>
        <w:rPr>
          <w:rFonts w:ascii="Arial" w:hAnsi="Arial" w:cs="Arial"/>
          <w:szCs w:val="22"/>
        </w:rPr>
        <w:t>Senior Air Quality Advisor</w:t>
      </w:r>
      <w:r w:rsidR="002527BE" w:rsidRPr="009E5ECA">
        <w:rPr>
          <w:rFonts w:ascii="Arial" w:hAnsi="Arial" w:cs="Arial"/>
          <w:szCs w:val="22"/>
        </w:rPr>
        <w:t xml:space="preserve">, </w:t>
      </w:r>
      <w:r w:rsidR="00494DB0" w:rsidRPr="009E5ECA">
        <w:rPr>
          <w:rFonts w:ascii="Arial" w:hAnsi="Arial" w:cs="Arial"/>
          <w:szCs w:val="22"/>
        </w:rPr>
        <w:t xml:space="preserve">Chief </w:t>
      </w:r>
      <w:r>
        <w:rPr>
          <w:rFonts w:ascii="Arial" w:hAnsi="Arial" w:cs="Arial"/>
          <w:szCs w:val="22"/>
        </w:rPr>
        <w:t>Regulators</w:t>
      </w:r>
      <w:r w:rsidR="00494DB0" w:rsidRPr="009E5ECA">
        <w:rPr>
          <w:rFonts w:ascii="Arial" w:hAnsi="Arial" w:cs="Arial"/>
          <w:szCs w:val="22"/>
        </w:rPr>
        <w:t xml:space="preserve"> Group</w:t>
      </w:r>
    </w:p>
    <w:p w14:paraId="4956C351" w14:textId="77777777" w:rsidR="00031189" w:rsidRPr="009E5ECA" w:rsidRDefault="00031189" w:rsidP="00E65F5D">
      <w:pPr>
        <w:ind w:left="720" w:hanging="720"/>
        <w:jc w:val="both"/>
        <w:rPr>
          <w:rFonts w:ascii="Arial" w:hAnsi="Arial" w:cs="Arial"/>
          <w:szCs w:val="22"/>
        </w:rPr>
      </w:pPr>
    </w:p>
    <w:p w14:paraId="208FD970" w14:textId="0035E326" w:rsidR="00031189" w:rsidRPr="009E5ECA" w:rsidRDefault="00031189" w:rsidP="00E65F5D">
      <w:pPr>
        <w:ind w:left="720" w:hanging="720"/>
        <w:jc w:val="both"/>
        <w:rPr>
          <w:rFonts w:ascii="Arial" w:hAnsi="Arial" w:cs="Arial"/>
          <w:szCs w:val="22"/>
        </w:rPr>
      </w:pPr>
      <w:r w:rsidRPr="009E5ECA">
        <w:rPr>
          <w:rFonts w:ascii="Arial" w:hAnsi="Arial" w:cs="Arial"/>
          <w:szCs w:val="22"/>
        </w:rPr>
        <w:t>E-mail:</w:t>
      </w:r>
      <w:r w:rsidRPr="009E5ECA">
        <w:rPr>
          <w:rFonts w:ascii="Arial" w:hAnsi="Arial" w:cs="Arial"/>
          <w:szCs w:val="22"/>
        </w:rPr>
        <w:tab/>
      </w:r>
      <w:r w:rsidR="00B46E08">
        <w:rPr>
          <w:rFonts w:ascii="Arial" w:hAnsi="Arial" w:cs="Arial"/>
          <w:szCs w:val="22"/>
        </w:rPr>
        <w:t>hannah</w:t>
      </w:r>
      <w:r w:rsidR="00522F03" w:rsidRPr="009E5ECA">
        <w:rPr>
          <w:rFonts w:ascii="Arial" w:hAnsi="Arial" w:cs="Arial"/>
          <w:szCs w:val="22"/>
        </w:rPr>
        <w:t>.</w:t>
      </w:r>
      <w:r w:rsidR="00B46E08">
        <w:rPr>
          <w:rFonts w:ascii="Arial" w:hAnsi="Arial" w:cs="Arial"/>
          <w:szCs w:val="22"/>
        </w:rPr>
        <w:t>hodson-jeffery</w:t>
      </w:r>
      <w:r w:rsidRPr="009E5ECA">
        <w:rPr>
          <w:rFonts w:ascii="Arial" w:hAnsi="Arial" w:cs="Arial"/>
          <w:szCs w:val="22"/>
        </w:rPr>
        <w:t>@environment-agency.gov.uk</w:t>
      </w:r>
    </w:p>
    <w:p w14:paraId="49955D74" w14:textId="1969612D" w:rsidR="00031189" w:rsidRPr="009E5ECA" w:rsidRDefault="00031189" w:rsidP="00E65F5D">
      <w:pPr>
        <w:ind w:left="720" w:hanging="720"/>
        <w:jc w:val="both"/>
        <w:rPr>
          <w:rFonts w:ascii="Arial" w:hAnsi="Arial" w:cs="Arial"/>
          <w:szCs w:val="22"/>
        </w:rPr>
      </w:pPr>
      <w:r w:rsidRPr="009E5ECA">
        <w:rPr>
          <w:rFonts w:ascii="Arial" w:hAnsi="Arial" w:cs="Arial"/>
          <w:szCs w:val="22"/>
        </w:rPr>
        <w:t>Telephone:</w:t>
      </w:r>
      <w:r w:rsidRPr="009E5ECA">
        <w:rPr>
          <w:rFonts w:ascii="Arial" w:hAnsi="Arial" w:cs="Arial"/>
          <w:szCs w:val="22"/>
        </w:rPr>
        <w:tab/>
      </w:r>
      <w:r w:rsidR="00C21A0A" w:rsidRPr="00C21A0A">
        <w:rPr>
          <w:rFonts w:ascii="Arial" w:hAnsi="Arial" w:cs="Arial"/>
          <w:szCs w:val="22"/>
        </w:rPr>
        <w:t>07767005691</w:t>
      </w:r>
    </w:p>
    <w:p w14:paraId="022EF4B9" w14:textId="77777777" w:rsidR="00031189" w:rsidRPr="009E5ECA" w:rsidRDefault="00031189" w:rsidP="00E65F5D">
      <w:pPr>
        <w:ind w:left="720" w:hanging="720"/>
        <w:jc w:val="both"/>
        <w:rPr>
          <w:rFonts w:ascii="Arial" w:hAnsi="Arial" w:cs="Arial"/>
          <w:szCs w:val="22"/>
        </w:rPr>
      </w:pPr>
    </w:p>
    <w:p w14:paraId="5E6F1EEB" w14:textId="77777777" w:rsidR="00031189" w:rsidRPr="009E5ECA" w:rsidRDefault="00031189" w:rsidP="00E65F5D">
      <w:pPr>
        <w:ind w:left="720" w:hanging="720"/>
        <w:jc w:val="both"/>
        <w:rPr>
          <w:rFonts w:ascii="Arial" w:hAnsi="Arial" w:cs="Arial"/>
          <w:szCs w:val="22"/>
        </w:rPr>
      </w:pPr>
    </w:p>
    <w:p w14:paraId="680202AD" w14:textId="77777777" w:rsidR="00031189" w:rsidRPr="009E5ECA" w:rsidRDefault="00031189" w:rsidP="00E65F5D">
      <w:pPr>
        <w:ind w:left="720" w:hanging="720"/>
        <w:jc w:val="both"/>
        <w:rPr>
          <w:rFonts w:ascii="Arial" w:hAnsi="Arial" w:cs="Arial"/>
          <w:szCs w:val="22"/>
        </w:rPr>
      </w:pPr>
    </w:p>
    <w:p w14:paraId="302D8782" w14:textId="77777777" w:rsidR="00031189" w:rsidRPr="009E5ECA" w:rsidRDefault="00031189" w:rsidP="00E65F5D">
      <w:pPr>
        <w:ind w:left="720" w:hanging="720"/>
        <w:jc w:val="both"/>
        <w:rPr>
          <w:rFonts w:ascii="Arial" w:hAnsi="Arial" w:cs="Arial"/>
          <w:szCs w:val="22"/>
        </w:rPr>
      </w:pPr>
    </w:p>
    <w:p w14:paraId="5DB445D7" w14:textId="04025863" w:rsidR="00031189" w:rsidRPr="00CF7FF3" w:rsidRDefault="00031189" w:rsidP="00E65F5D">
      <w:pPr>
        <w:ind w:left="720" w:hanging="720"/>
        <w:jc w:val="both"/>
        <w:rPr>
          <w:rFonts w:ascii="Arial" w:hAnsi="Arial" w:cs="Arial"/>
          <w:szCs w:val="22"/>
        </w:rPr>
      </w:pPr>
      <w:r w:rsidRPr="009E5ECA">
        <w:rPr>
          <w:rFonts w:ascii="Arial" w:hAnsi="Arial" w:cs="Arial"/>
          <w:b/>
          <w:szCs w:val="22"/>
        </w:rPr>
        <w:t>The Environment Agency</w:t>
      </w:r>
      <w:r w:rsidRPr="009E5ECA">
        <w:rPr>
          <w:rFonts w:ascii="Arial" w:hAnsi="Arial" w:cs="Arial"/>
          <w:szCs w:val="22"/>
        </w:rPr>
        <w:t xml:space="preserve">, </w:t>
      </w:r>
      <w:r w:rsidR="00B46E08">
        <w:rPr>
          <w:rFonts w:ascii="Arial" w:hAnsi="Arial" w:cs="Arial"/>
          <w:szCs w:val="22"/>
        </w:rPr>
        <w:t>Horizon House, Deanery Road, Bristol, BS1 5AH</w:t>
      </w:r>
      <w:r w:rsidR="002527BE" w:rsidRPr="00CF7FF3">
        <w:rPr>
          <w:rFonts w:ascii="Arial" w:hAnsi="Arial" w:cs="Arial"/>
          <w:szCs w:val="22"/>
        </w:rPr>
        <w:t xml:space="preserve"> </w:t>
      </w:r>
    </w:p>
    <w:p w14:paraId="67E82B1C" w14:textId="77777777" w:rsidR="00031189" w:rsidRPr="0093723A" w:rsidRDefault="00031189" w:rsidP="00E65F5D">
      <w:pPr>
        <w:jc w:val="both"/>
        <w:rPr>
          <w:rFonts w:ascii="Arial" w:hAnsi="Arial" w:cs="Arial"/>
          <w:b/>
          <w:szCs w:val="22"/>
        </w:rPr>
      </w:pPr>
    </w:p>
    <w:p w14:paraId="50CAC17D" w14:textId="77777777" w:rsidR="00FE42D1" w:rsidRPr="0093723A" w:rsidRDefault="00FE42D1" w:rsidP="00E65F5D">
      <w:pPr>
        <w:jc w:val="both"/>
        <w:rPr>
          <w:rFonts w:ascii="Arial" w:hAnsi="Arial" w:cs="Arial"/>
          <w:b/>
          <w:szCs w:val="22"/>
        </w:rPr>
      </w:pPr>
    </w:p>
    <w:p w14:paraId="0D6DBCF8"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45F7206E"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34A3E77D" w14:textId="77777777"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522F03" w:rsidRPr="00CF7FF3">
        <w:rPr>
          <w:rFonts w:ascii="Arial" w:hAnsi="Arial" w:cs="Arial"/>
          <w:b/>
          <w:szCs w:val="22"/>
        </w:rPr>
        <w:t>SC</w:t>
      </w:r>
      <w:r w:rsidR="00522F03">
        <w:rPr>
          <w:rFonts w:ascii="Arial" w:hAnsi="Arial" w:cs="Arial"/>
          <w:b/>
          <w:szCs w:val="22"/>
        </w:rPr>
        <w:t>210001</w:t>
      </w:r>
    </w:p>
    <w:p w14:paraId="0EF483D9" w14:textId="68CB7F16"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522F03" w:rsidRPr="009E5ECA">
        <w:rPr>
          <w:rFonts w:ascii="Arial" w:hAnsi="Arial" w:cs="Arial"/>
          <w:b/>
          <w:szCs w:val="22"/>
        </w:rPr>
        <w:t>Toxicological advice on air pollutants</w:t>
      </w:r>
      <w:r w:rsidR="001C271F">
        <w:rPr>
          <w:rFonts w:ascii="Arial" w:hAnsi="Arial" w:cs="Arial"/>
          <w:b/>
          <w:szCs w:val="22"/>
        </w:rPr>
        <w:t xml:space="preserve"> [</w:t>
      </w:r>
      <w:r w:rsidR="001C271F">
        <w:rPr>
          <w:rFonts w:ascii="Arial" w:hAnsi="Arial" w:cs="Arial"/>
          <w:b/>
          <w:bCs/>
          <w:szCs w:val="22"/>
        </w:rPr>
        <w:t xml:space="preserve">Review of published </w:t>
      </w:r>
      <w:r w:rsidR="001C271F" w:rsidRPr="001C271F">
        <w:rPr>
          <w:rFonts w:ascii="Arial" w:hAnsi="Arial" w:cs="Arial"/>
          <w:b/>
          <w:bCs/>
          <w:szCs w:val="22"/>
        </w:rPr>
        <w:t xml:space="preserve">Environmental Assessment Levels for </w:t>
      </w:r>
      <w:r w:rsidR="001C271F">
        <w:rPr>
          <w:rFonts w:ascii="Arial" w:hAnsi="Arial" w:cs="Arial"/>
          <w:b/>
          <w:bCs/>
          <w:szCs w:val="22"/>
        </w:rPr>
        <w:t xml:space="preserve">a number of </w:t>
      </w:r>
      <w:r w:rsidR="001C271F" w:rsidRPr="001C271F">
        <w:rPr>
          <w:rFonts w:ascii="Arial" w:hAnsi="Arial" w:cs="Arial"/>
          <w:b/>
          <w:bCs/>
          <w:szCs w:val="22"/>
        </w:rPr>
        <w:t>Substance</w:t>
      </w:r>
      <w:r w:rsidR="001C271F">
        <w:rPr>
          <w:rFonts w:ascii="Arial" w:hAnsi="Arial" w:cs="Arial"/>
          <w:b/>
          <w:bCs/>
          <w:szCs w:val="22"/>
        </w:rPr>
        <w:t>s, based on updated toxicological information</w:t>
      </w:r>
      <w:r w:rsidR="00434DC9">
        <w:rPr>
          <w:rFonts w:ascii="Arial" w:hAnsi="Arial" w:cs="Arial"/>
          <w:b/>
          <w:bCs/>
          <w:szCs w:val="22"/>
        </w:rPr>
        <w:t>]</w:t>
      </w:r>
    </w:p>
    <w:p w14:paraId="5572E2B7" w14:textId="77777777" w:rsidR="005700D8" w:rsidRPr="0093723A" w:rsidRDefault="005700D8" w:rsidP="00E65F5D">
      <w:pPr>
        <w:jc w:val="both"/>
        <w:rPr>
          <w:rFonts w:ascii="Arial" w:hAnsi="Arial" w:cs="Arial"/>
          <w:szCs w:val="22"/>
        </w:rPr>
      </w:pPr>
    </w:p>
    <w:p w14:paraId="337059E0"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834C694" w14:textId="77777777" w:rsidR="003014F2" w:rsidRPr="0093723A" w:rsidRDefault="003014F2" w:rsidP="00E65F5D">
      <w:pPr>
        <w:rPr>
          <w:rFonts w:ascii="Arial" w:hAnsi="Arial" w:cs="Arial"/>
          <w:b/>
          <w:szCs w:val="22"/>
          <w:u w:val="single"/>
        </w:rPr>
      </w:pPr>
    </w:p>
    <w:p w14:paraId="1BB324AA"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42923BD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F0E75C7" w14:textId="77777777" w:rsidR="00491B79" w:rsidRPr="0093723A" w:rsidRDefault="00491B79" w:rsidP="00E65F5D">
      <w:pPr>
        <w:widowControl w:val="0"/>
        <w:rPr>
          <w:rFonts w:ascii="Arial" w:hAnsi="Arial" w:cs="Arial"/>
          <w:szCs w:val="22"/>
        </w:rPr>
      </w:pPr>
    </w:p>
    <w:p w14:paraId="68C948D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0CFCD340" w14:textId="77777777" w:rsidR="00491B79" w:rsidRPr="0093723A" w:rsidRDefault="00491B79" w:rsidP="00E65F5D">
      <w:pPr>
        <w:widowControl w:val="0"/>
        <w:rPr>
          <w:rFonts w:ascii="Arial" w:hAnsi="Arial" w:cs="Arial"/>
          <w:szCs w:val="22"/>
        </w:rPr>
      </w:pPr>
    </w:p>
    <w:p w14:paraId="5A4101FC" w14:textId="77777777" w:rsidR="00491B79" w:rsidRPr="0093723A" w:rsidRDefault="00491B79" w:rsidP="00E65F5D">
      <w:pPr>
        <w:widowControl w:val="0"/>
        <w:rPr>
          <w:rFonts w:ascii="Arial" w:hAnsi="Arial" w:cs="Arial"/>
          <w:szCs w:val="22"/>
        </w:rPr>
      </w:pPr>
      <w:hyperlink r:id="rId13" w:history="1">
        <w:r w:rsidRPr="0093723A">
          <w:rPr>
            <w:rStyle w:val="Hyperlink"/>
            <w:rFonts w:ascii="Arial" w:hAnsi="Arial" w:cs="Arial"/>
            <w:szCs w:val="22"/>
          </w:rPr>
          <w:t>https://www.gov.uk/government/organisations/environment-agency/about</w:t>
        </w:r>
      </w:hyperlink>
      <w:r w:rsidRPr="0093723A">
        <w:rPr>
          <w:rFonts w:ascii="Arial" w:hAnsi="Arial" w:cs="Arial"/>
          <w:szCs w:val="22"/>
        </w:rPr>
        <w:t xml:space="preserve"> </w:t>
      </w:r>
    </w:p>
    <w:p w14:paraId="0AF6022F" w14:textId="77777777" w:rsidR="00491B79" w:rsidRPr="0093723A" w:rsidRDefault="00491B79" w:rsidP="00E65F5D">
      <w:pPr>
        <w:widowControl w:val="0"/>
        <w:rPr>
          <w:rFonts w:ascii="Arial" w:hAnsi="Arial" w:cs="Arial"/>
          <w:b/>
          <w:szCs w:val="22"/>
          <w:u w:val="single"/>
        </w:rPr>
      </w:pPr>
    </w:p>
    <w:p w14:paraId="1ABE6C3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649403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3320CA0" w14:textId="77777777" w:rsidR="00491B79" w:rsidRPr="0093723A" w:rsidRDefault="00491B79" w:rsidP="00E65F5D">
      <w:pPr>
        <w:widowControl w:val="0"/>
        <w:rPr>
          <w:rFonts w:ascii="Arial" w:hAnsi="Arial" w:cs="Arial"/>
          <w:szCs w:val="22"/>
        </w:rPr>
      </w:pPr>
    </w:p>
    <w:p w14:paraId="021B0CE7"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62CAA4E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1325FBFC"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33409B89"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09B97F5"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7C216CE3"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95B4D55"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EB27BF0" w14:textId="77777777" w:rsidR="00491B79" w:rsidRPr="0093723A" w:rsidRDefault="00491B79" w:rsidP="00E65F5D">
      <w:pPr>
        <w:widowControl w:val="0"/>
        <w:rPr>
          <w:rFonts w:ascii="Arial" w:hAnsi="Arial" w:cs="Arial"/>
          <w:b/>
          <w:szCs w:val="22"/>
        </w:rPr>
      </w:pPr>
    </w:p>
    <w:p w14:paraId="104979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DCD0934"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6DE714A9" w14:textId="77777777" w:rsidR="00491B79" w:rsidRPr="0093723A" w:rsidRDefault="00491B79" w:rsidP="00E65F5D">
      <w:pPr>
        <w:widowControl w:val="0"/>
        <w:rPr>
          <w:rFonts w:ascii="Arial" w:hAnsi="Arial" w:cs="Arial"/>
          <w:szCs w:val="22"/>
        </w:rPr>
      </w:pPr>
    </w:p>
    <w:p w14:paraId="55109280"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7D1231F" w14:textId="77777777" w:rsidR="00AD6F35" w:rsidRDefault="00AD6F35" w:rsidP="00E65F5D">
      <w:pPr>
        <w:widowControl w:val="0"/>
        <w:rPr>
          <w:rFonts w:ascii="Arial" w:hAnsi="Arial" w:cs="Arial"/>
          <w:szCs w:val="22"/>
        </w:rPr>
      </w:pPr>
    </w:p>
    <w:p w14:paraId="2D3D484F" w14:textId="77777777" w:rsidR="00491B79" w:rsidRPr="0093723A" w:rsidRDefault="00B54C10" w:rsidP="00E65F5D">
      <w:pPr>
        <w:widowControl w:val="0"/>
        <w:rPr>
          <w:rFonts w:ascii="Arial" w:hAnsi="Arial" w:cs="Arial"/>
          <w:szCs w:val="22"/>
        </w:rPr>
      </w:pPr>
      <w:hyperlink r:id="rId14" w:anchor="procurement-strategy" w:history="1">
        <w:r w:rsidRPr="00520818">
          <w:rPr>
            <w:rStyle w:val="Hyperlink"/>
            <w:rFonts w:ascii="Arial" w:hAnsi="Arial" w:cs="Arial"/>
            <w:szCs w:val="22"/>
          </w:rPr>
          <w:t>https://www.gov.uk/government/organisations/environment-agency/about/procurement#procurement-strategy</w:t>
        </w:r>
      </w:hyperlink>
      <w:r>
        <w:rPr>
          <w:rFonts w:ascii="Arial" w:hAnsi="Arial" w:cs="Arial"/>
          <w:szCs w:val="22"/>
        </w:rPr>
        <w:t xml:space="preserve"> </w:t>
      </w:r>
    </w:p>
    <w:p w14:paraId="230BD5D8" w14:textId="77777777" w:rsidR="00A323E2" w:rsidRPr="0093723A" w:rsidRDefault="00A323E2" w:rsidP="00E65F5D">
      <w:pPr>
        <w:widowControl w:val="0"/>
        <w:rPr>
          <w:rFonts w:ascii="Arial" w:hAnsi="Arial" w:cs="Arial"/>
          <w:color w:val="8DB3E2"/>
          <w:szCs w:val="22"/>
        </w:rPr>
      </w:pPr>
    </w:p>
    <w:p w14:paraId="18177C7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80E8F29"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196FEFF" w14:textId="77777777" w:rsidR="00491B79" w:rsidRPr="0093723A" w:rsidRDefault="00491B79" w:rsidP="00E65F5D">
      <w:pPr>
        <w:widowControl w:val="0"/>
        <w:rPr>
          <w:rFonts w:ascii="Arial" w:hAnsi="Arial" w:cs="Arial"/>
          <w:szCs w:val="22"/>
        </w:rPr>
      </w:pPr>
    </w:p>
    <w:p w14:paraId="58C15414" w14:textId="77777777" w:rsidR="00491B79" w:rsidRPr="0093723A" w:rsidRDefault="00491B79" w:rsidP="00E65F5D">
      <w:pPr>
        <w:widowControl w:val="0"/>
        <w:rPr>
          <w:rFonts w:ascii="Arial" w:hAnsi="Arial" w:cs="Arial"/>
          <w:szCs w:val="22"/>
        </w:rPr>
      </w:pPr>
      <w:hyperlink r:id="rId15" w:history="1">
        <w:r w:rsidRPr="0093723A">
          <w:rPr>
            <w:rStyle w:val="Hyperlink"/>
            <w:rFonts w:ascii="Arial" w:hAnsi="Arial" w:cs="Arial"/>
            <w:szCs w:val="22"/>
          </w:rPr>
          <w:t>http://naturalresources.wales/splash?orig=/</w:t>
        </w:r>
      </w:hyperlink>
      <w:r w:rsidRPr="0093723A">
        <w:rPr>
          <w:rFonts w:ascii="Arial" w:hAnsi="Arial" w:cs="Arial"/>
          <w:szCs w:val="22"/>
        </w:rPr>
        <w:t xml:space="preserve"> </w:t>
      </w:r>
    </w:p>
    <w:p w14:paraId="0BC35C22" w14:textId="77777777" w:rsidR="00491B79" w:rsidRPr="0093723A" w:rsidRDefault="00491B79" w:rsidP="00E65F5D">
      <w:pPr>
        <w:widowControl w:val="0"/>
        <w:rPr>
          <w:rFonts w:ascii="Arial" w:hAnsi="Arial" w:cs="Arial"/>
          <w:szCs w:val="22"/>
        </w:rPr>
      </w:pPr>
    </w:p>
    <w:p w14:paraId="60B2482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287357F" w14:textId="77777777" w:rsidR="00491B79" w:rsidRPr="0093723A" w:rsidRDefault="00491B79" w:rsidP="00E65F5D">
      <w:pPr>
        <w:shd w:val="clear" w:color="auto" w:fill="FFFFFF"/>
        <w:rPr>
          <w:rFonts w:ascii="Arial" w:hAnsi="Arial" w:cs="Arial"/>
          <w:szCs w:val="22"/>
        </w:rPr>
      </w:pPr>
    </w:p>
    <w:p w14:paraId="081C127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7FE3EF2"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FC19538" w14:textId="77777777" w:rsidR="00491B79" w:rsidRPr="0093723A" w:rsidRDefault="00491B79" w:rsidP="00E65F5D">
      <w:pPr>
        <w:shd w:val="clear" w:color="auto" w:fill="FFFFFF"/>
        <w:rPr>
          <w:rFonts w:ascii="Arial" w:hAnsi="Arial" w:cs="Arial"/>
          <w:szCs w:val="22"/>
        </w:rPr>
      </w:pPr>
    </w:p>
    <w:p w14:paraId="30864DE0" w14:textId="77777777" w:rsidR="00491B79" w:rsidRPr="0093723A" w:rsidRDefault="00491B79" w:rsidP="00E65F5D">
      <w:pPr>
        <w:shd w:val="clear" w:color="auto" w:fill="FFFFFF"/>
        <w:rPr>
          <w:rFonts w:ascii="Arial" w:hAnsi="Arial" w:cs="Arial"/>
          <w:szCs w:val="22"/>
          <w:u w:val="single"/>
        </w:rPr>
      </w:pPr>
      <w:hyperlink r:id="rId16" w:history="1">
        <w:r w:rsidRPr="0093723A">
          <w:rPr>
            <w:rStyle w:val="Hyperlink"/>
            <w:rFonts w:ascii="Arial" w:hAnsi="Arial" w:cs="Arial"/>
            <w:szCs w:val="22"/>
          </w:rPr>
          <w:t>https://www.gov.uk/government/organisations/environment-agency/about/procurement</w:t>
        </w:r>
      </w:hyperlink>
      <w:r w:rsidRPr="0093723A">
        <w:rPr>
          <w:rFonts w:ascii="Arial" w:hAnsi="Arial" w:cs="Arial"/>
          <w:szCs w:val="22"/>
          <w:u w:val="single"/>
        </w:rPr>
        <w:t xml:space="preserve"> </w:t>
      </w:r>
    </w:p>
    <w:p w14:paraId="2B665D9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1226F09" w14:textId="77777777" w:rsidR="00491B79" w:rsidRPr="0093723A" w:rsidRDefault="00491B79" w:rsidP="00E65F5D">
      <w:pPr>
        <w:rPr>
          <w:rFonts w:ascii="Arial" w:hAnsi="Arial" w:cs="Arial"/>
          <w:szCs w:val="22"/>
        </w:rPr>
      </w:pPr>
    </w:p>
    <w:p w14:paraId="710A70A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89196D5" w14:textId="77777777" w:rsidR="00491B79" w:rsidRPr="0093723A" w:rsidRDefault="00491B79" w:rsidP="00E65F5D">
      <w:pPr>
        <w:rPr>
          <w:rFonts w:ascii="Arial" w:hAnsi="Arial" w:cs="Arial"/>
          <w:szCs w:val="22"/>
        </w:rPr>
      </w:pPr>
    </w:p>
    <w:p w14:paraId="4454382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6DFA2027"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FB07407" w14:textId="77777777" w:rsidR="00EA6FE1" w:rsidRPr="0093723A" w:rsidRDefault="00EA6FE1" w:rsidP="00E65F5D">
      <w:pPr>
        <w:jc w:val="both"/>
        <w:rPr>
          <w:rFonts w:ascii="Arial" w:hAnsi="Arial" w:cs="Arial"/>
          <w:b/>
          <w:szCs w:val="22"/>
          <w:u w:val="single"/>
        </w:rPr>
      </w:pPr>
    </w:p>
    <w:p w14:paraId="1F5FEDC3"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E3114AD" w14:textId="77777777" w:rsidR="00D92EC1" w:rsidRPr="0093723A" w:rsidRDefault="00D92EC1" w:rsidP="00E65F5D">
      <w:pPr>
        <w:jc w:val="both"/>
        <w:rPr>
          <w:rFonts w:ascii="Arial" w:hAnsi="Arial" w:cs="Arial"/>
          <w:szCs w:val="22"/>
        </w:rPr>
      </w:pPr>
    </w:p>
    <w:p w14:paraId="7BF30B9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610520F" w14:textId="77777777" w:rsidR="00C24614" w:rsidRPr="0093723A" w:rsidRDefault="00C24614" w:rsidP="00E65F5D">
      <w:pPr>
        <w:jc w:val="both"/>
        <w:rPr>
          <w:rFonts w:ascii="Arial" w:hAnsi="Arial" w:cs="Arial"/>
          <w:b/>
          <w:szCs w:val="22"/>
          <w:u w:val="single"/>
        </w:rPr>
      </w:pPr>
    </w:p>
    <w:p w14:paraId="2B28D7E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8EF7336" w14:textId="77777777" w:rsidR="003C74EF" w:rsidRPr="0093723A" w:rsidRDefault="003C74EF" w:rsidP="00E65F5D">
      <w:pPr>
        <w:jc w:val="both"/>
        <w:rPr>
          <w:rFonts w:ascii="Arial" w:hAnsi="Arial" w:cs="Arial"/>
          <w:b/>
          <w:szCs w:val="22"/>
          <w:u w:val="single"/>
        </w:rPr>
      </w:pPr>
    </w:p>
    <w:p w14:paraId="196604E6" w14:textId="697EEADC" w:rsidR="009B4EC1" w:rsidRPr="00636884" w:rsidRDefault="0044471C" w:rsidP="000C775B">
      <w:pPr>
        <w:pStyle w:val="Guidancebodytext"/>
        <w:rPr>
          <w:rFonts w:ascii="Arial" w:hAnsi="Arial" w:cs="Arial"/>
          <w:color w:val="FF0000"/>
          <w:sz w:val="20"/>
        </w:rPr>
      </w:pPr>
      <w:r w:rsidRPr="00636884">
        <w:rPr>
          <w:rFonts w:ascii="Arial" w:hAnsi="Arial" w:cs="Arial"/>
          <w:sz w:val="20"/>
        </w:rPr>
        <w:t>This work is being commissioned by the</w:t>
      </w:r>
      <w:r w:rsidR="00FB1B17" w:rsidRPr="00636884">
        <w:rPr>
          <w:rFonts w:ascii="Arial" w:hAnsi="Arial" w:cs="Arial"/>
          <w:sz w:val="20"/>
        </w:rPr>
        <w:t xml:space="preserve"> </w:t>
      </w:r>
      <w:r w:rsidR="002515D2" w:rsidRPr="00636884">
        <w:rPr>
          <w:rFonts w:ascii="Arial" w:hAnsi="Arial" w:cs="Arial"/>
          <w:sz w:val="20"/>
        </w:rPr>
        <w:t xml:space="preserve">Monitoring and Assessment team within the Chief Regulator’s Group at the Environment Agency. </w:t>
      </w:r>
      <w:r w:rsidR="00407B3F" w:rsidRPr="00636884">
        <w:rPr>
          <w:rFonts w:ascii="Arial" w:hAnsi="Arial" w:cs="Arial"/>
          <w:sz w:val="20"/>
        </w:rPr>
        <w:t xml:space="preserve">  </w:t>
      </w:r>
      <w:r w:rsidR="00407B3F" w:rsidRPr="00636884">
        <w:rPr>
          <w:rFonts w:ascii="Arial" w:hAnsi="Arial" w:cs="Arial"/>
          <w:color w:val="auto"/>
          <w:sz w:val="20"/>
        </w:rPr>
        <w:t xml:space="preserve">The Chief Regulator </w:t>
      </w:r>
      <w:r w:rsidR="00FC5A2D" w:rsidRPr="00636884">
        <w:rPr>
          <w:rFonts w:ascii="Arial" w:hAnsi="Arial" w:cs="Arial"/>
          <w:color w:val="auto"/>
          <w:sz w:val="20"/>
        </w:rPr>
        <w:t xml:space="preserve">Group is the focus across </w:t>
      </w:r>
      <w:r w:rsidR="00407B3F" w:rsidRPr="00636884">
        <w:rPr>
          <w:rFonts w:ascii="Arial" w:hAnsi="Arial" w:cs="Arial"/>
          <w:color w:val="auto"/>
          <w:sz w:val="20"/>
        </w:rPr>
        <w:t>the Environment Agency for setting the regulatory strategy, standards and assurance framework, working with colleagues to help EA deliver effective regulation.</w:t>
      </w:r>
      <w:r w:rsidR="000C775B" w:rsidRPr="00636884">
        <w:rPr>
          <w:rFonts w:ascii="Arial" w:hAnsi="Arial" w:cs="Arial"/>
          <w:color w:val="auto"/>
          <w:sz w:val="20"/>
        </w:rPr>
        <w:t xml:space="preserve">  The Monitoring and Assessment Team leads on addressing and minimising air quality issues of our regulated industry.  </w:t>
      </w:r>
    </w:p>
    <w:p w14:paraId="79D6AEE9" w14:textId="77777777" w:rsidR="005700D8" w:rsidRPr="0093723A" w:rsidRDefault="005700D8" w:rsidP="00E65F5D">
      <w:pPr>
        <w:jc w:val="both"/>
        <w:rPr>
          <w:rFonts w:ascii="Arial" w:hAnsi="Arial" w:cs="Arial"/>
          <w:szCs w:val="22"/>
        </w:rPr>
      </w:pPr>
    </w:p>
    <w:p w14:paraId="3C012C2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14080321" w14:textId="77777777" w:rsidR="005700D8" w:rsidRPr="0093723A" w:rsidRDefault="005700D8" w:rsidP="00E65F5D">
      <w:pPr>
        <w:rPr>
          <w:rFonts w:ascii="Arial" w:hAnsi="Arial" w:cs="Arial"/>
          <w:szCs w:val="22"/>
        </w:rPr>
      </w:pPr>
    </w:p>
    <w:p w14:paraId="126CC17D" w14:textId="2F0E5FF6"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contract will be awarded to one supplier fo</w:t>
      </w:r>
      <w:r w:rsidRPr="00AB0B44">
        <w:rPr>
          <w:rFonts w:ascii="Arial" w:hAnsi="Arial" w:cs="Arial"/>
          <w:szCs w:val="22"/>
        </w:rPr>
        <w:t xml:space="preserve">r a period of </w:t>
      </w:r>
      <w:r w:rsidR="00B50DD7">
        <w:rPr>
          <w:rFonts w:ascii="Arial" w:hAnsi="Arial" w:cs="Arial"/>
          <w:szCs w:val="22"/>
        </w:rPr>
        <w:t>7</w:t>
      </w:r>
      <w:r w:rsidR="00C87B46" w:rsidRPr="00AB0B44">
        <w:rPr>
          <w:rFonts w:ascii="Arial" w:hAnsi="Arial" w:cs="Arial"/>
          <w:szCs w:val="22"/>
        </w:rPr>
        <w:t xml:space="preserve"> </w:t>
      </w:r>
      <w:r w:rsidRPr="00AB0B44">
        <w:rPr>
          <w:rFonts w:ascii="Arial" w:hAnsi="Arial" w:cs="Arial"/>
          <w:szCs w:val="22"/>
        </w:rPr>
        <w:t xml:space="preserve">months to end no later than </w:t>
      </w:r>
      <w:r w:rsidR="00736ECE">
        <w:rPr>
          <w:rFonts w:ascii="Arial" w:hAnsi="Arial" w:cs="Arial"/>
          <w:szCs w:val="22"/>
        </w:rPr>
        <w:t>01</w:t>
      </w:r>
      <w:r w:rsidR="00A323E2" w:rsidRPr="00AB0B44">
        <w:rPr>
          <w:rFonts w:ascii="Arial" w:hAnsi="Arial" w:cs="Arial"/>
          <w:szCs w:val="22"/>
        </w:rPr>
        <w:t>/</w:t>
      </w:r>
      <w:r w:rsidR="0044471C" w:rsidRPr="00AB0B44">
        <w:rPr>
          <w:rFonts w:ascii="Arial" w:hAnsi="Arial" w:cs="Arial"/>
          <w:szCs w:val="22"/>
        </w:rPr>
        <w:t>0</w:t>
      </w:r>
      <w:r w:rsidR="00736ECE">
        <w:rPr>
          <w:rFonts w:ascii="Arial" w:hAnsi="Arial" w:cs="Arial"/>
          <w:szCs w:val="22"/>
        </w:rPr>
        <w:t>4</w:t>
      </w:r>
      <w:r w:rsidR="00A323E2" w:rsidRPr="00AB0B44">
        <w:rPr>
          <w:rFonts w:ascii="Arial" w:hAnsi="Arial" w:cs="Arial"/>
          <w:szCs w:val="22"/>
        </w:rPr>
        <w:t>/</w:t>
      </w:r>
      <w:r w:rsidR="00522F03" w:rsidRPr="00AB0B44">
        <w:rPr>
          <w:rFonts w:ascii="Arial" w:hAnsi="Arial" w:cs="Arial"/>
          <w:szCs w:val="22"/>
        </w:rPr>
        <w:t>202</w:t>
      </w:r>
      <w:r w:rsidR="009B6269">
        <w:rPr>
          <w:rFonts w:ascii="Arial" w:hAnsi="Arial" w:cs="Arial"/>
          <w:szCs w:val="22"/>
        </w:rPr>
        <w:t>5</w:t>
      </w:r>
      <w:r w:rsidR="00AD730C" w:rsidRPr="00AB0B44">
        <w:rPr>
          <w:rFonts w:ascii="Arial" w:hAnsi="Arial" w:cs="Arial"/>
          <w:szCs w:val="22"/>
        </w:rPr>
        <w:t>.</w:t>
      </w:r>
      <w:r w:rsidRPr="00AB0B44">
        <w:rPr>
          <w:rFonts w:ascii="Arial" w:hAnsi="Arial" w:cs="Arial"/>
          <w:szCs w:val="22"/>
        </w:rPr>
        <w:t xml:space="preserve"> P</w:t>
      </w:r>
      <w:r w:rsidRPr="00CF7FF3">
        <w:rPr>
          <w:rFonts w:ascii="Arial" w:hAnsi="Arial" w:cs="Arial"/>
          <w:szCs w:val="22"/>
        </w:rPr>
        <w:t xml:space="preserve">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1478A3C" w14:textId="77777777" w:rsidR="00AB6556" w:rsidRPr="0093723A" w:rsidRDefault="00AB6556" w:rsidP="00E65F5D">
      <w:pPr>
        <w:rPr>
          <w:rFonts w:ascii="Arial" w:hAnsi="Arial" w:cs="Arial"/>
          <w:szCs w:val="22"/>
        </w:rPr>
      </w:pPr>
    </w:p>
    <w:p w14:paraId="608F17F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6C97DF82" w14:textId="77777777" w:rsidR="00296D92" w:rsidRPr="00CF7FF3" w:rsidRDefault="00296D92" w:rsidP="00E65F5D">
      <w:pPr>
        <w:rPr>
          <w:rFonts w:ascii="Arial" w:hAnsi="Arial" w:cs="Arial"/>
          <w:szCs w:val="22"/>
        </w:rPr>
      </w:pPr>
    </w:p>
    <w:p w14:paraId="19666A93" w14:textId="3C58840F" w:rsidR="00F7147C" w:rsidRDefault="00F7147C" w:rsidP="00E65F5D">
      <w:pPr>
        <w:pStyle w:val="CcList"/>
        <w:rPr>
          <w:rFonts w:cs="Arial"/>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hyperlink r:id="rId19" w:history="1">
        <w:r w:rsidR="00434DC9" w:rsidRPr="00517AA3">
          <w:rPr>
            <w:rStyle w:val="Hyperlink"/>
            <w:rFonts w:cs="Arial"/>
            <w:color w:val="auto"/>
            <w:sz w:val="20"/>
            <w:szCs w:val="22"/>
            <w:u w:val="none"/>
          </w:rPr>
          <w:t>Hannah</w:t>
        </w:r>
      </w:hyperlink>
      <w:r w:rsidR="00434DC9" w:rsidRPr="00517AA3">
        <w:rPr>
          <w:rFonts w:cs="Arial"/>
          <w:sz w:val="20"/>
          <w:szCs w:val="22"/>
        </w:rPr>
        <w:t xml:space="preserve"> </w:t>
      </w:r>
      <w:r w:rsidR="00434DC9">
        <w:rPr>
          <w:rFonts w:cs="Arial"/>
          <w:sz w:val="20"/>
          <w:szCs w:val="22"/>
        </w:rPr>
        <w:t xml:space="preserve">Hodson Jeffery, </w:t>
      </w:r>
    </w:p>
    <w:p w14:paraId="01E8C034" w14:textId="7BE11853" w:rsidR="00434DC9" w:rsidRPr="00D0210B" w:rsidRDefault="00D0210B" w:rsidP="00E65F5D">
      <w:pPr>
        <w:pStyle w:val="CcList"/>
        <w:rPr>
          <w:rFonts w:cs="Arial"/>
          <w:iCs/>
          <w:color w:val="FF0000"/>
          <w:sz w:val="20"/>
          <w:szCs w:val="22"/>
        </w:rPr>
      </w:pPr>
      <w:r>
        <w:rPr>
          <w:rFonts w:cs="Arial"/>
          <w:iCs/>
          <w:color w:val="FF0000"/>
          <w:sz w:val="20"/>
          <w:szCs w:val="22"/>
        </w:rPr>
        <w:t>Hannah.hodson-jeffery@environment-agency.gov.uk</w:t>
      </w:r>
    </w:p>
    <w:p w14:paraId="0913560F" w14:textId="77777777" w:rsidR="005700D8" w:rsidRPr="0093723A" w:rsidRDefault="005700D8" w:rsidP="00E65F5D">
      <w:pPr>
        <w:rPr>
          <w:rFonts w:ascii="Arial" w:hAnsi="Arial" w:cs="Arial"/>
          <w:szCs w:val="22"/>
        </w:rPr>
      </w:pPr>
    </w:p>
    <w:p w14:paraId="45D929F5"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72B71CC" w14:textId="77777777" w:rsidR="00296D92" w:rsidRDefault="00296D92" w:rsidP="00296D92"/>
    <w:p w14:paraId="18B97820" w14:textId="14C2E2CD" w:rsidR="00296D92" w:rsidRPr="0093723A" w:rsidRDefault="00D0210B" w:rsidP="00296D92">
      <w:pPr>
        <w:ind w:right="-21"/>
        <w:rPr>
          <w:rFonts w:ascii="Arial" w:hAnsi="Arial" w:cs="Arial"/>
          <w:szCs w:val="22"/>
        </w:rPr>
      </w:pPr>
      <w:r>
        <w:rPr>
          <w:rFonts w:ascii="Arial" w:hAnsi="Arial" w:cs="Arial"/>
          <w:szCs w:val="22"/>
        </w:rPr>
        <w:t>Hannah Hodson-Jeffery</w:t>
      </w:r>
      <w:r w:rsidR="000C73B0" w:rsidRPr="00CF7FF3">
        <w:rPr>
          <w:rFonts w:ascii="Arial" w:hAnsi="Arial" w:cs="Arial"/>
          <w:szCs w:val="22"/>
        </w:rPr>
        <w:t xml:space="preserve">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r w:rsidR="00F90369">
        <w:rPr>
          <w:rFonts w:ascii="Arial" w:hAnsi="Arial" w:cs="Arial"/>
          <w:szCs w:val="22"/>
        </w:rPr>
        <w:t xml:space="preserve"> that have previously confirmed by email their intention to submit a quotation</w:t>
      </w:r>
      <w:r w:rsidR="00296D92" w:rsidRPr="0093723A">
        <w:rPr>
          <w:rFonts w:ascii="Arial" w:hAnsi="Arial" w:cs="Arial"/>
          <w:szCs w:val="22"/>
        </w:rPr>
        <w:t>.</w:t>
      </w:r>
    </w:p>
    <w:p w14:paraId="1E423560" w14:textId="77777777" w:rsidR="00296D92" w:rsidRPr="0093723A" w:rsidRDefault="00296D92" w:rsidP="00296D92">
      <w:pPr>
        <w:ind w:right="-21"/>
        <w:rPr>
          <w:rFonts w:ascii="Arial" w:hAnsi="Arial" w:cs="Arial"/>
          <w:szCs w:val="22"/>
        </w:rPr>
      </w:pPr>
    </w:p>
    <w:p w14:paraId="6D065DDE" w14:textId="77777777" w:rsidR="00264B69" w:rsidRDefault="00264B69" w:rsidP="00296D92">
      <w:pPr>
        <w:rPr>
          <w:rFonts w:ascii="Arial" w:hAnsi="Arial" w:cs="Arial"/>
          <w:szCs w:val="22"/>
        </w:rPr>
      </w:pPr>
    </w:p>
    <w:p w14:paraId="284BFE1E" w14:textId="77777777" w:rsidR="00264B69" w:rsidRDefault="00264B69" w:rsidP="00296D92">
      <w:pPr>
        <w:rPr>
          <w:rFonts w:ascii="Arial" w:hAnsi="Arial" w:cs="Arial"/>
          <w:szCs w:val="22"/>
        </w:rPr>
      </w:pPr>
    </w:p>
    <w:p w14:paraId="0660911B" w14:textId="77777777" w:rsidR="00264B69" w:rsidRDefault="00264B69" w:rsidP="00296D92">
      <w:pPr>
        <w:rPr>
          <w:rFonts w:ascii="Arial" w:hAnsi="Arial" w:cs="Arial"/>
          <w:szCs w:val="22"/>
        </w:rPr>
      </w:pPr>
    </w:p>
    <w:p w14:paraId="41AB61DF"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66D6702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2242502" w14:textId="77777777" w:rsidTr="000D1CA8">
        <w:tc>
          <w:tcPr>
            <w:tcW w:w="6062" w:type="dxa"/>
          </w:tcPr>
          <w:p w14:paraId="4B99F86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6CDAD4D7"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767B215" w14:textId="77777777" w:rsidTr="000D1CA8">
        <w:tc>
          <w:tcPr>
            <w:tcW w:w="6062" w:type="dxa"/>
          </w:tcPr>
          <w:p w14:paraId="5FAC7C97"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773495E7" w14:textId="5494B974" w:rsidR="00296D92" w:rsidRPr="00AF2CED" w:rsidRDefault="00F33E64" w:rsidP="00F77C98">
            <w:pPr>
              <w:tabs>
                <w:tab w:val="left" w:pos="1503"/>
              </w:tabs>
              <w:rPr>
                <w:rFonts w:ascii="Arial" w:hAnsi="Arial" w:cs="Arial"/>
                <w:szCs w:val="22"/>
              </w:rPr>
            </w:pPr>
            <w:r>
              <w:rPr>
                <w:rFonts w:ascii="Arial" w:hAnsi="Arial" w:cs="Arial"/>
                <w:szCs w:val="22"/>
              </w:rPr>
              <w:t>0</w:t>
            </w:r>
            <w:r w:rsidR="009B6269" w:rsidRPr="00AF2CED">
              <w:rPr>
                <w:rFonts w:ascii="Arial" w:hAnsi="Arial" w:cs="Arial"/>
                <w:szCs w:val="22"/>
              </w:rPr>
              <w:t>1</w:t>
            </w:r>
            <w:r w:rsidR="00710F4A" w:rsidRPr="00AF2CED">
              <w:rPr>
                <w:rFonts w:ascii="Arial" w:hAnsi="Arial" w:cs="Arial"/>
                <w:szCs w:val="22"/>
              </w:rPr>
              <w:t>/</w:t>
            </w:r>
            <w:r w:rsidR="009B6269" w:rsidRPr="00AF2CED">
              <w:rPr>
                <w:rFonts w:ascii="Arial" w:hAnsi="Arial" w:cs="Arial"/>
                <w:szCs w:val="22"/>
              </w:rPr>
              <w:t>1</w:t>
            </w:r>
            <w:r w:rsidR="00E77F8B">
              <w:rPr>
                <w:rFonts w:ascii="Arial" w:hAnsi="Arial" w:cs="Arial"/>
                <w:szCs w:val="22"/>
              </w:rPr>
              <w:t>2</w:t>
            </w:r>
            <w:r w:rsidR="00710F4A" w:rsidRPr="00AF2CED">
              <w:rPr>
                <w:rFonts w:ascii="Arial" w:hAnsi="Arial" w:cs="Arial"/>
                <w:szCs w:val="22"/>
              </w:rPr>
              <w:t>/202</w:t>
            </w:r>
            <w:r w:rsidR="009B6269" w:rsidRPr="00AF2CED">
              <w:rPr>
                <w:rFonts w:ascii="Arial" w:hAnsi="Arial" w:cs="Arial"/>
                <w:szCs w:val="22"/>
              </w:rPr>
              <w:t>4</w:t>
            </w:r>
            <w:r w:rsidR="00C87B46" w:rsidRPr="00AF2CED">
              <w:rPr>
                <w:rFonts w:ascii="Arial" w:hAnsi="Arial" w:cs="Arial"/>
                <w:szCs w:val="22"/>
              </w:rPr>
              <w:tab/>
              <w:t>17:</w:t>
            </w:r>
            <w:r w:rsidR="00F77C98" w:rsidRPr="00AF2CED">
              <w:rPr>
                <w:rFonts w:ascii="Arial" w:hAnsi="Arial" w:cs="Arial"/>
                <w:szCs w:val="22"/>
              </w:rPr>
              <w:t>3</w:t>
            </w:r>
            <w:r w:rsidR="00C87B46" w:rsidRPr="00AF2CED">
              <w:rPr>
                <w:rFonts w:ascii="Arial" w:hAnsi="Arial" w:cs="Arial"/>
                <w:szCs w:val="22"/>
              </w:rPr>
              <w:t>0</w:t>
            </w:r>
          </w:p>
        </w:tc>
      </w:tr>
      <w:tr w:rsidR="00296D92" w:rsidRPr="000D1CA8" w14:paraId="237915D1" w14:textId="77777777" w:rsidTr="000D1CA8">
        <w:tc>
          <w:tcPr>
            <w:tcW w:w="6062" w:type="dxa"/>
          </w:tcPr>
          <w:p w14:paraId="2027B083"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DAB661C" w14:textId="2E2A8048" w:rsidR="00296D92" w:rsidRPr="00AF2CED" w:rsidRDefault="00710F4A" w:rsidP="00F77C98">
            <w:pPr>
              <w:rPr>
                <w:rFonts w:ascii="Arial" w:hAnsi="Arial" w:cs="Arial"/>
                <w:szCs w:val="22"/>
              </w:rPr>
            </w:pPr>
            <w:r w:rsidRPr="00AF2CED">
              <w:rPr>
                <w:rFonts w:ascii="Arial" w:hAnsi="Arial" w:cs="Arial"/>
                <w:szCs w:val="22"/>
              </w:rPr>
              <w:t>0</w:t>
            </w:r>
            <w:r w:rsidR="00F33E64">
              <w:rPr>
                <w:rFonts w:ascii="Arial" w:hAnsi="Arial" w:cs="Arial"/>
                <w:szCs w:val="22"/>
              </w:rPr>
              <w:t>5</w:t>
            </w:r>
            <w:r w:rsidR="000C73B0" w:rsidRPr="00AF2CED">
              <w:rPr>
                <w:rFonts w:ascii="Arial" w:hAnsi="Arial" w:cs="Arial"/>
                <w:szCs w:val="22"/>
              </w:rPr>
              <w:t>/</w:t>
            </w:r>
            <w:r w:rsidR="009B6269" w:rsidRPr="00AF2CED">
              <w:rPr>
                <w:rFonts w:ascii="Arial" w:hAnsi="Arial" w:cs="Arial"/>
                <w:szCs w:val="22"/>
              </w:rPr>
              <w:t>1</w:t>
            </w:r>
            <w:r w:rsidR="00E77F8B">
              <w:rPr>
                <w:rFonts w:ascii="Arial" w:hAnsi="Arial" w:cs="Arial"/>
                <w:szCs w:val="22"/>
              </w:rPr>
              <w:t>2</w:t>
            </w:r>
            <w:r w:rsidR="000C73B0" w:rsidRPr="00AF2CED">
              <w:rPr>
                <w:rFonts w:ascii="Arial" w:hAnsi="Arial" w:cs="Arial"/>
                <w:szCs w:val="22"/>
              </w:rPr>
              <w:t>/202</w:t>
            </w:r>
            <w:r w:rsidR="009B6269" w:rsidRPr="00AF2CED">
              <w:rPr>
                <w:rFonts w:ascii="Arial" w:hAnsi="Arial" w:cs="Arial"/>
                <w:szCs w:val="22"/>
              </w:rPr>
              <w:t>4</w:t>
            </w:r>
          </w:p>
        </w:tc>
      </w:tr>
      <w:tr w:rsidR="00296D92" w:rsidRPr="000D1CA8" w14:paraId="7FA48A60" w14:textId="77777777" w:rsidTr="000D1CA8">
        <w:tc>
          <w:tcPr>
            <w:tcW w:w="6062" w:type="dxa"/>
          </w:tcPr>
          <w:p w14:paraId="7746BE00"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6FF40659" w14:textId="10141646" w:rsidR="00296D92" w:rsidRPr="00AF2CED" w:rsidRDefault="00A34865" w:rsidP="00296D92">
            <w:pPr>
              <w:rPr>
                <w:rFonts w:ascii="Arial" w:hAnsi="Arial" w:cs="Arial"/>
                <w:szCs w:val="22"/>
              </w:rPr>
            </w:pPr>
            <w:r w:rsidRPr="00AF2CED">
              <w:rPr>
                <w:rFonts w:ascii="Arial" w:hAnsi="Arial" w:cs="Arial"/>
                <w:szCs w:val="22"/>
              </w:rPr>
              <w:t>10</w:t>
            </w:r>
            <w:r w:rsidR="00710F4A" w:rsidRPr="00AF2CED">
              <w:rPr>
                <w:rFonts w:ascii="Arial" w:hAnsi="Arial" w:cs="Arial"/>
                <w:szCs w:val="22"/>
              </w:rPr>
              <w:t>/</w:t>
            </w:r>
            <w:r w:rsidRPr="00AF2CED">
              <w:rPr>
                <w:rFonts w:ascii="Arial" w:hAnsi="Arial" w:cs="Arial"/>
                <w:szCs w:val="22"/>
              </w:rPr>
              <w:t>1</w:t>
            </w:r>
            <w:r w:rsidR="00E77F8B">
              <w:rPr>
                <w:rFonts w:ascii="Arial" w:hAnsi="Arial" w:cs="Arial"/>
                <w:szCs w:val="22"/>
              </w:rPr>
              <w:t>2</w:t>
            </w:r>
            <w:r w:rsidR="000C73B0" w:rsidRPr="00AF2CED">
              <w:rPr>
                <w:rFonts w:ascii="Arial" w:hAnsi="Arial" w:cs="Arial"/>
                <w:szCs w:val="22"/>
              </w:rPr>
              <w:t>/202</w:t>
            </w:r>
            <w:r w:rsidRPr="00AF2CED">
              <w:rPr>
                <w:rFonts w:ascii="Arial" w:hAnsi="Arial" w:cs="Arial"/>
                <w:szCs w:val="22"/>
              </w:rPr>
              <w:t>4</w:t>
            </w:r>
          </w:p>
        </w:tc>
      </w:tr>
      <w:tr w:rsidR="00411E0E" w:rsidRPr="000D1CA8" w14:paraId="746393DA" w14:textId="77777777" w:rsidTr="000D1CA8">
        <w:tc>
          <w:tcPr>
            <w:tcW w:w="6062" w:type="dxa"/>
          </w:tcPr>
          <w:p w14:paraId="665D836D"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C87E4DC" w14:textId="1325CE91" w:rsidR="00411E0E" w:rsidRPr="00AF2CED" w:rsidRDefault="00C8710D" w:rsidP="00AD730C">
            <w:pPr>
              <w:rPr>
                <w:rFonts w:ascii="Arial" w:hAnsi="Arial" w:cs="Arial"/>
                <w:szCs w:val="22"/>
              </w:rPr>
            </w:pPr>
            <w:r>
              <w:rPr>
                <w:rFonts w:ascii="Arial" w:hAnsi="Arial" w:cs="Arial"/>
                <w:szCs w:val="22"/>
              </w:rPr>
              <w:t>01</w:t>
            </w:r>
            <w:r w:rsidR="000C73B0" w:rsidRPr="00AF2CED">
              <w:rPr>
                <w:rFonts w:ascii="Arial" w:hAnsi="Arial" w:cs="Arial"/>
                <w:szCs w:val="22"/>
              </w:rPr>
              <w:t>/0</w:t>
            </w:r>
            <w:r w:rsidR="00EA269B">
              <w:rPr>
                <w:rFonts w:ascii="Arial" w:hAnsi="Arial" w:cs="Arial"/>
                <w:szCs w:val="22"/>
              </w:rPr>
              <w:t>4</w:t>
            </w:r>
            <w:r w:rsidR="000C73B0" w:rsidRPr="00AF2CED">
              <w:rPr>
                <w:rFonts w:ascii="Arial" w:hAnsi="Arial" w:cs="Arial"/>
                <w:szCs w:val="22"/>
              </w:rPr>
              <w:t>/20</w:t>
            </w:r>
            <w:r w:rsidR="00AD730C" w:rsidRPr="00AF2CED">
              <w:rPr>
                <w:rFonts w:ascii="Arial" w:hAnsi="Arial" w:cs="Arial"/>
                <w:szCs w:val="22"/>
              </w:rPr>
              <w:t>2</w:t>
            </w:r>
            <w:r w:rsidR="00A34865" w:rsidRPr="00AF2CED">
              <w:rPr>
                <w:rFonts w:ascii="Arial" w:hAnsi="Arial" w:cs="Arial"/>
                <w:szCs w:val="22"/>
              </w:rPr>
              <w:t>5</w:t>
            </w:r>
          </w:p>
        </w:tc>
      </w:tr>
    </w:tbl>
    <w:p w14:paraId="2B2BFA6C" w14:textId="77777777" w:rsidR="00296D92" w:rsidRPr="0093723A" w:rsidRDefault="00296D92" w:rsidP="00296D92">
      <w:pPr>
        <w:rPr>
          <w:rFonts w:ascii="Arial" w:hAnsi="Arial" w:cs="Arial"/>
          <w:szCs w:val="22"/>
        </w:rPr>
      </w:pPr>
    </w:p>
    <w:p w14:paraId="5132CE2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51CCFD2" w14:textId="77777777" w:rsidR="00296D92" w:rsidRDefault="00296D92" w:rsidP="00E65F5D">
      <w:pPr>
        <w:pStyle w:val="Heading2"/>
        <w:numPr>
          <w:ilvl w:val="0"/>
          <w:numId w:val="0"/>
        </w:numPr>
        <w:rPr>
          <w:rFonts w:cs="Arial"/>
          <w:sz w:val="20"/>
          <w:szCs w:val="22"/>
        </w:rPr>
      </w:pPr>
    </w:p>
    <w:p w14:paraId="5D5D7099"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4B57818" w14:textId="77777777" w:rsidR="00C11EBA" w:rsidRPr="00C11EBA" w:rsidRDefault="00C11EBA" w:rsidP="00C11EBA"/>
    <w:p w14:paraId="20CD1AB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787C5AF" w14:textId="77777777" w:rsidR="00BD6C51" w:rsidRPr="0093723A" w:rsidRDefault="00BD6C51" w:rsidP="00E65F5D">
      <w:pPr>
        <w:ind w:right="-21"/>
        <w:rPr>
          <w:rFonts w:ascii="Arial" w:hAnsi="Arial" w:cs="Arial"/>
          <w:szCs w:val="22"/>
        </w:rPr>
      </w:pPr>
    </w:p>
    <w:p w14:paraId="2EB7C28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AAED444" w14:textId="77777777" w:rsidR="005700D8" w:rsidRPr="0093723A" w:rsidRDefault="005700D8" w:rsidP="00E65F5D">
      <w:pPr>
        <w:rPr>
          <w:rFonts w:ascii="Arial" w:hAnsi="Arial" w:cs="Arial"/>
          <w:szCs w:val="22"/>
        </w:rPr>
      </w:pPr>
    </w:p>
    <w:p w14:paraId="00120E06"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4FB09D13" w14:textId="77777777" w:rsidR="00E71837" w:rsidRPr="00CF7FF3" w:rsidRDefault="00E71837" w:rsidP="00E65F5D">
      <w:pPr>
        <w:rPr>
          <w:rFonts w:ascii="Arial" w:hAnsi="Arial" w:cs="Arial"/>
          <w:szCs w:val="22"/>
        </w:rPr>
      </w:pPr>
    </w:p>
    <w:p w14:paraId="4586B1C7"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5B5EF88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571600E" w14:textId="77777777" w:rsidR="00F7576D" w:rsidRDefault="00F7576D" w:rsidP="00E65F5D">
      <w:pPr>
        <w:rPr>
          <w:rFonts w:ascii="Arial" w:hAnsi="Arial" w:cs="Arial"/>
          <w:b/>
          <w:color w:val="FF0000"/>
          <w:szCs w:val="22"/>
        </w:rPr>
      </w:pPr>
    </w:p>
    <w:tbl>
      <w:tblPr>
        <w:tblpPr w:leftFromText="180" w:rightFromText="180" w:vertAnchor="text" w:horzAnchor="margin"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14:paraId="1F53A682" w14:textId="77777777" w:rsidTr="00710F4A">
        <w:trPr>
          <w:trHeight w:val="320"/>
        </w:trPr>
        <w:tc>
          <w:tcPr>
            <w:tcW w:w="0" w:type="auto"/>
            <w:shd w:val="clear" w:color="auto" w:fill="auto"/>
            <w:vAlign w:val="center"/>
          </w:tcPr>
          <w:p w14:paraId="497EF372" w14:textId="2D3FF625" w:rsidR="00F7576D" w:rsidRPr="00CF7FF3" w:rsidRDefault="00F7576D" w:rsidP="00710F4A">
            <w:pPr>
              <w:ind w:right="141"/>
              <w:rPr>
                <w:rFonts w:ascii="Arial" w:hAnsi="Arial" w:cs="Arial"/>
                <w:bCs/>
                <w:sz w:val="18"/>
                <w:szCs w:val="18"/>
              </w:rPr>
            </w:pPr>
            <w:r w:rsidRPr="00CF7FF3">
              <w:rPr>
                <w:rFonts w:ascii="Arial" w:hAnsi="Arial" w:cs="Arial"/>
                <w:sz w:val="18"/>
                <w:szCs w:val="18"/>
              </w:rPr>
              <w:t xml:space="preserve">Experience of </w:t>
            </w:r>
            <w:r w:rsidR="00710F4A">
              <w:rPr>
                <w:rFonts w:ascii="Arial" w:hAnsi="Arial" w:cs="Arial"/>
                <w:sz w:val="18"/>
                <w:szCs w:val="18"/>
              </w:rPr>
              <w:t>reviewing</w:t>
            </w:r>
            <w:r w:rsidR="006F55B8">
              <w:rPr>
                <w:rFonts w:ascii="Arial" w:hAnsi="Arial" w:cs="Arial"/>
                <w:sz w:val="18"/>
                <w:szCs w:val="18"/>
              </w:rPr>
              <w:t>, assessing</w:t>
            </w:r>
            <w:r w:rsidR="00710F4A">
              <w:rPr>
                <w:rFonts w:ascii="Arial" w:hAnsi="Arial" w:cs="Arial"/>
                <w:sz w:val="18"/>
                <w:szCs w:val="18"/>
              </w:rPr>
              <w:t xml:space="preserve"> and summarising mammalian and human toxicology of chemicals</w:t>
            </w:r>
            <w:r w:rsidRPr="00CF7FF3">
              <w:rPr>
                <w:rFonts w:ascii="Arial" w:hAnsi="Arial" w:cs="Arial"/>
                <w:sz w:val="18"/>
                <w:szCs w:val="18"/>
              </w:rPr>
              <w:t xml:space="preserve"> </w:t>
            </w:r>
          </w:p>
        </w:tc>
        <w:tc>
          <w:tcPr>
            <w:tcW w:w="0" w:type="auto"/>
          </w:tcPr>
          <w:p w14:paraId="264E27A5" w14:textId="77777777" w:rsidR="00F7576D" w:rsidRPr="00CF7FF3" w:rsidRDefault="00710F4A" w:rsidP="00710F4A">
            <w:pPr>
              <w:ind w:right="141"/>
              <w:rPr>
                <w:rFonts w:ascii="Arial" w:hAnsi="Arial" w:cs="Arial"/>
                <w:bCs/>
                <w:sz w:val="18"/>
                <w:szCs w:val="18"/>
              </w:rPr>
            </w:pPr>
            <w:r>
              <w:rPr>
                <w:rFonts w:ascii="Arial" w:hAnsi="Arial" w:cs="Arial"/>
                <w:bCs/>
                <w:sz w:val="18"/>
                <w:szCs w:val="18"/>
              </w:rPr>
              <w:t>35</w:t>
            </w:r>
            <w:r w:rsidR="00F7576D" w:rsidRPr="00CF7FF3">
              <w:rPr>
                <w:rFonts w:ascii="Arial" w:hAnsi="Arial" w:cs="Arial"/>
                <w:bCs/>
                <w:sz w:val="18"/>
                <w:szCs w:val="18"/>
              </w:rPr>
              <w:t>%</w:t>
            </w:r>
          </w:p>
        </w:tc>
      </w:tr>
      <w:tr w:rsidR="00264B69" w:rsidRPr="00F7576D" w14:paraId="521EB3CF" w14:textId="77777777" w:rsidTr="00710F4A">
        <w:trPr>
          <w:trHeight w:val="258"/>
        </w:trPr>
        <w:tc>
          <w:tcPr>
            <w:tcW w:w="0" w:type="auto"/>
            <w:shd w:val="clear" w:color="auto" w:fill="auto"/>
            <w:vAlign w:val="center"/>
          </w:tcPr>
          <w:p w14:paraId="67277A3A"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14:paraId="7088FB54" w14:textId="77777777" w:rsidR="00264B69" w:rsidRDefault="00264B69" w:rsidP="00264B69">
            <w:pPr>
              <w:ind w:right="141"/>
              <w:rPr>
                <w:rFonts w:ascii="Arial" w:hAnsi="Arial" w:cs="Arial"/>
                <w:bCs/>
                <w:sz w:val="18"/>
                <w:szCs w:val="18"/>
              </w:rPr>
            </w:pPr>
            <w:r>
              <w:rPr>
                <w:rFonts w:ascii="Arial" w:hAnsi="Arial" w:cs="Arial"/>
                <w:bCs/>
                <w:sz w:val="18"/>
                <w:szCs w:val="18"/>
              </w:rPr>
              <w:t>35</w:t>
            </w:r>
            <w:r w:rsidRPr="00CF7FF3">
              <w:rPr>
                <w:rFonts w:ascii="Arial" w:hAnsi="Arial" w:cs="Arial"/>
                <w:bCs/>
                <w:sz w:val="18"/>
                <w:szCs w:val="18"/>
              </w:rPr>
              <w:t>%</w:t>
            </w:r>
          </w:p>
        </w:tc>
      </w:tr>
      <w:tr w:rsidR="00264B69" w:rsidRPr="00F7576D" w14:paraId="7DA7F7E1" w14:textId="77777777" w:rsidTr="00710F4A">
        <w:trPr>
          <w:trHeight w:val="258"/>
        </w:trPr>
        <w:tc>
          <w:tcPr>
            <w:tcW w:w="0" w:type="auto"/>
            <w:shd w:val="clear" w:color="auto" w:fill="auto"/>
            <w:vAlign w:val="center"/>
          </w:tcPr>
          <w:p w14:paraId="7EE4F46C"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14:paraId="3081C67A" w14:textId="77777777" w:rsidR="00264B69" w:rsidRPr="00CF7FF3" w:rsidRDefault="00264B69" w:rsidP="00264B69">
            <w:pPr>
              <w:ind w:right="141"/>
              <w:rPr>
                <w:rFonts w:ascii="Arial" w:hAnsi="Arial" w:cs="Arial"/>
                <w:bCs/>
                <w:sz w:val="18"/>
                <w:szCs w:val="18"/>
              </w:rPr>
            </w:pPr>
            <w:r>
              <w:rPr>
                <w:rFonts w:ascii="Arial" w:hAnsi="Arial" w:cs="Arial"/>
                <w:bCs/>
                <w:sz w:val="18"/>
                <w:szCs w:val="18"/>
              </w:rPr>
              <w:t>10</w:t>
            </w:r>
            <w:r w:rsidRPr="00CF7FF3">
              <w:rPr>
                <w:rFonts w:ascii="Arial" w:hAnsi="Arial" w:cs="Arial"/>
                <w:bCs/>
                <w:sz w:val="18"/>
                <w:szCs w:val="18"/>
              </w:rPr>
              <w:t>%</w:t>
            </w:r>
          </w:p>
        </w:tc>
      </w:tr>
      <w:tr w:rsidR="00264B69" w:rsidRPr="00F7576D" w14:paraId="2850D273" w14:textId="77777777" w:rsidTr="00710F4A">
        <w:trPr>
          <w:trHeight w:val="258"/>
        </w:trPr>
        <w:tc>
          <w:tcPr>
            <w:tcW w:w="0" w:type="auto"/>
            <w:shd w:val="clear" w:color="auto" w:fill="auto"/>
            <w:vAlign w:val="center"/>
          </w:tcPr>
          <w:p w14:paraId="2FDD7078"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14:paraId="5D307DA4" w14:textId="77777777" w:rsidR="00264B69" w:rsidRPr="00CF7FF3" w:rsidRDefault="00264B69" w:rsidP="00264B69">
            <w:pPr>
              <w:ind w:right="141"/>
              <w:rPr>
                <w:rFonts w:ascii="Arial" w:hAnsi="Arial" w:cs="Arial"/>
                <w:bCs/>
                <w:sz w:val="18"/>
                <w:szCs w:val="18"/>
              </w:rPr>
            </w:pPr>
            <w:r w:rsidRPr="00CF7FF3">
              <w:rPr>
                <w:rFonts w:ascii="Arial" w:hAnsi="Arial" w:cs="Arial"/>
                <w:bCs/>
                <w:sz w:val="18"/>
                <w:szCs w:val="18"/>
              </w:rPr>
              <w:t>20%</w:t>
            </w:r>
          </w:p>
        </w:tc>
      </w:tr>
    </w:tbl>
    <w:p w14:paraId="3FA63F66" w14:textId="77777777" w:rsidR="00F7576D" w:rsidRPr="002F4C87" w:rsidRDefault="00F7576D" w:rsidP="00E65F5D">
      <w:pPr>
        <w:rPr>
          <w:rFonts w:ascii="Arial" w:hAnsi="Arial" w:cs="Arial"/>
          <w:b/>
          <w:color w:val="FF0000"/>
          <w:szCs w:val="22"/>
        </w:rPr>
      </w:pPr>
    </w:p>
    <w:p w14:paraId="67DAF9AE" w14:textId="77777777" w:rsidR="00710F4A" w:rsidRDefault="00710F4A" w:rsidP="00E65F5D">
      <w:pPr>
        <w:shd w:val="clear" w:color="auto" w:fill="FFFFFF"/>
        <w:spacing w:line="264" w:lineRule="auto"/>
        <w:rPr>
          <w:rFonts w:ascii="Arial" w:hAnsi="Arial" w:cs="Arial"/>
          <w:iCs/>
          <w:szCs w:val="22"/>
        </w:rPr>
      </w:pPr>
    </w:p>
    <w:p w14:paraId="56A968F1"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C2BD27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2C3528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73005"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83A208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FDFC4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7860BF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1199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FCA7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51CCE5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513E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9B90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2C078C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239B7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F29B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49815F0"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6F4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7CD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280532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E6E0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0EF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C8ECF7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352F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3A0D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6DB912BE" w14:textId="77777777" w:rsidR="00734DA1" w:rsidRDefault="00734DA1" w:rsidP="00E65F5D">
      <w:pPr>
        <w:pStyle w:val="BodyText"/>
        <w:spacing w:after="0"/>
        <w:rPr>
          <w:rFonts w:ascii="Arial" w:hAnsi="Arial" w:cs="Arial"/>
          <w:b/>
          <w:color w:val="FF0000"/>
          <w:sz w:val="22"/>
          <w:szCs w:val="22"/>
        </w:rPr>
      </w:pPr>
    </w:p>
    <w:p w14:paraId="7010E40E" w14:textId="77777777" w:rsidR="00264B69" w:rsidRDefault="00264B69" w:rsidP="00E65F5D">
      <w:pPr>
        <w:pStyle w:val="BodyText"/>
        <w:spacing w:after="0"/>
        <w:rPr>
          <w:rFonts w:ascii="Arial" w:hAnsi="Arial" w:cs="Arial"/>
          <w:b/>
          <w:color w:val="FF0000"/>
          <w:sz w:val="22"/>
          <w:szCs w:val="22"/>
        </w:rPr>
      </w:pPr>
    </w:p>
    <w:p w14:paraId="5309CF9E" w14:textId="77777777" w:rsidR="00264B69" w:rsidRDefault="00264B69" w:rsidP="00E65F5D">
      <w:pPr>
        <w:pStyle w:val="BodyText"/>
        <w:spacing w:after="0"/>
        <w:rPr>
          <w:rFonts w:ascii="Arial" w:hAnsi="Arial" w:cs="Arial"/>
          <w:b/>
          <w:color w:val="FF0000"/>
          <w:sz w:val="22"/>
          <w:szCs w:val="22"/>
        </w:rPr>
      </w:pPr>
    </w:p>
    <w:p w14:paraId="3A6EB4D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41C9125" w14:textId="77777777" w:rsidR="000D2F4D" w:rsidRPr="0093723A" w:rsidRDefault="000D2F4D" w:rsidP="000D2F4D">
      <w:pPr>
        <w:ind w:right="-1"/>
        <w:jc w:val="both"/>
        <w:rPr>
          <w:rFonts w:ascii="Arial" w:hAnsi="Arial" w:cs="Arial"/>
          <w:b/>
          <w:szCs w:val="22"/>
          <w:u w:val="single"/>
        </w:rPr>
      </w:pPr>
    </w:p>
    <w:p w14:paraId="16F907A5"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6AA6F831" w14:textId="77777777" w:rsidR="000D2F4D" w:rsidRPr="0093723A" w:rsidRDefault="000D2F4D" w:rsidP="000D2F4D">
      <w:pPr>
        <w:ind w:right="-1"/>
        <w:jc w:val="both"/>
        <w:rPr>
          <w:rFonts w:ascii="Arial" w:hAnsi="Arial" w:cs="Arial"/>
          <w:szCs w:val="22"/>
        </w:rPr>
      </w:pPr>
    </w:p>
    <w:p w14:paraId="228C52EF"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C565A36" w14:textId="77777777" w:rsidR="000D2F4D" w:rsidRPr="0093723A" w:rsidRDefault="000D2F4D" w:rsidP="000D2F4D">
      <w:pPr>
        <w:jc w:val="both"/>
        <w:rPr>
          <w:rFonts w:ascii="Arial" w:hAnsi="Arial" w:cs="Arial"/>
          <w:szCs w:val="22"/>
        </w:rPr>
      </w:pPr>
    </w:p>
    <w:p w14:paraId="17CFBD16"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1795A506" w14:textId="77777777"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lastRenderedPageBreak/>
        <w:t xml:space="preserve">details of the personnel you are proposing to carry out the service, including CV’s of your key personnel; </w:t>
      </w:r>
    </w:p>
    <w:p w14:paraId="62E89B36"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10976420"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1AE8DC9F" w14:textId="77777777"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72646DB1" w14:textId="7777777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1D10668" w14:textId="77777777"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1AEF74DD" w14:textId="77777777" w:rsidR="000D2F4D" w:rsidRPr="0093723A" w:rsidRDefault="000D2F4D" w:rsidP="000D2F4D">
      <w:pPr>
        <w:pStyle w:val="BodyText"/>
        <w:spacing w:after="0"/>
        <w:ind w:left="720"/>
        <w:rPr>
          <w:rFonts w:ascii="Arial" w:hAnsi="Arial" w:cs="Arial"/>
          <w:szCs w:val="22"/>
        </w:rPr>
      </w:pPr>
    </w:p>
    <w:p w14:paraId="6F62F4C9"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4255AD31" w14:textId="77777777" w:rsidR="003C74EF" w:rsidRPr="00CF7FF3" w:rsidRDefault="003C74EF" w:rsidP="003C74EF">
      <w:pPr>
        <w:pStyle w:val="BodyText"/>
        <w:spacing w:after="0"/>
        <w:rPr>
          <w:rFonts w:ascii="Arial" w:hAnsi="Arial" w:cs="Arial"/>
          <w:b/>
          <w:szCs w:val="22"/>
          <w:u w:val="single"/>
        </w:rPr>
      </w:pPr>
    </w:p>
    <w:p w14:paraId="6BE21979" w14:textId="77777777" w:rsidR="006739A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5BF82DA4" w14:textId="77777777" w:rsidR="003C74EF" w:rsidRPr="00CF7FF3" w:rsidRDefault="003C74EF" w:rsidP="00E65F5D">
      <w:pPr>
        <w:pStyle w:val="BodyText"/>
        <w:spacing w:after="0"/>
        <w:rPr>
          <w:rFonts w:ascii="Arial" w:hAnsi="Arial" w:cs="Arial"/>
          <w:b/>
          <w:szCs w:val="22"/>
          <w:u w:val="single"/>
        </w:rPr>
      </w:pPr>
    </w:p>
    <w:p w14:paraId="5AFBE1FD" w14:textId="77777777" w:rsidR="00E65F5D" w:rsidRPr="00CF7FF3" w:rsidRDefault="00E65F5D" w:rsidP="00E65F5D">
      <w:pPr>
        <w:spacing w:line="276" w:lineRule="auto"/>
        <w:ind w:left="720"/>
        <w:rPr>
          <w:rFonts w:ascii="Arial" w:hAnsi="Arial" w:cs="Arial"/>
          <w:szCs w:val="22"/>
        </w:rPr>
      </w:pPr>
    </w:p>
    <w:p w14:paraId="0C1998F4"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4D0D8DA6" w14:textId="77777777" w:rsidR="002309C9" w:rsidRPr="00CF7FF3" w:rsidRDefault="002309C9" w:rsidP="002309C9">
      <w:pPr>
        <w:rPr>
          <w:rFonts w:ascii="Arial" w:hAnsi="Arial" w:cs="Arial"/>
          <w:szCs w:val="22"/>
        </w:rPr>
      </w:pPr>
    </w:p>
    <w:p w14:paraId="1BFFFE50" w14:textId="40F28D2A" w:rsidR="00264B69" w:rsidRPr="00264B69" w:rsidRDefault="00264B69" w:rsidP="00264B69">
      <w:pPr>
        <w:jc w:val="both"/>
        <w:rPr>
          <w:rFonts w:ascii="Arial" w:hAnsi="Arial" w:cs="Arial"/>
        </w:rPr>
      </w:pPr>
      <w:r w:rsidRPr="00264B69">
        <w:rPr>
          <w:rFonts w:ascii="Arial" w:hAnsi="Arial" w:cs="Arial"/>
        </w:rPr>
        <w:t xml:space="preserve">The Environment Agency (EA) regulates chemical emissions from industrial and waste management activities under the Environmental Permitting Regulations 2016 (EPR). </w:t>
      </w:r>
      <w:hyperlink r:id="rId20" w:history="1">
        <w:r w:rsidR="0005481C" w:rsidRPr="0005481C">
          <w:rPr>
            <w:rStyle w:val="Hyperlink"/>
            <w:rFonts w:ascii="Arial" w:hAnsi="Arial" w:cs="Arial"/>
          </w:rPr>
          <w:t>Air emissions risk assessment for your environmental permit - GOV.UK (www.gov.uk)</w:t>
        </w:r>
      </w:hyperlink>
      <w:r w:rsidRPr="00264B69">
        <w:rPr>
          <w:rFonts w:ascii="Arial" w:hAnsi="Arial" w:cs="Arial"/>
        </w:rPr>
        <w:t xml:space="preserve"> is the principal guidance on environmental risk assessment for new permit applications. Applicants use </w:t>
      </w:r>
      <w:r w:rsidR="005F15B4">
        <w:rPr>
          <w:rFonts w:ascii="Arial" w:hAnsi="Arial" w:cs="Arial"/>
        </w:rPr>
        <w:t>the online guidance</w:t>
      </w:r>
      <w:r w:rsidRPr="00264B69">
        <w:rPr>
          <w:rFonts w:ascii="Arial" w:hAnsi="Arial" w:cs="Arial"/>
        </w:rPr>
        <w:t xml:space="preserve"> to identify and manage significant emissions that could impact public health and the environment.</w:t>
      </w:r>
    </w:p>
    <w:p w14:paraId="46CBF0D8" w14:textId="77777777" w:rsidR="00264B69" w:rsidRPr="00264B69" w:rsidRDefault="00264B69" w:rsidP="00264B69">
      <w:pPr>
        <w:jc w:val="both"/>
        <w:rPr>
          <w:rFonts w:ascii="Arial" w:hAnsi="Arial" w:cs="Arial"/>
        </w:rPr>
      </w:pPr>
    </w:p>
    <w:p w14:paraId="18E367A3" w14:textId="766BA748" w:rsidR="00264B69" w:rsidRPr="00264B69" w:rsidRDefault="00264B69" w:rsidP="00264B69">
      <w:pPr>
        <w:jc w:val="both"/>
        <w:rPr>
          <w:rFonts w:ascii="Arial" w:hAnsi="Arial" w:cs="Arial"/>
        </w:rPr>
      </w:pPr>
      <w:r w:rsidRPr="00264B69">
        <w:rPr>
          <w:rFonts w:ascii="Arial" w:hAnsi="Arial" w:cs="Arial"/>
        </w:rPr>
        <w:t xml:space="preserve">In assessing risks to health, </w:t>
      </w:r>
      <w:r w:rsidR="005F15B4">
        <w:rPr>
          <w:rFonts w:ascii="Arial" w:hAnsi="Arial" w:cs="Arial"/>
        </w:rPr>
        <w:t xml:space="preserve">the air emissions risk assessment </w:t>
      </w:r>
      <w:r w:rsidR="00176B18">
        <w:rPr>
          <w:rFonts w:ascii="Arial" w:hAnsi="Arial" w:cs="Arial"/>
        </w:rPr>
        <w:t>guidance</w:t>
      </w:r>
      <w:r w:rsidRPr="00264B69">
        <w:rPr>
          <w:rFonts w:ascii="Arial" w:hAnsi="Arial" w:cs="Arial"/>
        </w:rPr>
        <w:t xml:space="preserve"> recommends that predicted </w:t>
      </w:r>
      <w:r w:rsidR="00367915">
        <w:rPr>
          <w:rFonts w:ascii="Arial" w:hAnsi="Arial" w:cs="Arial"/>
        </w:rPr>
        <w:t xml:space="preserve">atmospheric </w:t>
      </w:r>
      <w:r w:rsidRPr="00264B69">
        <w:rPr>
          <w:rFonts w:ascii="Arial" w:hAnsi="Arial" w:cs="Arial"/>
        </w:rPr>
        <w:t xml:space="preserve">emissions </w:t>
      </w:r>
      <w:r w:rsidR="00367915">
        <w:rPr>
          <w:rFonts w:ascii="Arial" w:hAnsi="Arial" w:cs="Arial"/>
        </w:rPr>
        <w:t>of chemicals released by pro</w:t>
      </w:r>
      <w:r w:rsidR="00ED7E51">
        <w:rPr>
          <w:rFonts w:ascii="Arial" w:hAnsi="Arial" w:cs="Arial"/>
        </w:rPr>
        <w:t xml:space="preserve">posed permit processes </w:t>
      </w:r>
      <w:r w:rsidRPr="00264B69">
        <w:rPr>
          <w:rFonts w:ascii="Arial" w:hAnsi="Arial" w:cs="Arial"/>
        </w:rPr>
        <w:t xml:space="preserve">are screened against Environmental Assessment Levels (EALs) for the chemicals of concern.  EALs </w:t>
      </w:r>
      <w:r w:rsidR="006B131A">
        <w:rPr>
          <w:rFonts w:ascii="Arial" w:hAnsi="Arial" w:cs="Arial"/>
        </w:rPr>
        <w:t xml:space="preserve">have been established by the EA and </w:t>
      </w:r>
      <w:r w:rsidRPr="00264B69">
        <w:rPr>
          <w:rFonts w:ascii="Arial" w:hAnsi="Arial" w:cs="Arial"/>
        </w:rPr>
        <w:t>are defined as air concentrations indicative of non-appreciable or minimal concern to health from short- or long-term inhalation exposure. They cover about 90 substances</w:t>
      </w:r>
      <w:r w:rsidR="005F183C">
        <w:rPr>
          <w:rFonts w:ascii="Arial" w:hAnsi="Arial" w:cs="Arial"/>
        </w:rPr>
        <w:t xml:space="preserve"> (see below)</w:t>
      </w:r>
      <w:r w:rsidRPr="00264B69">
        <w:rPr>
          <w:rFonts w:ascii="Arial" w:hAnsi="Arial" w:cs="Arial"/>
        </w:rPr>
        <w:t xml:space="preserve"> including industrial chemicals and classical air pollutants. Many EALs are based on withdrawn occupational exposure limits and were last reviewed in detail in the early 2000s.</w:t>
      </w:r>
    </w:p>
    <w:p w14:paraId="670B9188" w14:textId="77777777" w:rsidR="00264B69" w:rsidRPr="00264B69" w:rsidRDefault="00264B69" w:rsidP="00264B69">
      <w:pPr>
        <w:jc w:val="both"/>
        <w:rPr>
          <w:rFonts w:ascii="Arial" w:hAnsi="Arial" w:cs="Arial"/>
        </w:rPr>
      </w:pPr>
    </w:p>
    <w:p w14:paraId="41DB0CE3" w14:textId="71F306EB" w:rsidR="00264B69" w:rsidRPr="00264B69" w:rsidRDefault="00264B69" w:rsidP="00264B69">
      <w:pPr>
        <w:jc w:val="both"/>
        <w:rPr>
          <w:rFonts w:ascii="Arial" w:hAnsi="Arial" w:cs="Arial"/>
        </w:rPr>
      </w:pPr>
      <w:r w:rsidRPr="00264B69">
        <w:rPr>
          <w:rFonts w:ascii="Arial" w:hAnsi="Arial" w:cs="Arial"/>
        </w:rPr>
        <w:t xml:space="preserve">The EA published its </w:t>
      </w:r>
      <w:r w:rsidR="002606C4">
        <w:rPr>
          <w:rFonts w:ascii="Arial" w:hAnsi="Arial" w:cs="Arial"/>
        </w:rPr>
        <w:t xml:space="preserve">updated </w:t>
      </w:r>
      <w:r w:rsidRPr="00264B69">
        <w:rPr>
          <w:rFonts w:ascii="Arial" w:hAnsi="Arial" w:cs="Arial"/>
        </w:rPr>
        <w:t>methodology for the derivation of EALs in 2012</w:t>
      </w:r>
      <w:r w:rsidR="00CF1D97">
        <w:rPr>
          <w:rFonts w:ascii="Arial" w:hAnsi="Arial" w:cs="Arial"/>
        </w:rPr>
        <w:t>,</w:t>
      </w:r>
      <w:r w:rsidRPr="00264B69">
        <w:rPr>
          <w:rFonts w:ascii="Arial" w:hAnsi="Arial" w:cs="Arial"/>
        </w:rPr>
        <w:t xml:space="preserve"> with a greater emphasis on a robust review of the scientific evidence on adverse health effects.  Working in partnership with Public Health England (PHE), </w:t>
      </w:r>
      <w:r w:rsidR="00ED50E7">
        <w:rPr>
          <w:rFonts w:ascii="Arial" w:hAnsi="Arial" w:cs="Arial"/>
        </w:rPr>
        <w:t xml:space="preserve">now the UK Health Security Agency, UKHSA, </w:t>
      </w:r>
      <w:r w:rsidRPr="00264B69">
        <w:rPr>
          <w:rFonts w:ascii="Arial" w:hAnsi="Arial" w:cs="Arial"/>
        </w:rPr>
        <w:t xml:space="preserve">the EA initiated a systematic review of EALs in 2019 to ensure that the existing recommendations are underpinned by the latest science.  As a result, the EA has recently completed </w:t>
      </w:r>
      <w:r w:rsidR="00B02BD7">
        <w:rPr>
          <w:rFonts w:ascii="Arial" w:hAnsi="Arial" w:cs="Arial"/>
        </w:rPr>
        <w:t xml:space="preserve">two rounds of EAL revisions. We have now completed the review of </w:t>
      </w:r>
      <w:r w:rsidR="00F73696">
        <w:rPr>
          <w:rFonts w:ascii="Arial" w:hAnsi="Arial" w:cs="Arial"/>
        </w:rPr>
        <w:t xml:space="preserve">EALs for </w:t>
      </w:r>
      <w:r w:rsidR="00725859">
        <w:rPr>
          <w:rFonts w:ascii="Arial" w:hAnsi="Arial" w:cs="Arial"/>
        </w:rPr>
        <w:t>2</w:t>
      </w:r>
      <w:r w:rsidR="00F0213F">
        <w:rPr>
          <w:rFonts w:ascii="Arial" w:hAnsi="Arial" w:cs="Arial"/>
        </w:rPr>
        <w:t>3</w:t>
      </w:r>
      <w:r w:rsidR="00725859">
        <w:rPr>
          <w:rFonts w:ascii="Arial" w:hAnsi="Arial" w:cs="Arial"/>
        </w:rPr>
        <w:t xml:space="preserve"> </w:t>
      </w:r>
      <w:r w:rsidRPr="00264B69">
        <w:rPr>
          <w:rFonts w:ascii="Arial" w:hAnsi="Arial" w:cs="Arial"/>
        </w:rPr>
        <w:t>substances</w:t>
      </w:r>
      <w:r w:rsidR="00F73696">
        <w:rPr>
          <w:rFonts w:ascii="Arial" w:hAnsi="Arial" w:cs="Arial"/>
        </w:rPr>
        <w:t>,</w:t>
      </w:r>
      <w:r w:rsidRPr="00264B69">
        <w:rPr>
          <w:rFonts w:ascii="Arial" w:hAnsi="Arial" w:cs="Arial"/>
        </w:rPr>
        <w:t xml:space="preserve"> </w:t>
      </w:r>
      <w:r w:rsidR="002606C4">
        <w:rPr>
          <w:rFonts w:ascii="Arial" w:hAnsi="Arial" w:cs="Arial"/>
        </w:rPr>
        <w:t xml:space="preserve">and developed EALs for </w:t>
      </w:r>
      <w:r w:rsidR="00BD7EFF">
        <w:rPr>
          <w:rFonts w:ascii="Arial" w:hAnsi="Arial" w:cs="Arial"/>
        </w:rPr>
        <w:t>several</w:t>
      </w:r>
      <w:r w:rsidR="00BD7EFF" w:rsidRPr="00264B69">
        <w:rPr>
          <w:rFonts w:ascii="Arial" w:hAnsi="Arial" w:cs="Arial"/>
        </w:rPr>
        <w:t xml:space="preserve"> </w:t>
      </w:r>
      <w:r w:rsidRPr="00264B69">
        <w:rPr>
          <w:rFonts w:ascii="Arial" w:hAnsi="Arial" w:cs="Arial"/>
        </w:rPr>
        <w:t>new substances</w:t>
      </w:r>
      <w:r w:rsidR="002606C4">
        <w:rPr>
          <w:rFonts w:ascii="Arial" w:hAnsi="Arial" w:cs="Arial"/>
        </w:rPr>
        <w:t>,</w:t>
      </w:r>
      <w:r w:rsidRPr="00264B69">
        <w:rPr>
          <w:rFonts w:ascii="Arial" w:hAnsi="Arial" w:cs="Arial"/>
        </w:rPr>
        <w:t xml:space="preserve"> identified as being critical to the regulation of the carbon capture </w:t>
      </w:r>
      <w:r w:rsidR="00BD7EFF">
        <w:rPr>
          <w:rFonts w:ascii="Arial" w:hAnsi="Arial" w:cs="Arial"/>
        </w:rPr>
        <w:t xml:space="preserve">and storage </w:t>
      </w:r>
      <w:r w:rsidRPr="00264B69">
        <w:rPr>
          <w:rFonts w:ascii="Arial" w:hAnsi="Arial" w:cs="Arial"/>
        </w:rPr>
        <w:t>sector.</w:t>
      </w:r>
    </w:p>
    <w:p w14:paraId="0B8A2B52" w14:textId="77777777" w:rsidR="00264B69" w:rsidRPr="00264B69" w:rsidRDefault="00264B69" w:rsidP="00264B69">
      <w:pPr>
        <w:rPr>
          <w:rFonts w:ascii="Arial" w:hAnsi="Arial" w:cs="Arial"/>
        </w:rPr>
      </w:pPr>
    </w:p>
    <w:p w14:paraId="4EACADDF" w14:textId="77777777" w:rsidR="007E6FB2" w:rsidRPr="00CF7FF3" w:rsidRDefault="007E6FB2" w:rsidP="007E6FB2">
      <w:pPr>
        <w:rPr>
          <w:rFonts w:ascii="Arial" w:hAnsi="Arial" w:cs="Arial"/>
        </w:rPr>
      </w:pPr>
    </w:p>
    <w:p w14:paraId="51972FFC" w14:textId="77777777" w:rsidR="00C87B46" w:rsidRPr="00CF7FF3" w:rsidRDefault="00C87B46" w:rsidP="00C87B46">
      <w:pPr>
        <w:jc w:val="both"/>
        <w:rPr>
          <w:rFonts w:ascii="Arial" w:hAnsi="Arial" w:cs="Arial"/>
          <w:b/>
        </w:rPr>
      </w:pPr>
      <w:r w:rsidRPr="00CF7FF3">
        <w:rPr>
          <w:rFonts w:ascii="Arial" w:hAnsi="Arial" w:cs="Arial"/>
          <w:b/>
        </w:rPr>
        <w:t>References</w:t>
      </w:r>
    </w:p>
    <w:p w14:paraId="3018A692" w14:textId="77777777" w:rsidR="00C87B46" w:rsidRPr="00CF7FF3" w:rsidRDefault="00C87B46" w:rsidP="00C87B46">
      <w:pPr>
        <w:jc w:val="both"/>
        <w:rPr>
          <w:rFonts w:ascii="Arial" w:hAnsi="Arial" w:cs="Arial"/>
          <w:b/>
        </w:rPr>
      </w:pPr>
    </w:p>
    <w:p w14:paraId="3CBB0894" w14:textId="77777777" w:rsidR="00264B69" w:rsidRPr="00DA0A9A" w:rsidRDefault="00DA0A9A" w:rsidP="00C87B46">
      <w:pPr>
        <w:jc w:val="both"/>
        <w:rPr>
          <w:rFonts w:ascii="Arial" w:hAnsi="Arial" w:cs="Arial"/>
          <w:b/>
          <w:shd w:val="clear" w:color="auto" w:fill="FFFFFF"/>
        </w:rPr>
      </w:pPr>
      <w:r w:rsidRPr="00DA0A9A">
        <w:rPr>
          <w:rFonts w:ascii="Arial" w:hAnsi="Arial" w:cs="Arial"/>
          <w:b/>
          <w:shd w:val="clear" w:color="auto" w:fill="FFFFFF"/>
        </w:rPr>
        <w:t>List of Environmental Assessment Levels</w:t>
      </w:r>
    </w:p>
    <w:p w14:paraId="6E44F1ED" w14:textId="77777777" w:rsidR="00DA0A9A" w:rsidRDefault="006244A0" w:rsidP="00C87B46">
      <w:pPr>
        <w:jc w:val="both"/>
        <w:rPr>
          <w:rFonts w:ascii="Arial" w:hAnsi="Arial" w:cs="Arial"/>
          <w:shd w:val="clear" w:color="auto" w:fill="FFFFFF"/>
        </w:rPr>
      </w:pPr>
      <w:hyperlink r:id="rId21" w:anchor="environmental-standards-for-air-emissions" w:history="1">
        <w:r w:rsidRPr="009B141D">
          <w:rPr>
            <w:rStyle w:val="Hyperlink"/>
            <w:rFonts w:ascii="Arial" w:hAnsi="Arial" w:cs="Arial"/>
            <w:shd w:val="clear" w:color="auto" w:fill="FFFFFF"/>
          </w:rPr>
          <w:t>https://www.gov.uk/guidance/air-emissions-risk-assessment-for-your-environmental-permit#environmental-standards-for-air-emissions</w:t>
        </w:r>
      </w:hyperlink>
      <w:r>
        <w:rPr>
          <w:rFonts w:ascii="Arial" w:hAnsi="Arial" w:cs="Arial"/>
          <w:shd w:val="clear" w:color="auto" w:fill="FFFFFF"/>
        </w:rPr>
        <w:t xml:space="preserve"> </w:t>
      </w:r>
    </w:p>
    <w:p w14:paraId="6601FAF8" w14:textId="77777777" w:rsidR="006244A0" w:rsidRDefault="006244A0" w:rsidP="00C87B46">
      <w:pPr>
        <w:jc w:val="both"/>
        <w:rPr>
          <w:rFonts w:ascii="Arial" w:hAnsi="Arial" w:cs="Arial"/>
          <w:shd w:val="clear" w:color="auto" w:fill="FFFFFF"/>
        </w:rPr>
      </w:pPr>
    </w:p>
    <w:p w14:paraId="7505EF41" w14:textId="77777777" w:rsidR="00DA0A9A" w:rsidRPr="00DA0A9A" w:rsidRDefault="00DA0A9A" w:rsidP="00C87B46">
      <w:pPr>
        <w:jc w:val="both"/>
        <w:rPr>
          <w:rFonts w:ascii="Arial" w:hAnsi="Arial" w:cs="Arial"/>
          <w:b/>
          <w:shd w:val="clear" w:color="auto" w:fill="FFFFFF"/>
        </w:rPr>
      </w:pPr>
      <w:r w:rsidRPr="00DA0A9A">
        <w:rPr>
          <w:rFonts w:ascii="Arial" w:hAnsi="Arial" w:cs="Arial"/>
          <w:b/>
          <w:shd w:val="clear" w:color="auto" w:fill="FFFFFF"/>
        </w:rPr>
        <w:t>Guidance on the Derivation of Environmental Assessment Levels</w:t>
      </w:r>
    </w:p>
    <w:p w14:paraId="7FB897C8" w14:textId="77777777" w:rsidR="00DA0A9A" w:rsidRDefault="006244A0" w:rsidP="00C87B46">
      <w:pPr>
        <w:jc w:val="both"/>
        <w:rPr>
          <w:rFonts w:ascii="Arial" w:hAnsi="Arial" w:cs="Arial"/>
          <w:shd w:val="clear" w:color="auto" w:fill="FFFFFF"/>
        </w:rPr>
      </w:pPr>
      <w:hyperlink r:id="rId22" w:history="1">
        <w:r w:rsidRPr="009B141D">
          <w:rPr>
            <w:rStyle w:val="Hyperlink"/>
            <w:rFonts w:ascii="Arial" w:hAnsi="Arial" w:cs="Arial"/>
            <w:shd w:val="clear" w:color="auto" w:fill="FFFFFF"/>
          </w:rPr>
          <w:t>https://www.gov.uk/government/consultations/derivation-of-new-environmental-assessment-levels-to-air</w:t>
        </w:r>
      </w:hyperlink>
      <w:r>
        <w:rPr>
          <w:rFonts w:ascii="Arial" w:hAnsi="Arial" w:cs="Arial"/>
          <w:shd w:val="clear" w:color="auto" w:fill="FFFFFF"/>
        </w:rPr>
        <w:t xml:space="preserve"> </w:t>
      </w:r>
    </w:p>
    <w:p w14:paraId="67A3C791" w14:textId="77777777" w:rsidR="006244A0" w:rsidRDefault="006244A0" w:rsidP="00C87B46">
      <w:pPr>
        <w:jc w:val="both"/>
        <w:rPr>
          <w:rFonts w:ascii="Arial" w:hAnsi="Arial" w:cs="Arial"/>
          <w:shd w:val="clear" w:color="auto" w:fill="FFFFFF"/>
        </w:rPr>
      </w:pPr>
    </w:p>
    <w:p w14:paraId="112C05E2" w14:textId="666613D7" w:rsidR="006244A0" w:rsidRPr="006244A0" w:rsidRDefault="00DE24F7" w:rsidP="00C87B46">
      <w:pPr>
        <w:jc w:val="both"/>
        <w:rPr>
          <w:rFonts w:ascii="Arial" w:hAnsi="Arial" w:cs="Arial"/>
          <w:b/>
          <w:shd w:val="clear" w:color="auto" w:fill="FFFFFF"/>
        </w:rPr>
      </w:pPr>
      <w:r>
        <w:rPr>
          <w:rFonts w:ascii="Arial" w:hAnsi="Arial" w:cs="Arial"/>
          <w:b/>
          <w:shd w:val="clear" w:color="auto" w:fill="FFFFFF"/>
        </w:rPr>
        <w:t xml:space="preserve">Phase I </w:t>
      </w:r>
      <w:r w:rsidR="006244A0" w:rsidRPr="006244A0">
        <w:rPr>
          <w:rFonts w:ascii="Arial" w:hAnsi="Arial" w:cs="Arial"/>
          <w:b/>
          <w:shd w:val="clear" w:color="auto" w:fill="FFFFFF"/>
        </w:rPr>
        <w:t xml:space="preserve">Consultation on </w:t>
      </w:r>
      <w:r w:rsidR="006244A0">
        <w:rPr>
          <w:rFonts w:ascii="Arial" w:hAnsi="Arial" w:cs="Arial"/>
          <w:b/>
          <w:shd w:val="clear" w:color="auto" w:fill="FFFFFF"/>
        </w:rPr>
        <w:t xml:space="preserve">New </w:t>
      </w:r>
      <w:r w:rsidR="006244A0" w:rsidRPr="006244A0">
        <w:rPr>
          <w:rFonts w:ascii="Arial" w:hAnsi="Arial" w:cs="Arial"/>
          <w:b/>
          <w:shd w:val="clear" w:color="auto" w:fill="FFFFFF"/>
        </w:rPr>
        <w:t>Environmental Assessment Levels (Nov 2020 to Feb 2021)</w:t>
      </w:r>
      <w:r>
        <w:rPr>
          <w:rFonts w:ascii="Arial" w:hAnsi="Arial" w:cs="Arial"/>
          <w:b/>
          <w:shd w:val="clear" w:color="auto" w:fill="FFFFFF"/>
        </w:rPr>
        <w:t xml:space="preserve"> and Consultation Response Document</w:t>
      </w:r>
    </w:p>
    <w:p w14:paraId="60EA5A69" w14:textId="77777777" w:rsidR="006244A0" w:rsidRDefault="006244A0" w:rsidP="00C87B46">
      <w:pPr>
        <w:jc w:val="both"/>
        <w:rPr>
          <w:rFonts w:ascii="Arial" w:hAnsi="Arial" w:cs="Arial"/>
          <w:shd w:val="clear" w:color="auto" w:fill="FFFFFF"/>
        </w:rPr>
      </w:pPr>
      <w:hyperlink r:id="rId23" w:history="1">
        <w:r w:rsidRPr="009B141D">
          <w:rPr>
            <w:rStyle w:val="Hyperlink"/>
            <w:rFonts w:ascii="Arial" w:hAnsi="Arial" w:cs="Arial"/>
            <w:shd w:val="clear" w:color="auto" w:fill="FFFFFF"/>
          </w:rPr>
          <w:t>https://consult.environment-agency.gov.uk/environment-and-business/new-air-environmental-assessment-levels/</w:t>
        </w:r>
      </w:hyperlink>
      <w:r>
        <w:rPr>
          <w:rFonts w:ascii="Arial" w:hAnsi="Arial" w:cs="Arial"/>
          <w:shd w:val="clear" w:color="auto" w:fill="FFFFFF"/>
        </w:rPr>
        <w:t xml:space="preserve"> </w:t>
      </w:r>
    </w:p>
    <w:p w14:paraId="199B4789" w14:textId="77777777" w:rsidR="00C24614" w:rsidRDefault="00C24614" w:rsidP="00E65F5D">
      <w:pPr>
        <w:rPr>
          <w:rFonts w:ascii="Arial" w:hAnsi="Arial" w:cs="Arial"/>
          <w:shd w:val="clear" w:color="auto" w:fill="FFFFFF"/>
        </w:rPr>
      </w:pPr>
    </w:p>
    <w:p w14:paraId="2284632D" w14:textId="512A7563" w:rsidR="00DE24F7" w:rsidRDefault="008B0E04" w:rsidP="00E65F5D">
      <w:pPr>
        <w:rPr>
          <w:rFonts w:ascii="Arial" w:hAnsi="Arial" w:cs="Arial"/>
          <w:b/>
          <w:bCs/>
          <w:sz w:val="18"/>
        </w:rPr>
      </w:pPr>
      <w:hyperlink w:history="1">
        <w:r w:rsidRPr="008B0E04">
          <w:rPr>
            <w:rStyle w:val="Hyperlink"/>
            <w:rFonts w:ascii="Arial" w:hAnsi="Arial" w:cs="Arial"/>
            <w:b/>
            <w:bCs/>
            <w:sz w:val="18"/>
          </w:rPr>
          <w:t>Review of Environmental Assessment Levels (EALs) for emissions to air: second phase - GOV.UK (www.gov.uk)</w:t>
        </w:r>
      </w:hyperlink>
    </w:p>
    <w:p w14:paraId="51CCD5F4" w14:textId="77777777" w:rsidR="00585D85" w:rsidRDefault="00585D85" w:rsidP="00E65F5D">
      <w:pPr>
        <w:rPr>
          <w:rFonts w:ascii="Arial" w:hAnsi="Arial" w:cs="Arial"/>
          <w:b/>
          <w:bCs/>
          <w:sz w:val="18"/>
        </w:rPr>
      </w:pPr>
    </w:p>
    <w:p w14:paraId="452485FE" w14:textId="77777777" w:rsidR="008B0E04" w:rsidRPr="00585D85" w:rsidRDefault="008B0E04" w:rsidP="00E65F5D">
      <w:pPr>
        <w:rPr>
          <w:rFonts w:ascii="Arial" w:hAnsi="Arial" w:cs="Arial"/>
          <w:b/>
          <w:bCs/>
          <w:sz w:val="18"/>
        </w:rPr>
      </w:pPr>
    </w:p>
    <w:p w14:paraId="2042A264" w14:textId="77777777" w:rsidR="006739AF" w:rsidRPr="00CF7FF3" w:rsidRDefault="006739AF" w:rsidP="00300B3D">
      <w:pPr>
        <w:pStyle w:val="Heading1"/>
        <w:numPr>
          <w:ilvl w:val="0"/>
          <w:numId w:val="8"/>
        </w:numPr>
        <w:rPr>
          <w:rFonts w:cs="Arial"/>
          <w:sz w:val="20"/>
          <w:szCs w:val="22"/>
          <w:u w:val="single"/>
        </w:rPr>
      </w:pPr>
      <w:r w:rsidRPr="00CF7FF3">
        <w:rPr>
          <w:rFonts w:cs="Arial"/>
          <w:sz w:val="20"/>
          <w:szCs w:val="22"/>
          <w:u w:val="single"/>
        </w:rPr>
        <w:t>Specific Objectives/Deliverables</w:t>
      </w:r>
    </w:p>
    <w:p w14:paraId="375CA262" w14:textId="77777777" w:rsidR="007E6FB2" w:rsidRPr="00CF7FF3" w:rsidRDefault="007E6FB2" w:rsidP="007E6FB2"/>
    <w:p w14:paraId="5F0536DF" w14:textId="4D7A4124" w:rsidR="00EF1705" w:rsidRDefault="004B7452" w:rsidP="004B7452">
      <w:pPr>
        <w:jc w:val="both"/>
        <w:rPr>
          <w:rFonts w:ascii="Arial" w:hAnsi="Arial" w:cs="Arial"/>
        </w:rPr>
      </w:pPr>
      <w:r w:rsidRPr="00264B69">
        <w:rPr>
          <w:rFonts w:ascii="Arial" w:hAnsi="Arial" w:cs="Arial"/>
        </w:rPr>
        <w:t>Th</w:t>
      </w:r>
      <w:r>
        <w:rPr>
          <w:rFonts w:ascii="Arial" w:hAnsi="Arial" w:cs="Arial"/>
        </w:rPr>
        <w:t>e main objective of thi</w:t>
      </w:r>
      <w:r w:rsidRPr="00264B69">
        <w:rPr>
          <w:rFonts w:ascii="Arial" w:hAnsi="Arial" w:cs="Arial"/>
        </w:rPr>
        <w:t xml:space="preserve">s </w:t>
      </w:r>
      <w:r w:rsidR="006244A0" w:rsidRPr="00264B69">
        <w:rPr>
          <w:rFonts w:ascii="Arial" w:hAnsi="Arial" w:cs="Arial"/>
        </w:rPr>
        <w:t xml:space="preserve">project </w:t>
      </w:r>
      <w:r>
        <w:rPr>
          <w:rFonts w:ascii="Arial" w:hAnsi="Arial" w:cs="Arial"/>
        </w:rPr>
        <w:t xml:space="preserve">is to </w:t>
      </w:r>
      <w:r w:rsidR="006244A0" w:rsidRPr="00264B69">
        <w:rPr>
          <w:rFonts w:ascii="Arial" w:hAnsi="Arial" w:cs="Arial"/>
        </w:rPr>
        <w:t>continue the on-going review and revision of EALs</w:t>
      </w:r>
      <w:r w:rsidR="0076257C">
        <w:rPr>
          <w:rFonts w:ascii="Arial" w:hAnsi="Arial" w:cs="Arial"/>
        </w:rPr>
        <w:t xml:space="preserve"> </w:t>
      </w:r>
      <w:r w:rsidR="0076257C" w:rsidRPr="0076257C">
        <w:rPr>
          <w:rFonts w:ascii="Arial" w:hAnsi="Arial" w:cs="Arial"/>
        </w:rPr>
        <w:t>by applying the EA 2012 methodology, updated as appropriate to reflect our consultations (see details below)</w:t>
      </w:r>
      <w:r w:rsidR="006244A0" w:rsidRPr="00264B69">
        <w:rPr>
          <w:rFonts w:ascii="Arial" w:hAnsi="Arial" w:cs="Arial"/>
        </w:rPr>
        <w:t>. It will include the production of</w:t>
      </w:r>
      <w:r w:rsidR="00295611">
        <w:rPr>
          <w:rFonts w:ascii="Arial" w:hAnsi="Arial" w:cs="Arial"/>
        </w:rPr>
        <w:t xml:space="preserve"> individual </w:t>
      </w:r>
      <w:r w:rsidR="00CF2991">
        <w:rPr>
          <w:rFonts w:ascii="Arial" w:hAnsi="Arial" w:cs="Arial"/>
        </w:rPr>
        <w:t>dossiers</w:t>
      </w:r>
      <w:r w:rsidR="006244A0" w:rsidRPr="00264B69">
        <w:rPr>
          <w:rFonts w:ascii="Arial" w:hAnsi="Arial" w:cs="Arial"/>
        </w:rPr>
        <w:t xml:space="preserve"> on the toxicology of specific chemicals from the open and grey scientific literature</w:t>
      </w:r>
      <w:r>
        <w:rPr>
          <w:rFonts w:ascii="Arial" w:hAnsi="Arial" w:cs="Arial"/>
        </w:rPr>
        <w:t xml:space="preserve"> (the dossier</w:t>
      </w:r>
      <w:r w:rsidR="00C33467">
        <w:rPr>
          <w:rFonts w:ascii="Arial" w:hAnsi="Arial" w:cs="Arial"/>
        </w:rPr>
        <w:t>s</w:t>
      </w:r>
      <w:r>
        <w:rPr>
          <w:rFonts w:ascii="Arial" w:hAnsi="Arial" w:cs="Arial"/>
        </w:rPr>
        <w:t xml:space="preserve"> for </w:t>
      </w:r>
      <w:r w:rsidR="00AB120C">
        <w:rPr>
          <w:rFonts w:ascii="Arial" w:hAnsi="Arial" w:cs="Arial"/>
        </w:rPr>
        <w:t>selenium</w:t>
      </w:r>
      <w:r w:rsidR="00EE5343">
        <w:rPr>
          <w:rFonts w:ascii="Arial" w:hAnsi="Arial" w:cs="Arial"/>
        </w:rPr>
        <w:t xml:space="preserve"> and </w:t>
      </w:r>
      <w:r w:rsidR="00C9003D">
        <w:rPr>
          <w:rFonts w:ascii="Arial" w:hAnsi="Arial" w:cs="Arial"/>
        </w:rPr>
        <w:t>piperazine</w:t>
      </w:r>
      <w:r>
        <w:rPr>
          <w:rFonts w:ascii="Arial" w:hAnsi="Arial" w:cs="Arial"/>
        </w:rPr>
        <w:t xml:space="preserve"> </w:t>
      </w:r>
      <w:r w:rsidR="00206A79">
        <w:rPr>
          <w:rFonts w:ascii="Arial" w:hAnsi="Arial" w:cs="Arial"/>
        </w:rPr>
        <w:t xml:space="preserve">are </w:t>
      </w:r>
      <w:r>
        <w:rPr>
          <w:rFonts w:ascii="Arial" w:hAnsi="Arial" w:cs="Arial"/>
        </w:rPr>
        <w:t>provided as example</w:t>
      </w:r>
      <w:r w:rsidR="00206A79">
        <w:rPr>
          <w:rFonts w:ascii="Arial" w:hAnsi="Arial" w:cs="Arial"/>
        </w:rPr>
        <w:t>s</w:t>
      </w:r>
      <w:r>
        <w:rPr>
          <w:rFonts w:ascii="Arial" w:hAnsi="Arial" w:cs="Arial"/>
        </w:rPr>
        <w:t xml:space="preserve"> in Appendix </w:t>
      </w:r>
      <w:r w:rsidR="002650B4">
        <w:rPr>
          <w:rFonts w:ascii="Arial" w:hAnsi="Arial" w:cs="Arial"/>
        </w:rPr>
        <w:t>D</w:t>
      </w:r>
      <w:r>
        <w:rPr>
          <w:rFonts w:ascii="Arial" w:hAnsi="Arial" w:cs="Arial"/>
        </w:rPr>
        <w:t>)</w:t>
      </w:r>
      <w:r w:rsidR="00295611">
        <w:rPr>
          <w:rFonts w:ascii="Arial" w:hAnsi="Arial" w:cs="Arial"/>
        </w:rPr>
        <w:t xml:space="preserve">, which will be the basis for establishing updated EALs, short term and/or </w:t>
      </w:r>
      <w:r w:rsidR="00FB707C">
        <w:rPr>
          <w:rFonts w:ascii="Arial" w:hAnsi="Arial" w:cs="Arial"/>
        </w:rPr>
        <w:t>long-term</w:t>
      </w:r>
      <w:r w:rsidR="00295611">
        <w:rPr>
          <w:rFonts w:ascii="Arial" w:hAnsi="Arial" w:cs="Arial"/>
        </w:rPr>
        <w:t xml:space="preserve"> depending on the data, for each compound</w:t>
      </w:r>
      <w:r>
        <w:rPr>
          <w:rFonts w:ascii="Arial" w:hAnsi="Arial" w:cs="Arial"/>
        </w:rPr>
        <w:t>.</w:t>
      </w:r>
      <w:r w:rsidR="00563CB9">
        <w:rPr>
          <w:rFonts w:ascii="Arial" w:hAnsi="Arial" w:cs="Arial"/>
        </w:rPr>
        <w:t xml:space="preserve">  The proposed EALs will be submitted for agreement by the </w:t>
      </w:r>
      <w:r w:rsidR="00563CB9" w:rsidRPr="00264B69">
        <w:rPr>
          <w:rFonts w:ascii="Arial" w:hAnsi="Arial" w:cs="Arial"/>
        </w:rPr>
        <w:t xml:space="preserve">EA and </w:t>
      </w:r>
      <w:r w:rsidR="00563CB9">
        <w:rPr>
          <w:rFonts w:ascii="Arial" w:hAnsi="Arial" w:cs="Arial"/>
        </w:rPr>
        <w:t xml:space="preserve">UKHSA. </w:t>
      </w:r>
      <w:r>
        <w:rPr>
          <w:rFonts w:ascii="Arial" w:hAnsi="Arial" w:cs="Arial"/>
        </w:rPr>
        <w:t xml:space="preserve">In addition, the contractors may be required to provide </w:t>
      </w:r>
      <w:r w:rsidR="006244A0" w:rsidRPr="00264B69">
        <w:rPr>
          <w:rFonts w:ascii="Arial" w:hAnsi="Arial" w:cs="Arial"/>
        </w:rPr>
        <w:t xml:space="preserve">expert advice </w:t>
      </w:r>
      <w:r>
        <w:rPr>
          <w:rFonts w:ascii="Arial" w:hAnsi="Arial" w:cs="Arial"/>
        </w:rPr>
        <w:t xml:space="preserve">on request, in the form of a briefing note, for </w:t>
      </w:r>
      <w:r w:rsidR="006244A0" w:rsidRPr="00264B69">
        <w:rPr>
          <w:rFonts w:ascii="Arial" w:hAnsi="Arial" w:cs="Arial"/>
        </w:rPr>
        <w:t xml:space="preserve">selected toxicological issues such as a synthesis of </w:t>
      </w:r>
      <w:r w:rsidR="006244A0" w:rsidRPr="00264B69">
        <w:rPr>
          <w:rFonts w:ascii="Arial" w:hAnsi="Arial" w:cs="Arial"/>
          <w:i/>
        </w:rPr>
        <w:t>in vitro</w:t>
      </w:r>
      <w:r w:rsidR="006244A0" w:rsidRPr="00264B69">
        <w:rPr>
          <w:rFonts w:ascii="Arial" w:hAnsi="Arial" w:cs="Arial"/>
        </w:rPr>
        <w:t xml:space="preserve"> and </w:t>
      </w:r>
      <w:r w:rsidR="006244A0" w:rsidRPr="00264B69">
        <w:rPr>
          <w:rFonts w:ascii="Arial" w:hAnsi="Arial" w:cs="Arial"/>
          <w:i/>
        </w:rPr>
        <w:t>in vivo</w:t>
      </w:r>
      <w:r w:rsidR="006244A0" w:rsidRPr="00264B69">
        <w:rPr>
          <w:rFonts w:ascii="Arial" w:hAnsi="Arial" w:cs="Arial"/>
        </w:rPr>
        <w:t xml:space="preserve"> evidence on genotoxicity and mutagenicity.</w:t>
      </w:r>
      <w:r w:rsidR="006244A0">
        <w:rPr>
          <w:rFonts w:ascii="Arial" w:hAnsi="Arial" w:cs="Arial"/>
        </w:rPr>
        <w:t xml:space="preserve">  </w:t>
      </w:r>
      <w:r w:rsidR="006244A0" w:rsidRPr="00264B69">
        <w:rPr>
          <w:rFonts w:ascii="Arial" w:hAnsi="Arial" w:cs="Arial"/>
        </w:rPr>
        <w:t xml:space="preserve">The work undertaken will be carried out under the direction of the </w:t>
      </w:r>
      <w:r w:rsidR="003159C3">
        <w:rPr>
          <w:rFonts w:ascii="Arial" w:hAnsi="Arial" w:cs="Arial"/>
        </w:rPr>
        <w:t xml:space="preserve">EA’s </w:t>
      </w:r>
      <w:r w:rsidR="006244A0" w:rsidRPr="00264B69">
        <w:rPr>
          <w:rFonts w:ascii="Arial" w:hAnsi="Arial" w:cs="Arial"/>
        </w:rPr>
        <w:t>Chief Scientist’s Group</w:t>
      </w:r>
      <w:r w:rsidR="00F90369">
        <w:rPr>
          <w:rFonts w:ascii="Arial" w:hAnsi="Arial" w:cs="Arial"/>
        </w:rPr>
        <w:t>,</w:t>
      </w:r>
      <w:r w:rsidR="006244A0" w:rsidRPr="00264B69">
        <w:rPr>
          <w:rFonts w:ascii="Arial" w:hAnsi="Arial" w:cs="Arial"/>
        </w:rPr>
        <w:t xml:space="preserve"> who will also liaise with </w:t>
      </w:r>
      <w:r w:rsidR="003159C3">
        <w:rPr>
          <w:rFonts w:ascii="Arial" w:hAnsi="Arial" w:cs="Arial"/>
        </w:rPr>
        <w:t>UKHSA</w:t>
      </w:r>
      <w:r w:rsidR="006244A0" w:rsidRPr="00264B69">
        <w:rPr>
          <w:rFonts w:ascii="Arial" w:hAnsi="Arial" w:cs="Arial"/>
        </w:rPr>
        <w:t>.</w:t>
      </w:r>
    </w:p>
    <w:p w14:paraId="1903801C" w14:textId="77777777" w:rsidR="00EF1705" w:rsidRDefault="00EF1705" w:rsidP="004B7452">
      <w:pPr>
        <w:jc w:val="both"/>
        <w:rPr>
          <w:rFonts w:ascii="Arial" w:hAnsi="Arial" w:cs="Arial"/>
        </w:rPr>
      </w:pPr>
    </w:p>
    <w:p w14:paraId="4829BD87" w14:textId="77777777" w:rsidR="00570131" w:rsidRDefault="00570131" w:rsidP="004B7452">
      <w:pPr>
        <w:jc w:val="both"/>
        <w:rPr>
          <w:rFonts w:ascii="Arial" w:hAnsi="Arial" w:cs="Arial"/>
        </w:rPr>
      </w:pPr>
    </w:p>
    <w:p w14:paraId="365668CC" w14:textId="77777777" w:rsidR="00EF1705" w:rsidRPr="00CF7FF3" w:rsidRDefault="00EF1705" w:rsidP="00EF1705">
      <w:pPr>
        <w:rPr>
          <w:rFonts w:ascii="Arial" w:hAnsi="Arial" w:cs="Arial"/>
          <w:szCs w:val="22"/>
        </w:rPr>
      </w:pPr>
      <w:r w:rsidRPr="00CF7FF3">
        <w:rPr>
          <w:rFonts w:ascii="Arial" w:hAnsi="Arial" w:cs="Arial"/>
          <w:szCs w:val="22"/>
        </w:rPr>
        <w:t>Key activities:</w:t>
      </w:r>
    </w:p>
    <w:p w14:paraId="2BFF1D8C" w14:textId="77777777" w:rsidR="00EF1705" w:rsidRPr="00CF7FF3" w:rsidRDefault="00EF1705" w:rsidP="00EF1705">
      <w:pPr>
        <w:rPr>
          <w:rFonts w:ascii="Arial" w:hAnsi="Arial" w:cs="Arial"/>
          <w:szCs w:val="22"/>
        </w:rPr>
      </w:pPr>
    </w:p>
    <w:p w14:paraId="258EFA8B" w14:textId="1F74022F" w:rsidR="009A0033" w:rsidRDefault="009A0033" w:rsidP="009F4746">
      <w:pPr>
        <w:ind w:left="720"/>
        <w:rPr>
          <w:rFonts w:ascii="Arial" w:hAnsi="Arial" w:cs="Arial"/>
        </w:rPr>
      </w:pPr>
    </w:p>
    <w:p w14:paraId="738A46B3" w14:textId="629D7F51" w:rsidR="00DD3075" w:rsidRDefault="00FB77D0" w:rsidP="005D0586">
      <w:pPr>
        <w:pStyle w:val="ListParagraph"/>
        <w:numPr>
          <w:ilvl w:val="0"/>
          <w:numId w:val="34"/>
        </w:numPr>
        <w:rPr>
          <w:rFonts w:cs="Arial"/>
          <w:sz w:val="20"/>
          <w:szCs w:val="20"/>
        </w:rPr>
      </w:pPr>
      <w:r>
        <w:rPr>
          <w:rFonts w:cs="Arial"/>
          <w:sz w:val="20"/>
          <w:szCs w:val="20"/>
        </w:rPr>
        <w:t>Dossiers should be prepared for eac</w:t>
      </w:r>
      <w:r w:rsidR="00CA56CF">
        <w:rPr>
          <w:rFonts w:cs="Arial"/>
          <w:sz w:val="20"/>
          <w:szCs w:val="20"/>
        </w:rPr>
        <w:t>h individual substance identified in Table 1</w:t>
      </w:r>
      <w:r w:rsidR="00CC5F1C">
        <w:rPr>
          <w:rFonts w:cs="Arial"/>
          <w:sz w:val="20"/>
          <w:szCs w:val="20"/>
        </w:rPr>
        <w:t>, which must be co</w:t>
      </w:r>
      <w:r w:rsidR="00CA56CF">
        <w:rPr>
          <w:rFonts w:cs="Arial"/>
          <w:sz w:val="20"/>
          <w:szCs w:val="20"/>
        </w:rPr>
        <w:t xml:space="preserve">nsistent with the </w:t>
      </w:r>
      <w:r w:rsidR="00D9422E">
        <w:rPr>
          <w:rFonts w:cs="Arial"/>
          <w:sz w:val="20"/>
          <w:szCs w:val="20"/>
        </w:rPr>
        <w:t>layout</w:t>
      </w:r>
      <w:r w:rsidR="00B82EEA">
        <w:rPr>
          <w:rFonts w:cs="Arial"/>
          <w:sz w:val="20"/>
          <w:szCs w:val="20"/>
        </w:rPr>
        <w:t>, structure, and content</w:t>
      </w:r>
      <w:r w:rsidR="00CA56CF">
        <w:rPr>
          <w:rFonts w:cs="Arial"/>
          <w:sz w:val="20"/>
          <w:szCs w:val="20"/>
        </w:rPr>
        <w:t xml:space="preserve"> </w:t>
      </w:r>
      <w:r w:rsidR="00CC5F1C">
        <w:rPr>
          <w:rFonts w:cs="Arial"/>
          <w:sz w:val="20"/>
          <w:szCs w:val="20"/>
        </w:rPr>
        <w:t>as illustrated in the examples provided.</w:t>
      </w:r>
      <w:r w:rsidR="00CA56CF">
        <w:rPr>
          <w:rFonts w:cs="Arial"/>
          <w:sz w:val="20"/>
          <w:szCs w:val="20"/>
        </w:rPr>
        <w:t xml:space="preserve"> </w:t>
      </w:r>
      <w:r w:rsidR="00FA62BB">
        <w:rPr>
          <w:rFonts w:cs="Arial"/>
          <w:sz w:val="20"/>
          <w:szCs w:val="20"/>
        </w:rPr>
        <w:t>In some cases, the information provided in existing reviews by authoritative bodies ma</w:t>
      </w:r>
      <w:r w:rsidR="00E23797">
        <w:rPr>
          <w:rFonts w:cs="Arial"/>
          <w:sz w:val="20"/>
          <w:szCs w:val="20"/>
        </w:rPr>
        <w:t>y</w:t>
      </w:r>
      <w:r w:rsidR="00FA62BB">
        <w:rPr>
          <w:rFonts w:cs="Arial"/>
          <w:sz w:val="20"/>
          <w:szCs w:val="20"/>
        </w:rPr>
        <w:t xml:space="preserve"> be sufficient to prepare the dossiers. However, where appropriate, additional toxicological studies may be </w:t>
      </w:r>
      <w:r w:rsidR="005E1951">
        <w:rPr>
          <w:rFonts w:cs="Arial"/>
          <w:sz w:val="20"/>
          <w:szCs w:val="20"/>
        </w:rPr>
        <w:t xml:space="preserve">identified and summarised from the </w:t>
      </w:r>
      <w:r w:rsidR="00F213B0">
        <w:rPr>
          <w:rFonts w:cs="Arial"/>
          <w:sz w:val="20"/>
          <w:szCs w:val="20"/>
        </w:rPr>
        <w:t xml:space="preserve">published scientific and grey </w:t>
      </w:r>
      <w:r w:rsidR="005E1951">
        <w:rPr>
          <w:rFonts w:cs="Arial"/>
          <w:sz w:val="20"/>
          <w:szCs w:val="20"/>
        </w:rPr>
        <w:t>literature.  Authoritative bodies includ</w:t>
      </w:r>
      <w:r w:rsidR="00DF4957">
        <w:rPr>
          <w:rFonts w:cs="Arial"/>
          <w:sz w:val="20"/>
          <w:szCs w:val="20"/>
        </w:rPr>
        <w:t>e</w:t>
      </w:r>
      <w:r w:rsidR="00E23797">
        <w:rPr>
          <w:rFonts w:cs="Arial"/>
          <w:sz w:val="20"/>
          <w:szCs w:val="20"/>
        </w:rPr>
        <w:t xml:space="preserve"> those identified in the updated methodology</w:t>
      </w:r>
      <w:r w:rsidR="00E80562">
        <w:rPr>
          <w:rFonts w:cs="Arial"/>
          <w:sz w:val="20"/>
          <w:szCs w:val="20"/>
        </w:rPr>
        <w:t xml:space="preserve">. </w:t>
      </w:r>
      <w:r w:rsidR="00F213B0">
        <w:rPr>
          <w:rFonts w:cs="Arial"/>
          <w:sz w:val="20"/>
          <w:szCs w:val="20"/>
        </w:rPr>
        <w:t xml:space="preserve"> (</w:t>
      </w:r>
      <w:r w:rsidR="00021959" w:rsidRPr="00091CA7">
        <w:rPr>
          <w:rFonts w:cs="Arial"/>
          <w:sz w:val="20"/>
          <w:szCs w:val="20"/>
        </w:rPr>
        <w:t>An update to the methodology is in preparation and the draft will be shared with the appointed contractors. While the revised method has not substantially changed the approach, the new guide includes clearer worked examples from recently revised EALs and provides clearer direction on specific aspects such as the choice and value of commonly applied uncertainty factors</w:t>
      </w:r>
      <w:r w:rsidR="008F71D6" w:rsidRPr="00091CA7">
        <w:rPr>
          <w:rFonts w:cs="Arial"/>
          <w:sz w:val="20"/>
          <w:szCs w:val="20"/>
        </w:rPr>
        <w:t>,</w:t>
      </w:r>
      <w:r w:rsidR="008F71D6">
        <w:rPr>
          <w:rFonts w:cs="Arial"/>
          <w:sz w:val="20"/>
          <w:szCs w:val="20"/>
        </w:rPr>
        <w:t xml:space="preserve"> however, please see current methodology</w:t>
      </w:r>
      <w:r w:rsidR="00630C5A">
        <w:rPr>
          <w:rFonts w:cs="Arial"/>
          <w:sz w:val="20"/>
          <w:szCs w:val="20"/>
        </w:rPr>
        <w:t xml:space="preserve"> (</w:t>
      </w:r>
      <w:hyperlink r:id="rId24" w:history="1">
        <w:r w:rsidR="00B46DBF" w:rsidRPr="00B46DBF">
          <w:rPr>
            <w:rStyle w:val="Hyperlink"/>
            <w:rFonts w:cs="Arial"/>
            <w:sz w:val="20"/>
            <w:szCs w:val="20"/>
          </w:rPr>
          <w:t>Derivation of new Environmental Assessment Levels to air - GOV.UK (www.gov.uk)</w:t>
        </w:r>
      </w:hyperlink>
      <w:r w:rsidR="00B46DBF">
        <w:rPr>
          <w:rFonts w:cs="Arial"/>
          <w:sz w:val="20"/>
          <w:szCs w:val="20"/>
        </w:rPr>
        <w:t>)</w:t>
      </w:r>
      <w:r w:rsidR="008F71D6">
        <w:rPr>
          <w:rFonts w:cs="Arial"/>
          <w:sz w:val="20"/>
          <w:szCs w:val="20"/>
        </w:rPr>
        <w:t xml:space="preserve"> </w:t>
      </w:r>
      <w:r w:rsidR="00630C5A">
        <w:rPr>
          <w:rFonts w:cs="Arial"/>
          <w:sz w:val="20"/>
          <w:szCs w:val="20"/>
        </w:rPr>
        <w:t>in the first instance.</w:t>
      </w:r>
      <w:r w:rsidR="00DF4957">
        <w:rPr>
          <w:rFonts w:cs="Arial"/>
          <w:sz w:val="20"/>
          <w:szCs w:val="20"/>
        </w:rPr>
        <w:t>)</w:t>
      </w:r>
      <w:r w:rsidR="00E23797">
        <w:rPr>
          <w:rFonts w:cs="Arial"/>
          <w:sz w:val="20"/>
          <w:szCs w:val="20"/>
        </w:rPr>
        <w:t xml:space="preserve"> but this may be supplemented by other organisations including environmental protection </w:t>
      </w:r>
      <w:r w:rsidR="00F213B0">
        <w:rPr>
          <w:rFonts w:cs="Arial"/>
          <w:sz w:val="20"/>
          <w:szCs w:val="20"/>
        </w:rPr>
        <w:t xml:space="preserve">and health </w:t>
      </w:r>
      <w:r w:rsidR="00E23797">
        <w:rPr>
          <w:rFonts w:cs="Arial"/>
          <w:sz w:val="20"/>
          <w:szCs w:val="20"/>
        </w:rPr>
        <w:t xml:space="preserve">agencies in other countries and individual </w:t>
      </w:r>
      <w:r w:rsidR="00F213B0">
        <w:rPr>
          <w:rFonts w:cs="Arial"/>
          <w:sz w:val="20"/>
          <w:szCs w:val="20"/>
        </w:rPr>
        <w:t>US states.</w:t>
      </w:r>
    </w:p>
    <w:p w14:paraId="694AD744" w14:textId="77777777" w:rsidR="00760EEF" w:rsidRDefault="0056177D" w:rsidP="005D0586">
      <w:pPr>
        <w:pStyle w:val="ListParagraph"/>
        <w:numPr>
          <w:ilvl w:val="0"/>
          <w:numId w:val="34"/>
        </w:numPr>
        <w:rPr>
          <w:rFonts w:cs="Arial"/>
          <w:sz w:val="20"/>
          <w:szCs w:val="20"/>
        </w:rPr>
      </w:pPr>
      <w:r>
        <w:rPr>
          <w:rFonts w:cs="Arial"/>
          <w:sz w:val="20"/>
          <w:szCs w:val="20"/>
        </w:rPr>
        <w:t xml:space="preserve">Where available, </w:t>
      </w:r>
      <w:r w:rsidR="001F1DD5">
        <w:rPr>
          <w:rFonts w:cs="Arial"/>
          <w:sz w:val="20"/>
          <w:szCs w:val="20"/>
        </w:rPr>
        <w:t xml:space="preserve">relevant </w:t>
      </w:r>
      <w:r>
        <w:rPr>
          <w:rFonts w:cs="Arial"/>
          <w:sz w:val="20"/>
          <w:szCs w:val="20"/>
        </w:rPr>
        <w:t xml:space="preserve">data </w:t>
      </w:r>
      <w:r w:rsidR="001F1DD5">
        <w:rPr>
          <w:rFonts w:cs="Arial"/>
          <w:sz w:val="20"/>
          <w:szCs w:val="20"/>
        </w:rPr>
        <w:t xml:space="preserve">and authoritative opinions </w:t>
      </w:r>
      <w:r>
        <w:rPr>
          <w:rFonts w:cs="Arial"/>
          <w:sz w:val="20"/>
          <w:szCs w:val="20"/>
        </w:rPr>
        <w:t xml:space="preserve">should be summarised on </w:t>
      </w:r>
      <w:r w:rsidR="00E63565">
        <w:rPr>
          <w:rFonts w:cs="Arial"/>
          <w:sz w:val="20"/>
          <w:szCs w:val="20"/>
        </w:rPr>
        <w:t>substance identity and use</w:t>
      </w:r>
      <w:r w:rsidR="001F1DD5">
        <w:rPr>
          <w:rFonts w:cs="Arial"/>
          <w:sz w:val="20"/>
          <w:szCs w:val="20"/>
        </w:rPr>
        <w:t>;</w:t>
      </w:r>
      <w:r w:rsidR="00E63565">
        <w:rPr>
          <w:rFonts w:cs="Arial"/>
          <w:sz w:val="20"/>
          <w:szCs w:val="20"/>
        </w:rPr>
        <w:t xml:space="preserve"> </w:t>
      </w:r>
      <w:r>
        <w:rPr>
          <w:rFonts w:cs="Arial"/>
          <w:sz w:val="20"/>
          <w:szCs w:val="20"/>
        </w:rPr>
        <w:t>absorption, distribution, metabolism,</w:t>
      </w:r>
      <w:r w:rsidR="00E63565">
        <w:rPr>
          <w:rFonts w:cs="Arial"/>
          <w:sz w:val="20"/>
          <w:szCs w:val="20"/>
        </w:rPr>
        <w:t xml:space="preserve"> and</w:t>
      </w:r>
      <w:r>
        <w:rPr>
          <w:rFonts w:cs="Arial"/>
          <w:sz w:val="20"/>
          <w:szCs w:val="20"/>
        </w:rPr>
        <w:t xml:space="preserve"> excretion</w:t>
      </w:r>
      <w:r w:rsidR="00E63565">
        <w:rPr>
          <w:rFonts w:cs="Arial"/>
          <w:sz w:val="20"/>
          <w:szCs w:val="20"/>
        </w:rPr>
        <w:t xml:space="preserve"> (ADME)</w:t>
      </w:r>
      <w:r w:rsidR="001F1DD5">
        <w:rPr>
          <w:rFonts w:cs="Arial"/>
          <w:sz w:val="20"/>
          <w:szCs w:val="20"/>
        </w:rPr>
        <w:t>;</w:t>
      </w:r>
      <w:r w:rsidR="00F213B0">
        <w:rPr>
          <w:rFonts w:cs="Arial"/>
          <w:sz w:val="20"/>
          <w:szCs w:val="20"/>
        </w:rPr>
        <w:t xml:space="preserve"> </w:t>
      </w:r>
      <w:r w:rsidR="00E63565">
        <w:rPr>
          <w:rFonts w:cs="Arial"/>
          <w:sz w:val="20"/>
          <w:szCs w:val="20"/>
        </w:rPr>
        <w:t>adverse observed effects in human and animal studies from short and long-term exposure</w:t>
      </w:r>
      <w:r w:rsidR="001F1DD5">
        <w:rPr>
          <w:rFonts w:cs="Arial"/>
          <w:sz w:val="20"/>
          <w:szCs w:val="20"/>
        </w:rPr>
        <w:t xml:space="preserve">, carcinogenicity and genotoxicity, and the </w:t>
      </w:r>
      <w:r w:rsidR="003867A9">
        <w:rPr>
          <w:rFonts w:cs="Arial"/>
          <w:sz w:val="20"/>
          <w:szCs w:val="20"/>
        </w:rPr>
        <w:t>derivation of any health-based guidance values reported by authoritative bodies</w:t>
      </w:r>
      <w:r w:rsidR="00E63565">
        <w:rPr>
          <w:rFonts w:cs="Arial"/>
          <w:sz w:val="20"/>
          <w:szCs w:val="20"/>
        </w:rPr>
        <w:t xml:space="preserve">.  While the focus should be on the inhalation route, key data from oral studies, which might suggest a more sensitive </w:t>
      </w:r>
      <w:r w:rsidR="00396127">
        <w:rPr>
          <w:rFonts w:cs="Arial"/>
          <w:sz w:val="20"/>
          <w:szCs w:val="20"/>
        </w:rPr>
        <w:t xml:space="preserve">effect than via inhalation, should also be reported.  When referring to studies reported in an existing authoritative review, </w:t>
      </w:r>
      <w:r w:rsidR="00072799">
        <w:rPr>
          <w:rFonts w:cs="Arial"/>
          <w:sz w:val="20"/>
          <w:szCs w:val="20"/>
        </w:rPr>
        <w:t>it is not necessary to review every cited study</w:t>
      </w:r>
      <w:r w:rsidR="00A02D27">
        <w:rPr>
          <w:rFonts w:cs="Arial"/>
          <w:sz w:val="20"/>
          <w:szCs w:val="20"/>
        </w:rPr>
        <w:t xml:space="preserve">. However, any study on which a proposed environmental assessment level is based, </w:t>
      </w:r>
      <w:r w:rsidR="00AF74B3">
        <w:rPr>
          <w:rFonts w:cs="Arial"/>
          <w:sz w:val="20"/>
          <w:szCs w:val="20"/>
        </w:rPr>
        <w:t>should be obtained and reviewed, if practical to do so</w:t>
      </w:r>
      <w:r w:rsidR="00A02D27">
        <w:rPr>
          <w:rFonts w:cs="Arial"/>
          <w:sz w:val="20"/>
          <w:szCs w:val="20"/>
        </w:rPr>
        <w:t xml:space="preserve"> (exceptions being unpublished data and </w:t>
      </w:r>
      <w:r w:rsidR="00760EEF">
        <w:rPr>
          <w:rFonts w:cs="Arial"/>
          <w:sz w:val="20"/>
          <w:szCs w:val="20"/>
        </w:rPr>
        <w:t>articles only in a foreign language)</w:t>
      </w:r>
      <w:r w:rsidR="00AF74B3">
        <w:rPr>
          <w:rFonts w:cs="Arial"/>
          <w:sz w:val="20"/>
          <w:szCs w:val="20"/>
        </w:rPr>
        <w:t>.</w:t>
      </w:r>
    </w:p>
    <w:p w14:paraId="6C0A4CB1" w14:textId="52ED1C6F" w:rsidR="000A6311" w:rsidRDefault="002F05D5" w:rsidP="00D9422E">
      <w:pPr>
        <w:pStyle w:val="ListParagraph"/>
        <w:numPr>
          <w:ilvl w:val="0"/>
          <w:numId w:val="34"/>
        </w:numPr>
        <w:rPr>
          <w:rFonts w:cs="Arial"/>
          <w:sz w:val="20"/>
          <w:szCs w:val="20"/>
        </w:rPr>
      </w:pPr>
      <w:r>
        <w:rPr>
          <w:rFonts w:cs="Arial"/>
          <w:sz w:val="20"/>
          <w:szCs w:val="20"/>
        </w:rPr>
        <w:t xml:space="preserve">Each dossier will set out one or more </w:t>
      </w:r>
      <w:r w:rsidR="00831388" w:rsidRPr="005D0586">
        <w:rPr>
          <w:rFonts w:cs="Arial"/>
          <w:sz w:val="20"/>
          <w:szCs w:val="20"/>
        </w:rPr>
        <w:t>preliminary recommendation</w:t>
      </w:r>
      <w:r w:rsidR="004B5F4F">
        <w:rPr>
          <w:rFonts w:cs="Arial"/>
          <w:sz w:val="20"/>
          <w:szCs w:val="20"/>
        </w:rPr>
        <w:t>s</w:t>
      </w:r>
      <w:r w:rsidR="00831388" w:rsidRPr="005D0586">
        <w:rPr>
          <w:rFonts w:cs="Arial"/>
          <w:sz w:val="20"/>
          <w:szCs w:val="20"/>
        </w:rPr>
        <w:t xml:space="preserve"> for a short- and long-term EAL, as appropriate.  These recommendations can include the adoption of an existing opinion or a new derivation including uncertainty factors</w:t>
      </w:r>
      <w:r w:rsidR="00CD2CCF">
        <w:rPr>
          <w:rFonts w:cs="Arial"/>
          <w:sz w:val="20"/>
          <w:szCs w:val="20"/>
        </w:rPr>
        <w:t xml:space="preserve">, taking account </w:t>
      </w:r>
      <w:r w:rsidR="00D9422E">
        <w:rPr>
          <w:rFonts w:cs="Arial"/>
          <w:sz w:val="20"/>
          <w:szCs w:val="20"/>
        </w:rPr>
        <w:t xml:space="preserve">of </w:t>
      </w:r>
      <w:r w:rsidR="00CD2CCF">
        <w:rPr>
          <w:rFonts w:cs="Arial"/>
          <w:sz w:val="20"/>
          <w:szCs w:val="20"/>
        </w:rPr>
        <w:t>the updated methodology (</w:t>
      </w:r>
      <w:r w:rsidR="0072131E">
        <w:rPr>
          <w:rFonts w:cs="Arial"/>
          <w:sz w:val="20"/>
          <w:szCs w:val="20"/>
        </w:rPr>
        <w:t>available on request</w:t>
      </w:r>
      <w:r w:rsidR="00CD2CCF">
        <w:rPr>
          <w:rFonts w:cs="Arial"/>
          <w:sz w:val="20"/>
          <w:szCs w:val="20"/>
        </w:rPr>
        <w:t>)</w:t>
      </w:r>
      <w:r w:rsidR="00831388" w:rsidRPr="005D0586">
        <w:rPr>
          <w:rFonts w:cs="Arial"/>
          <w:sz w:val="20"/>
          <w:szCs w:val="20"/>
        </w:rPr>
        <w:t>.  All approaches must be fully explained including the incorporation of modelling data as appropriate (such as the outcome of benchmark dose modelling)</w:t>
      </w:r>
      <w:r w:rsidR="008D44C2">
        <w:rPr>
          <w:rFonts w:cs="Arial"/>
          <w:sz w:val="20"/>
          <w:szCs w:val="20"/>
        </w:rPr>
        <w:t xml:space="preserve"> and the justification for use of uncertainty factors</w:t>
      </w:r>
      <w:r w:rsidR="00831388" w:rsidRPr="005D0586">
        <w:rPr>
          <w:rFonts w:cs="Arial"/>
          <w:sz w:val="20"/>
          <w:szCs w:val="20"/>
        </w:rPr>
        <w:t>.</w:t>
      </w:r>
    </w:p>
    <w:p w14:paraId="5573B46A" w14:textId="33A0F6D7" w:rsidR="00831388" w:rsidRDefault="000A6311" w:rsidP="00627561">
      <w:pPr>
        <w:pStyle w:val="ListParagraph"/>
        <w:numPr>
          <w:ilvl w:val="0"/>
          <w:numId w:val="34"/>
        </w:numPr>
        <w:rPr>
          <w:rFonts w:cs="Arial"/>
          <w:sz w:val="20"/>
          <w:szCs w:val="20"/>
        </w:rPr>
      </w:pPr>
      <w:r w:rsidRPr="001930FD">
        <w:rPr>
          <w:rFonts w:cs="Arial"/>
          <w:sz w:val="20"/>
          <w:szCs w:val="20"/>
        </w:rPr>
        <w:t xml:space="preserve">Each dossier should also include an assessment of practical compliance (see the example dossiers provided in Appendix </w:t>
      </w:r>
      <w:r w:rsidR="00C32B2A">
        <w:rPr>
          <w:rFonts w:cs="Arial"/>
          <w:sz w:val="20"/>
          <w:szCs w:val="20"/>
        </w:rPr>
        <w:t>D</w:t>
      </w:r>
      <w:r w:rsidRPr="001930FD">
        <w:rPr>
          <w:rFonts w:cs="Arial"/>
          <w:sz w:val="20"/>
          <w:szCs w:val="20"/>
        </w:rPr>
        <w:t xml:space="preserve"> for further information). </w:t>
      </w:r>
      <w:r w:rsidR="00831388" w:rsidRPr="001930FD">
        <w:rPr>
          <w:rFonts w:cs="Arial"/>
          <w:sz w:val="20"/>
          <w:szCs w:val="20"/>
        </w:rPr>
        <w:t> </w:t>
      </w:r>
    </w:p>
    <w:p w14:paraId="1EBAD213" w14:textId="142FC513" w:rsidR="00831388" w:rsidRPr="000E0909" w:rsidRDefault="00057C2C" w:rsidP="000E0909">
      <w:pPr>
        <w:pStyle w:val="ListParagraph"/>
        <w:numPr>
          <w:ilvl w:val="0"/>
          <w:numId w:val="34"/>
        </w:numPr>
        <w:rPr>
          <w:rFonts w:cs="Arial"/>
          <w:sz w:val="20"/>
          <w:szCs w:val="20"/>
        </w:rPr>
      </w:pPr>
      <w:r w:rsidRPr="000E0909">
        <w:rPr>
          <w:rFonts w:cs="Arial"/>
          <w:sz w:val="20"/>
          <w:szCs w:val="20"/>
        </w:rPr>
        <w:lastRenderedPageBreak/>
        <w:t xml:space="preserve">After EA internal review, the </w:t>
      </w:r>
      <w:r w:rsidR="00831388" w:rsidRPr="000E0909">
        <w:rPr>
          <w:rFonts w:cs="Arial"/>
          <w:sz w:val="20"/>
          <w:szCs w:val="20"/>
        </w:rPr>
        <w:t>draft dossiers will be shared with the UK Health Security Agency (UKHSA)</w:t>
      </w:r>
      <w:r w:rsidR="00FC3543" w:rsidRPr="000E0909">
        <w:rPr>
          <w:rFonts w:cs="Arial"/>
          <w:sz w:val="20"/>
          <w:szCs w:val="20"/>
        </w:rPr>
        <w:t>. They may request further</w:t>
      </w:r>
      <w:r w:rsidR="00732DAC" w:rsidRPr="000E0909">
        <w:rPr>
          <w:rFonts w:cs="Arial"/>
          <w:sz w:val="20"/>
          <w:szCs w:val="20"/>
        </w:rPr>
        <w:t xml:space="preserve"> information to clarify the evidence</w:t>
      </w:r>
      <w:r w:rsidR="00831388" w:rsidRPr="000E0909">
        <w:rPr>
          <w:rFonts w:cs="Arial"/>
          <w:sz w:val="20"/>
          <w:szCs w:val="20"/>
        </w:rPr>
        <w:t xml:space="preserve"> </w:t>
      </w:r>
      <w:r w:rsidR="009E08E6" w:rsidRPr="000E0909">
        <w:rPr>
          <w:rFonts w:cs="Arial"/>
          <w:sz w:val="20"/>
          <w:szCs w:val="20"/>
        </w:rPr>
        <w:t xml:space="preserve">before making final </w:t>
      </w:r>
      <w:r w:rsidR="00831388" w:rsidRPr="000E0909">
        <w:rPr>
          <w:rFonts w:cs="Arial"/>
          <w:sz w:val="20"/>
          <w:szCs w:val="20"/>
        </w:rPr>
        <w:t>recommendations for an appropriate short- and/or long-term EAL for each substance (if there is sufficient information to do so).  The contractor will be expected to take</w:t>
      </w:r>
      <w:r w:rsidR="00831388" w:rsidRPr="000E0909">
        <w:rPr>
          <w:rFonts w:cs="Arial"/>
        </w:rPr>
        <w:t xml:space="preserve"> </w:t>
      </w:r>
      <w:r w:rsidR="00831388" w:rsidRPr="000E0909">
        <w:rPr>
          <w:rFonts w:cs="Arial"/>
          <w:sz w:val="20"/>
          <w:szCs w:val="20"/>
        </w:rPr>
        <w:t>account of UKHSA feedback before finalising the dossier and any recommendations</w:t>
      </w:r>
      <w:r w:rsidR="001A6164" w:rsidRPr="000E0909">
        <w:rPr>
          <w:rFonts w:cs="Arial"/>
          <w:sz w:val="20"/>
          <w:szCs w:val="20"/>
        </w:rPr>
        <w:t xml:space="preserve"> to ensure a clear narrative</w:t>
      </w:r>
      <w:r w:rsidR="00831388" w:rsidRPr="000E0909">
        <w:rPr>
          <w:rFonts w:cs="Arial"/>
          <w:sz w:val="20"/>
          <w:szCs w:val="20"/>
        </w:rPr>
        <w:t>.</w:t>
      </w:r>
      <w:r w:rsidR="00831388" w:rsidRPr="000E0909">
        <w:rPr>
          <w:rFonts w:cs="Arial"/>
        </w:rPr>
        <w:t>  </w:t>
      </w:r>
    </w:p>
    <w:p w14:paraId="09862A6D" w14:textId="6717113E" w:rsidR="008206E2" w:rsidRDefault="008206E2" w:rsidP="009F4746">
      <w:pPr>
        <w:ind w:left="1080"/>
        <w:rPr>
          <w:rFonts w:ascii="Arial" w:hAnsi="Arial" w:cs="Arial"/>
        </w:rPr>
      </w:pPr>
    </w:p>
    <w:p w14:paraId="62E110EC" w14:textId="7B164886" w:rsidR="00EF1705" w:rsidRDefault="008206E2" w:rsidP="008206E2">
      <w:pPr>
        <w:ind w:left="360"/>
        <w:rPr>
          <w:rFonts w:ascii="Arial" w:hAnsi="Arial" w:cs="Arial"/>
        </w:rPr>
      </w:pPr>
      <w:r>
        <w:rPr>
          <w:rFonts w:ascii="Arial" w:hAnsi="Arial" w:cs="Arial"/>
        </w:rPr>
        <w:t xml:space="preserve"> </w:t>
      </w:r>
    </w:p>
    <w:p w14:paraId="05604AFB" w14:textId="7396C717" w:rsidR="00EF1705" w:rsidRDefault="00230768" w:rsidP="009F4746">
      <w:pPr>
        <w:ind w:left="360"/>
        <w:rPr>
          <w:rFonts w:ascii="Arial" w:hAnsi="Arial" w:cs="Arial"/>
        </w:rPr>
      </w:pPr>
      <w:r>
        <w:rPr>
          <w:rFonts w:ascii="Arial" w:hAnsi="Arial" w:cs="Arial"/>
        </w:rPr>
        <w:t xml:space="preserve">The list </w:t>
      </w:r>
      <w:r w:rsidR="00094C8A">
        <w:rPr>
          <w:rFonts w:ascii="Arial" w:hAnsi="Arial" w:cs="Arial"/>
        </w:rPr>
        <w:t xml:space="preserve">and number </w:t>
      </w:r>
      <w:r>
        <w:rPr>
          <w:rFonts w:ascii="Arial" w:hAnsi="Arial" w:cs="Arial"/>
        </w:rPr>
        <w:t xml:space="preserve">of substances to be addressed </w:t>
      </w:r>
      <w:r w:rsidR="00040881">
        <w:rPr>
          <w:rFonts w:ascii="Arial" w:hAnsi="Arial" w:cs="Arial"/>
        </w:rPr>
        <w:t>are listed in Table 1</w:t>
      </w:r>
      <w:r w:rsidR="00D849F2">
        <w:rPr>
          <w:rFonts w:ascii="Arial" w:hAnsi="Arial" w:cs="Arial"/>
        </w:rPr>
        <w:t xml:space="preserve">.  </w:t>
      </w:r>
      <w:r w:rsidR="00854B3E">
        <w:rPr>
          <w:rFonts w:ascii="Arial" w:hAnsi="Arial" w:cs="Arial"/>
        </w:rPr>
        <w:t xml:space="preserve">Where appropriate, we have identified those substances where an initial review was carried out in 2019/20.  This text will be </w:t>
      </w:r>
      <w:r w:rsidR="00F7725D">
        <w:rPr>
          <w:rFonts w:ascii="Arial" w:hAnsi="Arial" w:cs="Arial"/>
        </w:rPr>
        <w:t>shared with</w:t>
      </w:r>
      <w:r w:rsidR="00854B3E">
        <w:rPr>
          <w:rFonts w:ascii="Arial" w:hAnsi="Arial" w:cs="Arial"/>
        </w:rPr>
        <w:t xml:space="preserve"> the successful contractor</w:t>
      </w:r>
      <w:r w:rsidR="00F7725D">
        <w:rPr>
          <w:rFonts w:ascii="Arial" w:hAnsi="Arial" w:cs="Arial"/>
        </w:rPr>
        <w:t xml:space="preserve">. </w:t>
      </w:r>
      <w:r w:rsidR="00D849F2">
        <w:rPr>
          <w:rFonts w:ascii="Arial" w:hAnsi="Arial" w:cs="Arial"/>
        </w:rPr>
        <w:t xml:space="preserve">We encourage the tendering contractors to consider the number of these substances that can be reviewed within the </w:t>
      </w:r>
      <w:r w:rsidR="00094C8A">
        <w:rPr>
          <w:rFonts w:ascii="Arial" w:hAnsi="Arial" w:cs="Arial"/>
        </w:rPr>
        <w:t xml:space="preserve">available </w:t>
      </w:r>
      <w:r>
        <w:rPr>
          <w:rFonts w:ascii="Arial" w:hAnsi="Arial" w:cs="Arial"/>
        </w:rPr>
        <w:t>budget, and timescales.</w:t>
      </w:r>
    </w:p>
    <w:p w14:paraId="402381C1" w14:textId="77777777" w:rsidR="006244A0" w:rsidRDefault="006244A0" w:rsidP="00300B3D">
      <w:pPr>
        <w:rPr>
          <w:rFonts w:ascii="Arial" w:hAnsi="Arial" w:cs="Arial"/>
          <w:szCs w:val="22"/>
        </w:rPr>
      </w:pPr>
    </w:p>
    <w:p w14:paraId="00696993" w14:textId="77777777" w:rsidR="008206E2" w:rsidRDefault="008206E2" w:rsidP="00725725">
      <w:pPr>
        <w:rPr>
          <w:rFonts w:ascii="Arial" w:hAnsi="Arial" w:cs="Arial"/>
          <w:u w:val="single"/>
        </w:rPr>
      </w:pPr>
    </w:p>
    <w:p w14:paraId="66CE7459" w14:textId="1979EFBA" w:rsidR="00E84703" w:rsidRDefault="00E84703" w:rsidP="00E84703">
      <w:pPr>
        <w:rPr>
          <w:rFonts w:ascii="Arial" w:hAnsi="Arial" w:cs="Arial"/>
          <w:u w:val="single"/>
        </w:rPr>
      </w:pPr>
      <w:r w:rsidRPr="008206E2">
        <w:rPr>
          <w:rFonts w:ascii="Arial" w:hAnsi="Arial" w:cs="Arial"/>
          <w:u w:val="single"/>
        </w:rPr>
        <w:t>Table 1</w:t>
      </w:r>
      <w:r>
        <w:rPr>
          <w:rFonts w:ascii="Arial" w:hAnsi="Arial" w:cs="Arial"/>
          <w:u w:val="single"/>
        </w:rPr>
        <w:t xml:space="preserve"> Priority Chemicals for EAL review </w:t>
      </w:r>
    </w:p>
    <w:p w14:paraId="2127B760" w14:textId="77777777" w:rsidR="00E84703" w:rsidRPr="008206E2" w:rsidRDefault="00E84703" w:rsidP="00725725">
      <w:pPr>
        <w:rPr>
          <w:rFonts w:ascii="Arial" w:hAnsi="Arial" w:cs="Arial"/>
          <w:u w:val="single"/>
        </w:rPr>
      </w:pPr>
    </w:p>
    <w:tbl>
      <w:tblPr>
        <w:tblW w:w="8044" w:type="dxa"/>
        <w:tblCellMar>
          <w:top w:w="15" w:type="dxa"/>
          <w:bottom w:w="15" w:type="dxa"/>
        </w:tblCellMar>
        <w:tblLook w:val="04A0" w:firstRow="1" w:lastRow="0" w:firstColumn="1" w:lastColumn="0" w:noHBand="0" w:noVBand="1"/>
      </w:tblPr>
      <w:tblGrid>
        <w:gridCol w:w="960"/>
        <w:gridCol w:w="2800"/>
        <w:gridCol w:w="1910"/>
        <w:gridCol w:w="2374"/>
      </w:tblGrid>
      <w:tr w:rsidR="00FA500A" w:rsidRPr="00CF1AE6" w14:paraId="588E8CB6" w14:textId="77777777" w:rsidTr="00FA500A">
        <w:trPr>
          <w:trHeight w:val="300"/>
        </w:trPr>
        <w:tc>
          <w:tcPr>
            <w:tcW w:w="960" w:type="dxa"/>
            <w:tcBorders>
              <w:top w:val="nil"/>
              <w:left w:val="nil"/>
              <w:bottom w:val="nil"/>
              <w:right w:val="nil"/>
            </w:tcBorders>
            <w:noWrap/>
            <w:hideMark/>
          </w:tcPr>
          <w:p w14:paraId="010A54A8" w14:textId="77777777" w:rsidR="00FA500A" w:rsidRPr="00CF1AE6" w:rsidRDefault="00FA500A" w:rsidP="00CF1AE6"/>
        </w:tc>
        <w:tc>
          <w:tcPr>
            <w:tcW w:w="2800" w:type="dxa"/>
            <w:tcBorders>
              <w:top w:val="nil"/>
              <w:left w:val="nil"/>
              <w:bottom w:val="nil"/>
              <w:right w:val="nil"/>
            </w:tcBorders>
            <w:shd w:val="clear" w:color="000000" w:fill="A6A6A6"/>
            <w:noWrap/>
            <w:hideMark/>
          </w:tcPr>
          <w:p w14:paraId="045E7332"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Substance</w:t>
            </w:r>
          </w:p>
        </w:tc>
        <w:tc>
          <w:tcPr>
            <w:tcW w:w="1910" w:type="dxa"/>
            <w:tcBorders>
              <w:top w:val="nil"/>
              <w:left w:val="nil"/>
              <w:bottom w:val="nil"/>
              <w:right w:val="nil"/>
            </w:tcBorders>
            <w:shd w:val="clear" w:color="000000" w:fill="A6A6A6"/>
            <w:noWrap/>
            <w:hideMark/>
          </w:tcPr>
          <w:p w14:paraId="3676078D"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CAS No.</w:t>
            </w:r>
          </w:p>
        </w:tc>
        <w:tc>
          <w:tcPr>
            <w:tcW w:w="2374" w:type="dxa"/>
            <w:tcBorders>
              <w:top w:val="nil"/>
              <w:left w:val="nil"/>
              <w:bottom w:val="nil"/>
              <w:right w:val="nil"/>
            </w:tcBorders>
            <w:shd w:val="clear" w:color="000000" w:fill="A6A6A6"/>
            <w:noWrap/>
            <w:hideMark/>
          </w:tcPr>
          <w:p w14:paraId="21D73810"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Notes</w:t>
            </w:r>
          </w:p>
        </w:tc>
      </w:tr>
      <w:tr w:rsidR="00FA500A" w:rsidRPr="00CF1AE6" w14:paraId="5C314148" w14:textId="77777777" w:rsidTr="00FA500A">
        <w:trPr>
          <w:trHeight w:val="300"/>
        </w:trPr>
        <w:tc>
          <w:tcPr>
            <w:tcW w:w="960" w:type="dxa"/>
            <w:tcBorders>
              <w:top w:val="nil"/>
              <w:left w:val="nil"/>
              <w:bottom w:val="nil"/>
              <w:right w:val="nil"/>
            </w:tcBorders>
            <w:noWrap/>
            <w:hideMark/>
          </w:tcPr>
          <w:p w14:paraId="6FB90638" w14:textId="77777777" w:rsidR="00FA500A" w:rsidRPr="00CF1AE6" w:rsidRDefault="00FA500A" w:rsidP="00CF1AE6">
            <w:pPr>
              <w:jc w:val="right"/>
              <w:rPr>
                <w:rFonts w:ascii="Calibri" w:hAnsi="Calibri" w:cs="Calibri"/>
                <w:color w:val="000000"/>
                <w:sz w:val="22"/>
                <w:szCs w:val="22"/>
              </w:rPr>
            </w:pPr>
            <w:r w:rsidRPr="00CF1AE6">
              <w:rPr>
                <w:rFonts w:ascii="Calibri" w:hAnsi="Calibri" w:cs="Calibri"/>
                <w:color w:val="000000"/>
                <w:sz w:val="22"/>
                <w:szCs w:val="22"/>
              </w:rPr>
              <w:t>1</w:t>
            </w:r>
          </w:p>
        </w:tc>
        <w:tc>
          <w:tcPr>
            <w:tcW w:w="2800" w:type="dxa"/>
            <w:tcBorders>
              <w:top w:val="nil"/>
              <w:left w:val="nil"/>
              <w:bottom w:val="nil"/>
              <w:right w:val="nil"/>
            </w:tcBorders>
            <w:noWrap/>
            <w:hideMark/>
          </w:tcPr>
          <w:p w14:paraId="283085F6" w14:textId="66EC9635" w:rsidR="00FA500A" w:rsidRPr="00CF1AE6" w:rsidRDefault="0008558D" w:rsidP="00CF1AE6">
            <w:pPr>
              <w:rPr>
                <w:rFonts w:ascii="Calibri" w:hAnsi="Calibri" w:cs="Calibri"/>
                <w:color w:val="000000"/>
                <w:sz w:val="22"/>
                <w:szCs w:val="22"/>
              </w:rPr>
            </w:pPr>
            <w:r w:rsidRPr="0008558D">
              <w:rPr>
                <w:rFonts w:ascii="Calibri" w:hAnsi="Calibri" w:cs="Calibri"/>
                <w:color w:val="000000"/>
                <w:sz w:val="22"/>
                <w:szCs w:val="22"/>
              </w:rPr>
              <w:t>N-Methyl-2-pyrrolidone</w:t>
            </w:r>
            <w:r>
              <w:rPr>
                <w:rFonts w:ascii="Calibri" w:hAnsi="Calibri" w:cs="Calibri"/>
                <w:color w:val="000000"/>
                <w:sz w:val="22"/>
                <w:szCs w:val="22"/>
              </w:rPr>
              <w:t xml:space="preserve"> (NMP)</w:t>
            </w:r>
          </w:p>
        </w:tc>
        <w:tc>
          <w:tcPr>
            <w:tcW w:w="1910" w:type="dxa"/>
            <w:tcBorders>
              <w:top w:val="nil"/>
              <w:left w:val="nil"/>
              <w:bottom w:val="nil"/>
              <w:right w:val="nil"/>
            </w:tcBorders>
            <w:noWrap/>
            <w:hideMark/>
          </w:tcPr>
          <w:p w14:paraId="688FEC55" w14:textId="02D552AC" w:rsidR="00FA500A" w:rsidRPr="00CF1AE6" w:rsidRDefault="00FA61F6" w:rsidP="00CF1AE6">
            <w:pPr>
              <w:rPr>
                <w:rFonts w:ascii="Calibri" w:hAnsi="Calibri" w:cs="Calibri"/>
                <w:color w:val="000000"/>
                <w:sz w:val="22"/>
                <w:szCs w:val="22"/>
              </w:rPr>
            </w:pPr>
            <w:r>
              <w:rPr>
                <w:rFonts w:ascii="Calibri" w:hAnsi="Calibri" w:cs="Calibri"/>
                <w:color w:val="000000"/>
                <w:sz w:val="22"/>
                <w:szCs w:val="22"/>
              </w:rPr>
              <w:t>872-50-4</w:t>
            </w:r>
          </w:p>
        </w:tc>
        <w:tc>
          <w:tcPr>
            <w:tcW w:w="2374" w:type="dxa"/>
            <w:tcBorders>
              <w:top w:val="nil"/>
              <w:left w:val="nil"/>
              <w:bottom w:val="nil"/>
              <w:right w:val="nil"/>
            </w:tcBorders>
            <w:noWrap/>
            <w:hideMark/>
          </w:tcPr>
          <w:p w14:paraId="2F334029" w14:textId="77777777" w:rsidR="00FA500A" w:rsidRPr="00CF1AE6" w:rsidRDefault="00FA500A" w:rsidP="00CF1AE6">
            <w:pPr>
              <w:jc w:val="center"/>
              <w:rPr>
                <w:rFonts w:ascii="Calibri" w:hAnsi="Calibri" w:cs="Calibri"/>
                <w:color w:val="000000"/>
                <w:sz w:val="22"/>
                <w:szCs w:val="22"/>
              </w:rPr>
            </w:pPr>
          </w:p>
        </w:tc>
      </w:tr>
      <w:tr w:rsidR="00BA028E" w:rsidRPr="00CF1AE6" w14:paraId="1BF09E16" w14:textId="77777777" w:rsidTr="00FA500A">
        <w:trPr>
          <w:trHeight w:val="300"/>
        </w:trPr>
        <w:tc>
          <w:tcPr>
            <w:tcW w:w="960" w:type="dxa"/>
            <w:tcBorders>
              <w:top w:val="nil"/>
              <w:left w:val="nil"/>
              <w:bottom w:val="nil"/>
              <w:right w:val="nil"/>
            </w:tcBorders>
            <w:noWrap/>
          </w:tcPr>
          <w:p w14:paraId="5B315E03" w14:textId="188040F4" w:rsidR="00BA028E"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2</w:t>
            </w:r>
          </w:p>
        </w:tc>
        <w:tc>
          <w:tcPr>
            <w:tcW w:w="2800" w:type="dxa"/>
            <w:tcBorders>
              <w:top w:val="nil"/>
              <w:left w:val="nil"/>
              <w:bottom w:val="nil"/>
              <w:right w:val="nil"/>
            </w:tcBorders>
            <w:noWrap/>
          </w:tcPr>
          <w:p w14:paraId="0FF06E70" w14:textId="55622DC0" w:rsidR="00BA028E" w:rsidRPr="00CF1AE6" w:rsidRDefault="009638D9" w:rsidP="00CF1AE6">
            <w:pPr>
              <w:rPr>
                <w:rFonts w:ascii="Calibri" w:hAnsi="Calibri" w:cs="Calibri"/>
                <w:color w:val="000000"/>
                <w:sz w:val="22"/>
                <w:szCs w:val="22"/>
              </w:rPr>
            </w:pPr>
            <w:r>
              <w:rPr>
                <w:rFonts w:ascii="Calibri" w:hAnsi="Calibri" w:cs="Calibri"/>
                <w:color w:val="000000"/>
                <w:sz w:val="22"/>
                <w:szCs w:val="22"/>
              </w:rPr>
              <w:t>Bery</w:t>
            </w:r>
            <w:r w:rsidR="00FA61F6">
              <w:rPr>
                <w:rFonts w:ascii="Calibri" w:hAnsi="Calibri" w:cs="Calibri"/>
                <w:color w:val="000000"/>
                <w:sz w:val="22"/>
                <w:szCs w:val="22"/>
              </w:rPr>
              <w:t>llium</w:t>
            </w:r>
          </w:p>
        </w:tc>
        <w:tc>
          <w:tcPr>
            <w:tcW w:w="1910" w:type="dxa"/>
            <w:tcBorders>
              <w:top w:val="nil"/>
              <w:left w:val="nil"/>
              <w:bottom w:val="nil"/>
              <w:right w:val="nil"/>
            </w:tcBorders>
            <w:noWrap/>
          </w:tcPr>
          <w:p w14:paraId="15C96DE5" w14:textId="466B3903" w:rsidR="00BA028E" w:rsidRPr="00CF1AE6" w:rsidRDefault="00FA61F6" w:rsidP="00CF1AE6">
            <w:pPr>
              <w:rPr>
                <w:rFonts w:ascii="Calibri" w:hAnsi="Calibri" w:cs="Calibri"/>
                <w:color w:val="000000"/>
                <w:sz w:val="22"/>
                <w:szCs w:val="22"/>
              </w:rPr>
            </w:pPr>
            <w:r>
              <w:rPr>
                <w:rFonts w:ascii="Calibri" w:hAnsi="Calibri" w:cs="Calibri"/>
                <w:color w:val="000000"/>
                <w:sz w:val="22"/>
                <w:szCs w:val="22"/>
              </w:rPr>
              <w:t>7440-41-7</w:t>
            </w:r>
          </w:p>
        </w:tc>
        <w:tc>
          <w:tcPr>
            <w:tcW w:w="2374" w:type="dxa"/>
            <w:tcBorders>
              <w:top w:val="nil"/>
              <w:left w:val="nil"/>
              <w:bottom w:val="nil"/>
              <w:right w:val="nil"/>
            </w:tcBorders>
            <w:noWrap/>
          </w:tcPr>
          <w:p w14:paraId="6B89AE4D" w14:textId="77777777" w:rsidR="00BA028E" w:rsidRPr="00CF1AE6" w:rsidRDefault="00BA028E" w:rsidP="00CF1AE6">
            <w:pPr>
              <w:jc w:val="center"/>
              <w:rPr>
                <w:rFonts w:ascii="Calibri" w:hAnsi="Calibri" w:cs="Calibri"/>
                <w:color w:val="000000"/>
                <w:sz w:val="22"/>
                <w:szCs w:val="22"/>
              </w:rPr>
            </w:pPr>
          </w:p>
        </w:tc>
      </w:tr>
      <w:tr w:rsidR="00FA500A" w:rsidRPr="00CF1AE6" w14:paraId="70086DDB" w14:textId="77777777" w:rsidTr="00FA500A">
        <w:trPr>
          <w:trHeight w:val="300"/>
        </w:trPr>
        <w:tc>
          <w:tcPr>
            <w:tcW w:w="960" w:type="dxa"/>
            <w:tcBorders>
              <w:top w:val="nil"/>
              <w:left w:val="nil"/>
              <w:bottom w:val="nil"/>
              <w:right w:val="nil"/>
            </w:tcBorders>
            <w:noWrap/>
            <w:hideMark/>
          </w:tcPr>
          <w:p w14:paraId="68A23F92" w14:textId="76F8D077"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3</w:t>
            </w:r>
          </w:p>
        </w:tc>
        <w:tc>
          <w:tcPr>
            <w:tcW w:w="2800" w:type="dxa"/>
            <w:tcBorders>
              <w:top w:val="nil"/>
              <w:left w:val="nil"/>
              <w:bottom w:val="nil"/>
              <w:right w:val="nil"/>
            </w:tcBorders>
            <w:noWrap/>
            <w:hideMark/>
          </w:tcPr>
          <w:p w14:paraId="336DAAC4"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Aniline</w:t>
            </w:r>
          </w:p>
        </w:tc>
        <w:tc>
          <w:tcPr>
            <w:tcW w:w="1910" w:type="dxa"/>
            <w:tcBorders>
              <w:top w:val="nil"/>
              <w:left w:val="nil"/>
              <w:bottom w:val="nil"/>
              <w:right w:val="nil"/>
            </w:tcBorders>
            <w:noWrap/>
            <w:hideMark/>
          </w:tcPr>
          <w:p w14:paraId="113CFC2B"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 xml:space="preserve">62-53-3, 142-04-1 (HCl) </w:t>
            </w:r>
          </w:p>
        </w:tc>
        <w:tc>
          <w:tcPr>
            <w:tcW w:w="2374" w:type="dxa"/>
            <w:tcBorders>
              <w:top w:val="nil"/>
              <w:left w:val="nil"/>
              <w:bottom w:val="nil"/>
              <w:right w:val="nil"/>
            </w:tcBorders>
            <w:noWrap/>
            <w:hideMark/>
          </w:tcPr>
          <w:p w14:paraId="5E61FBDE" w14:textId="77777777" w:rsidR="00FA500A" w:rsidRPr="00CF1AE6" w:rsidRDefault="00FA500A" w:rsidP="00CF1AE6">
            <w:pPr>
              <w:jc w:val="center"/>
              <w:rPr>
                <w:rFonts w:ascii="Calibri" w:hAnsi="Calibri" w:cs="Calibri"/>
                <w:color w:val="000000"/>
                <w:sz w:val="22"/>
                <w:szCs w:val="22"/>
              </w:rPr>
            </w:pPr>
          </w:p>
        </w:tc>
      </w:tr>
      <w:tr w:rsidR="00FA500A" w:rsidRPr="00CF1AE6" w14:paraId="79CF1AEA" w14:textId="77777777" w:rsidTr="00FA500A">
        <w:trPr>
          <w:trHeight w:val="300"/>
        </w:trPr>
        <w:tc>
          <w:tcPr>
            <w:tcW w:w="960" w:type="dxa"/>
            <w:tcBorders>
              <w:top w:val="nil"/>
              <w:left w:val="nil"/>
              <w:bottom w:val="nil"/>
              <w:right w:val="nil"/>
            </w:tcBorders>
            <w:noWrap/>
            <w:hideMark/>
          </w:tcPr>
          <w:p w14:paraId="0E6B4E37" w14:textId="531C6D9B"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4</w:t>
            </w:r>
          </w:p>
        </w:tc>
        <w:tc>
          <w:tcPr>
            <w:tcW w:w="2800" w:type="dxa"/>
            <w:tcBorders>
              <w:top w:val="nil"/>
              <w:left w:val="nil"/>
              <w:bottom w:val="nil"/>
              <w:right w:val="nil"/>
            </w:tcBorders>
            <w:noWrap/>
            <w:hideMark/>
          </w:tcPr>
          <w:p w14:paraId="45A45DEF"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Bromomethane</w:t>
            </w:r>
          </w:p>
        </w:tc>
        <w:tc>
          <w:tcPr>
            <w:tcW w:w="1910" w:type="dxa"/>
            <w:tcBorders>
              <w:top w:val="nil"/>
              <w:left w:val="nil"/>
              <w:bottom w:val="nil"/>
              <w:right w:val="nil"/>
            </w:tcBorders>
            <w:noWrap/>
            <w:hideMark/>
          </w:tcPr>
          <w:p w14:paraId="4DB47E61"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 xml:space="preserve">74-83-9 </w:t>
            </w:r>
          </w:p>
        </w:tc>
        <w:tc>
          <w:tcPr>
            <w:tcW w:w="2374" w:type="dxa"/>
            <w:tcBorders>
              <w:top w:val="nil"/>
              <w:left w:val="nil"/>
              <w:bottom w:val="nil"/>
              <w:right w:val="nil"/>
            </w:tcBorders>
            <w:noWrap/>
            <w:hideMark/>
          </w:tcPr>
          <w:p w14:paraId="491305B7" w14:textId="77777777" w:rsidR="00FA500A" w:rsidRPr="00CF1AE6" w:rsidRDefault="00FA500A" w:rsidP="00CF1AE6">
            <w:pPr>
              <w:jc w:val="center"/>
              <w:rPr>
                <w:rFonts w:ascii="Calibri" w:hAnsi="Calibri" w:cs="Calibri"/>
                <w:color w:val="000000"/>
                <w:sz w:val="22"/>
                <w:szCs w:val="22"/>
              </w:rPr>
            </w:pPr>
          </w:p>
        </w:tc>
      </w:tr>
      <w:tr w:rsidR="00FA500A" w:rsidRPr="00CF1AE6" w14:paraId="6ABEA567" w14:textId="77777777" w:rsidTr="00FA500A">
        <w:trPr>
          <w:trHeight w:val="300"/>
        </w:trPr>
        <w:tc>
          <w:tcPr>
            <w:tcW w:w="960" w:type="dxa"/>
            <w:tcBorders>
              <w:top w:val="nil"/>
              <w:left w:val="nil"/>
              <w:bottom w:val="nil"/>
              <w:right w:val="nil"/>
            </w:tcBorders>
            <w:noWrap/>
            <w:hideMark/>
          </w:tcPr>
          <w:p w14:paraId="19487042" w14:textId="646EAB46"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5</w:t>
            </w:r>
          </w:p>
        </w:tc>
        <w:tc>
          <w:tcPr>
            <w:tcW w:w="2800" w:type="dxa"/>
            <w:tcBorders>
              <w:top w:val="nil"/>
              <w:left w:val="nil"/>
              <w:bottom w:val="nil"/>
              <w:right w:val="nil"/>
            </w:tcBorders>
            <w:noWrap/>
            <w:hideMark/>
          </w:tcPr>
          <w:p w14:paraId="0B074129"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Acetaldehyde</w:t>
            </w:r>
          </w:p>
        </w:tc>
        <w:tc>
          <w:tcPr>
            <w:tcW w:w="1910" w:type="dxa"/>
            <w:tcBorders>
              <w:top w:val="nil"/>
              <w:left w:val="nil"/>
              <w:bottom w:val="nil"/>
              <w:right w:val="nil"/>
            </w:tcBorders>
            <w:noWrap/>
            <w:hideMark/>
          </w:tcPr>
          <w:p w14:paraId="305B89AD" w14:textId="77777777" w:rsidR="00FA500A" w:rsidRPr="00CF1AE6" w:rsidRDefault="00FA500A" w:rsidP="00CF1AE6">
            <w:pPr>
              <w:rPr>
                <w:rFonts w:ascii="Calibri" w:hAnsi="Calibri" w:cs="Calibri"/>
                <w:color w:val="000000"/>
                <w:sz w:val="22"/>
                <w:szCs w:val="22"/>
              </w:rPr>
            </w:pPr>
            <w:r w:rsidRPr="00CF1AE6">
              <w:rPr>
                <w:rFonts w:ascii="Calibri" w:hAnsi="Calibri" w:cs="Calibri"/>
                <w:color w:val="000000"/>
                <w:sz w:val="22"/>
                <w:szCs w:val="22"/>
              </w:rPr>
              <w:t>75-07-0</w:t>
            </w:r>
          </w:p>
        </w:tc>
        <w:tc>
          <w:tcPr>
            <w:tcW w:w="2374" w:type="dxa"/>
            <w:tcBorders>
              <w:top w:val="nil"/>
              <w:left w:val="nil"/>
              <w:bottom w:val="nil"/>
              <w:right w:val="nil"/>
            </w:tcBorders>
            <w:noWrap/>
            <w:hideMark/>
          </w:tcPr>
          <w:p w14:paraId="7CB5EFD4" w14:textId="77777777" w:rsidR="00FA500A" w:rsidRPr="00CF1AE6" w:rsidRDefault="00FA500A" w:rsidP="00CF1AE6">
            <w:pPr>
              <w:jc w:val="center"/>
              <w:rPr>
                <w:rFonts w:ascii="Calibri" w:hAnsi="Calibri" w:cs="Calibri"/>
                <w:color w:val="000000"/>
                <w:sz w:val="22"/>
                <w:szCs w:val="22"/>
              </w:rPr>
            </w:pPr>
          </w:p>
        </w:tc>
      </w:tr>
      <w:tr w:rsidR="00FA500A" w:rsidRPr="00CF1AE6" w14:paraId="0FDFC3CF" w14:textId="77777777" w:rsidTr="00FA500A">
        <w:trPr>
          <w:trHeight w:val="300"/>
        </w:trPr>
        <w:tc>
          <w:tcPr>
            <w:tcW w:w="960" w:type="dxa"/>
            <w:tcBorders>
              <w:top w:val="nil"/>
              <w:left w:val="nil"/>
              <w:bottom w:val="nil"/>
              <w:right w:val="nil"/>
            </w:tcBorders>
            <w:noWrap/>
            <w:hideMark/>
          </w:tcPr>
          <w:p w14:paraId="2EDC5755" w14:textId="11A6F850"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6</w:t>
            </w:r>
          </w:p>
        </w:tc>
        <w:tc>
          <w:tcPr>
            <w:tcW w:w="2800" w:type="dxa"/>
            <w:tcBorders>
              <w:top w:val="nil"/>
              <w:left w:val="nil"/>
              <w:bottom w:val="nil"/>
              <w:right w:val="nil"/>
            </w:tcBorders>
            <w:noWrap/>
            <w:hideMark/>
          </w:tcPr>
          <w:p w14:paraId="560F1578" w14:textId="162CDD1D" w:rsidR="00FA500A" w:rsidRPr="00CF1AE6" w:rsidRDefault="00EB12FD" w:rsidP="00CF1AE6">
            <w:pPr>
              <w:rPr>
                <w:rFonts w:ascii="Calibri" w:hAnsi="Calibri" w:cs="Calibri"/>
                <w:color w:val="000000"/>
                <w:sz w:val="22"/>
                <w:szCs w:val="22"/>
              </w:rPr>
            </w:pPr>
            <w:r>
              <w:rPr>
                <w:rFonts w:ascii="Calibri" w:hAnsi="Calibri" w:cs="Calibri"/>
                <w:color w:val="000000"/>
                <w:sz w:val="22"/>
                <w:szCs w:val="22"/>
              </w:rPr>
              <w:t>Nitrogen Monoxide</w:t>
            </w:r>
          </w:p>
        </w:tc>
        <w:tc>
          <w:tcPr>
            <w:tcW w:w="1910" w:type="dxa"/>
            <w:tcBorders>
              <w:top w:val="nil"/>
              <w:left w:val="nil"/>
              <w:bottom w:val="nil"/>
              <w:right w:val="nil"/>
            </w:tcBorders>
            <w:noWrap/>
            <w:hideMark/>
          </w:tcPr>
          <w:p w14:paraId="1BB78246" w14:textId="7B4F0A14" w:rsidR="00FA500A" w:rsidRPr="00CF1AE6" w:rsidRDefault="008B1989" w:rsidP="00CF1AE6">
            <w:pPr>
              <w:rPr>
                <w:rFonts w:ascii="Calibri" w:hAnsi="Calibri" w:cs="Calibri"/>
                <w:color w:val="000000"/>
                <w:sz w:val="22"/>
                <w:szCs w:val="22"/>
              </w:rPr>
            </w:pPr>
            <w:r>
              <w:rPr>
                <w:rFonts w:ascii="Calibri" w:hAnsi="Calibri" w:cs="Calibri"/>
                <w:color w:val="000000"/>
                <w:sz w:val="22"/>
                <w:szCs w:val="22"/>
              </w:rPr>
              <w:t>10102-43-9</w:t>
            </w:r>
          </w:p>
        </w:tc>
        <w:tc>
          <w:tcPr>
            <w:tcW w:w="2374" w:type="dxa"/>
            <w:tcBorders>
              <w:top w:val="nil"/>
              <w:left w:val="nil"/>
              <w:bottom w:val="nil"/>
              <w:right w:val="nil"/>
            </w:tcBorders>
            <w:noWrap/>
            <w:hideMark/>
          </w:tcPr>
          <w:p w14:paraId="2296D7C1" w14:textId="3E87A389" w:rsidR="00FA500A" w:rsidRPr="00CF1AE6" w:rsidRDefault="000A5693" w:rsidP="000A5693">
            <w:pPr>
              <w:rPr>
                <w:rFonts w:ascii="Calibri" w:hAnsi="Calibri" w:cs="Calibri"/>
                <w:color w:val="000000"/>
                <w:sz w:val="22"/>
                <w:szCs w:val="22"/>
              </w:rPr>
            </w:pPr>
            <w:r>
              <w:rPr>
                <w:rFonts w:ascii="Calibri" w:hAnsi="Calibri" w:cs="Calibri"/>
                <w:color w:val="000000"/>
                <w:sz w:val="22"/>
                <w:szCs w:val="22"/>
              </w:rPr>
              <w:t>Initial review available.</w:t>
            </w:r>
          </w:p>
        </w:tc>
      </w:tr>
      <w:tr w:rsidR="00FA500A" w:rsidRPr="00CF1AE6" w14:paraId="67B243FD" w14:textId="77777777" w:rsidTr="00FA500A">
        <w:trPr>
          <w:trHeight w:val="300"/>
        </w:trPr>
        <w:tc>
          <w:tcPr>
            <w:tcW w:w="960" w:type="dxa"/>
            <w:tcBorders>
              <w:top w:val="nil"/>
              <w:left w:val="nil"/>
              <w:bottom w:val="nil"/>
              <w:right w:val="nil"/>
            </w:tcBorders>
            <w:noWrap/>
            <w:hideMark/>
          </w:tcPr>
          <w:p w14:paraId="166794A0" w14:textId="48D9EBBE"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7</w:t>
            </w:r>
          </w:p>
        </w:tc>
        <w:tc>
          <w:tcPr>
            <w:tcW w:w="2800" w:type="dxa"/>
            <w:tcBorders>
              <w:top w:val="nil"/>
              <w:left w:val="nil"/>
              <w:bottom w:val="nil"/>
              <w:right w:val="nil"/>
            </w:tcBorders>
            <w:noWrap/>
            <w:hideMark/>
          </w:tcPr>
          <w:p w14:paraId="1EBD68FD" w14:textId="79BBEEED" w:rsidR="00FA500A" w:rsidRPr="00CF1AE6" w:rsidRDefault="00E007A7" w:rsidP="00CF1AE6">
            <w:pPr>
              <w:rPr>
                <w:rFonts w:ascii="Calibri" w:hAnsi="Calibri" w:cs="Calibri"/>
                <w:color w:val="000000"/>
                <w:sz w:val="22"/>
                <w:szCs w:val="22"/>
              </w:rPr>
            </w:pPr>
            <w:r>
              <w:rPr>
                <w:rFonts w:ascii="Calibri" w:hAnsi="Calibri" w:cs="Calibri"/>
                <w:color w:val="000000"/>
                <w:sz w:val="22"/>
                <w:szCs w:val="22"/>
              </w:rPr>
              <w:t>Tetrahydrofuran</w:t>
            </w:r>
          </w:p>
        </w:tc>
        <w:tc>
          <w:tcPr>
            <w:tcW w:w="1910" w:type="dxa"/>
            <w:tcBorders>
              <w:top w:val="nil"/>
              <w:left w:val="nil"/>
              <w:bottom w:val="nil"/>
              <w:right w:val="nil"/>
            </w:tcBorders>
            <w:noWrap/>
            <w:hideMark/>
          </w:tcPr>
          <w:p w14:paraId="6371617D" w14:textId="72299A13" w:rsidR="00FA500A" w:rsidRPr="00CF1AE6" w:rsidRDefault="00E007A7" w:rsidP="00CF1AE6">
            <w:pPr>
              <w:rPr>
                <w:rFonts w:ascii="Calibri" w:hAnsi="Calibri" w:cs="Calibri"/>
                <w:color w:val="000000"/>
                <w:sz w:val="22"/>
                <w:szCs w:val="22"/>
              </w:rPr>
            </w:pPr>
            <w:r>
              <w:rPr>
                <w:rFonts w:ascii="Calibri" w:hAnsi="Calibri" w:cs="Calibri"/>
                <w:color w:val="000000"/>
                <w:sz w:val="22"/>
                <w:szCs w:val="22"/>
              </w:rPr>
              <w:t>109-99-9</w:t>
            </w:r>
          </w:p>
        </w:tc>
        <w:tc>
          <w:tcPr>
            <w:tcW w:w="2374" w:type="dxa"/>
            <w:tcBorders>
              <w:top w:val="nil"/>
              <w:left w:val="nil"/>
              <w:bottom w:val="nil"/>
              <w:right w:val="nil"/>
            </w:tcBorders>
            <w:noWrap/>
            <w:hideMark/>
          </w:tcPr>
          <w:p w14:paraId="4F46BC4A" w14:textId="77777777" w:rsidR="00FA500A" w:rsidRPr="00CF1AE6" w:rsidRDefault="00FA500A" w:rsidP="00CF1AE6">
            <w:pPr>
              <w:jc w:val="center"/>
              <w:rPr>
                <w:rFonts w:ascii="Calibri" w:hAnsi="Calibri" w:cs="Calibri"/>
                <w:color w:val="000000"/>
                <w:sz w:val="22"/>
                <w:szCs w:val="22"/>
              </w:rPr>
            </w:pPr>
          </w:p>
        </w:tc>
      </w:tr>
      <w:tr w:rsidR="00FA500A" w:rsidRPr="00CF1AE6" w14:paraId="388B154C" w14:textId="77777777" w:rsidTr="000A5693">
        <w:trPr>
          <w:trHeight w:val="300"/>
        </w:trPr>
        <w:tc>
          <w:tcPr>
            <w:tcW w:w="960" w:type="dxa"/>
            <w:tcBorders>
              <w:top w:val="nil"/>
              <w:left w:val="nil"/>
              <w:bottom w:val="nil"/>
              <w:right w:val="nil"/>
            </w:tcBorders>
            <w:noWrap/>
            <w:hideMark/>
          </w:tcPr>
          <w:p w14:paraId="3CE72A56" w14:textId="041AF24D"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8</w:t>
            </w:r>
          </w:p>
        </w:tc>
        <w:tc>
          <w:tcPr>
            <w:tcW w:w="2800" w:type="dxa"/>
            <w:tcBorders>
              <w:top w:val="nil"/>
              <w:left w:val="nil"/>
              <w:bottom w:val="nil"/>
              <w:right w:val="nil"/>
            </w:tcBorders>
            <w:noWrap/>
            <w:hideMark/>
          </w:tcPr>
          <w:p w14:paraId="0B4FEE87" w14:textId="676AE195" w:rsidR="00FA500A" w:rsidRPr="00CF1AE6" w:rsidRDefault="002E0298" w:rsidP="00CF1AE6">
            <w:pPr>
              <w:rPr>
                <w:rFonts w:ascii="Calibri" w:hAnsi="Calibri" w:cs="Calibri"/>
                <w:color w:val="000000"/>
                <w:sz w:val="22"/>
                <w:szCs w:val="22"/>
              </w:rPr>
            </w:pPr>
            <w:r>
              <w:rPr>
                <w:rFonts w:ascii="Calibri" w:hAnsi="Calibri" w:cs="Calibri"/>
                <w:color w:val="000000"/>
                <w:sz w:val="22"/>
                <w:szCs w:val="22"/>
              </w:rPr>
              <w:t>Toluene</w:t>
            </w:r>
            <w:r w:rsidR="00FA500A" w:rsidRPr="00CF1AE6">
              <w:rPr>
                <w:rFonts w:ascii="Calibri" w:hAnsi="Calibri" w:cs="Calibri"/>
                <w:color w:val="000000"/>
                <w:sz w:val="22"/>
                <w:szCs w:val="22"/>
              </w:rPr>
              <w:t xml:space="preserve"> </w:t>
            </w:r>
          </w:p>
        </w:tc>
        <w:tc>
          <w:tcPr>
            <w:tcW w:w="1910" w:type="dxa"/>
            <w:tcBorders>
              <w:top w:val="nil"/>
              <w:left w:val="nil"/>
              <w:bottom w:val="nil"/>
              <w:right w:val="nil"/>
            </w:tcBorders>
            <w:noWrap/>
            <w:hideMark/>
          </w:tcPr>
          <w:p w14:paraId="147E56E2" w14:textId="04BBC078" w:rsidR="00FA500A" w:rsidRPr="00CF1AE6" w:rsidRDefault="002E0298" w:rsidP="00CF1AE6">
            <w:pPr>
              <w:rPr>
                <w:rFonts w:ascii="Calibri" w:hAnsi="Calibri" w:cs="Calibri"/>
                <w:color w:val="000000"/>
                <w:sz w:val="22"/>
                <w:szCs w:val="22"/>
              </w:rPr>
            </w:pPr>
            <w:r>
              <w:rPr>
                <w:rFonts w:ascii="Calibri" w:hAnsi="Calibri" w:cs="Calibri"/>
                <w:color w:val="000000"/>
                <w:sz w:val="22"/>
                <w:szCs w:val="22"/>
              </w:rPr>
              <w:t>108-88</w:t>
            </w:r>
            <w:r w:rsidR="003E26AB">
              <w:rPr>
                <w:rFonts w:ascii="Calibri" w:hAnsi="Calibri" w:cs="Calibri"/>
                <w:color w:val="000000"/>
                <w:sz w:val="22"/>
                <w:szCs w:val="22"/>
              </w:rPr>
              <w:t>-3</w:t>
            </w:r>
            <w:r w:rsidR="00FA500A" w:rsidRPr="00CF1AE6">
              <w:rPr>
                <w:rFonts w:ascii="Calibri" w:hAnsi="Calibri" w:cs="Calibri"/>
                <w:color w:val="000000"/>
                <w:sz w:val="22"/>
                <w:szCs w:val="22"/>
              </w:rPr>
              <w:t> </w:t>
            </w:r>
          </w:p>
        </w:tc>
        <w:tc>
          <w:tcPr>
            <w:tcW w:w="2374" w:type="dxa"/>
            <w:tcBorders>
              <w:top w:val="nil"/>
              <w:left w:val="nil"/>
              <w:bottom w:val="nil"/>
              <w:right w:val="nil"/>
            </w:tcBorders>
            <w:noWrap/>
          </w:tcPr>
          <w:p w14:paraId="6F736232" w14:textId="4E62C87D" w:rsidR="00FA500A" w:rsidRPr="00CF1AE6" w:rsidRDefault="00FA500A" w:rsidP="00CF1AE6">
            <w:pPr>
              <w:rPr>
                <w:rFonts w:ascii="Calibri" w:hAnsi="Calibri" w:cs="Calibri"/>
                <w:color w:val="000000"/>
                <w:sz w:val="22"/>
                <w:szCs w:val="22"/>
              </w:rPr>
            </w:pPr>
          </w:p>
        </w:tc>
      </w:tr>
      <w:tr w:rsidR="00FA500A" w:rsidRPr="00CF1AE6" w14:paraId="208488E8" w14:textId="77777777" w:rsidTr="00FA500A">
        <w:trPr>
          <w:trHeight w:val="300"/>
        </w:trPr>
        <w:tc>
          <w:tcPr>
            <w:tcW w:w="960" w:type="dxa"/>
            <w:tcBorders>
              <w:top w:val="nil"/>
              <w:left w:val="nil"/>
              <w:bottom w:val="nil"/>
              <w:right w:val="nil"/>
            </w:tcBorders>
            <w:noWrap/>
            <w:hideMark/>
          </w:tcPr>
          <w:p w14:paraId="4ABCC546" w14:textId="36288B55"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9</w:t>
            </w:r>
          </w:p>
        </w:tc>
        <w:tc>
          <w:tcPr>
            <w:tcW w:w="2800" w:type="dxa"/>
            <w:tcBorders>
              <w:top w:val="nil"/>
              <w:left w:val="nil"/>
              <w:bottom w:val="nil"/>
              <w:right w:val="nil"/>
            </w:tcBorders>
            <w:noWrap/>
            <w:hideMark/>
          </w:tcPr>
          <w:p w14:paraId="46E8DEE7" w14:textId="3293D585" w:rsidR="00FA500A" w:rsidRPr="00CF1AE6" w:rsidRDefault="006148A1" w:rsidP="00CF1AE6">
            <w:pPr>
              <w:rPr>
                <w:rFonts w:ascii="Calibri" w:hAnsi="Calibri" w:cs="Calibri"/>
                <w:color w:val="000000"/>
                <w:sz w:val="22"/>
                <w:szCs w:val="22"/>
              </w:rPr>
            </w:pPr>
            <w:r w:rsidRPr="00CF1AE6">
              <w:rPr>
                <w:rFonts w:ascii="Calibri" w:hAnsi="Calibri" w:cs="Calibri"/>
                <w:color w:val="000000"/>
                <w:sz w:val="22"/>
                <w:szCs w:val="22"/>
              </w:rPr>
              <w:t>Hydrogen Fluoride</w:t>
            </w:r>
          </w:p>
        </w:tc>
        <w:tc>
          <w:tcPr>
            <w:tcW w:w="1910" w:type="dxa"/>
            <w:tcBorders>
              <w:top w:val="nil"/>
              <w:left w:val="nil"/>
              <w:bottom w:val="nil"/>
              <w:right w:val="nil"/>
            </w:tcBorders>
            <w:noWrap/>
            <w:hideMark/>
          </w:tcPr>
          <w:p w14:paraId="6EBC20E7" w14:textId="6F226248" w:rsidR="00FA500A" w:rsidRPr="00CF1AE6" w:rsidRDefault="00391F74" w:rsidP="00CF1AE6">
            <w:pPr>
              <w:rPr>
                <w:rFonts w:ascii="Calibri" w:hAnsi="Calibri" w:cs="Calibri"/>
                <w:color w:val="000000"/>
                <w:sz w:val="22"/>
                <w:szCs w:val="22"/>
              </w:rPr>
            </w:pPr>
            <w:r>
              <w:rPr>
                <w:rFonts w:ascii="Calibri" w:hAnsi="Calibri" w:cs="Calibri"/>
                <w:color w:val="000000"/>
                <w:sz w:val="22"/>
                <w:szCs w:val="22"/>
              </w:rPr>
              <w:t>766</w:t>
            </w:r>
            <w:r w:rsidR="00CC6FEF">
              <w:rPr>
                <w:rFonts w:ascii="Calibri" w:hAnsi="Calibri" w:cs="Calibri"/>
                <w:color w:val="000000"/>
                <w:sz w:val="22"/>
                <w:szCs w:val="22"/>
              </w:rPr>
              <w:t>4-39-3</w:t>
            </w:r>
          </w:p>
        </w:tc>
        <w:tc>
          <w:tcPr>
            <w:tcW w:w="2374" w:type="dxa"/>
            <w:tcBorders>
              <w:top w:val="nil"/>
              <w:left w:val="nil"/>
              <w:bottom w:val="nil"/>
              <w:right w:val="nil"/>
            </w:tcBorders>
            <w:noWrap/>
            <w:hideMark/>
          </w:tcPr>
          <w:p w14:paraId="3ECB839A" w14:textId="2B60C850" w:rsidR="00FA500A" w:rsidRPr="00CF1AE6" w:rsidRDefault="006148A1" w:rsidP="006148A1">
            <w:pPr>
              <w:rPr>
                <w:rFonts w:ascii="Calibri" w:hAnsi="Calibri" w:cs="Calibri"/>
                <w:color w:val="000000"/>
                <w:sz w:val="22"/>
                <w:szCs w:val="22"/>
              </w:rPr>
            </w:pPr>
            <w:r>
              <w:rPr>
                <w:rFonts w:ascii="Calibri" w:hAnsi="Calibri" w:cs="Calibri"/>
                <w:color w:val="000000"/>
                <w:sz w:val="22"/>
                <w:szCs w:val="22"/>
              </w:rPr>
              <w:t>Initial review available.</w:t>
            </w:r>
          </w:p>
        </w:tc>
      </w:tr>
      <w:tr w:rsidR="00FA500A" w:rsidRPr="00CF1AE6" w14:paraId="1E89985F" w14:textId="77777777" w:rsidTr="00FA500A">
        <w:trPr>
          <w:trHeight w:val="300"/>
        </w:trPr>
        <w:tc>
          <w:tcPr>
            <w:tcW w:w="960" w:type="dxa"/>
            <w:tcBorders>
              <w:top w:val="nil"/>
              <w:left w:val="nil"/>
              <w:bottom w:val="nil"/>
              <w:right w:val="nil"/>
            </w:tcBorders>
            <w:noWrap/>
            <w:hideMark/>
          </w:tcPr>
          <w:p w14:paraId="1784FD95" w14:textId="7AA6F4B5" w:rsidR="00FA500A" w:rsidRPr="00CF1AE6" w:rsidRDefault="009638D9" w:rsidP="00CF1AE6">
            <w:pPr>
              <w:jc w:val="right"/>
              <w:rPr>
                <w:rFonts w:ascii="Calibri" w:hAnsi="Calibri" w:cs="Calibri"/>
                <w:color w:val="000000"/>
                <w:sz w:val="22"/>
                <w:szCs w:val="22"/>
              </w:rPr>
            </w:pPr>
            <w:r>
              <w:rPr>
                <w:rFonts w:ascii="Calibri" w:hAnsi="Calibri" w:cs="Calibri"/>
                <w:color w:val="000000"/>
                <w:sz w:val="22"/>
                <w:szCs w:val="22"/>
              </w:rPr>
              <w:t>10</w:t>
            </w:r>
          </w:p>
        </w:tc>
        <w:tc>
          <w:tcPr>
            <w:tcW w:w="2800" w:type="dxa"/>
            <w:tcBorders>
              <w:top w:val="nil"/>
              <w:left w:val="nil"/>
              <w:bottom w:val="nil"/>
              <w:right w:val="nil"/>
            </w:tcBorders>
            <w:noWrap/>
            <w:hideMark/>
          </w:tcPr>
          <w:p w14:paraId="6400F3AD" w14:textId="634DD580" w:rsidR="00FA500A" w:rsidRPr="00CF1AE6" w:rsidRDefault="00EB12FD" w:rsidP="00CF1AE6">
            <w:pPr>
              <w:rPr>
                <w:rFonts w:ascii="Calibri" w:hAnsi="Calibri" w:cs="Calibri"/>
                <w:color w:val="000000"/>
                <w:sz w:val="22"/>
                <w:szCs w:val="22"/>
              </w:rPr>
            </w:pPr>
            <w:r>
              <w:rPr>
                <w:rFonts w:ascii="Calibri" w:hAnsi="Calibri" w:cs="Calibri"/>
                <w:color w:val="000000"/>
                <w:sz w:val="22"/>
                <w:szCs w:val="22"/>
              </w:rPr>
              <w:t>Antimony</w:t>
            </w:r>
            <w:r w:rsidR="00FA500A" w:rsidRPr="00CF1AE6">
              <w:rPr>
                <w:rFonts w:ascii="Calibri" w:hAnsi="Calibri" w:cs="Calibri"/>
                <w:color w:val="000000"/>
                <w:sz w:val="22"/>
                <w:szCs w:val="22"/>
              </w:rPr>
              <w:t xml:space="preserve"> </w:t>
            </w:r>
          </w:p>
        </w:tc>
        <w:tc>
          <w:tcPr>
            <w:tcW w:w="1910" w:type="dxa"/>
            <w:tcBorders>
              <w:top w:val="nil"/>
              <w:left w:val="nil"/>
              <w:bottom w:val="nil"/>
              <w:right w:val="nil"/>
            </w:tcBorders>
            <w:noWrap/>
            <w:hideMark/>
          </w:tcPr>
          <w:p w14:paraId="139116AE" w14:textId="2C0DFC76" w:rsidR="00FA500A" w:rsidRPr="00CF1AE6" w:rsidRDefault="008B1989" w:rsidP="00CF1AE6">
            <w:pPr>
              <w:rPr>
                <w:rFonts w:ascii="Calibri" w:hAnsi="Calibri" w:cs="Calibri"/>
                <w:color w:val="000000"/>
                <w:sz w:val="22"/>
                <w:szCs w:val="22"/>
              </w:rPr>
            </w:pPr>
            <w:r>
              <w:rPr>
                <w:rFonts w:ascii="Calibri" w:hAnsi="Calibri" w:cs="Calibri"/>
                <w:color w:val="000000"/>
                <w:sz w:val="22"/>
                <w:szCs w:val="22"/>
              </w:rPr>
              <w:t>7440-36-0</w:t>
            </w:r>
          </w:p>
        </w:tc>
        <w:tc>
          <w:tcPr>
            <w:tcW w:w="2374" w:type="dxa"/>
            <w:tcBorders>
              <w:top w:val="nil"/>
              <w:left w:val="nil"/>
              <w:bottom w:val="nil"/>
              <w:right w:val="nil"/>
            </w:tcBorders>
            <w:noWrap/>
            <w:hideMark/>
          </w:tcPr>
          <w:p w14:paraId="2124DEF1" w14:textId="787BC027" w:rsidR="00FA500A" w:rsidRPr="00CF1AE6" w:rsidRDefault="00FA500A" w:rsidP="00CF1AE6">
            <w:pPr>
              <w:jc w:val="center"/>
              <w:rPr>
                <w:rFonts w:ascii="Calibri" w:hAnsi="Calibri" w:cs="Calibri"/>
                <w:color w:val="000000"/>
                <w:sz w:val="22"/>
                <w:szCs w:val="22"/>
              </w:rPr>
            </w:pPr>
          </w:p>
        </w:tc>
      </w:tr>
      <w:tr w:rsidR="00FA500A" w:rsidRPr="00CF1AE6" w14:paraId="23F3A680" w14:textId="77777777" w:rsidTr="00FA500A">
        <w:trPr>
          <w:trHeight w:val="300"/>
        </w:trPr>
        <w:tc>
          <w:tcPr>
            <w:tcW w:w="960" w:type="dxa"/>
            <w:tcBorders>
              <w:top w:val="nil"/>
              <w:left w:val="nil"/>
              <w:bottom w:val="nil"/>
              <w:right w:val="nil"/>
            </w:tcBorders>
            <w:noWrap/>
            <w:hideMark/>
          </w:tcPr>
          <w:p w14:paraId="1FA73FAB" w14:textId="08EBBBEE" w:rsidR="00FA500A" w:rsidRPr="00CF1AE6" w:rsidRDefault="00FA500A" w:rsidP="00CF1AE6">
            <w:pPr>
              <w:jc w:val="right"/>
              <w:rPr>
                <w:rFonts w:ascii="Calibri" w:hAnsi="Calibri" w:cs="Calibri"/>
                <w:color w:val="000000"/>
                <w:sz w:val="22"/>
                <w:szCs w:val="22"/>
              </w:rPr>
            </w:pPr>
            <w:r w:rsidRPr="00CF1AE6">
              <w:rPr>
                <w:rFonts w:ascii="Calibri" w:hAnsi="Calibri" w:cs="Calibri"/>
                <w:color w:val="000000"/>
                <w:sz w:val="22"/>
                <w:szCs w:val="22"/>
              </w:rPr>
              <w:t>1</w:t>
            </w:r>
            <w:r w:rsidR="009638D9">
              <w:rPr>
                <w:rFonts w:ascii="Calibri" w:hAnsi="Calibri" w:cs="Calibri"/>
                <w:color w:val="000000"/>
                <w:sz w:val="22"/>
                <w:szCs w:val="22"/>
              </w:rPr>
              <w:t>1</w:t>
            </w:r>
          </w:p>
        </w:tc>
        <w:tc>
          <w:tcPr>
            <w:tcW w:w="2800" w:type="dxa"/>
            <w:tcBorders>
              <w:top w:val="nil"/>
              <w:left w:val="nil"/>
              <w:bottom w:val="nil"/>
              <w:right w:val="nil"/>
            </w:tcBorders>
            <w:noWrap/>
            <w:hideMark/>
          </w:tcPr>
          <w:p w14:paraId="6E423DB6" w14:textId="117511AD" w:rsidR="00FA500A" w:rsidRPr="00CF1AE6" w:rsidRDefault="00E007A7" w:rsidP="00CF1AE6">
            <w:pPr>
              <w:rPr>
                <w:rFonts w:ascii="Calibri" w:hAnsi="Calibri" w:cs="Calibri"/>
                <w:color w:val="000000"/>
                <w:sz w:val="22"/>
                <w:szCs w:val="22"/>
              </w:rPr>
            </w:pPr>
            <w:r w:rsidRPr="00CF1AE6">
              <w:rPr>
                <w:rFonts w:ascii="Calibri" w:hAnsi="Calibri" w:cs="Calibri"/>
                <w:color w:val="000000"/>
                <w:sz w:val="22"/>
                <w:szCs w:val="22"/>
              </w:rPr>
              <w:t>Ethylene Dibromide</w:t>
            </w:r>
          </w:p>
        </w:tc>
        <w:tc>
          <w:tcPr>
            <w:tcW w:w="1910" w:type="dxa"/>
            <w:tcBorders>
              <w:top w:val="nil"/>
              <w:left w:val="nil"/>
              <w:bottom w:val="nil"/>
              <w:right w:val="nil"/>
            </w:tcBorders>
            <w:noWrap/>
            <w:hideMark/>
          </w:tcPr>
          <w:p w14:paraId="7E4670F7" w14:textId="2F990DA8" w:rsidR="00FA500A" w:rsidRPr="00CF1AE6" w:rsidRDefault="00E007A7" w:rsidP="00CF1AE6">
            <w:pPr>
              <w:rPr>
                <w:rFonts w:ascii="Calibri" w:hAnsi="Calibri" w:cs="Calibri"/>
                <w:color w:val="000000"/>
                <w:sz w:val="22"/>
                <w:szCs w:val="22"/>
              </w:rPr>
            </w:pPr>
            <w:r>
              <w:rPr>
                <w:rFonts w:ascii="Calibri" w:hAnsi="Calibri" w:cs="Calibri"/>
                <w:color w:val="000000"/>
                <w:sz w:val="22"/>
                <w:szCs w:val="22"/>
              </w:rPr>
              <w:t>106-93-4</w:t>
            </w:r>
          </w:p>
        </w:tc>
        <w:tc>
          <w:tcPr>
            <w:tcW w:w="2374" w:type="dxa"/>
            <w:tcBorders>
              <w:top w:val="nil"/>
              <w:left w:val="nil"/>
              <w:bottom w:val="nil"/>
              <w:right w:val="nil"/>
            </w:tcBorders>
            <w:noWrap/>
            <w:hideMark/>
          </w:tcPr>
          <w:p w14:paraId="1D8F77CD" w14:textId="77777777" w:rsidR="00FA500A" w:rsidRPr="00CF1AE6" w:rsidRDefault="00FA500A" w:rsidP="00CF1AE6">
            <w:pPr>
              <w:jc w:val="center"/>
              <w:rPr>
                <w:rFonts w:ascii="Calibri" w:hAnsi="Calibri" w:cs="Calibri"/>
                <w:color w:val="000000"/>
                <w:sz w:val="22"/>
                <w:szCs w:val="22"/>
              </w:rPr>
            </w:pPr>
          </w:p>
        </w:tc>
      </w:tr>
      <w:tr w:rsidR="000A5693" w:rsidRPr="00CF1AE6" w14:paraId="2406450D" w14:textId="77777777" w:rsidTr="00FA500A">
        <w:trPr>
          <w:trHeight w:val="300"/>
        </w:trPr>
        <w:tc>
          <w:tcPr>
            <w:tcW w:w="960" w:type="dxa"/>
            <w:tcBorders>
              <w:top w:val="nil"/>
              <w:left w:val="nil"/>
              <w:bottom w:val="nil"/>
              <w:right w:val="nil"/>
            </w:tcBorders>
            <w:noWrap/>
            <w:hideMark/>
          </w:tcPr>
          <w:p w14:paraId="55474AB9" w14:textId="37FD6D23" w:rsidR="000A5693" w:rsidRPr="00CF1AE6" w:rsidRDefault="000A5693" w:rsidP="000A5693">
            <w:pPr>
              <w:jc w:val="right"/>
              <w:rPr>
                <w:rFonts w:ascii="Calibri" w:hAnsi="Calibri" w:cs="Calibri"/>
                <w:color w:val="000000"/>
                <w:sz w:val="22"/>
                <w:szCs w:val="22"/>
              </w:rPr>
            </w:pPr>
            <w:r w:rsidRPr="00CF1AE6">
              <w:rPr>
                <w:rFonts w:ascii="Calibri" w:hAnsi="Calibri" w:cs="Calibri"/>
                <w:color w:val="000000"/>
                <w:sz w:val="22"/>
                <w:szCs w:val="22"/>
              </w:rPr>
              <w:t>1</w:t>
            </w:r>
            <w:r w:rsidR="009638D9">
              <w:rPr>
                <w:rFonts w:ascii="Calibri" w:hAnsi="Calibri" w:cs="Calibri"/>
                <w:color w:val="000000"/>
                <w:sz w:val="22"/>
                <w:szCs w:val="22"/>
              </w:rPr>
              <w:t>2</w:t>
            </w:r>
          </w:p>
        </w:tc>
        <w:tc>
          <w:tcPr>
            <w:tcW w:w="2800" w:type="dxa"/>
            <w:tcBorders>
              <w:top w:val="nil"/>
              <w:left w:val="nil"/>
              <w:bottom w:val="nil"/>
              <w:right w:val="nil"/>
            </w:tcBorders>
            <w:noWrap/>
            <w:hideMark/>
          </w:tcPr>
          <w:p w14:paraId="2B0A8D53" w14:textId="2B5E2A5E" w:rsidR="000A5693" w:rsidRPr="00CF1AE6" w:rsidRDefault="000A5693" w:rsidP="000A5693">
            <w:pPr>
              <w:rPr>
                <w:rFonts w:ascii="Calibri" w:hAnsi="Calibri" w:cs="Calibri"/>
                <w:color w:val="000000"/>
                <w:sz w:val="22"/>
                <w:szCs w:val="22"/>
              </w:rPr>
            </w:pPr>
            <w:r w:rsidRPr="00CF1AE6">
              <w:rPr>
                <w:rFonts w:ascii="Calibri" w:hAnsi="Calibri" w:cs="Calibri"/>
                <w:color w:val="000000"/>
                <w:sz w:val="22"/>
                <w:szCs w:val="22"/>
              </w:rPr>
              <w:t>Carbon Monoxide</w:t>
            </w:r>
          </w:p>
        </w:tc>
        <w:tc>
          <w:tcPr>
            <w:tcW w:w="1910" w:type="dxa"/>
            <w:tcBorders>
              <w:top w:val="nil"/>
              <w:left w:val="nil"/>
              <w:bottom w:val="nil"/>
              <w:right w:val="nil"/>
            </w:tcBorders>
            <w:noWrap/>
            <w:hideMark/>
          </w:tcPr>
          <w:p w14:paraId="4EDC7521" w14:textId="2C0FC291" w:rsidR="000A5693" w:rsidRPr="00CF1AE6" w:rsidRDefault="000A5693" w:rsidP="000A5693">
            <w:pPr>
              <w:rPr>
                <w:rFonts w:ascii="Calibri" w:hAnsi="Calibri" w:cs="Calibri"/>
                <w:color w:val="000000"/>
                <w:sz w:val="22"/>
                <w:szCs w:val="22"/>
              </w:rPr>
            </w:pPr>
            <w:r>
              <w:rPr>
                <w:rFonts w:ascii="Calibri" w:hAnsi="Calibri" w:cs="Calibri"/>
                <w:color w:val="000000"/>
                <w:sz w:val="22"/>
                <w:szCs w:val="22"/>
              </w:rPr>
              <w:t>630-08-0</w:t>
            </w:r>
          </w:p>
        </w:tc>
        <w:tc>
          <w:tcPr>
            <w:tcW w:w="2374" w:type="dxa"/>
            <w:tcBorders>
              <w:top w:val="nil"/>
              <w:left w:val="nil"/>
              <w:bottom w:val="nil"/>
              <w:right w:val="nil"/>
            </w:tcBorders>
            <w:noWrap/>
            <w:hideMark/>
          </w:tcPr>
          <w:p w14:paraId="079851B7" w14:textId="77777777" w:rsidR="000A5693" w:rsidRDefault="000A5693" w:rsidP="000A5693">
            <w:pPr>
              <w:rPr>
                <w:rFonts w:ascii="Calibri" w:hAnsi="Calibri" w:cs="Calibri"/>
                <w:color w:val="000000"/>
                <w:sz w:val="22"/>
                <w:szCs w:val="22"/>
              </w:rPr>
            </w:pPr>
            <w:r>
              <w:rPr>
                <w:rFonts w:ascii="Calibri" w:hAnsi="Calibri" w:cs="Calibri"/>
                <w:color w:val="000000"/>
                <w:sz w:val="22"/>
                <w:szCs w:val="22"/>
              </w:rPr>
              <w:t>Initial review available.</w:t>
            </w:r>
          </w:p>
          <w:p w14:paraId="0E4C6689" w14:textId="7983933F" w:rsidR="000A5693" w:rsidRPr="00CF1AE6" w:rsidRDefault="000A5693" w:rsidP="000A5693">
            <w:pPr>
              <w:rPr>
                <w:rFonts w:ascii="Calibri" w:hAnsi="Calibri" w:cs="Calibri"/>
                <w:color w:val="000000"/>
                <w:sz w:val="22"/>
                <w:szCs w:val="22"/>
              </w:rPr>
            </w:pPr>
            <w:r w:rsidRPr="00CF1AE6">
              <w:rPr>
                <w:rFonts w:ascii="Calibri" w:hAnsi="Calibri" w:cs="Calibri"/>
                <w:color w:val="000000"/>
                <w:sz w:val="22"/>
                <w:szCs w:val="22"/>
              </w:rPr>
              <w:t>Only ST-EAL needed</w:t>
            </w:r>
            <w:r>
              <w:rPr>
                <w:rFonts w:ascii="Calibri" w:hAnsi="Calibri" w:cs="Calibri"/>
                <w:color w:val="000000"/>
                <w:sz w:val="22"/>
                <w:szCs w:val="22"/>
              </w:rPr>
              <w:t>.</w:t>
            </w:r>
          </w:p>
        </w:tc>
      </w:tr>
      <w:tr w:rsidR="000A5693" w:rsidRPr="00CF1AE6" w14:paraId="212456C0" w14:textId="77777777" w:rsidTr="00FA500A">
        <w:trPr>
          <w:trHeight w:val="300"/>
        </w:trPr>
        <w:tc>
          <w:tcPr>
            <w:tcW w:w="960" w:type="dxa"/>
            <w:tcBorders>
              <w:top w:val="nil"/>
              <w:left w:val="nil"/>
              <w:bottom w:val="nil"/>
              <w:right w:val="nil"/>
            </w:tcBorders>
            <w:noWrap/>
            <w:hideMark/>
          </w:tcPr>
          <w:p w14:paraId="1F93CECE" w14:textId="01EF2F51" w:rsidR="000A5693" w:rsidRPr="00CF1AE6" w:rsidRDefault="000A5693" w:rsidP="000A5693">
            <w:pPr>
              <w:jc w:val="right"/>
              <w:rPr>
                <w:rFonts w:ascii="Calibri" w:hAnsi="Calibri" w:cs="Calibri"/>
                <w:color w:val="000000"/>
                <w:sz w:val="22"/>
                <w:szCs w:val="22"/>
              </w:rPr>
            </w:pPr>
            <w:r w:rsidRPr="00CF1AE6">
              <w:rPr>
                <w:rFonts w:ascii="Calibri" w:hAnsi="Calibri" w:cs="Calibri"/>
                <w:color w:val="000000"/>
                <w:sz w:val="22"/>
                <w:szCs w:val="22"/>
              </w:rPr>
              <w:t>1</w:t>
            </w:r>
            <w:r w:rsidR="009638D9">
              <w:rPr>
                <w:rFonts w:ascii="Calibri" w:hAnsi="Calibri" w:cs="Calibri"/>
                <w:color w:val="000000"/>
                <w:sz w:val="22"/>
                <w:szCs w:val="22"/>
              </w:rPr>
              <w:t>3</w:t>
            </w:r>
          </w:p>
        </w:tc>
        <w:tc>
          <w:tcPr>
            <w:tcW w:w="2800" w:type="dxa"/>
            <w:tcBorders>
              <w:top w:val="nil"/>
              <w:left w:val="nil"/>
              <w:bottom w:val="nil"/>
              <w:right w:val="nil"/>
            </w:tcBorders>
            <w:noWrap/>
            <w:hideMark/>
          </w:tcPr>
          <w:p w14:paraId="04716877" w14:textId="0815069A" w:rsidR="000A5693" w:rsidRPr="00CF1AE6" w:rsidRDefault="001E2BE6" w:rsidP="000A5693">
            <w:pPr>
              <w:rPr>
                <w:rFonts w:ascii="Calibri" w:hAnsi="Calibri" w:cs="Calibri"/>
                <w:color w:val="000000"/>
                <w:sz w:val="22"/>
                <w:szCs w:val="22"/>
              </w:rPr>
            </w:pPr>
            <w:r w:rsidRPr="00CF1AE6">
              <w:rPr>
                <w:rFonts w:ascii="Calibri" w:hAnsi="Calibri" w:cs="Calibri"/>
                <w:color w:val="000000"/>
                <w:sz w:val="22"/>
                <w:szCs w:val="22"/>
              </w:rPr>
              <w:t>Hexane (n)</w:t>
            </w:r>
          </w:p>
        </w:tc>
        <w:tc>
          <w:tcPr>
            <w:tcW w:w="1910" w:type="dxa"/>
            <w:tcBorders>
              <w:top w:val="nil"/>
              <w:left w:val="nil"/>
              <w:bottom w:val="nil"/>
              <w:right w:val="nil"/>
            </w:tcBorders>
            <w:noWrap/>
            <w:hideMark/>
          </w:tcPr>
          <w:p w14:paraId="0DC1567B" w14:textId="3C5BDCEF" w:rsidR="000A5693" w:rsidRPr="00CF1AE6" w:rsidRDefault="00CC6FEF" w:rsidP="000A5693">
            <w:pPr>
              <w:rPr>
                <w:rFonts w:ascii="Calibri" w:hAnsi="Calibri" w:cs="Calibri"/>
                <w:color w:val="000000"/>
                <w:sz w:val="22"/>
                <w:szCs w:val="22"/>
              </w:rPr>
            </w:pPr>
            <w:r>
              <w:rPr>
                <w:rFonts w:ascii="Calibri" w:hAnsi="Calibri" w:cs="Calibri"/>
                <w:color w:val="000000"/>
                <w:sz w:val="22"/>
                <w:szCs w:val="22"/>
              </w:rPr>
              <w:t>110-54-3</w:t>
            </w:r>
            <w:r w:rsidR="000A5693" w:rsidRPr="00CF1AE6">
              <w:rPr>
                <w:rFonts w:ascii="Calibri" w:hAnsi="Calibri" w:cs="Calibri"/>
                <w:color w:val="000000"/>
                <w:sz w:val="22"/>
                <w:szCs w:val="22"/>
              </w:rPr>
              <w:t xml:space="preserve"> </w:t>
            </w:r>
          </w:p>
        </w:tc>
        <w:tc>
          <w:tcPr>
            <w:tcW w:w="2374" w:type="dxa"/>
            <w:tcBorders>
              <w:top w:val="nil"/>
              <w:left w:val="nil"/>
              <w:bottom w:val="nil"/>
              <w:right w:val="nil"/>
            </w:tcBorders>
            <w:noWrap/>
            <w:hideMark/>
          </w:tcPr>
          <w:p w14:paraId="466B6591" w14:textId="77777777" w:rsidR="000A5693" w:rsidRPr="00CF1AE6" w:rsidRDefault="000A5693" w:rsidP="000A5693">
            <w:pPr>
              <w:jc w:val="center"/>
              <w:rPr>
                <w:rFonts w:ascii="Calibri" w:hAnsi="Calibri" w:cs="Calibri"/>
                <w:color w:val="000000"/>
                <w:sz w:val="22"/>
                <w:szCs w:val="22"/>
              </w:rPr>
            </w:pPr>
          </w:p>
        </w:tc>
      </w:tr>
      <w:tr w:rsidR="000A5693" w:rsidRPr="00CF1AE6" w14:paraId="4311B5A9" w14:textId="77777777" w:rsidTr="00FA500A">
        <w:trPr>
          <w:trHeight w:val="300"/>
        </w:trPr>
        <w:tc>
          <w:tcPr>
            <w:tcW w:w="960" w:type="dxa"/>
            <w:tcBorders>
              <w:top w:val="nil"/>
              <w:left w:val="nil"/>
              <w:bottom w:val="nil"/>
              <w:right w:val="nil"/>
            </w:tcBorders>
            <w:noWrap/>
            <w:hideMark/>
          </w:tcPr>
          <w:p w14:paraId="0A20CCE2" w14:textId="4BA3B52F" w:rsidR="000A5693" w:rsidRPr="00CF1AE6" w:rsidRDefault="000A5693" w:rsidP="000A5693">
            <w:pPr>
              <w:jc w:val="right"/>
              <w:rPr>
                <w:rFonts w:ascii="Calibri" w:hAnsi="Calibri" w:cs="Calibri"/>
                <w:color w:val="000000"/>
                <w:sz w:val="22"/>
                <w:szCs w:val="22"/>
              </w:rPr>
            </w:pPr>
            <w:r w:rsidRPr="00CF1AE6">
              <w:rPr>
                <w:rFonts w:ascii="Calibri" w:hAnsi="Calibri" w:cs="Calibri"/>
                <w:color w:val="000000"/>
                <w:sz w:val="22"/>
                <w:szCs w:val="22"/>
              </w:rPr>
              <w:t>1</w:t>
            </w:r>
            <w:r w:rsidR="009638D9">
              <w:rPr>
                <w:rFonts w:ascii="Calibri" w:hAnsi="Calibri" w:cs="Calibri"/>
                <w:color w:val="000000"/>
                <w:sz w:val="22"/>
                <w:szCs w:val="22"/>
              </w:rPr>
              <w:t>4</w:t>
            </w:r>
          </w:p>
        </w:tc>
        <w:tc>
          <w:tcPr>
            <w:tcW w:w="2800" w:type="dxa"/>
            <w:tcBorders>
              <w:top w:val="nil"/>
              <w:left w:val="nil"/>
              <w:bottom w:val="nil"/>
              <w:right w:val="nil"/>
            </w:tcBorders>
            <w:noWrap/>
            <w:hideMark/>
          </w:tcPr>
          <w:p w14:paraId="2760B85E" w14:textId="5200B2D3" w:rsidR="000A5693" w:rsidRPr="00CF1AE6" w:rsidRDefault="00CC6FEF" w:rsidP="000A5693">
            <w:pPr>
              <w:rPr>
                <w:rFonts w:ascii="Calibri" w:hAnsi="Calibri" w:cs="Calibri"/>
                <w:color w:val="000000"/>
                <w:sz w:val="22"/>
                <w:szCs w:val="22"/>
              </w:rPr>
            </w:pPr>
            <w:r>
              <w:rPr>
                <w:rFonts w:ascii="Calibri" w:hAnsi="Calibri" w:cs="Calibri"/>
                <w:color w:val="000000"/>
                <w:sz w:val="22"/>
                <w:szCs w:val="22"/>
              </w:rPr>
              <w:t>Carbon Dioxide (Concentrated)</w:t>
            </w:r>
          </w:p>
        </w:tc>
        <w:tc>
          <w:tcPr>
            <w:tcW w:w="1910" w:type="dxa"/>
            <w:tcBorders>
              <w:top w:val="nil"/>
              <w:left w:val="nil"/>
              <w:bottom w:val="nil"/>
              <w:right w:val="nil"/>
            </w:tcBorders>
            <w:noWrap/>
            <w:hideMark/>
          </w:tcPr>
          <w:p w14:paraId="448DC5D1" w14:textId="27BDCCC1" w:rsidR="000A5693" w:rsidRPr="00CF1AE6" w:rsidRDefault="00CC6FEF" w:rsidP="000A5693">
            <w:pPr>
              <w:rPr>
                <w:rFonts w:ascii="Calibri" w:hAnsi="Calibri" w:cs="Calibri"/>
                <w:color w:val="000000"/>
                <w:sz w:val="22"/>
                <w:szCs w:val="22"/>
              </w:rPr>
            </w:pPr>
            <w:r>
              <w:rPr>
                <w:rFonts w:ascii="Calibri" w:hAnsi="Calibri" w:cs="Calibri"/>
                <w:color w:val="000000"/>
                <w:sz w:val="22"/>
                <w:szCs w:val="22"/>
              </w:rPr>
              <w:t>124-38-9</w:t>
            </w:r>
            <w:r w:rsidR="000A5693" w:rsidRPr="00CF1AE6">
              <w:rPr>
                <w:rFonts w:ascii="Calibri" w:hAnsi="Calibri" w:cs="Calibri"/>
                <w:color w:val="000000"/>
                <w:sz w:val="22"/>
                <w:szCs w:val="22"/>
              </w:rPr>
              <w:t xml:space="preserve"> </w:t>
            </w:r>
          </w:p>
        </w:tc>
        <w:tc>
          <w:tcPr>
            <w:tcW w:w="2374" w:type="dxa"/>
            <w:tcBorders>
              <w:top w:val="nil"/>
              <w:left w:val="nil"/>
              <w:bottom w:val="nil"/>
              <w:right w:val="nil"/>
            </w:tcBorders>
            <w:noWrap/>
            <w:hideMark/>
          </w:tcPr>
          <w:p w14:paraId="7E955CB0" w14:textId="4560BDDE" w:rsidR="000A5693" w:rsidRPr="00CF1AE6" w:rsidRDefault="000A5693" w:rsidP="000A5693">
            <w:pPr>
              <w:rPr>
                <w:rFonts w:ascii="Calibri" w:hAnsi="Calibri" w:cs="Calibri"/>
                <w:color w:val="000000"/>
                <w:sz w:val="22"/>
                <w:szCs w:val="22"/>
              </w:rPr>
            </w:pPr>
          </w:p>
        </w:tc>
      </w:tr>
      <w:tr w:rsidR="00BE0BBE" w:rsidRPr="00CF1AE6" w14:paraId="09981CA9" w14:textId="77777777" w:rsidTr="00FA500A">
        <w:trPr>
          <w:trHeight w:val="300"/>
        </w:trPr>
        <w:tc>
          <w:tcPr>
            <w:tcW w:w="960" w:type="dxa"/>
            <w:tcBorders>
              <w:top w:val="nil"/>
              <w:left w:val="nil"/>
              <w:bottom w:val="nil"/>
              <w:right w:val="nil"/>
            </w:tcBorders>
            <w:noWrap/>
          </w:tcPr>
          <w:p w14:paraId="01F789AF" w14:textId="2E74CA50" w:rsidR="00BE0BBE" w:rsidRPr="00CF1AE6" w:rsidRDefault="00BE0BBE" w:rsidP="000A5693">
            <w:pPr>
              <w:jc w:val="right"/>
              <w:rPr>
                <w:rFonts w:ascii="Calibri" w:hAnsi="Calibri" w:cs="Calibri"/>
                <w:color w:val="000000"/>
                <w:sz w:val="22"/>
                <w:szCs w:val="22"/>
              </w:rPr>
            </w:pPr>
            <w:r>
              <w:rPr>
                <w:rFonts w:ascii="Calibri" w:hAnsi="Calibri" w:cs="Calibri"/>
                <w:color w:val="000000"/>
                <w:sz w:val="22"/>
                <w:szCs w:val="22"/>
              </w:rPr>
              <w:t>1</w:t>
            </w:r>
            <w:r w:rsidR="009638D9">
              <w:rPr>
                <w:rFonts w:ascii="Calibri" w:hAnsi="Calibri" w:cs="Calibri"/>
                <w:color w:val="000000"/>
                <w:sz w:val="22"/>
                <w:szCs w:val="22"/>
              </w:rPr>
              <w:t>5</w:t>
            </w:r>
          </w:p>
        </w:tc>
        <w:tc>
          <w:tcPr>
            <w:tcW w:w="2800" w:type="dxa"/>
            <w:tcBorders>
              <w:top w:val="nil"/>
              <w:left w:val="nil"/>
              <w:bottom w:val="nil"/>
              <w:right w:val="nil"/>
            </w:tcBorders>
            <w:noWrap/>
          </w:tcPr>
          <w:p w14:paraId="1069BA5F" w14:textId="0324B99A" w:rsidR="00BE0BBE" w:rsidRDefault="00EE4FDF" w:rsidP="000A5693">
            <w:pPr>
              <w:rPr>
                <w:rFonts w:ascii="Calibri" w:hAnsi="Calibri" w:cs="Calibri"/>
                <w:color w:val="000000"/>
                <w:sz w:val="22"/>
                <w:szCs w:val="22"/>
              </w:rPr>
            </w:pPr>
            <w:r>
              <w:rPr>
                <w:rFonts w:ascii="Calibri" w:hAnsi="Calibri" w:cs="Calibri"/>
                <w:color w:val="000000"/>
                <w:sz w:val="22"/>
                <w:szCs w:val="22"/>
              </w:rPr>
              <w:t>Hydrogen Sulphide</w:t>
            </w:r>
          </w:p>
        </w:tc>
        <w:tc>
          <w:tcPr>
            <w:tcW w:w="1910" w:type="dxa"/>
            <w:tcBorders>
              <w:top w:val="nil"/>
              <w:left w:val="nil"/>
              <w:bottom w:val="nil"/>
              <w:right w:val="nil"/>
            </w:tcBorders>
            <w:noWrap/>
          </w:tcPr>
          <w:p w14:paraId="431F800B" w14:textId="66523542" w:rsidR="00BE0BBE" w:rsidRDefault="00EE4FDF" w:rsidP="000A5693">
            <w:pPr>
              <w:rPr>
                <w:rFonts w:ascii="Calibri" w:hAnsi="Calibri" w:cs="Calibri"/>
                <w:color w:val="000000"/>
                <w:sz w:val="22"/>
                <w:szCs w:val="22"/>
              </w:rPr>
            </w:pPr>
            <w:r>
              <w:rPr>
                <w:rFonts w:ascii="Calibri" w:hAnsi="Calibri" w:cs="Calibri"/>
                <w:color w:val="000000"/>
                <w:sz w:val="22"/>
                <w:szCs w:val="22"/>
              </w:rPr>
              <w:t>7783-06-4</w:t>
            </w:r>
          </w:p>
        </w:tc>
        <w:tc>
          <w:tcPr>
            <w:tcW w:w="2374" w:type="dxa"/>
            <w:tcBorders>
              <w:top w:val="nil"/>
              <w:left w:val="nil"/>
              <w:bottom w:val="nil"/>
              <w:right w:val="nil"/>
            </w:tcBorders>
            <w:noWrap/>
          </w:tcPr>
          <w:p w14:paraId="2A7FF2F3" w14:textId="77777777" w:rsidR="00BE0BBE" w:rsidRPr="00CF1AE6" w:rsidRDefault="00BE0BBE" w:rsidP="000A5693">
            <w:pPr>
              <w:rPr>
                <w:rFonts w:ascii="Calibri" w:hAnsi="Calibri" w:cs="Calibri"/>
                <w:color w:val="000000"/>
                <w:sz w:val="22"/>
                <w:szCs w:val="22"/>
              </w:rPr>
            </w:pPr>
          </w:p>
        </w:tc>
      </w:tr>
    </w:tbl>
    <w:p w14:paraId="4BEA3E9F" w14:textId="02672C7F" w:rsidR="00A6391B" w:rsidRPr="00BE0BBE" w:rsidRDefault="00A6391B" w:rsidP="00725725"/>
    <w:p w14:paraId="7471280F" w14:textId="77777777" w:rsidR="00A6391B" w:rsidRDefault="00A6391B" w:rsidP="00725725">
      <w:pPr>
        <w:rPr>
          <w:u w:val="single"/>
        </w:rPr>
      </w:pPr>
    </w:p>
    <w:p w14:paraId="341AC089" w14:textId="77777777" w:rsidR="00A6391B" w:rsidRDefault="00A6391B" w:rsidP="00725725">
      <w:pPr>
        <w:rPr>
          <w:u w:val="single"/>
        </w:rPr>
      </w:pPr>
    </w:p>
    <w:p w14:paraId="5D9E0785" w14:textId="77777777" w:rsidR="008206E2" w:rsidRPr="00CF7FF3" w:rsidRDefault="008206E2" w:rsidP="00725725">
      <w:pPr>
        <w:rPr>
          <w:u w:val="single"/>
        </w:rPr>
      </w:pPr>
    </w:p>
    <w:p w14:paraId="169D88AA" w14:textId="77777777" w:rsidR="00725725" w:rsidRPr="00CF7FF3" w:rsidRDefault="00725725" w:rsidP="00725725">
      <w:pPr>
        <w:contextualSpacing/>
        <w:jc w:val="both"/>
        <w:rPr>
          <w:rFonts w:ascii="Arial" w:hAnsi="Arial" w:cs="Arial"/>
        </w:rPr>
      </w:pPr>
      <w:r w:rsidRPr="00CF7FF3">
        <w:rPr>
          <w:rFonts w:ascii="Arial" w:hAnsi="Arial" w:cs="Arial"/>
        </w:rPr>
        <w:t>Key requirements</w:t>
      </w:r>
      <w:r w:rsidR="00300B3D" w:rsidRPr="00CF7FF3">
        <w:rPr>
          <w:rFonts w:ascii="Arial" w:hAnsi="Arial" w:cs="Arial"/>
        </w:rPr>
        <w:t>:</w:t>
      </w:r>
    </w:p>
    <w:p w14:paraId="3490A26C" w14:textId="77777777" w:rsidR="00725725" w:rsidRPr="00CF7FF3" w:rsidRDefault="00725725" w:rsidP="00725725">
      <w:pPr>
        <w:contextualSpacing/>
        <w:jc w:val="both"/>
        <w:rPr>
          <w:rFonts w:ascii="Arial" w:hAnsi="Arial" w:cs="Arial"/>
          <w:b/>
        </w:rPr>
      </w:pPr>
    </w:p>
    <w:p w14:paraId="2BB3D9B5" w14:textId="77725976"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The supplier will have </w:t>
      </w:r>
      <w:r w:rsidR="008206E2">
        <w:rPr>
          <w:rFonts w:cs="Arial"/>
          <w:sz w:val="20"/>
          <w:szCs w:val="20"/>
        </w:rPr>
        <w:t xml:space="preserve">specialist </w:t>
      </w:r>
      <w:r w:rsidRPr="00CF7FF3">
        <w:rPr>
          <w:rFonts w:cs="Arial"/>
          <w:sz w:val="20"/>
          <w:szCs w:val="20"/>
        </w:rPr>
        <w:t xml:space="preserve">experience of </w:t>
      </w:r>
      <w:r w:rsidR="008206E2">
        <w:rPr>
          <w:rFonts w:cs="Arial"/>
          <w:sz w:val="20"/>
          <w:szCs w:val="20"/>
        </w:rPr>
        <w:t>the synthesis and critical evaluation of mammalian and human toxicology and be able to summarise key studies and decisions effectively and succinctly</w:t>
      </w:r>
      <w:r w:rsidRPr="00CF7FF3">
        <w:rPr>
          <w:rFonts w:cs="Arial"/>
          <w:sz w:val="20"/>
          <w:szCs w:val="20"/>
        </w:rPr>
        <w:t>.</w:t>
      </w:r>
    </w:p>
    <w:p w14:paraId="2DB3D1BE" w14:textId="77777777" w:rsidR="00725725" w:rsidRPr="00CF7FF3" w:rsidRDefault="00725725" w:rsidP="00300B3D">
      <w:pPr>
        <w:pStyle w:val="ListParagraph"/>
        <w:numPr>
          <w:ilvl w:val="0"/>
          <w:numId w:val="22"/>
        </w:numPr>
        <w:spacing w:after="0"/>
        <w:rPr>
          <w:rFonts w:cs="Arial"/>
          <w:sz w:val="20"/>
          <w:szCs w:val="20"/>
        </w:rPr>
      </w:pPr>
      <w:r w:rsidRPr="00CF7FF3">
        <w:rPr>
          <w:rFonts w:cs="Arial"/>
          <w:sz w:val="20"/>
          <w:szCs w:val="20"/>
        </w:rPr>
        <w:t xml:space="preserve">A single point of contact will be provided by the supplier. </w:t>
      </w:r>
    </w:p>
    <w:p w14:paraId="78DEFCCC" w14:textId="77777777" w:rsidR="008206E2" w:rsidRDefault="00725725" w:rsidP="00300B3D">
      <w:pPr>
        <w:pStyle w:val="ListParagraph"/>
        <w:numPr>
          <w:ilvl w:val="0"/>
          <w:numId w:val="22"/>
        </w:numPr>
        <w:spacing w:after="0"/>
        <w:rPr>
          <w:rFonts w:cs="Arial"/>
          <w:sz w:val="20"/>
          <w:szCs w:val="20"/>
        </w:rPr>
      </w:pPr>
      <w:r w:rsidRPr="00CF7FF3">
        <w:rPr>
          <w:rFonts w:cs="Arial"/>
          <w:sz w:val="20"/>
          <w:szCs w:val="20"/>
        </w:rPr>
        <w:t>Deliverables and timescales are outlined below.</w:t>
      </w:r>
    </w:p>
    <w:p w14:paraId="66822975" w14:textId="1D9524E8" w:rsidR="00725725" w:rsidRPr="008206E2" w:rsidRDefault="00725725" w:rsidP="008206E2">
      <w:pPr>
        <w:ind w:left="360"/>
        <w:rPr>
          <w:rFonts w:cs="Arial"/>
        </w:rPr>
      </w:pPr>
      <w:r w:rsidRPr="008206E2">
        <w:rPr>
          <w:rFonts w:cs="Arial"/>
        </w:rPr>
        <w:t xml:space="preserve"> </w:t>
      </w:r>
    </w:p>
    <w:p w14:paraId="2A7D59A1" w14:textId="77777777" w:rsidR="00725725" w:rsidRPr="00CF7FF3" w:rsidRDefault="00725725" w:rsidP="00725725">
      <w:pPr>
        <w:contextualSpacing/>
        <w:jc w:val="both"/>
        <w:rPr>
          <w:rFonts w:ascii="Arial" w:hAnsi="Arial" w:cs="Arial"/>
          <w:u w:val="single"/>
        </w:rPr>
      </w:pPr>
    </w:p>
    <w:p w14:paraId="25E42D16"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lastRenderedPageBreak/>
        <w:t>Timescales/Deadlines</w:t>
      </w:r>
    </w:p>
    <w:p w14:paraId="3DA2764A" w14:textId="77777777" w:rsidR="006739AF" w:rsidRPr="00CF7FF3" w:rsidRDefault="006739AF" w:rsidP="00E65F5D">
      <w:pPr>
        <w:rPr>
          <w:rFonts w:ascii="Arial" w:hAnsi="Arial" w:cs="Arial"/>
          <w:szCs w:val="22"/>
        </w:rPr>
      </w:pPr>
    </w:p>
    <w:tbl>
      <w:tblPr>
        <w:tblpPr w:leftFromText="180" w:rightFromText="180" w:vertAnchor="text" w:horzAnchor="margin"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162"/>
        <w:gridCol w:w="1417"/>
        <w:gridCol w:w="1559"/>
        <w:gridCol w:w="1418"/>
      </w:tblGrid>
      <w:tr w:rsidR="00CF7FF3" w:rsidRPr="00CF7FF3" w14:paraId="0929E971" w14:textId="77777777" w:rsidTr="00A6391B">
        <w:trPr>
          <w:trHeight w:val="834"/>
        </w:trPr>
        <w:tc>
          <w:tcPr>
            <w:tcW w:w="795" w:type="dxa"/>
          </w:tcPr>
          <w:p w14:paraId="1CA0D1CC" w14:textId="77777777" w:rsidR="00DB1132" w:rsidRPr="00CF7FF3" w:rsidRDefault="00DB1132" w:rsidP="00AD730C">
            <w:pPr>
              <w:pStyle w:val="BodyText"/>
              <w:rPr>
                <w:rFonts w:ascii="Arial" w:hAnsi="Arial" w:cs="Arial"/>
              </w:rPr>
            </w:pPr>
            <w:r w:rsidRPr="00CF7FF3">
              <w:rPr>
                <w:rFonts w:ascii="Arial" w:hAnsi="Arial" w:cs="Arial"/>
              </w:rPr>
              <w:t>Task No.</w:t>
            </w:r>
          </w:p>
        </w:tc>
        <w:tc>
          <w:tcPr>
            <w:tcW w:w="4162" w:type="dxa"/>
          </w:tcPr>
          <w:p w14:paraId="609D3B93" w14:textId="77777777" w:rsidR="00DB1132" w:rsidRPr="00CF7FF3" w:rsidRDefault="00DB1132" w:rsidP="00AD730C">
            <w:pPr>
              <w:pStyle w:val="BodyText"/>
              <w:rPr>
                <w:rFonts w:ascii="Arial" w:hAnsi="Arial" w:cs="Arial"/>
              </w:rPr>
            </w:pPr>
            <w:r w:rsidRPr="00CF7FF3">
              <w:rPr>
                <w:rFonts w:ascii="Arial" w:hAnsi="Arial" w:cs="Arial"/>
              </w:rPr>
              <w:t>Deliverable</w:t>
            </w:r>
          </w:p>
        </w:tc>
        <w:tc>
          <w:tcPr>
            <w:tcW w:w="1417" w:type="dxa"/>
          </w:tcPr>
          <w:p w14:paraId="0B0366A6" w14:textId="77777777" w:rsidR="00DB1132" w:rsidRPr="00CF7FF3" w:rsidRDefault="00DB1132" w:rsidP="00AD730C">
            <w:pPr>
              <w:pStyle w:val="BodyText"/>
              <w:rPr>
                <w:rFonts w:ascii="Arial" w:hAnsi="Arial" w:cs="Arial"/>
              </w:rPr>
            </w:pPr>
            <w:r w:rsidRPr="00CF7FF3">
              <w:rPr>
                <w:rFonts w:ascii="Arial" w:hAnsi="Arial" w:cs="Arial"/>
              </w:rPr>
              <w:t>Responsible party</w:t>
            </w:r>
          </w:p>
        </w:tc>
        <w:tc>
          <w:tcPr>
            <w:tcW w:w="1559" w:type="dxa"/>
          </w:tcPr>
          <w:p w14:paraId="1C85A588" w14:textId="77777777" w:rsidR="00DB1132" w:rsidRPr="00CF7FF3" w:rsidRDefault="00DB1132" w:rsidP="00AD730C">
            <w:pPr>
              <w:pStyle w:val="BodyText"/>
              <w:rPr>
                <w:rFonts w:ascii="Arial" w:hAnsi="Arial" w:cs="Arial"/>
              </w:rPr>
            </w:pPr>
            <w:r w:rsidRPr="00CF7FF3">
              <w:rPr>
                <w:rFonts w:ascii="Arial" w:hAnsi="Arial" w:cs="Arial"/>
              </w:rPr>
              <w:t>Format / Compatibility Requirements</w:t>
            </w:r>
          </w:p>
        </w:tc>
        <w:tc>
          <w:tcPr>
            <w:tcW w:w="1418" w:type="dxa"/>
          </w:tcPr>
          <w:p w14:paraId="4E2C00DC" w14:textId="77777777" w:rsidR="00DB1132" w:rsidRPr="00CF7FF3" w:rsidRDefault="00DB1132" w:rsidP="00AD730C">
            <w:pPr>
              <w:pStyle w:val="BodyText"/>
              <w:rPr>
                <w:rFonts w:ascii="Arial" w:hAnsi="Arial" w:cs="Arial"/>
              </w:rPr>
            </w:pPr>
            <w:r w:rsidRPr="00CF7FF3">
              <w:rPr>
                <w:rFonts w:ascii="Arial" w:hAnsi="Arial" w:cs="Arial"/>
              </w:rPr>
              <w:t>Date of completion, end:</w:t>
            </w:r>
          </w:p>
        </w:tc>
      </w:tr>
      <w:tr w:rsidR="00CF7FF3" w:rsidRPr="00CF7FF3" w14:paraId="70C2F600" w14:textId="77777777" w:rsidTr="00A6391B">
        <w:trPr>
          <w:trHeight w:val="347"/>
        </w:trPr>
        <w:tc>
          <w:tcPr>
            <w:tcW w:w="795" w:type="dxa"/>
          </w:tcPr>
          <w:p w14:paraId="27ED4EA6" w14:textId="77777777" w:rsidR="00DB1132" w:rsidRPr="00CF7FF3" w:rsidRDefault="00DB1132" w:rsidP="00AD730C">
            <w:pPr>
              <w:pStyle w:val="BodyText"/>
              <w:rPr>
                <w:rFonts w:ascii="Arial" w:hAnsi="Arial" w:cs="Arial"/>
              </w:rPr>
            </w:pPr>
            <w:r w:rsidRPr="00CF7FF3">
              <w:rPr>
                <w:rFonts w:ascii="Arial" w:hAnsi="Arial" w:cs="Arial"/>
              </w:rPr>
              <w:t>1</w:t>
            </w:r>
          </w:p>
        </w:tc>
        <w:tc>
          <w:tcPr>
            <w:tcW w:w="4162" w:type="dxa"/>
          </w:tcPr>
          <w:p w14:paraId="55EEEB6E" w14:textId="77777777" w:rsidR="00DB1132" w:rsidRPr="00CF7FF3" w:rsidRDefault="00DB1132" w:rsidP="00DB1132">
            <w:pPr>
              <w:contextualSpacing/>
              <w:rPr>
                <w:rFonts w:ascii="Arial" w:hAnsi="Arial" w:cs="Arial"/>
              </w:rPr>
            </w:pPr>
            <w:r w:rsidRPr="00CF7FF3">
              <w:rPr>
                <w:rFonts w:ascii="Arial" w:hAnsi="Arial" w:cs="Arial"/>
                <w:b/>
              </w:rPr>
              <w:t>Start-up meeting</w:t>
            </w:r>
            <w:r w:rsidRPr="00CF7FF3">
              <w:rPr>
                <w:rFonts w:ascii="Arial" w:hAnsi="Arial" w:cs="Arial"/>
              </w:rPr>
              <w:t xml:space="preserve"> with project team and the EA steering group, confirming:</w:t>
            </w:r>
          </w:p>
          <w:p w14:paraId="49CAAC7C" w14:textId="68F7135E" w:rsidR="00DB1132" w:rsidRPr="00CF7FF3" w:rsidRDefault="00041036" w:rsidP="00300B3D">
            <w:pPr>
              <w:pStyle w:val="ListParagraph"/>
              <w:numPr>
                <w:ilvl w:val="0"/>
                <w:numId w:val="18"/>
              </w:numPr>
              <w:spacing w:after="0" w:line="240" w:lineRule="auto"/>
              <w:contextualSpacing/>
              <w:rPr>
                <w:rFonts w:cs="Arial"/>
                <w:sz w:val="20"/>
                <w:szCs w:val="20"/>
              </w:rPr>
            </w:pPr>
            <w:r>
              <w:rPr>
                <w:rFonts w:cs="Arial"/>
                <w:sz w:val="20"/>
                <w:szCs w:val="20"/>
              </w:rPr>
              <w:t>Substances for which EALs are to be developed</w:t>
            </w:r>
          </w:p>
          <w:p w14:paraId="7F47DC7F" w14:textId="63739283" w:rsidR="00DB1132" w:rsidRPr="00CF7FF3" w:rsidRDefault="00A6391B" w:rsidP="00300B3D">
            <w:pPr>
              <w:pStyle w:val="ListParagraph"/>
              <w:numPr>
                <w:ilvl w:val="0"/>
                <w:numId w:val="18"/>
              </w:numPr>
              <w:spacing w:after="0" w:line="240" w:lineRule="auto"/>
              <w:contextualSpacing/>
              <w:rPr>
                <w:rFonts w:cs="Arial"/>
                <w:sz w:val="20"/>
                <w:szCs w:val="20"/>
              </w:rPr>
            </w:pPr>
            <w:r>
              <w:rPr>
                <w:rFonts w:cs="Arial"/>
                <w:sz w:val="20"/>
                <w:szCs w:val="20"/>
              </w:rPr>
              <w:t xml:space="preserve">Approach to </w:t>
            </w:r>
            <w:r w:rsidR="00041036">
              <w:rPr>
                <w:rFonts w:cs="Arial"/>
                <w:sz w:val="20"/>
                <w:szCs w:val="20"/>
              </w:rPr>
              <w:t>EAL development</w:t>
            </w:r>
          </w:p>
          <w:p w14:paraId="5743253F" w14:textId="77777777" w:rsidR="00DB1132" w:rsidRPr="00CF7FF3" w:rsidRDefault="00DB1132" w:rsidP="00B11E3A">
            <w:pPr>
              <w:pStyle w:val="BodyText"/>
              <w:numPr>
                <w:ilvl w:val="0"/>
                <w:numId w:val="18"/>
              </w:numPr>
              <w:rPr>
                <w:rFonts w:ascii="Arial" w:hAnsi="Arial" w:cs="Arial"/>
              </w:rPr>
            </w:pPr>
            <w:r w:rsidRPr="00CF7FF3">
              <w:rPr>
                <w:rFonts w:ascii="Arial" w:hAnsi="Arial" w:cs="Arial"/>
              </w:rPr>
              <w:t>Project deliverables and timings</w:t>
            </w:r>
          </w:p>
        </w:tc>
        <w:tc>
          <w:tcPr>
            <w:tcW w:w="1417" w:type="dxa"/>
          </w:tcPr>
          <w:p w14:paraId="45F8C2D9" w14:textId="77777777" w:rsidR="00DB1132" w:rsidRPr="00CF7FF3" w:rsidRDefault="00DB1132" w:rsidP="00AD730C">
            <w:pPr>
              <w:pStyle w:val="BodyText"/>
              <w:rPr>
                <w:rFonts w:ascii="Arial" w:hAnsi="Arial" w:cs="Arial"/>
              </w:rPr>
            </w:pPr>
            <w:r w:rsidRPr="00CF7FF3">
              <w:rPr>
                <w:rFonts w:ascii="Arial" w:hAnsi="Arial" w:cs="Arial"/>
              </w:rPr>
              <w:t>Supplier</w:t>
            </w:r>
          </w:p>
        </w:tc>
        <w:tc>
          <w:tcPr>
            <w:tcW w:w="1559" w:type="dxa"/>
          </w:tcPr>
          <w:p w14:paraId="7357CAF5" w14:textId="77777777" w:rsidR="00DB1132" w:rsidRPr="00CF7FF3" w:rsidRDefault="00DB1132" w:rsidP="00AD730C">
            <w:pPr>
              <w:pStyle w:val="BodyText"/>
              <w:rPr>
                <w:rFonts w:ascii="Arial" w:hAnsi="Arial" w:cs="Arial"/>
              </w:rPr>
            </w:pPr>
            <w:r w:rsidRPr="00CF7FF3">
              <w:rPr>
                <w:rFonts w:ascii="Arial" w:hAnsi="Arial" w:cs="Arial"/>
              </w:rPr>
              <w:t>MS Teams meeting/ Telecon</w:t>
            </w:r>
          </w:p>
        </w:tc>
        <w:tc>
          <w:tcPr>
            <w:tcW w:w="1418" w:type="dxa"/>
          </w:tcPr>
          <w:p w14:paraId="0A1207D4" w14:textId="294FC0BE" w:rsidR="00DB1132" w:rsidRPr="00A2138D" w:rsidRDefault="00C66BF4" w:rsidP="00F77C98">
            <w:pPr>
              <w:pStyle w:val="BodyText"/>
              <w:rPr>
                <w:rFonts w:ascii="Arial" w:hAnsi="Arial" w:cs="Arial"/>
              </w:rPr>
            </w:pPr>
            <w:r w:rsidRPr="00A2138D">
              <w:rPr>
                <w:rFonts w:ascii="Arial" w:hAnsi="Arial" w:cs="Arial"/>
              </w:rPr>
              <w:t>2</w:t>
            </w:r>
            <w:r w:rsidR="00A6391B" w:rsidRPr="00A2138D">
              <w:rPr>
                <w:rFonts w:ascii="Arial" w:hAnsi="Arial" w:cs="Arial"/>
              </w:rPr>
              <w:t xml:space="preserve">0 </w:t>
            </w:r>
            <w:r w:rsidR="0008558D">
              <w:rPr>
                <w:rFonts w:ascii="Arial" w:hAnsi="Arial" w:cs="Arial"/>
              </w:rPr>
              <w:t>Dec</w:t>
            </w:r>
            <w:r w:rsidR="00A6391B" w:rsidRPr="00A2138D">
              <w:rPr>
                <w:rFonts w:ascii="Arial" w:hAnsi="Arial" w:cs="Arial"/>
              </w:rPr>
              <w:t xml:space="preserve"> 202</w:t>
            </w:r>
            <w:r w:rsidRPr="00A2138D">
              <w:rPr>
                <w:rFonts w:ascii="Arial" w:hAnsi="Arial" w:cs="Arial"/>
              </w:rPr>
              <w:t>4</w:t>
            </w:r>
          </w:p>
        </w:tc>
      </w:tr>
      <w:tr w:rsidR="00CF7FF3" w:rsidRPr="00CF7FF3" w14:paraId="69167DAE" w14:textId="77777777" w:rsidTr="00A6391B">
        <w:trPr>
          <w:trHeight w:val="365"/>
        </w:trPr>
        <w:tc>
          <w:tcPr>
            <w:tcW w:w="795" w:type="dxa"/>
          </w:tcPr>
          <w:p w14:paraId="026461BA" w14:textId="77777777" w:rsidR="00DB1132" w:rsidRPr="00CF7FF3" w:rsidRDefault="00DB1132" w:rsidP="00AD730C">
            <w:pPr>
              <w:pStyle w:val="BodyText"/>
              <w:rPr>
                <w:rFonts w:ascii="Arial" w:hAnsi="Arial" w:cs="Arial"/>
              </w:rPr>
            </w:pPr>
            <w:r w:rsidRPr="00CF7FF3">
              <w:rPr>
                <w:rFonts w:ascii="Arial" w:hAnsi="Arial" w:cs="Arial"/>
              </w:rPr>
              <w:t>2</w:t>
            </w:r>
          </w:p>
        </w:tc>
        <w:tc>
          <w:tcPr>
            <w:tcW w:w="4162" w:type="dxa"/>
          </w:tcPr>
          <w:p w14:paraId="783EC631" w14:textId="3D963CCE" w:rsidR="00DB1132" w:rsidRPr="00CF7FF3" w:rsidRDefault="00A6391B" w:rsidP="00A6391B">
            <w:pPr>
              <w:contextualSpacing/>
              <w:rPr>
                <w:rFonts w:ascii="Arial" w:hAnsi="Arial" w:cs="Arial"/>
              </w:rPr>
            </w:pPr>
            <w:r>
              <w:rPr>
                <w:rFonts w:ascii="Arial" w:hAnsi="Arial" w:cs="Arial"/>
                <w:b/>
              </w:rPr>
              <w:t xml:space="preserve">Draft </w:t>
            </w:r>
            <w:r w:rsidR="00F641AD">
              <w:rPr>
                <w:rFonts w:ascii="Arial" w:hAnsi="Arial" w:cs="Arial"/>
                <w:b/>
              </w:rPr>
              <w:t xml:space="preserve">1 of </w:t>
            </w:r>
            <w:r>
              <w:rPr>
                <w:rFonts w:ascii="Arial" w:hAnsi="Arial" w:cs="Arial"/>
                <w:b/>
              </w:rPr>
              <w:t>dossiers</w:t>
            </w:r>
            <w:r w:rsidRPr="00A6391B">
              <w:rPr>
                <w:rFonts w:ascii="Arial" w:hAnsi="Arial" w:cs="Arial"/>
              </w:rPr>
              <w:t xml:space="preserve"> </w:t>
            </w:r>
            <w:r w:rsidR="00F641AD">
              <w:rPr>
                <w:rFonts w:ascii="Arial" w:hAnsi="Arial" w:cs="Arial"/>
              </w:rPr>
              <w:t xml:space="preserve">for agreed chemicals listed </w:t>
            </w:r>
            <w:r>
              <w:rPr>
                <w:rFonts w:ascii="Arial" w:hAnsi="Arial" w:cs="Arial"/>
              </w:rPr>
              <w:t xml:space="preserve">in Table 1 </w:t>
            </w:r>
            <w:r w:rsidRPr="00A6391B">
              <w:rPr>
                <w:rFonts w:ascii="Arial" w:hAnsi="Arial" w:cs="Arial"/>
              </w:rPr>
              <w:t>to EA</w:t>
            </w:r>
            <w:r>
              <w:rPr>
                <w:rFonts w:ascii="Arial" w:hAnsi="Arial" w:cs="Arial"/>
              </w:rPr>
              <w:t xml:space="preserve"> (these can be provided in batches</w:t>
            </w:r>
            <w:r w:rsidR="002058D7">
              <w:rPr>
                <w:rFonts w:ascii="Arial" w:hAnsi="Arial" w:cs="Arial"/>
              </w:rPr>
              <w:t>, but all drafts must be submitted by the task end date</w:t>
            </w:r>
            <w:r>
              <w:rPr>
                <w:rFonts w:ascii="Arial" w:hAnsi="Arial" w:cs="Arial"/>
              </w:rPr>
              <w:t>)</w:t>
            </w:r>
          </w:p>
        </w:tc>
        <w:tc>
          <w:tcPr>
            <w:tcW w:w="1417" w:type="dxa"/>
          </w:tcPr>
          <w:p w14:paraId="1B464EEC" w14:textId="77777777" w:rsidR="00DB1132" w:rsidRPr="00CF7FF3" w:rsidRDefault="00DB1132" w:rsidP="00AD730C">
            <w:pPr>
              <w:pStyle w:val="BodyText"/>
              <w:rPr>
                <w:rFonts w:ascii="Arial" w:hAnsi="Arial" w:cs="Arial"/>
              </w:rPr>
            </w:pPr>
            <w:r w:rsidRPr="00CF7FF3">
              <w:rPr>
                <w:rFonts w:ascii="Arial" w:hAnsi="Arial" w:cs="Arial"/>
              </w:rPr>
              <w:t xml:space="preserve">Supplier </w:t>
            </w:r>
          </w:p>
        </w:tc>
        <w:tc>
          <w:tcPr>
            <w:tcW w:w="1559" w:type="dxa"/>
          </w:tcPr>
          <w:p w14:paraId="734E76CB" w14:textId="48C788FD" w:rsidR="00DB1132" w:rsidRPr="00CF7FF3" w:rsidRDefault="00A6391B" w:rsidP="00AD730C">
            <w:pPr>
              <w:pStyle w:val="BodyText"/>
              <w:rPr>
                <w:rFonts w:ascii="Arial" w:hAnsi="Arial" w:cs="Arial"/>
              </w:rPr>
            </w:pPr>
            <w:r>
              <w:rPr>
                <w:rFonts w:ascii="Arial" w:hAnsi="Arial" w:cs="Arial"/>
              </w:rPr>
              <w:t>Word documents</w:t>
            </w:r>
          </w:p>
        </w:tc>
        <w:tc>
          <w:tcPr>
            <w:tcW w:w="1418" w:type="dxa"/>
          </w:tcPr>
          <w:p w14:paraId="24303964" w14:textId="5036F6B3" w:rsidR="00DB1132" w:rsidRPr="00A2138D" w:rsidRDefault="007C1F18" w:rsidP="005A4B57">
            <w:pPr>
              <w:pStyle w:val="BodyText"/>
              <w:rPr>
                <w:rFonts w:ascii="Arial" w:hAnsi="Arial" w:cs="Arial"/>
              </w:rPr>
            </w:pPr>
            <w:r>
              <w:rPr>
                <w:rFonts w:ascii="Arial" w:hAnsi="Arial" w:cs="Arial"/>
              </w:rPr>
              <w:t>20</w:t>
            </w:r>
            <w:r w:rsidR="005A4B57" w:rsidRPr="00A2138D">
              <w:rPr>
                <w:rFonts w:ascii="Arial" w:hAnsi="Arial" w:cs="Arial"/>
              </w:rPr>
              <w:t xml:space="preserve"> </w:t>
            </w:r>
            <w:r w:rsidR="0008558D">
              <w:rPr>
                <w:rFonts w:ascii="Arial" w:hAnsi="Arial" w:cs="Arial"/>
              </w:rPr>
              <w:t>Jan</w:t>
            </w:r>
            <w:r w:rsidR="005A4B57" w:rsidRPr="00A2138D">
              <w:rPr>
                <w:rFonts w:ascii="Arial" w:hAnsi="Arial" w:cs="Arial"/>
              </w:rPr>
              <w:t xml:space="preserve"> </w:t>
            </w:r>
            <w:r w:rsidR="0045484A" w:rsidRPr="00A2138D">
              <w:rPr>
                <w:rFonts w:ascii="Arial" w:hAnsi="Arial" w:cs="Arial"/>
              </w:rPr>
              <w:t>202</w:t>
            </w:r>
            <w:r w:rsidR="00D23858" w:rsidRPr="00A2138D">
              <w:rPr>
                <w:rFonts w:ascii="Arial" w:hAnsi="Arial" w:cs="Arial"/>
              </w:rPr>
              <w:t>4</w:t>
            </w:r>
          </w:p>
        </w:tc>
      </w:tr>
      <w:tr w:rsidR="005A4B57" w:rsidRPr="00CF7FF3" w14:paraId="153353C3" w14:textId="77777777" w:rsidTr="00A6391B">
        <w:trPr>
          <w:trHeight w:val="365"/>
        </w:trPr>
        <w:tc>
          <w:tcPr>
            <w:tcW w:w="795" w:type="dxa"/>
          </w:tcPr>
          <w:p w14:paraId="4952F11A" w14:textId="6D2118A2" w:rsidR="005A4B57" w:rsidRPr="00CF7FF3" w:rsidRDefault="005A4B57" w:rsidP="005A4B57">
            <w:pPr>
              <w:pStyle w:val="BodyText"/>
              <w:rPr>
                <w:rFonts w:ascii="Arial" w:hAnsi="Arial" w:cs="Arial"/>
              </w:rPr>
            </w:pPr>
            <w:r>
              <w:rPr>
                <w:rFonts w:ascii="Arial" w:hAnsi="Arial" w:cs="Arial"/>
              </w:rPr>
              <w:t>3</w:t>
            </w:r>
          </w:p>
        </w:tc>
        <w:tc>
          <w:tcPr>
            <w:tcW w:w="4162" w:type="dxa"/>
          </w:tcPr>
          <w:p w14:paraId="5341A24C" w14:textId="77777777" w:rsidR="005A4B57" w:rsidRDefault="005A4B57" w:rsidP="005A4B57">
            <w:pPr>
              <w:contextualSpacing/>
              <w:rPr>
                <w:rFonts w:ascii="Arial" w:hAnsi="Arial" w:cs="Arial"/>
              </w:rPr>
            </w:pPr>
            <w:r w:rsidRPr="00CF7FF3">
              <w:rPr>
                <w:rFonts w:ascii="Arial" w:hAnsi="Arial" w:cs="Arial"/>
              </w:rPr>
              <w:t xml:space="preserve">EA steering group reviews </w:t>
            </w:r>
            <w:r w:rsidR="00A83D9B">
              <w:rPr>
                <w:rFonts w:ascii="Arial" w:hAnsi="Arial" w:cs="Arial"/>
              </w:rPr>
              <w:t>dossiers</w:t>
            </w:r>
            <w:r w:rsidR="00A83D9B" w:rsidRPr="00CF7FF3">
              <w:rPr>
                <w:rFonts w:ascii="Arial" w:hAnsi="Arial" w:cs="Arial"/>
              </w:rPr>
              <w:t xml:space="preserve"> </w:t>
            </w:r>
            <w:r w:rsidRPr="00CF7FF3">
              <w:rPr>
                <w:rFonts w:ascii="Arial" w:hAnsi="Arial" w:cs="Arial"/>
              </w:rPr>
              <w:t xml:space="preserve">and provides </w:t>
            </w:r>
            <w:r w:rsidRPr="00CF7FF3">
              <w:rPr>
                <w:rFonts w:ascii="Arial" w:hAnsi="Arial" w:cs="Arial"/>
                <w:b/>
              </w:rPr>
              <w:t xml:space="preserve">comments </w:t>
            </w:r>
            <w:r w:rsidRPr="00CF7FF3">
              <w:rPr>
                <w:rFonts w:ascii="Arial" w:hAnsi="Arial" w:cs="Arial"/>
              </w:rPr>
              <w:t>back to project team</w:t>
            </w:r>
            <w:r w:rsidR="00A83D9B">
              <w:rPr>
                <w:rFonts w:ascii="Arial" w:hAnsi="Arial" w:cs="Arial"/>
              </w:rPr>
              <w:t xml:space="preserve"> (can occur in batches)</w:t>
            </w:r>
          </w:p>
          <w:p w14:paraId="1E47FA29" w14:textId="77777777" w:rsidR="00A412E9" w:rsidRDefault="00A412E9" w:rsidP="005A4B57">
            <w:pPr>
              <w:contextualSpacing/>
              <w:rPr>
                <w:rFonts w:ascii="Arial" w:hAnsi="Arial" w:cs="Arial"/>
                <w:bCs/>
              </w:rPr>
            </w:pPr>
            <w:r w:rsidRPr="00A412E9">
              <w:rPr>
                <w:rFonts w:ascii="Arial" w:hAnsi="Arial" w:cs="Arial"/>
                <w:bCs/>
              </w:rPr>
              <w:t>EA review - to ensure dossiers are suitable for sharing with UKHSA</w:t>
            </w:r>
          </w:p>
          <w:p w14:paraId="0DF85F78" w14:textId="23DF6FC8" w:rsidR="002070F2" w:rsidRPr="00A412E9" w:rsidRDefault="002070F2" w:rsidP="005A4B57">
            <w:pPr>
              <w:contextualSpacing/>
              <w:rPr>
                <w:rFonts w:ascii="Arial" w:hAnsi="Arial" w:cs="Arial"/>
                <w:bCs/>
              </w:rPr>
            </w:pPr>
            <w:r w:rsidRPr="00A412E9">
              <w:rPr>
                <w:rFonts w:ascii="Arial" w:hAnsi="Arial" w:cs="Arial"/>
                <w:bCs/>
              </w:rPr>
              <w:t>UKHSA review - (a) feedback requested and (b) final recommendations made</w:t>
            </w:r>
          </w:p>
        </w:tc>
        <w:tc>
          <w:tcPr>
            <w:tcW w:w="1417" w:type="dxa"/>
          </w:tcPr>
          <w:p w14:paraId="0C733D16" w14:textId="3A964C82" w:rsidR="005A4B57" w:rsidRPr="00CF7FF3" w:rsidRDefault="005A4B57" w:rsidP="005A4B57">
            <w:pPr>
              <w:pStyle w:val="BodyText"/>
              <w:rPr>
                <w:rFonts w:ascii="Arial" w:hAnsi="Arial" w:cs="Arial"/>
              </w:rPr>
            </w:pPr>
            <w:r w:rsidRPr="00CF7FF3">
              <w:rPr>
                <w:rFonts w:ascii="Arial" w:hAnsi="Arial" w:cs="Arial"/>
              </w:rPr>
              <w:t>EA project manager</w:t>
            </w:r>
          </w:p>
        </w:tc>
        <w:tc>
          <w:tcPr>
            <w:tcW w:w="1559" w:type="dxa"/>
          </w:tcPr>
          <w:p w14:paraId="3BFB3B33" w14:textId="3301F005" w:rsidR="005A4B57" w:rsidRDefault="005A4B57" w:rsidP="005A4B57">
            <w:pPr>
              <w:pStyle w:val="BodyText"/>
              <w:rPr>
                <w:rFonts w:ascii="Arial" w:hAnsi="Arial" w:cs="Arial"/>
              </w:rPr>
            </w:pPr>
            <w:r w:rsidRPr="00CF7FF3">
              <w:rPr>
                <w:rFonts w:ascii="Arial" w:hAnsi="Arial" w:cs="Arial"/>
              </w:rPr>
              <w:t>Track changes in word document</w:t>
            </w:r>
          </w:p>
        </w:tc>
        <w:tc>
          <w:tcPr>
            <w:tcW w:w="1418" w:type="dxa"/>
          </w:tcPr>
          <w:p w14:paraId="301AF4EF" w14:textId="78D8BFFB" w:rsidR="005A4B57" w:rsidRPr="00A2138D" w:rsidRDefault="000623EE" w:rsidP="005A4B57">
            <w:pPr>
              <w:pStyle w:val="BodyText"/>
              <w:rPr>
                <w:rFonts w:ascii="Arial" w:hAnsi="Arial" w:cs="Arial"/>
              </w:rPr>
            </w:pPr>
            <w:r>
              <w:rPr>
                <w:rFonts w:ascii="Arial" w:hAnsi="Arial" w:cs="Arial"/>
              </w:rPr>
              <w:t>17</w:t>
            </w:r>
            <w:r w:rsidR="006577FF" w:rsidRPr="00A2138D">
              <w:rPr>
                <w:rFonts w:ascii="Arial" w:hAnsi="Arial" w:cs="Arial"/>
              </w:rPr>
              <w:t xml:space="preserve"> </w:t>
            </w:r>
            <w:r w:rsidR="0008558D">
              <w:rPr>
                <w:rFonts w:ascii="Arial" w:hAnsi="Arial" w:cs="Arial"/>
              </w:rPr>
              <w:t>Feb</w:t>
            </w:r>
            <w:r w:rsidR="005A4B57" w:rsidRPr="00A2138D">
              <w:rPr>
                <w:rFonts w:ascii="Arial" w:hAnsi="Arial" w:cs="Arial"/>
              </w:rPr>
              <w:t xml:space="preserve"> 202</w:t>
            </w:r>
            <w:r w:rsidR="006577FF" w:rsidRPr="00A2138D">
              <w:rPr>
                <w:rFonts w:ascii="Arial" w:hAnsi="Arial" w:cs="Arial"/>
              </w:rPr>
              <w:t>5</w:t>
            </w:r>
          </w:p>
        </w:tc>
      </w:tr>
      <w:tr w:rsidR="005A4B57" w:rsidRPr="00CF7FF3" w14:paraId="6AA278CD" w14:textId="77777777" w:rsidTr="00A6391B">
        <w:trPr>
          <w:trHeight w:val="347"/>
        </w:trPr>
        <w:tc>
          <w:tcPr>
            <w:tcW w:w="795" w:type="dxa"/>
          </w:tcPr>
          <w:p w14:paraId="26D0D0B5" w14:textId="76013ACB" w:rsidR="005A4B57" w:rsidRPr="00CF7FF3" w:rsidRDefault="005A4B57" w:rsidP="005A4B57">
            <w:pPr>
              <w:pStyle w:val="BodyText"/>
              <w:rPr>
                <w:rFonts w:ascii="Arial" w:hAnsi="Arial" w:cs="Arial"/>
              </w:rPr>
            </w:pPr>
            <w:r>
              <w:rPr>
                <w:rFonts w:ascii="Arial" w:hAnsi="Arial" w:cs="Arial"/>
              </w:rPr>
              <w:t>4</w:t>
            </w:r>
          </w:p>
        </w:tc>
        <w:tc>
          <w:tcPr>
            <w:tcW w:w="4162" w:type="dxa"/>
          </w:tcPr>
          <w:p w14:paraId="33E368B3" w14:textId="18EDD041" w:rsidR="005A4B57" w:rsidRPr="00E62879" w:rsidRDefault="005A2873" w:rsidP="005A4B57">
            <w:pPr>
              <w:pStyle w:val="BodyText"/>
              <w:rPr>
                <w:rFonts w:ascii="Arial" w:hAnsi="Arial" w:cs="Arial"/>
                <w:bCs/>
              </w:rPr>
            </w:pPr>
            <w:r>
              <w:rPr>
                <w:rFonts w:ascii="Arial" w:hAnsi="Arial" w:cs="Arial"/>
                <w:b/>
              </w:rPr>
              <w:t xml:space="preserve">Draft 2 of </w:t>
            </w:r>
            <w:r w:rsidR="005A4B57">
              <w:rPr>
                <w:rFonts w:ascii="Arial" w:hAnsi="Arial" w:cs="Arial"/>
                <w:b/>
              </w:rPr>
              <w:t>dossiers</w:t>
            </w:r>
            <w:r>
              <w:rPr>
                <w:rFonts w:ascii="Arial" w:hAnsi="Arial" w:cs="Arial"/>
                <w:bCs/>
              </w:rPr>
              <w:t xml:space="preserve"> for above chemicals for EA 2</w:t>
            </w:r>
            <w:r w:rsidRPr="00E62879">
              <w:rPr>
                <w:rFonts w:ascii="Arial" w:hAnsi="Arial" w:cs="Arial"/>
                <w:bCs/>
                <w:vertAlign w:val="superscript"/>
              </w:rPr>
              <w:t>nd</w:t>
            </w:r>
            <w:r>
              <w:rPr>
                <w:rFonts w:ascii="Arial" w:hAnsi="Arial" w:cs="Arial"/>
                <w:bCs/>
              </w:rPr>
              <w:t xml:space="preserve"> review </w:t>
            </w:r>
          </w:p>
        </w:tc>
        <w:tc>
          <w:tcPr>
            <w:tcW w:w="1417" w:type="dxa"/>
          </w:tcPr>
          <w:p w14:paraId="363476AA" w14:textId="3F2ED5C8" w:rsidR="005A4B57" w:rsidRPr="00CF7FF3" w:rsidRDefault="005A4B57" w:rsidP="005A4B57">
            <w:pPr>
              <w:pStyle w:val="BodyText"/>
              <w:rPr>
                <w:rFonts w:ascii="Arial" w:hAnsi="Arial" w:cs="Arial"/>
              </w:rPr>
            </w:pPr>
            <w:r>
              <w:rPr>
                <w:rFonts w:ascii="Arial" w:hAnsi="Arial" w:cs="Arial"/>
              </w:rPr>
              <w:t>Supplier</w:t>
            </w:r>
          </w:p>
        </w:tc>
        <w:tc>
          <w:tcPr>
            <w:tcW w:w="1559" w:type="dxa"/>
          </w:tcPr>
          <w:p w14:paraId="15B93738" w14:textId="02CC3B84" w:rsidR="005A4B57" w:rsidRPr="00CF7FF3" w:rsidRDefault="005A4B57" w:rsidP="005A4B57">
            <w:pPr>
              <w:pStyle w:val="BodyText"/>
              <w:rPr>
                <w:rFonts w:ascii="Arial" w:hAnsi="Arial" w:cs="Arial"/>
              </w:rPr>
            </w:pPr>
            <w:r>
              <w:rPr>
                <w:rFonts w:ascii="Arial" w:hAnsi="Arial" w:cs="Arial"/>
              </w:rPr>
              <w:t>Word documents</w:t>
            </w:r>
          </w:p>
        </w:tc>
        <w:tc>
          <w:tcPr>
            <w:tcW w:w="1418" w:type="dxa"/>
          </w:tcPr>
          <w:p w14:paraId="7D88228D" w14:textId="1C3B7D8A" w:rsidR="005A4B57" w:rsidRPr="00A2138D" w:rsidRDefault="00672A53" w:rsidP="005A4B57">
            <w:pPr>
              <w:pStyle w:val="BodyText"/>
              <w:rPr>
                <w:rFonts w:ascii="Arial" w:hAnsi="Arial" w:cs="Arial"/>
              </w:rPr>
            </w:pPr>
            <w:r>
              <w:rPr>
                <w:rFonts w:ascii="Arial" w:hAnsi="Arial" w:cs="Arial"/>
              </w:rPr>
              <w:t>06</w:t>
            </w:r>
            <w:r w:rsidR="00394089" w:rsidRPr="00A2138D">
              <w:rPr>
                <w:rFonts w:ascii="Arial" w:hAnsi="Arial" w:cs="Arial"/>
              </w:rPr>
              <w:t xml:space="preserve"> </w:t>
            </w:r>
            <w:r w:rsidR="0008558D">
              <w:rPr>
                <w:rFonts w:ascii="Arial" w:hAnsi="Arial" w:cs="Arial"/>
              </w:rPr>
              <w:t>Mar</w:t>
            </w:r>
            <w:r w:rsidR="005A4B57" w:rsidRPr="00A2138D">
              <w:rPr>
                <w:rFonts w:ascii="Arial" w:hAnsi="Arial" w:cs="Arial"/>
              </w:rPr>
              <w:t xml:space="preserve"> 202</w:t>
            </w:r>
            <w:r w:rsidR="00FF5F20" w:rsidRPr="00A2138D">
              <w:rPr>
                <w:rFonts w:ascii="Arial" w:hAnsi="Arial" w:cs="Arial"/>
              </w:rPr>
              <w:t>5</w:t>
            </w:r>
          </w:p>
        </w:tc>
      </w:tr>
      <w:tr w:rsidR="00E57E06" w:rsidRPr="00CF7FF3" w14:paraId="29585323" w14:textId="77777777" w:rsidTr="00A6391B">
        <w:trPr>
          <w:trHeight w:val="365"/>
        </w:trPr>
        <w:tc>
          <w:tcPr>
            <w:tcW w:w="795" w:type="dxa"/>
          </w:tcPr>
          <w:p w14:paraId="4EA32A91" w14:textId="141AB7CF" w:rsidR="00E57E06" w:rsidRDefault="002070F2" w:rsidP="005A4B57">
            <w:pPr>
              <w:pStyle w:val="BodyText"/>
              <w:rPr>
                <w:rFonts w:ascii="Arial" w:hAnsi="Arial" w:cs="Arial"/>
              </w:rPr>
            </w:pPr>
            <w:r>
              <w:rPr>
                <w:rFonts w:ascii="Arial" w:hAnsi="Arial" w:cs="Arial"/>
              </w:rPr>
              <w:t>5</w:t>
            </w:r>
          </w:p>
        </w:tc>
        <w:tc>
          <w:tcPr>
            <w:tcW w:w="4162" w:type="dxa"/>
          </w:tcPr>
          <w:p w14:paraId="0B7DB55A" w14:textId="77777777" w:rsidR="00E57E06" w:rsidRDefault="00E57E06" w:rsidP="005A4B57">
            <w:pPr>
              <w:contextualSpacing/>
              <w:rPr>
                <w:rFonts w:ascii="Arial" w:hAnsi="Arial" w:cs="Arial"/>
              </w:rPr>
            </w:pPr>
            <w:r>
              <w:rPr>
                <w:rFonts w:ascii="Arial" w:hAnsi="Arial" w:cs="Arial"/>
                <w:b/>
              </w:rPr>
              <w:t xml:space="preserve">Final </w:t>
            </w:r>
            <w:r w:rsidR="002058D7">
              <w:rPr>
                <w:rFonts w:ascii="Arial" w:hAnsi="Arial" w:cs="Arial"/>
                <w:b/>
              </w:rPr>
              <w:t xml:space="preserve">Dossiers </w:t>
            </w:r>
            <w:r>
              <w:rPr>
                <w:rFonts w:ascii="Arial" w:hAnsi="Arial" w:cs="Arial"/>
              </w:rPr>
              <w:t>to EA</w:t>
            </w:r>
          </w:p>
          <w:p w14:paraId="61F30E96" w14:textId="77777777" w:rsidR="00A412E9" w:rsidRPr="00A412E9" w:rsidRDefault="00A412E9" w:rsidP="00A412E9">
            <w:pPr>
              <w:contextualSpacing/>
              <w:rPr>
                <w:rFonts w:ascii="Arial" w:hAnsi="Arial" w:cs="Arial"/>
              </w:rPr>
            </w:pPr>
            <w:r w:rsidRPr="00A412E9">
              <w:rPr>
                <w:rFonts w:ascii="Arial" w:hAnsi="Arial" w:cs="Arial"/>
              </w:rPr>
              <w:t>Final review to ensure narrative is clear.</w:t>
            </w:r>
          </w:p>
          <w:p w14:paraId="64A4CE1F" w14:textId="334FCD5C" w:rsidR="00A412E9" w:rsidRPr="00AF6CA3" w:rsidRDefault="00A412E9" w:rsidP="005A4B57">
            <w:pPr>
              <w:contextualSpacing/>
              <w:rPr>
                <w:rFonts w:ascii="Arial" w:hAnsi="Arial" w:cs="Arial"/>
              </w:rPr>
            </w:pPr>
          </w:p>
        </w:tc>
        <w:tc>
          <w:tcPr>
            <w:tcW w:w="1417" w:type="dxa"/>
          </w:tcPr>
          <w:p w14:paraId="2184661D" w14:textId="603FDED4" w:rsidR="00E57E06" w:rsidRDefault="00E57E06" w:rsidP="005A4B57">
            <w:pPr>
              <w:pStyle w:val="BodyText"/>
              <w:rPr>
                <w:rFonts w:ascii="Arial" w:hAnsi="Arial" w:cs="Arial"/>
              </w:rPr>
            </w:pPr>
            <w:r>
              <w:rPr>
                <w:rFonts w:ascii="Arial" w:hAnsi="Arial" w:cs="Arial"/>
              </w:rPr>
              <w:t>Supplier</w:t>
            </w:r>
          </w:p>
        </w:tc>
        <w:tc>
          <w:tcPr>
            <w:tcW w:w="1559" w:type="dxa"/>
          </w:tcPr>
          <w:p w14:paraId="6F4E1AC2" w14:textId="0D544861" w:rsidR="00E57E06" w:rsidRPr="00CF7FF3" w:rsidRDefault="00E57E06" w:rsidP="005A4B57">
            <w:pPr>
              <w:pStyle w:val="BodyText"/>
              <w:rPr>
                <w:rFonts w:ascii="Arial" w:hAnsi="Arial" w:cs="Arial"/>
              </w:rPr>
            </w:pPr>
            <w:r>
              <w:rPr>
                <w:rFonts w:ascii="Arial" w:hAnsi="Arial" w:cs="Arial"/>
              </w:rPr>
              <w:t>Word document</w:t>
            </w:r>
          </w:p>
        </w:tc>
        <w:tc>
          <w:tcPr>
            <w:tcW w:w="1418" w:type="dxa"/>
          </w:tcPr>
          <w:p w14:paraId="22657578" w14:textId="26BBEA3B" w:rsidR="00E57E06" w:rsidRPr="00A2138D" w:rsidRDefault="00672A53" w:rsidP="005A4B57">
            <w:pPr>
              <w:pStyle w:val="BodyText"/>
              <w:rPr>
                <w:rFonts w:ascii="Arial" w:hAnsi="Arial" w:cs="Arial"/>
              </w:rPr>
            </w:pPr>
            <w:r>
              <w:rPr>
                <w:rFonts w:ascii="Arial" w:hAnsi="Arial" w:cs="Arial"/>
              </w:rPr>
              <w:t>2</w:t>
            </w:r>
            <w:r w:rsidR="00ED52EC" w:rsidRPr="00A2138D">
              <w:rPr>
                <w:rFonts w:ascii="Arial" w:hAnsi="Arial" w:cs="Arial"/>
              </w:rPr>
              <w:t>0</w:t>
            </w:r>
            <w:r w:rsidR="00E57E06" w:rsidRPr="00A2138D">
              <w:rPr>
                <w:rFonts w:ascii="Arial" w:hAnsi="Arial" w:cs="Arial"/>
              </w:rPr>
              <w:t xml:space="preserve"> </w:t>
            </w:r>
            <w:r w:rsidR="0008558D">
              <w:rPr>
                <w:rFonts w:ascii="Arial" w:hAnsi="Arial" w:cs="Arial"/>
              </w:rPr>
              <w:t xml:space="preserve">Mar </w:t>
            </w:r>
            <w:r w:rsidR="00E57E06" w:rsidRPr="00A2138D">
              <w:rPr>
                <w:rFonts w:ascii="Arial" w:hAnsi="Arial" w:cs="Arial"/>
              </w:rPr>
              <w:t>202</w:t>
            </w:r>
            <w:r w:rsidR="00ED52EC" w:rsidRPr="00A2138D">
              <w:rPr>
                <w:rFonts w:ascii="Arial" w:hAnsi="Arial" w:cs="Arial"/>
              </w:rPr>
              <w:t>5</w:t>
            </w:r>
          </w:p>
        </w:tc>
      </w:tr>
      <w:tr w:rsidR="005A4B57" w:rsidRPr="00CF7FF3" w14:paraId="18B09DF5" w14:textId="77777777" w:rsidTr="00A6391B">
        <w:trPr>
          <w:trHeight w:val="365"/>
        </w:trPr>
        <w:tc>
          <w:tcPr>
            <w:tcW w:w="795" w:type="dxa"/>
          </w:tcPr>
          <w:p w14:paraId="0E6045A9" w14:textId="05B49FC3" w:rsidR="005A4B57" w:rsidRPr="00CF7FF3" w:rsidRDefault="002070F2" w:rsidP="005A4B57">
            <w:pPr>
              <w:pStyle w:val="BodyText"/>
              <w:rPr>
                <w:rFonts w:ascii="Arial" w:hAnsi="Arial" w:cs="Arial"/>
              </w:rPr>
            </w:pPr>
            <w:r>
              <w:rPr>
                <w:rFonts w:ascii="Arial" w:hAnsi="Arial" w:cs="Arial"/>
              </w:rPr>
              <w:t>6</w:t>
            </w:r>
          </w:p>
        </w:tc>
        <w:tc>
          <w:tcPr>
            <w:tcW w:w="4162" w:type="dxa"/>
          </w:tcPr>
          <w:p w14:paraId="3D8AEE86" w14:textId="77777777" w:rsidR="005A4B57" w:rsidRPr="005A4B57" w:rsidRDefault="005A4B57" w:rsidP="005A4B57">
            <w:pPr>
              <w:contextualSpacing/>
              <w:rPr>
                <w:rFonts w:ascii="Arial" w:hAnsi="Arial" w:cs="Arial"/>
              </w:rPr>
            </w:pPr>
            <w:r>
              <w:rPr>
                <w:rFonts w:ascii="Arial" w:hAnsi="Arial" w:cs="Arial"/>
                <w:b/>
              </w:rPr>
              <w:t xml:space="preserve">Progress meeting </w:t>
            </w:r>
            <w:r w:rsidRPr="005A4B57">
              <w:rPr>
                <w:rFonts w:ascii="Arial" w:hAnsi="Arial" w:cs="Arial"/>
              </w:rPr>
              <w:t>with project team and the EA steering group, confirming:</w:t>
            </w:r>
          </w:p>
          <w:p w14:paraId="6EB27AFE" w14:textId="77777777" w:rsidR="005A4B57" w:rsidRPr="005A4B57" w:rsidRDefault="005A4B57" w:rsidP="005A4B57">
            <w:pPr>
              <w:pStyle w:val="ListParagraph"/>
              <w:numPr>
                <w:ilvl w:val="0"/>
                <w:numId w:val="29"/>
              </w:numPr>
              <w:contextualSpacing/>
              <w:rPr>
                <w:rFonts w:cs="Arial"/>
                <w:sz w:val="20"/>
                <w:szCs w:val="20"/>
              </w:rPr>
            </w:pPr>
            <w:r w:rsidRPr="005A4B57">
              <w:rPr>
                <w:rFonts w:cs="Arial"/>
                <w:sz w:val="20"/>
                <w:szCs w:val="20"/>
              </w:rPr>
              <w:t>Final prioritisation</w:t>
            </w:r>
          </w:p>
          <w:p w14:paraId="1E5D2044" w14:textId="0CD9456C" w:rsidR="005A4B57" w:rsidRPr="005A4B57" w:rsidRDefault="008516DA" w:rsidP="005A4B57">
            <w:pPr>
              <w:pStyle w:val="ListParagraph"/>
              <w:numPr>
                <w:ilvl w:val="0"/>
                <w:numId w:val="29"/>
              </w:numPr>
              <w:contextualSpacing/>
              <w:rPr>
                <w:rFonts w:cs="Arial"/>
                <w:b/>
              </w:rPr>
            </w:pPr>
            <w:r>
              <w:rPr>
                <w:rFonts w:cs="Arial"/>
                <w:sz w:val="20"/>
                <w:szCs w:val="20"/>
              </w:rPr>
              <w:t>Next steps</w:t>
            </w:r>
            <w:r w:rsidR="005A4B57" w:rsidRPr="005A4B57">
              <w:rPr>
                <w:rFonts w:cs="Arial"/>
                <w:sz w:val="20"/>
                <w:szCs w:val="20"/>
              </w:rPr>
              <w:t xml:space="preserve"> for new dossiers</w:t>
            </w:r>
          </w:p>
        </w:tc>
        <w:tc>
          <w:tcPr>
            <w:tcW w:w="1417" w:type="dxa"/>
          </w:tcPr>
          <w:p w14:paraId="75AB8932" w14:textId="6A7B41E6" w:rsidR="005A4B57" w:rsidRPr="00CF7FF3" w:rsidRDefault="005A4B57" w:rsidP="005A4B57">
            <w:pPr>
              <w:pStyle w:val="BodyText"/>
              <w:rPr>
                <w:rFonts w:ascii="Arial" w:hAnsi="Arial" w:cs="Arial"/>
              </w:rPr>
            </w:pPr>
            <w:r>
              <w:rPr>
                <w:rFonts w:ascii="Arial" w:hAnsi="Arial" w:cs="Arial"/>
              </w:rPr>
              <w:t>Supplier</w:t>
            </w:r>
          </w:p>
        </w:tc>
        <w:tc>
          <w:tcPr>
            <w:tcW w:w="1559" w:type="dxa"/>
          </w:tcPr>
          <w:p w14:paraId="50BB41B8" w14:textId="052B95A5" w:rsidR="005A4B57" w:rsidRPr="00CF7FF3" w:rsidRDefault="005A4B57" w:rsidP="005A4B57">
            <w:pPr>
              <w:pStyle w:val="BodyText"/>
              <w:rPr>
                <w:rFonts w:ascii="Arial" w:hAnsi="Arial" w:cs="Arial"/>
              </w:rPr>
            </w:pPr>
            <w:r w:rsidRPr="00CF7FF3">
              <w:rPr>
                <w:rFonts w:ascii="Arial" w:hAnsi="Arial" w:cs="Arial"/>
              </w:rPr>
              <w:t>MS Teams meeting/ Telecon</w:t>
            </w:r>
          </w:p>
        </w:tc>
        <w:tc>
          <w:tcPr>
            <w:tcW w:w="1418" w:type="dxa"/>
          </w:tcPr>
          <w:p w14:paraId="3AD501BE" w14:textId="5859D6E1" w:rsidR="005A4B57" w:rsidRPr="00A2138D" w:rsidRDefault="00672A53" w:rsidP="005A4B57">
            <w:pPr>
              <w:pStyle w:val="BodyText"/>
              <w:rPr>
                <w:rFonts w:ascii="Arial" w:hAnsi="Arial" w:cs="Arial"/>
              </w:rPr>
            </w:pPr>
            <w:r>
              <w:rPr>
                <w:rFonts w:ascii="Arial" w:hAnsi="Arial" w:cs="Arial"/>
              </w:rPr>
              <w:t>06</w:t>
            </w:r>
            <w:r w:rsidR="0074419B" w:rsidRPr="00A2138D">
              <w:rPr>
                <w:rFonts w:ascii="Arial" w:hAnsi="Arial" w:cs="Arial"/>
              </w:rPr>
              <w:t xml:space="preserve"> </w:t>
            </w:r>
            <w:r w:rsidR="0008558D">
              <w:rPr>
                <w:rFonts w:ascii="Arial" w:hAnsi="Arial" w:cs="Arial"/>
              </w:rPr>
              <w:t>Apr</w:t>
            </w:r>
            <w:r w:rsidR="005A4B57" w:rsidRPr="00A2138D">
              <w:rPr>
                <w:rFonts w:ascii="Arial" w:hAnsi="Arial" w:cs="Arial"/>
              </w:rPr>
              <w:t xml:space="preserve"> 202</w:t>
            </w:r>
            <w:r w:rsidR="00A2138D" w:rsidRPr="00A2138D">
              <w:rPr>
                <w:rFonts w:ascii="Arial" w:hAnsi="Arial" w:cs="Arial"/>
              </w:rPr>
              <w:t>5</w:t>
            </w:r>
          </w:p>
        </w:tc>
      </w:tr>
    </w:tbl>
    <w:p w14:paraId="65E3F408" w14:textId="77777777" w:rsidR="006739AF" w:rsidRDefault="006739AF" w:rsidP="00E65F5D">
      <w:pPr>
        <w:rPr>
          <w:rFonts w:ascii="Arial" w:hAnsi="Arial" w:cs="Arial"/>
          <w:szCs w:val="22"/>
        </w:rPr>
      </w:pPr>
    </w:p>
    <w:p w14:paraId="60BEE4EB" w14:textId="77777777" w:rsidR="00E57E06" w:rsidRDefault="00E57E06" w:rsidP="00E65F5D">
      <w:pPr>
        <w:rPr>
          <w:rFonts w:ascii="Arial" w:hAnsi="Arial" w:cs="Arial"/>
          <w:szCs w:val="22"/>
        </w:rPr>
      </w:pPr>
    </w:p>
    <w:p w14:paraId="1660F134" w14:textId="77777777" w:rsidR="00E57E06" w:rsidRDefault="00E57E06" w:rsidP="00E65F5D">
      <w:pPr>
        <w:rPr>
          <w:rFonts w:ascii="Arial" w:hAnsi="Arial" w:cs="Arial"/>
          <w:szCs w:val="22"/>
        </w:rPr>
      </w:pPr>
    </w:p>
    <w:p w14:paraId="20120599" w14:textId="77777777" w:rsidR="00E57E06" w:rsidRDefault="00E57E06" w:rsidP="00E65F5D">
      <w:pPr>
        <w:rPr>
          <w:rFonts w:ascii="Arial" w:hAnsi="Arial" w:cs="Arial"/>
          <w:szCs w:val="22"/>
        </w:rPr>
      </w:pPr>
    </w:p>
    <w:p w14:paraId="6E6D90C7" w14:textId="77777777" w:rsidR="00E57E06" w:rsidRPr="00CF7FF3" w:rsidRDefault="00E57E06" w:rsidP="00E65F5D">
      <w:pPr>
        <w:rPr>
          <w:rFonts w:ascii="Arial" w:hAnsi="Arial" w:cs="Arial"/>
          <w:szCs w:val="22"/>
        </w:rPr>
      </w:pPr>
    </w:p>
    <w:p w14:paraId="7515D48F" w14:textId="77777777" w:rsidR="006739AF" w:rsidRPr="00CF7FF3" w:rsidRDefault="006739AF" w:rsidP="00300B3D">
      <w:pPr>
        <w:pStyle w:val="Heading3"/>
        <w:numPr>
          <w:ilvl w:val="0"/>
          <w:numId w:val="8"/>
        </w:numPr>
        <w:rPr>
          <w:rFonts w:ascii="Arial" w:hAnsi="Arial" w:cs="Arial"/>
          <w:sz w:val="20"/>
          <w:szCs w:val="22"/>
          <w:u w:val="single"/>
        </w:rPr>
      </w:pPr>
      <w:r w:rsidRPr="00CF7FF3">
        <w:rPr>
          <w:rFonts w:ascii="Arial" w:hAnsi="Arial" w:cs="Arial"/>
          <w:sz w:val="20"/>
          <w:szCs w:val="22"/>
          <w:u w:val="single"/>
        </w:rPr>
        <w:t>Skills of Personnel Required</w:t>
      </w:r>
    </w:p>
    <w:p w14:paraId="6188633D" w14:textId="77777777" w:rsidR="006739AF" w:rsidRPr="00CF7FF3" w:rsidRDefault="006739AF" w:rsidP="00E65F5D">
      <w:pPr>
        <w:rPr>
          <w:rFonts w:ascii="Arial" w:hAnsi="Arial" w:cs="Arial"/>
          <w:szCs w:val="22"/>
        </w:rPr>
      </w:pPr>
    </w:p>
    <w:p w14:paraId="48540D93" w14:textId="54E24FC8"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Technical expertise in</w:t>
      </w:r>
      <w:r w:rsidR="00E57E06">
        <w:rPr>
          <w:rFonts w:cs="Arial"/>
          <w:b w:val="0"/>
          <w:sz w:val="20"/>
          <w:szCs w:val="22"/>
        </w:rPr>
        <w:t xml:space="preserve"> mammalian and human toxicology including critical evaluation of primary open and grey literature on a range of industrial contaminants</w:t>
      </w:r>
      <w:r w:rsidRPr="00CF7FF3">
        <w:rPr>
          <w:rFonts w:cs="Arial"/>
          <w:b w:val="0"/>
          <w:sz w:val="20"/>
          <w:szCs w:val="22"/>
        </w:rPr>
        <w:t>.</w:t>
      </w:r>
    </w:p>
    <w:p w14:paraId="7FFFC71B" w14:textId="77777777"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 xml:space="preserve">Excellent communication skills (written, pictorial and verbal). </w:t>
      </w:r>
    </w:p>
    <w:p w14:paraId="128644BB" w14:textId="77777777" w:rsidR="00814EDD" w:rsidRPr="00CF7FF3" w:rsidRDefault="00814EDD" w:rsidP="00300B3D">
      <w:pPr>
        <w:pStyle w:val="Heading1"/>
        <w:numPr>
          <w:ilvl w:val="0"/>
          <w:numId w:val="23"/>
        </w:numPr>
        <w:rPr>
          <w:rFonts w:cs="Arial"/>
          <w:b w:val="0"/>
          <w:sz w:val="20"/>
          <w:szCs w:val="22"/>
        </w:rPr>
      </w:pPr>
      <w:r w:rsidRPr="00CF7FF3">
        <w:rPr>
          <w:rFonts w:cs="Arial"/>
          <w:b w:val="0"/>
          <w:sz w:val="20"/>
          <w:szCs w:val="22"/>
        </w:rPr>
        <w:t>Ability to work collaboratively and share knowledge</w:t>
      </w:r>
      <w:r w:rsidR="00590BE4" w:rsidRPr="00CF7FF3">
        <w:rPr>
          <w:rFonts w:cs="Arial"/>
          <w:b w:val="0"/>
          <w:sz w:val="20"/>
          <w:szCs w:val="22"/>
        </w:rPr>
        <w:t>.</w:t>
      </w:r>
    </w:p>
    <w:p w14:paraId="44077F64" w14:textId="77777777" w:rsidR="003014F2" w:rsidRPr="00CF7FF3" w:rsidRDefault="003014F2" w:rsidP="00E65F5D">
      <w:pPr>
        <w:pStyle w:val="BodyText"/>
        <w:spacing w:after="0"/>
        <w:rPr>
          <w:rFonts w:ascii="Arial" w:hAnsi="Arial" w:cs="Arial"/>
          <w:b/>
          <w:szCs w:val="22"/>
          <w:u w:val="single"/>
        </w:rPr>
      </w:pPr>
    </w:p>
    <w:p w14:paraId="6EAF07C7"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4BCA3F13" w14:textId="77777777" w:rsidR="00D557F7" w:rsidRPr="00CF7FF3" w:rsidRDefault="00D557F7" w:rsidP="00E65F5D">
      <w:pPr>
        <w:jc w:val="both"/>
        <w:rPr>
          <w:rFonts w:ascii="Arial" w:hAnsi="Arial" w:cs="Arial"/>
          <w:b/>
          <w:szCs w:val="22"/>
          <w:u w:val="single"/>
        </w:rPr>
      </w:pPr>
    </w:p>
    <w:p w14:paraId="28E29764"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17D6A8DA" w14:textId="77777777" w:rsidR="00BC2742" w:rsidRPr="00CF7FF3" w:rsidRDefault="00BC2742" w:rsidP="00E65F5D">
      <w:pPr>
        <w:jc w:val="both"/>
        <w:rPr>
          <w:rFonts w:ascii="Arial" w:hAnsi="Arial" w:cs="Arial"/>
          <w:b/>
          <w:szCs w:val="22"/>
          <w:u w:val="single"/>
        </w:rPr>
      </w:pPr>
    </w:p>
    <w:p w14:paraId="21187EA6" w14:textId="6BF32373" w:rsidR="006739AF" w:rsidRPr="00CF7FF3"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hyperlink r:id="rId25" w:history="1">
        <w:r w:rsidR="00876ABE" w:rsidRPr="001C6020">
          <w:rPr>
            <w:rStyle w:val="Hyperlink"/>
            <w:rFonts w:cs="Arial"/>
            <w:color w:val="auto"/>
            <w:sz w:val="20"/>
            <w:szCs w:val="22"/>
            <w:u w:val="none"/>
          </w:rPr>
          <w:t>Hannah</w:t>
        </w:r>
      </w:hyperlink>
      <w:r w:rsidR="00876ABE">
        <w:rPr>
          <w:rFonts w:cs="Arial"/>
          <w:sz w:val="20"/>
          <w:szCs w:val="22"/>
        </w:rPr>
        <w:t xml:space="preserve"> Hodson-Jeffery (Hannah.hodson-jeffery@environment-agency.gov.uk)</w:t>
      </w:r>
    </w:p>
    <w:p w14:paraId="43BF7CC6" w14:textId="77777777" w:rsidR="00FB55C7" w:rsidRPr="00CF7FF3" w:rsidRDefault="00FB55C7" w:rsidP="00E65F5D">
      <w:pPr>
        <w:pStyle w:val="CcList"/>
        <w:rPr>
          <w:rFonts w:cs="Arial"/>
          <w:i/>
          <w:sz w:val="20"/>
          <w:szCs w:val="22"/>
        </w:rPr>
      </w:pPr>
    </w:p>
    <w:p w14:paraId="242282EF"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5B05DDD8" w14:textId="77777777" w:rsidR="00443776" w:rsidRPr="00CF7FF3" w:rsidRDefault="00443776" w:rsidP="00E65F5D">
      <w:pPr>
        <w:rPr>
          <w:rFonts w:ascii="Arial" w:hAnsi="Arial" w:cs="Arial"/>
        </w:rPr>
      </w:pPr>
    </w:p>
    <w:p w14:paraId="0B1C8B34" w14:textId="4381FAF8"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w:t>
      </w:r>
      <w:r w:rsidR="009A2B10">
        <w:rPr>
          <w:rFonts w:ascii="Arial" w:hAnsi="Arial" w:cs="Arial"/>
        </w:rPr>
        <w:t>regular</w:t>
      </w:r>
      <w:r w:rsidRPr="00CF7FF3">
        <w:rPr>
          <w:rFonts w:ascii="Arial" w:hAnsi="Arial" w:cs="Arial"/>
        </w:rPr>
        <w:t xml:space="preserve">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w:t>
      </w:r>
      <w:r w:rsidR="009A2B10">
        <w:rPr>
          <w:rFonts w:ascii="Arial" w:hAnsi="Arial" w:cs="Arial"/>
        </w:rPr>
        <w:t xml:space="preserve">(monthly or fortnightly) </w:t>
      </w:r>
      <w:r w:rsidR="00BF2021" w:rsidRPr="00CF7FF3">
        <w:rPr>
          <w:rFonts w:ascii="Arial" w:hAnsi="Arial" w:cs="Arial"/>
        </w:rPr>
        <w:t>regarding</w:t>
      </w:r>
      <w:r w:rsidRPr="00CF7FF3">
        <w:rPr>
          <w:rFonts w:ascii="Arial" w:hAnsi="Arial" w:cs="Arial"/>
        </w:rPr>
        <w:t>:</w:t>
      </w:r>
    </w:p>
    <w:p w14:paraId="6114F44C" w14:textId="77777777" w:rsidR="00443776" w:rsidRPr="00CF7FF3" w:rsidRDefault="00443776" w:rsidP="00443776">
      <w:pPr>
        <w:rPr>
          <w:rFonts w:ascii="Arial" w:hAnsi="Arial" w:cs="Arial"/>
        </w:rPr>
      </w:pPr>
    </w:p>
    <w:p w14:paraId="7BED007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lastRenderedPageBreak/>
        <w:t>progress and difficulties encountered with the project</w:t>
      </w:r>
    </w:p>
    <w:p w14:paraId="4E37D4E8"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14:paraId="4EEFB5E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5D222ECA"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0369ED5A" w14:textId="77777777" w:rsidR="00443776" w:rsidRPr="00CF7FF3" w:rsidRDefault="00443776" w:rsidP="00443776">
      <w:pPr>
        <w:rPr>
          <w:rFonts w:ascii="Arial" w:hAnsi="Arial" w:cs="Arial"/>
        </w:rPr>
      </w:pPr>
    </w:p>
    <w:p w14:paraId="11C353BD" w14:textId="027D57FF" w:rsidR="00443776" w:rsidRPr="00CF7FF3" w:rsidRDefault="00443776" w:rsidP="00443776">
      <w:pPr>
        <w:rPr>
          <w:rFonts w:ascii="Arial" w:hAnsi="Arial" w:cs="Arial"/>
        </w:rPr>
      </w:pPr>
      <w:r w:rsidRPr="00CF7FF3">
        <w:rPr>
          <w:rFonts w:ascii="Arial" w:hAnsi="Arial" w:cs="Arial"/>
        </w:rPr>
        <w:t>An Environment Agency project steering group will be set up to act as the technical quality review panel for the work and outputs.</w:t>
      </w:r>
      <w:r w:rsidR="009A2B10">
        <w:rPr>
          <w:rFonts w:ascii="Arial" w:hAnsi="Arial" w:cs="Arial"/>
        </w:rPr>
        <w:t xml:space="preserve">  This panel will include representation from </w:t>
      </w:r>
      <w:r w:rsidR="00206B5B">
        <w:rPr>
          <w:rFonts w:ascii="Arial" w:hAnsi="Arial" w:cs="Arial"/>
        </w:rPr>
        <w:t>UKHSA</w:t>
      </w:r>
      <w:r w:rsidR="009A2B10">
        <w:rPr>
          <w:rFonts w:ascii="Arial" w:hAnsi="Arial" w:cs="Arial"/>
        </w:rPr>
        <w:t xml:space="preserve">, who will provide an authoritative and independent peer review of the documents produced.  Working closely with </w:t>
      </w:r>
      <w:r w:rsidR="00206B5B">
        <w:rPr>
          <w:rFonts w:ascii="Arial" w:hAnsi="Arial" w:cs="Arial"/>
        </w:rPr>
        <w:t xml:space="preserve">UKHSA </w:t>
      </w:r>
      <w:r w:rsidR="009A2B10">
        <w:rPr>
          <w:rFonts w:ascii="Arial" w:hAnsi="Arial" w:cs="Arial"/>
        </w:rPr>
        <w:t>is an essential part of this project.</w:t>
      </w:r>
      <w:r w:rsidRPr="00CF7FF3">
        <w:rPr>
          <w:rFonts w:ascii="Arial" w:hAnsi="Arial" w:cs="Arial"/>
        </w:rPr>
        <w:t xml:space="preserve"> The project advisory group will review </w:t>
      </w:r>
      <w:r w:rsidR="009A2B10">
        <w:rPr>
          <w:rFonts w:ascii="Arial" w:hAnsi="Arial" w:cs="Arial"/>
        </w:rPr>
        <w:t>drafts</w:t>
      </w:r>
      <w:r w:rsidRPr="00CF7FF3">
        <w:rPr>
          <w:rFonts w:ascii="Arial" w:hAnsi="Arial" w:cs="Arial"/>
        </w:rPr>
        <w:t xml:space="preserve"> produced by the contractor, prior to acceptance.  You should ensure that sufficient time is allowed within the project to consult with the project steering group in directing the project. Approximately </w:t>
      </w:r>
      <w:r w:rsidR="007B6D84">
        <w:rPr>
          <w:rFonts w:ascii="Arial" w:hAnsi="Arial" w:cs="Arial"/>
        </w:rPr>
        <w:t>3</w:t>
      </w:r>
      <w:r w:rsidR="009A2B10" w:rsidRPr="00CF7FF3">
        <w:rPr>
          <w:rFonts w:ascii="Arial" w:hAnsi="Arial" w:cs="Arial"/>
        </w:rPr>
        <w:t xml:space="preserve"> </w:t>
      </w:r>
      <w:r w:rsidRPr="00CF7FF3">
        <w:rPr>
          <w:rFonts w:ascii="Arial" w:hAnsi="Arial" w:cs="Arial"/>
        </w:rPr>
        <w:t>week</w:t>
      </w:r>
      <w:r w:rsidR="009A2B10">
        <w:rPr>
          <w:rFonts w:ascii="Arial" w:hAnsi="Arial" w:cs="Arial"/>
        </w:rPr>
        <w:t>s</w:t>
      </w:r>
      <w:r w:rsidRPr="00CF7FF3">
        <w:rPr>
          <w:rFonts w:ascii="Arial" w:hAnsi="Arial" w:cs="Arial"/>
        </w:rPr>
        <w:t xml:space="preserve"> </w:t>
      </w:r>
      <w:r w:rsidR="009A2B10">
        <w:rPr>
          <w:rFonts w:ascii="Arial" w:hAnsi="Arial" w:cs="Arial"/>
        </w:rPr>
        <w:t xml:space="preserve">has been built into the schedule </w:t>
      </w:r>
      <w:r w:rsidRPr="00CF7FF3">
        <w:rPr>
          <w:rFonts w:ascii="Arial" w:hAnsi="Arial" w:cs="Arial"/>
        </w:rPr>
        <w:t xml:space="preserve">to </w:t>
      </w:r>
      <w:r w:rsidR="009A2B10">
        <w:rPr>
          <w:rFonts w:ascii="Arial" w:hAnsi="Arial" w:cs="Arial"/>
        </w:rPr>
        <w:t xml:space="preserve">allow </w:t>
      </w:r>
      <w:r w:rsidRPr="00CF7FF3">
        <w:rPr>
          <w:rFonts w:ascii="Arial" w:hAnsi="Arial" w:cs="Arial"/>
        </w:rPr>
        <w:t xml:space="preserve">review </w:t>
      </w:r>
      <w:r w:rsidR="009A2B10">
        <w:rPr>
          <w:rFonts w:ascii="Arial" w:hAnsi="Arial" w:cs="Arial"/>
        </w:rPr>
        <w:t>of draft documents</w:t>
      </w:r>
      <w:r w:rsidRPr="00CF7FF3">
        <w:rPr>
          <w:rFonts w:ascii="Arial" w:hAnsi="Arial" w:cs="Arial"/>
        </w:rPr>
        <w:t xml:space="preserve">.          </w:t>
      </w:r>
    </w:p>
    <w:p w14:paraId="0D703C6D" w14:textId="77777777" w:rsidR="00443776" w:rsidRPr="00CF7FF3" w:rsidRDefault="00443776" w:rsidP="00443776">
      <w:pPr>
        <w:rPr>
          <w:rFonts w:ascii="Arial" w:hAnsi="Arial" w:cs="Arial"/>
        </w:rPr>
      </w:pPr>
    </w:p>
    <w:p w14:paraId="25CACF02" w14:textId="1B687274" w:rsidR="00443776" w:rsidRPr="00CF7FF3" w:rsidRDefault="00443776" w:rsidP="00443776">
      <w:pPr>
        <w:rPr>
          <w:rFonts w:ascii="Arial" w:hAnsi="Arial" w:cs="Arial"/>
        </w:rPr>
      </w:pPr>
      <w:r w:rsidRPr="00CF7FF3">
        <w:rPr>
          <w:rFonts w:ascii="Arial" w:hAnsi="Arial" w:cs="Arial"/>
        </w:rPr>
        <w:t>The contractor should allow enough time for project meetings to discuss progress and agree future scope. There will be two full project meetings, both of which will be virtual and half days (3-4 hours)</w:t>
      </w:r>
      <w:r w:rsidR="00590BE4" w:rsidRPr="00CF7FF3">
        <w:rPr>
          <w:rFonts w:ascii="Arial" w:hAnsi="Arial" w:cs="Arial"/>
        </w:rPr>
        <w:t>; o</w:t>
      </w:r>
      <w:r w:rsidRPr="00CF7FF3">
        <w:rPr>
          <w:rFonts w:ascii="Arial" w:hAnsi="Arial" w:cs="Arial"/>
        </w:rPr>
        <w:t>ne at the start-up of the project and one to discuss the</w:t>
      </w:r>
      <w:r w:rsidR="009A2B10">
        <w:rPr>
          <w:rFonts w:ascii="Arial" w:hAnsi="Arial" w:cs="Arial"/>
        </w:rPr>
        <w:t xml:space="preserve"> </w:t>
      </w:r>
      <w:r w:rsidR="004D7C63">
        <w:rPr>
          <w:rFonts w:ascii="Arial" w:hAnsi="Arial" w:cs="Arial"/>
        </w:rPr>
        <w:t>progress</w:t>
      </w:r>
      <w:r w:rsidR="004762F3">
        <w:rPr>
          <w:rFonts w:ascii="Arial" w:hAnsi="Arial" w:cs="Arial"/>
        </w:rPr>
        <w:t xml:space="preserve"> of the dossiers </w:t>
      </w:r>
      <w:r w:rsidR="009A2B10">
        <w:rPr>
          <w:rFonts w:ascii="Arial" w:hAnsi="Arial" w:cs="Arial"/>
        </w:rPr>
        <w:t>and agree the work schedule for the remainder of the project</w:t>
      </w:r>
      <w:r w:rsidRPr="00CF7FF3">
        <w:rPr>
          <w:rFonts w:ascii="Arial" w:hAnsi="Arial" w:cs="Arial"/>
        </w:rPr>
        <w:t>. Other project meetings and any other discussions needed, including project closure, will be conducted where necessary.</w:t>
      </w:r>
      <w:r w:rsidR="004D5CDF">
        <w:rPr>
          <w:rFonts w:ascii="Arial" w:hAnsi="Arial" w:cs="Arial"/>
        </w:rPr>
        <w:t xml:space="preserve">  Any additional telephone discussions </w:t>
      </w:r>
      <w:r w:rsidR="00151348">
        <w:rPr>
          <w:rFonts w:ascii="Arial" w:hAnsi="Arial" w:cs="Arial"/>
        </w:rPr>
        <w:t xml:space="preserve">up to 1 hour </w:t>
      </w:r>
      <w:r w:rsidR="004D5CDF">
        <w:rPr>
          <w:rFonts w:ascii="Arial" w:hAnsi="Arial" w:cs="Arial"/>
        </w:rPr>
        <w:t>will be integral to the project and will not be costed.</w:t>
      </w:r>
    </w:p>
    <w:p w14:paraId="7074360C" w14:textId="77777777" w:rsidR="00443776" w:rsidRPr="00CF7FF3" w:rsidRDefault="00443776" w:rsidP="00443776">
      <w:pPr>
        <w:rPr>
          <w:rFonts w:ascii="Arial" w:hAnsi="Arial" w:cs="Arial"/>
        </w:rPr>
      </w:pPr>
    </w:p>
    <w:p w14:paraId="354A5EA6" w14:textId="77777777" w:rsidR="00A946D1" w:rsidRPr="00CF7FF3" w:rsidRDefault="00A946D1" w:rsidP="00E65F5D">
      <w:pPr>
        <w:rPr>
          <w:rFonts w:ascii="Arial" w:hAnsi="Arial" w:cs="Arial"/>
          <w:szCs w:val="22"/>
        </w:rPr>
      </w:pPr>
      <w:r w:rsidRPr="00CF7FF3">
        <w:rPr>
          <w:rFonts w:ascii="Arial" w:hAnsi="Arial" w:cs="Arial"/>
          <w:szCs w:val="22"/>
        </w:rPr>
        <w:t xml:space="preserve">We will raise purchase orders to cover the cost of the services and will issue to the awarded supplier following contract award. </w:t>
      </w:r>
    </w:p>
    <w:p w14:paraId="011DDC8D" w14:textId="77777777" w:rsidR="00A946D1" w:rsidRPr="00CF7FF3" w:rsidRDefault="00A946D1" w:rsidP="00E65F5D">
      <w:pPr>
        <w:rPr>
          <w:rFonts w:ascii="Arial" w:hAnsi="Arial" w:cs="Arial"/>
          <w:szCs w:val="22"/>
        </w:rPr>
      </w:pPr>
    </w:p>
    <w:p w14:paraId="71A2C351"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0C2C002D" w14:textId="77777777" w:rsidR="00443776" w:rsidRPr="00CF7FF3" w:rsidRDefault="00443776" w:rsidP="00E65F5D">
      <w:pPr>
        <w:rPr>
          <w:rFonts w:ascii="Arial" w:hAnsi="Arial" w:cs="Arial"/>
          <w:szCs w:val="22"/>
        </w:rPr>
      </w:pPr>
    </w:p>
    <w:p w14:paraId="0F0F8635" w14:textId="1C61803B" w:rsidR="00443776" w:rsidRPr="00CF7FF3" w:rsidRDefault="00443776" w:rsidP="00443776">
      <w:pPr>
        <w:rPr>
          <w:rFonts w:ascii="Arial" w:hAnsi="Arial" w:cs="Arial"/>
        </w:rPr>
      </w:pPr>
      <w:r w:rsidRPr="00CF7FF3">
        <w:rPr>
          <w:rFonts w:ascii="Arial" w:hAnsi="Arial" w:cs="Arial"/>
        </w:rPr>
        <w:t xml:space="preserve">It is proposed that full payment be made on acceptance of the final </w:t>
      </w:r>
      <w:r w:rsidR="009A2B10">
        <w:rPr>
          <w:rFonts w:ascii="Arial" w:hAnsi="Arial" w:cs="Arial"/>
        </w:rPr>
        <w:t xml:space="preserve">dossiers for new substances at the </w:t>
      </w:r>
      <w:r w:rsidR="009A2B10" w:rsidRPr="007B6D84">
        <w:rPr>
          <w:rFonts w:ascii="Arial" w:hAnsi="Arial" w:cs="Arial"/>
        </w:rPr>
        <w:t>end of March 202</w:t>
      </w:r>
      <w:r w:rsidR="007B6D84" w:rsidRPr="007B6D84">
        <w:rPr>
          <w:rFonts w:ascii="Arial" w:hAnsi="Arial" w:cs="Arial"/>
        </w:rPr>
        <w:t>5</w:t>
      </w:r>
      <w:r w:rsidRPr="00CF7FF3">
        <w:rPr>
          <w:rFonts w:ascii="Arial" w:hAnsi="Arial" w:cs="Arial"/>
        </w:rPr>
        <w:t>. Alternative programmes of work and payment schedules will be considered.</w:t>
      </w:r>
    </w:p>
    <w:p w14:paraId="619C5A25" w14:textId="77777777" w:rsidR="006277E6" w:rsidRDefault="006277E6" w:rsidP="00E65F5D">
      <w:pPr>
        <w:rPr>
          <w:rFonts w:ascii="Arial" w:hAnsi="Arial" w:cs="Arial"/>
          <w:szCs w:val="22"/>
        </w:rPr>
      </w:pPr>
    </w:p>
    <w:p w14:paraId="463B34CD"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686583DF" w14:textId="77777777" w:rsidR="006D6FE0" w:rsidRDefault="006D6FE0" w:rsidP="00E65F5D">
      <w:pPr>
        <w:rPr>
          <w:rFonts w:ascii="Arial" w:hAnsi="Arial" w:cs="Arial"/>
          <w:szCs w:val="22"/>
        </w:rPr>
      </w:pPr>
    </w:p>
    <w:p w14:paraId="1980F554" w14:textId="77777777" w:rsidR="006D6FE0" w:rsidRDefault="006D6FE0" w:rsidP="006D6FE0">
      <w:pPr>
        <w:rPr>
          <w:rFonts w:ascii="Arial" w:hAnsi="Arial" w:cs="Arial"/>
          <w:b/>
          <w:bCs/>
        </w:rPr>
      </w:pPr>
      <w:r>
        <w:rPr>
          <w:rFonts w:ascii="Arial" w:hAnsi="Arial" w:cs="Arial"/>
          <w:b/>
          <w:bCs/>
        </w:rPr>
        <w:t xml:space="preserve">Sustainability Considerations </w:t>
      </w:r>
    </w:p>
    <w:p w14:paraId="03505FE6"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D7BBFDD" w14:textId="77777777" w:rsidR="006D6FE0" w:rsidRDefault="006D6FE0" w:rsidP="006D6FE0">
      <w:pPr>
        <w:rPr>
          <w:rFonts w:ascii="Arial" w:hAnsi="Arial" w:cs="Arial"/>
        </w:rPr>
      </w:pPr>
    </w:p>
    <w:p w14:paraId="4F7C5BC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0DAA222" w14:textId="77777777" w:rsidR="006D6FE0" w:rsidRDefault="006D6FE0" w:rsidP="006D6FE0">
      <w:pPr>
        <w:rPr>
          <w:rFonts w:ascii="Arial" w:hAnsi="Arial" w:cs="Arial"/>
        </w:rPr>
      </w:pPr>
    </w:p>
    <w:p w14:paraId="0E8AEA5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24BD190" w14:textId="6BABFE8E"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w:t>
      </w:r>
      <w:r w:rsidR="005B3F6A">
        <w:rPr>
          <w:rFonts w:eastAsia="Times New Roman" w:cs="Arial"/>
          <w:sz w:val="20"/>
          <w:szCs w:val="20"/>
          <w:lang w:eastAsia="en-GB"/>
        </w:rPr>
        <w:t xml:space="preserve">in electronic format; alternatively </w:t>
      </w:r>
      <w:r w:rsidRPr="006D6FE0">
        <w:rPr>
          <w:rFonts w:eastAsia="Times New Roman" w:cs="Arial"/>
          <w:sz w:val="20"/>
          <w:szCs w:val="20"/>
          <w:lang w:eastAsia="en-GB"/>
        </w:rPr>
        <w:t>on recycled paper containing at least 100% post</w:t>
      </w:r>
      <w:r w:rsidR="009A2B10">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31B33444" w14:textId="1BE5CB7C"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w:t>
      </w:r>
      <w:r w:rsidR="005B3F6A">
        <w:rPr>
          <w:rFonts w:eastAsia="Times New Roman" w:cs="Arial"/>
          <w:sz w:val="20"/>
          <w:szCs w:val="20"/>
          <w:lang w:eastAsia="en-GB"/>
        </w:rPr>
        <w:t xml:space="preserve">We </w:t>
      </w:r>
      <w:r w:rsidR="0095797C">
        <w:rPr>
          <w:rFonts w:eastAsia="Times New Roman" w:cs="Arial"/>
          <w:sz w:val="20"/>
          <w:szCs w:val="20"/>
          <w:lang w:eastAsia="en-GB"/>
        </w:rPr>
        <w:t xml:space="preserve">will </w:t>
      </w:r>
      <w:r w:rsidR="0095797C" w:rsidRPr="006D6FE0">
        <w:rPr>
          <w:rFonts w:eastAsia="Times New Roman" w:cs="Arial"/>
          <w:sz w:val="20"/>
          <w:szCs w:val="20"/>
          <w:lang w:eastAsia="en-GB"/>
        </w:rPr>
        <w:t>reduce</w:t>
      </w:r>
      <w:r w:rsidRPr="006D6FE0">
        <w:rPr>
          <w:rFonts w:eastAsia="Times New Roman" w:cs="Arial"/>
          <w:sz w:val="20"/>
          <w:szCs w:val="20"/>
          <w:lang w:eastAsia="en-GB"/>
        </w:rPr>
        <w:t xml:space="preserve"> face to face meetings by using email and videoconferencing. </w:t>
      </w:r>
      <w:r w:rsidR="001E6E2C">
        <w:rPr>
          <w:rFonts w:eastAsia="Times New Roman" w:cs="Arial"/>
          <w:sz w:val="20"/>
          <w:szCs w:val="20"/>
          <w:lang w:eastAsia="en-GB"/>
        </w:rPr>
        <w:t>Any face to face m</w:t>
      </w:r>
      <w:r w:rsidRPr="006D6FE0">
        <w:rPr>
          <w:rFonts w:eastAsia="Times New Roman" w:cs="Arial"/>
          <w:sz w:val="20"/>
          <w:szCs w:val="20"/>
          <w:lang w:eastAsia="en-GB"/>
        </w:rPr>
        <w:t xml:space="preserve">eetings to be held in locations </w:t>
      </w:r>
      <w:r w:rsidR="001E6E2C">
        <w:rPr>
          <w:rFonts w:eastAsia="Times New Roman" w:cs="Arial"/>
          <w:sz w:val="20"/>
          <w:szCs w:val="20"/>
          <w:lang w:eastAsia="en-GB"/>
        </w:rPr>
        <w:t xml:space="preserve">which will </w:t>
      </w:r>
      <w:r w:rsidRPr="006D6FE0">
        <w:rPr>
          <w:rFonts w:eastAsia="Times New Roman" w:cs="Arial"/>
          <w:sz w:val="20"/>
          <w:szCs w:val="20"/>
          <w:lang w:eastAsia="en-GB"/>
        </w:rPr>
        <w:t xml:space="preserve">minimise travel and close to public transport links. </w:t>
      </w:r>
    </w:p>
    <w:p w14:paraId="42E8DBF6"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A4B533E" w14:textId="1ECC98CE"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6C55A6D" w14:textId="1A2F5166"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Disposal of Waste: Whilst on site the contractor is responsible for the disposal of their own waste and can only use client facilities with express permission from the </w:t>
      </w:r>
      <w:r w:rsidR="009A2B10" w:rsidRPr="006D6FE0">
        <w:rPr>
          <w:rFonts w:eastAsia="Times New Roman" w:cs="Arial"/>
          <w:sz w:val="20"/>
          <w:szCs w:val="20"/>
          <w:lang w:eastAsia="en-GB"/>
        </w:rPr>
        <w:t>on</w:t>
      </w:r>
      <w:r w:rsidR="009A2B10">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4C2AC676"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00C85EB" w14:textId="77777777" w:rsidR="006D6FE0" w:rsidRDefault="006D6FE0" w:rsidP="006D6FE0">
      <w:pPr>
        <w:rPr>
          <w:rFonts w:ascii="Arial" w:hAnsi="Arial" w:cs="Arial"/>
        </w:rPr>
      </w:pPr>
    </w:p>
    <w:p w14:paraId="1B7A552D"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F2259C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3DB8E4D" w14:textId="77777777" w:rsidR="006D6FE0" w:rsidRDefault="006D6FE0" w:rsidP="006D6FE0">
      <w:pPr>
        <w:rPr>
          <w:rFonts w:ascii="Arial" w:hAnsi="Arial" w:cs="Arial"/>
        </w:rPr>
      </w:pPr>
      <w:hyperlink r:id="rId26" w:history="1">
        <w:r>
          <w:rPr>
            <w:rStyle w:val="Hyperlink"/>
          </w:rPr>
          <w:t>https://www.gov.uk/government/organisations/environment-agency/about/equality-and-diversity</w:t>
        </w:r>
      </w:hyperlink>
    </w:p>
    <w:p w14:paraId="38EED360" w14:textId="77777777" w:rsidR="006D6FE0" w:rsidRDefault="006D6FE0" w:rsidP="006D6FE0">
      <w:pPr>
        <w:rPr>
          <w:rFonts w:ascii="Arial" w:hAnsi="Arial" w:cs="Arial"/>
        </w:rPr>
      </w:pPr>
    </w:p>
    <w:p w14:paraId="3D2FD494" w14:textId="77777777" w:rsidR="006D6FE0" w:rsidRDefault="006D6FE0" w:rsidP="006D6FE0">
      <w:pPr>
        <w:rPr>
          <w:rFonts w:ascii="Arial" w:hAnsi="Arial" w:cs="Arial"/>
          <w:b/>
          <w:bCs/>
        </w:rPr>
      </w:pPr>
      <w:r>
        <w:rPr>
          <w:rFonts w:ascii="Arial" w:hAnsi="Arial" w:cs="Arial"/>
          <w:b/>
          <w:bCs/>
        </w:rPr>
        <w:t xml:space="preserve">Health and Safety </w:t>
      </w:r>
    </w:p>
    <w:p w14:paraId="6EFB0F46"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085E4A5" w14:textId="77777777" w:rsidR="006D6FE0" w:rsidRDefault="006D6FE0" w:rsidP="006D6FE0">
      <w:pPr>
        <w:rPr>
          <w:rFonts w:ascii="Arial" w:hAnsi="Arial" w:cs="Arial"/>
          <w:color w:val="000000"/>
        </w:rPr>
      </w:pPr>
    </w:p>
    <w:p w14:paraId="1BA15D4B" w14:textId="77777777" w:rsidR="006D6FE0" w:rsidRDefault="006D6FE0" w:rsidP="006D6FE0">
      <w:pPr>
        <w:rPr>
          <w:rFonts w:ascii="Arial" w:hAnsi="Arial" w:cs="Arial"/>
          <w:color w:val="000000"/>
        </w:rPr>
      </w:pPr>
    </w:p>
    <w:p w14:paraId="1884C770" w14:textId="4507AFBB" w:rsidR="006D6FE0" w:rsidRDefault="00F822E5" w:rsidP="006D6FE0">
      <w:pPr>
        <w:rPr>
          <w:rFonts w:ascii="Arial" w:hAnsi="Arial" w:cs="Arial"/>
          <w:b/>
          <w:bCs/>
          <w:color w:val="000000"/>
          <w:u w:val="single"/>
        </w:rPr>
      </w:pPr>
      <w:r>
        <w:rPr>
          <w:rFonts w:ascii="Arial" w:hAnsi="Arial" w:cs="Arial"/>
          <w:b/>
          <w:bCs/>
          <w:color w:val="000000"/>
          <w:u w:val="single"/>
        </w:rPr>
        <w:t>-eMission2030 – The Environment Agency Sustainability Plan</w:t>
      </w:r>
    </w:p>
    <w:p w14:paraId="38E3C837" w14:textId="77777777" w:rsidR="006D6FE0" w:rsidRDefault="006D6FE0" w:rsidP="006D6FE0">
      <w:pPr>
        <w:rPr>
          <w:rFonts w:ascii="Arial" w:hAnsi="Arial" w:cs="Arial"/>
          <w:color w:val="000000"/>
        </w:rPr>
      </w:pPr>
    </w:p>
    <w:p w14:paraId="1584A61F"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1CE5B952" w14:textId="77777777" w:rsidR="006D6FE0" w:rsidRDefault="006D6FE0" w:rsidP="006D6FE0">
      <w:pPr>
        <w:rPr>
          <w:rFonts w:ascii="Arial" w:eastAsia="Calibri" w:hAnsi="Arial" w:cs="Arial"/>
          <w:b/>
          <w:bCs/>
        </w:rPr>
      </w:pPr>
    </w:p>
    <w:p w14:paraId="34035243" w14:textId="66BA821B"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w:t>
      </w:r>
    </w:p>
    <w:p w14:paraId="7E779526" w14:textId="77777777" w:rsidR="006D6FE0" w:rsidRDefault="006D6FE0" w:rsidP="006D6FE0">
      <w:pPr>
        <w:rPr>
          <w:rFonts w:ascii="Arial" w:hAnsi="Arial" w:cs="Arial"/>
        </w:rPr>
      </w:pPr>
    </w:p>
    <w:p w14:paraId="4CA1D794" w14:textId="77777777" w:rsidR="006D6FE0" w:rsidRDefault="006D6FE0" w:rsidP="006D6FE0">
      <w:pPr>
        <w:rPr>
          <w:rFonts w:ascii="Arial" w:hAnsi="Arial" w:cs="Arial"/>
          <w:b/>
          <w:bCs/>
        </w:rPr>
      </w:pPr>
      <w:r>
        <w:rPr>
          <w:rFonts w:ascii="Arial" w:hAnsi="Arial" w:cs="Arial"/>
          <w:b/>
          <w:bCs/>
        </w:rPr>
        <w:t xml:space="preserve">Supply chain </w:t>
      </w:r>
    </w:p>
    <w:p w14:paraId="77D81D82" w14:textId="77777777" w:rsidR="006D6FE0" w:rsidRDefault="006D6FE0" w:rsidP="006D6FE0">
      <w:pPr>
        <w:rPr>
          <w:rFonts w:ascii="Arial" w:hAnsi="Arial" w:cs="Arial"/>
        </w:rPr>
      </w:pPr>
    </w:p>
    <w:p w14:paraId="05D2A39B" w14:textId="2C80CBD0" w:rsidR="002331F2" w:rsidRPr="002331F2" w:rsidRDefault="002331F2" w:rsidP="002331F2">
      <w:pPr>
        <w:rPr>
          <w:rFonts w:ascii="Arial" w:hAnsi="Arial" w:cs="Arial"/>
        </w:rPr>
      </w:pPr>
      <w:r w:rsidRPr="002331F2">
        <w:rPr>
          <w:rFonts w:ascii="Arial" w:hAnsi="Arial" w:cs="Arial"/>
        </w:rPr>
        <w:t>​​​​​​​Sustainable procurement is part of everyday responsible procurement. Two thirds of our impacts are from our suppliers and supply chains. Therefore, we have a great opportunity to reduce negative impacts and enhance the positive impacts of our purchasing activity.</w:t>
      </w:r>
    </w:p>
    <w:p w14:paraId="7CDB1712" w14:textId="77777777" w:rsidR="002331F2" w:rsidRPr="002331F2" w:rsidRDefault="002331F2" w:rsidP="002331F2">
      <w:pPr>
        <w:rPr>
          <w:rFonts w:ascii="Arial" w:hAnsi="Arial" w:cs="Arial"/>
        </w:rPr>
      </w:pPr>
      <w:r w:rsidRPr="002331F2">
        <w:rPr>
          <w:rFonts w:ascii="Arial" w:hAnsi="Arial" w:cs="Arial"/>
        </w:rPr>
        <w:t> </w:t>
      </w:r>
    </w:p>
    <w:p w14:paraId="7C10FC5B" w14:textId="77777777" w:rsidR="002331F2" w:rsidRPr="002331F2" w:rsidRDefault="002331F2" w:rsidP="002331F2">
      <w:pPr>
        <w:rPr>
          <w:rFonts w:ascii="Arial" w:hAnsi="Arial" w:cs="Arial"/>
        </w:rPr>
      </w:pPr>
      <w:r w:rsidRPr="002331F2">
        <w:rPr>
          <w:rFonts w:ascii="Arial" w:hAnsi="Arial" w:cs="Arial"/>
        </w:rPr>
        <w:t>Sustainable procurement is taking into account the whole lifecycle sustainability of the purchase from raw material through to disposal when purchasing goods and services. It is an approach embedded in procurement activity that:</w:t>
      </w:r>
    </w:p>
    <w:p w14:paraId="32AE21C6" w14:textId="77777777" w:rsidR="002331F2" w:rsidRPr="002331F2" w:rsidRDefault="002331F2" w:rsidP="002331F2">
      <w:pPr>
        <w:rPr>
          <w:rFonts w:ascii="Arial" w:hAnsi="Arial" w:cs="Arial"/>
        </w:rPr>
      </w:pPr>
      <w:r w:rsidRPr="002331F2">
        <w:rPr>
          <w:rFonts w:ascii="Arial" w:hAnsi="Arial" w:cs="Arial"/>
        </w:rPr>
        <w:t> </w:t>
      </w:r>
    </w:p>
    <w:p w14:paraId="5D52865D" w14:textId="77777777" w:rsidR="002331F2" w:rsidRPr="002331F2" w:rsidRDefault="002331F2" w:rsidP="002331F2">
      <w:pPr>
        <w:numPr>
          <w:ilvl w:val="0"/>
          <w:numId w:val="37"/>
        </w:numPr>
        <w:rPr>
          <w:rFonts w:ascii="Arial" w:hAnsi="Arial" w:cs="Arial"/>
        </w:rPr>
      </w:pPr>
      <w:r w:rsidRPr="002331F2">
        <w:rPr>
          <w:rFonts w:ascii="Arial" w:hAnsi="Arial" w:cs="Arial"/>
        </w:rPr>
        <w:t>achieves value for money taking into account whole life costs</w:t>
      </w:r>
    </w:p>
    <w:p w14:paraId="41F98B08" w14:textId="77777777" w:rsidR="002331F2" w:rsidRPr="002331F2" w:rsidRDefault="002331F2" w:rsidP="002331F2">
      <w:pPr>
        <w:numPr>
          <w:ilvl w:val="0"/>
          <w:numId w:val="37"/>
        </w:numPr>
        <w:rPr>
          <w:rFonts w:ascii="Arial" w:hAnsi="Arial" w:cs="Arial"/>
        </w:rPr>
      </w:pPr>
      <w:r w:rsidRPr="002331F2">
        <w:rPr>
          <w:rFonts w:ascii="Arial" w:hAnsi="Arial" w:cs="Arial"/>
        </w:rPr>
        <w:t>generates benefits to us, society and the economy</w:t>
      </w:r>
    </w:p>
    <w:p w14:paraId="1D57854E" w14:textId="77777777" w:rsidR="002331F2" w:rsidRPr="002331F2" w:rsidRDefault="002331F2" w:rsidP="002331F2">
      <w:pPr>
        <w:numPr>
          <w:ilvl w:val="0"/>
          <w:numId w:val="37"/>
        </w:numPr>
        <w:rPr>
          <w:rFonts w:ascii="Arial" w:hAnsi="Arial" w:cs="Arial"/>
        </w:rPr>
      </w:pPr>
      <w:r w:rsidRPr="002331F2">
        <w:rPr>
          <w:rFonts w:ascii="Arial" w:hAnsi="Arial" w:cs="Arial"/>
        </w:rPr>
        <w:t>minimises damage to the environment</w:t>
      </w:r>
    </w:p>
    <w:p w14:paraId="10C1DA0E" w14:textId="77777777" w:rsidR="006D6FE0" w:rsidRPr="00A946D1" w:rsidRDefault="006D6FE0" w:rsidP="00E65F5D">
      <w:pPr>
        <w:rPr>
          <w:rFonts w:ascii="Arial" w:hAnsi="Arial" w:cs="Arial"/>
          <w:szCs w:val="22"/>
        </w:rPr>
      </w:pPr>
    </w:p>
    <w:p w14:paraId="77D71629" w14:textId="77777777" w:rsidR="00491B79" w:rsidRPr="0093723A" w:rsidRDefault="00491B79" w:rsidP="00E65F5D">
      <w:pPr>
        <w:pStyle w:val="BodyText"/>
        <w:spacing w:after="0"/>
        <w:jc w:val="both"/>
        <w:rPr>
          <w:rFonts w:ascii="Arial" w:hAnsi="Arial" w:cs="Arial"/>
          <w:szCs w:val="22"/>
        </w:rPr>
      </w:pPr>
    </w:p>
    <w:p w14:paraId="117A2340"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15A70793" w14:textId="77777777" w:rsidR="005700D8" w:rsidRPr="0093723A" w:rsidRDefault="005700D8" w:rsidP="00E65F5D">
      <w:pPr>
        <w:pStyle w:val="Heading2"/>
        <w:numPr>
          <w:ilvl w:val="0"/>
          <w:numId w:val="0"/>
        </w:numPr>
        <w:tabs>
          <w:tab w:val="left" w:pos="426"/>
        </w:tabs>
        <w:rPr>
          <w:rFonts w:cs="Arial"/>
          <w:sz w:val="20"/>
          <w:szCs w:val="22"/>
        </w:rPr>
      </w:pPr>
    </w:p>
    <w:p w14:paraId="43DA442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7757D63" w14:textId="77777777" w:rsidR="005700D8" w:rsidRPr="0093723A" w:rsidRDefault="005700D8" w:rsidP="00E65F5D">
      <w:pPr>
        <w:pStyle w:val="Heading3"/>
        <w:numPr>
          <w:ilvl w:val="0"/>
          <w:numId w:val="0"/>
        </w:numPr>
        <w:rPr>
          <w:rFonts w:ascii="Arial" w:hAnsi="Arial" w:cs="Arial"/>
          <w:sz w:val="20"/>
          <w:szCs w:val="22"/>
        </w:rPr>
      </w:pPr>
    </w:p>
    <w:p w14:paraId="6158040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8A02C56" w14:textId="77777777" w:rsidR="005700D8" w:rsidRPr="0093723A" w:rsidRDefault="005700D8" w:rsidP="00E65F5D">
      <w:pPr>
        <w:ind w:right="-1"/>
        <w:jc w:val="both"/>
        <w:rPr>
          <w:rFonts w:ascii="Arial" w:hAnsi="Arial" w:cs="Arial"/>
          <w:szCs w:val="22"/>
        </w:rPr>
      </w:pPr>
    </w:p>
    <w:p w14:paraId="03D188E8" w14:textId="531FC169"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w:t>
      </w:r>
      <w:r w:rsidR="00477E8A">
        <w:rPr>
          <w:rFonts w:ascii="Arial" w:hAnsi="Arial" w:cs="Arial"/>
          <w:szCs w:val="22"/>
        </w:rPr>
        <w:t xml:space="preserve">of </w:t>
      </w:r>
      <w:r w:rsidR="00AB1EF2" w:rsidRPr="0093723A">
        <w:rPr>
          <w:rFonts w:ascii="Arial" w:hAnsi="Arial" w:cs="Arial"/>
          <w:szCs w:val="22"/>
        </w:rPr>
        <w:t>all</w:t>
      </w:r>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87DDF76" w14:textId="77777777" w:rsidR="007931F6" w:rsidRPr="0093723A" w:rsidRDefault="007931F6" w:rsidP="00E65F5D">
      <w:pPr>
        <w:pStyle w:val="Heading3"/>
        <w:numPr>
          <w:ilvl w:val="0"/>
          <w:numId w:val="0"/>
        </w:numPr>
        <w:rPr>
          <w:rFonts w:ascii="Arial" w:hAnsi="Arial" w:cs="Arial"/>
          <w:sz w:val="20"/>
          <w:szCs w:val="22"/>
        </w:rPr>
      </w:pPr>
    </w:p>
    <w:p w14:paraId="2FF267A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17FCEA3" w14:textId="77777777" w:rsidR="005700D8" w:rsidRPr="0093723A" w:rsidRDefault="005700D8" w:rsidP="00E65F5D">
      <w:pPr>
        <w:ind w:right="-1"/>
        <w:jc w:val="both"/>
        <w:rPr>
          <w:rFonts w:ascii="Arial" w:hAnsi="Arial" w:cs="Arial"/>
          <w:szCs w:val="22"/>
        </w:rPr>
      </w:pPr>
    </w:p>
    <w:p w14:paraId="1F26E995"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2DBAC9B" w14:textId="77777777" w:rsidR="005700D8" w:rsidRPr="0093723A" w:rsidRDefault="005700D8" w:rsidP="00E65F5D">
      <w:pPr>
        <w:ind w:right="-1"/>
        <w:jc w:val="both"/>
        <w:rPr>
          <w:rFonts w:ascii="Arial" w:hAnsi="Arial" w:cs="Arial"/>
          <w:szCs w:val="22"/>
        </w:rPr>
      </w:pPr>
    </w:p>
    <w:p w14:paraId="3079937C"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31BBDB9" w14:textId="77777777" w:rsidR="005700D8" w:rsidRPr="0093723A" w:rsidRDefault="005700D8" w:rsidP="00E65F5D">
      <w:pPr>
        <w:ind w:right="-1"/>
        <w:jc w:val="both"/>
        <w:rPr>
          <w:rFonts w:ascii="Arial" w:hAnsi="Arial" w:cs="Arial"/>
          <w:szCs w:val="22"/>
        </w:rPr>
      </w:pPr>
    </w:p>
    <w:p w14:paraId="1A4A30D9"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B40AD54" w14:textId="77777777" w:rsidR="00702558" w:rsidRPr="0093723A" w:rsidRDefault="00702558" w:rsidP="00E65F5D">
      <w:pPr>
        <w:ind w:right="-1"/>
        <w:jc w:val="both"/>
        <w:rPr>
          <w:rFonts w:ascii="Arial" w:hAnsi="Arial" w:cs="Arial"/>
          <w:szCs w:val="22"/>
        </w:rPr>
      </w:pPr>
    </w:p>
    <w:p w14:paraId="6B4647B4"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239BC94" w14:textId="77777777" w:rsidR="00702558" w:rsidRPr="0093723A" w:rsidRDefault="00702558" w:rsidP="00E65F5D">
      <w:pPr>
        <w:rPr>
          <w:rFonts w:ascii="Arial" w:hAnsi="Arial" w:cs="Arial"/>
          <w:szCs w:val="22"/>
        </w:rPr>
      </w:pPr>
    </w:p>
    <w:p w14:paraId="7C043AB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94DDDEB" w14:textId="77777777" w:rsidR="00FB55C7" w:rsidRPr="0093723A" w:rsidRDefault="00FB55C7" w:rsidP="00E65F5D">
      <w:pPr>
        <w:pStyle w:val="Heading2"/>
        <w:numPr>
          <w:ilvl w:val="0"/>
          <w:numId w:val="0"/>
        </w:numPr>
        <w:rPr>
          <w:rFonts w:cs="Arial"/>
        </w:rPr>
      </w:pPr>
    </w:p>
    <w:p w14:paraId="4B4763F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CD24A7B" w14:textId="77777777" w:rsidR="005700D8" w:rsidRPr="0093723A" w:rsidRDefault="005700D8" w:rsidP="00E65F5D">
      <w:pPr>
        <w:jc w:val="both"/>
        <w:rPr>
          <w:rFonts w:ascii="Arial" w:hAnsi="Arial" w:cs="Arial"/>
          <w:szCs w:val="22"/>
        </w:rPr>
      </w:pPr>
    </w:p>
    <w:p w14:paraId="7A80050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C4EE904" w14:textId="77777777" w:rsidR="005700D8" w:rsidRPr="0093723A" w:rsidRDefault="005700D8" w:rsidP="00E65F5D">
      <w:pPr>
        <w:jc w:val="both"/>
        <w:rPr>
          <w:rFonts w:ascii="Arial" w:hAnsi="Arial" w:cs="Arial"/>
          <w:szCs w:val="22"/>
        </w:rPr>
      </w:pPr>
    </w:p>
    <w:p w14:paraId="1A4E0CE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F51DA93" w14:textId="77777777" w:rsidR="005700D8" w:rsidRPr="0093723A" w:rsidRDefault="005700D8" w:rsidP="00E65F5D">
      <w:pPr>
        <w:jc w:val="both"/>
        <w:rPr>
          <w:rFonts w:ascii="Arial" w:hAnsi="Arial" w:cs="Arial"/>
          <w:szCs w:val="22"/>
        </w:rPr>
      </w:pPr>
    </w:p>
    <w:p w14:paraId="423B1F6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12FAE3E" w14:textId="77777777" w:rsidR="00AC670A" w:rsidRPr="0093723A" w:rsidRDefault="00AC670A" w:rsidP="00E65F5D">
      <w:pPr>
        <w:rPr>
          <w:rFonts w:ascii="Arial" w:hAnsi="Arial" w:cs="Arial"/>
          <w:szCs w:val="22"/>
        </w:rPr>
      </w:pPr>
    </w:p>
    <w:p w14:paraId="4D3C70D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C1CCBC" w14:textId="77777777" w:rsidR="005700D8" w:rsidRPr="0093723A" w:rsidRDefault="005700D8" w:rsidP="00E65F5D">
      <w:pPr>
        <w:pStyle w:val="Header"/>
        <w:tabs>
          <w:tab w:val="clear" w:pos="4153"/>
          <w:tab w:val="clear" w:pos="8306"/>
        </w:tabs>
        <w:rPr>
          <w:rFonts w:ascii="Arial" w:hAnsi="Arial" w:cs="Arial"/>
          <w:szCs w:val="22"/>
        </w:rPr>
      </w:pPr>
    </w:p>
    <w:p w14:paraId="7FD81FF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14F0E24" w14:textId="77777777" w:rsidR="005700D8" w:rsidRPr="0093723A" w:rsidRDefault="005700D8" w:rsidP="00E65F5D">
      <w:pPr>
        <w:jc w:val="both"/>
        <w:rPr>
          <w:rFonts w:ascii="Arial" w:hAnsi="Arial" w:cs="Arial"/>
          <w:szCs w:val="22"/>
        </w:rPr>
      </w:pPr>
    </w:p>
    <w:p w14:paraId="70DE3299"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7480847" w14:textId="77777777" w:rsidR="005700D8" w:rsidRPr="0093723A" w:rsidRDefault="005700D8" w:rsidP="00E65F5D">
      <w:pPr>
        <w:pStyle w:val="Header"/>
        <w:tabs>
          <w:tab w:val="clear" w:pos="4153"/>
          <w:tab w:val="clear" w:pos="8306"/>
        </w:tabs>
        <w:rPr>
          <w:rFonts w:ascii="Arial" w:hAnsi="Arial" w:cs="Arial"/>
          <w:szCs w:val="22"/>
        </w:rPr>
      </w:pPr>
    </w:p>
    <w:p w14:paraId="4172467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805FF52" w14:textId="77777777" w:rsidR="00A946D1" w:rsidRDefault="00A946D1" w:rsidP="00E65F5D">
      <w:pPr>
        <w:pStyle w:val="AgencyStdParagraph"/>
        <w:widowControl/>
        <w:rPr>
          <w:rFonts w:ascii="Arial" w:hAnsi="Arial" w:cs="Arial"/>
          <w:sz w:val="20"/>
          <w:szCs w:val="22"/>
        </w:rPr>
      </w:pPr>
    </w:p>
    <w:p w14:paraId="7920E08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D537369" w14:textId="77777777" w:rsidR="001F22CB" w:rsidRDefault="001F22CB" w:rsidP="00E65F5D">
      <w:pPr>
        <w:pStyle w:val="AgencyStdParagraph"/>
        <w:widowControl/>
        <w:rPr>
          <w:rFonts w:ascii="Arial" w:hAnsi="Arial" w:cs="Arial"/>
          <w:sz w:val="20"/>
          <w:szCs w:val="22"/>
        </w:rPr>
      </w:pPr>
    </w:p>
    <w:p w14:paraId="057F7C7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06D64AFB" w14:textId="77777777" w:rsidR="005700D8" w:rsidRPr="0093723A" w:rsidRDefault="005700D8" w:rsidP="00E65F5D">
      <w:pPr>
        <w:pStyle w:val="Header"/>
        <w:tabs>
          <w:tab w:val="clear" w:pos="4153"/>
          <w:tab w:val="clear" w:pos="8306"/>
        </w:tabs>
        <w:jc w:val="both"/>
        <w:rPr>
          <w:rFonts w:ascii="Arial" w:hAnsi="Arial" w:cs="Arial"/>
          <w:szCs w:val="22"/>
        </w:rPr>
      </w:pPr>
    </w:p>
    <w:p w14:paraId="660734A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D7CEB9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C66439C" w14:textId="77777777" w:rsidR="005700D8" w:rsidRPr="0093723A" w:rsidRDefault="005700D8" w:rsidP="00E65F5D">
      <w:pPr>
        <w:rPr>
          <w:rFonts w:ascii="Arial" w:hAnsi="Arial" w:cs="Arial"/>
          <w:szCs w:val="22"/>
        </w:rPr>
      </w:pPr>
    </w:p>
    <w:p w14:paraId="7A3CB65F"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62D60B6" w14:textId="77777777" w:rsidR="005700D8" w:rsidRPr="0093723A" w:rsidRDefault="005700D8" w:rsidP="00E65F5D">
      <w:pPr>
        <w:jc w:val="both"/>
        <w:rPr>
          <w:rFonts w:ascii="Arial" w:hAnsi="Arial" w:cs="Arial"/>
          <w:szCs w:val="22"/>
        </w:rPr>
      </w:pPr>
    </w:p>
    <w:p w14:paraId="15E3E5E2"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2F6D8AE" w14:textId="77777777" w:rsidR="005700D8" w:rsidRPr="0093723A" w:rsidRDefault="005700D8" w:rsidP="00E65F5D">
      <w:pPr>
        <w:jc w:val="both"/>
        <w:rPr>
          <w:rFonts w:ascii="Arial" w:hAnsi="Arial" w:cs="Arial"/>
          <w:szCs w:val="22"/>
        </w:rPr>
      </w:pPr>
    </w:p>
    <w:p w14:paraId="32E3734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ACA9CD2" w14:textId="77777777" w:rsidR="005700D8" w:rsidRPr="0093723A" w:rsidRDefault="005700D8" w:rsidP="00E65F5D">
      <w:pPr>
        <w:jc w:val="both"/>
        <w:rPr>
          <w:rFonts w:ascii="Arial" w:hAnsi="Arial" w:cs="Arial"/>
          <w:szCs w:val="22"/>
        </w:rPr>
      </w:pPr>
    </w:p>
    <w:p w14:paraId="29EF144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take reasonable steps to ensure the reliability of employees who have access to personal data.</w:t>
      </w:r>
    </w:p>
    <w:p w14:paraId="53EAE361" w14:textId="77777777" w:rsidR="005700D8" w:rsidRPr="0093723A" w:rsidRDefault="005700D8" w:rsidP="00E65F5D">
      <w:pPr>
        <w:pStyle w:val="AgencyStdParagraph"/>
        <w:widowControl/>
        <w:rPr>
          <w:rFonts w:ascii="Arial" w:hAnsi="Arial" w:cs="Arial"/>
          <w:sz w:val="20"/>
          <w:szCs w:val="22"/>
        </w:rPr>
      </w:pPr>
    </w:p>
    <w:p w14:paraId="7521E16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FD1B644" w14:textId="77777777" w:rsidR="005700D8" w:rsidRPr="0093723A" w:rsidRDefault="005700D8" w:rsidP="00E65F5D">
      <w:pPr>
        <w:jc w:val="both"/>
        <w:rPr>
          <w:rFonts w:ascii="Arial" w:hAnsi="Arial" w:cs="Arial"/>
          <w:szCs w:val="22"/>
        </w:rPr>
      </w:pPr>
    </w:p>
    <w:p w14:paraId="1B4A13D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3E8D1DE" w14:textId="77777777" w:rsidR="005700D8" w:rsidRPr="0093723A" w:rsidRDefault="005700D8" w:rsidP="00E65F5D">
      <w:pPr>
        <w:jc w:val="both"/>
        <w:rPr>
          <w:rFonts w:ascii="Arial" w:hAnsi="Arial" w:cs="Arial"/>
          <w:szCs w:val="22"/>
        </w:rPr>
      </w:pPr>
    </w:p>
    <w:p w14:paraId="15C7D73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E97265A" w14:textId="77777777" w:rsidR="005700D8" w:rsidRPr="0093723A" w:rsidRDefault="005700D8" w:rsidP="00E65F5D">
      <w:pPr>
        <w:jc w:val="both"/>
        <w:rPr>
          <w:rFonts w:ascii="Arial" w:hAnsi="Arial" w:cs="Arial"/>
          <w:szCs w:val="22"/>
        </w:rPr>
      </w:pPr>
    </w:p>
    <w:p w14:paraId="77A72355"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2036F82" w14:textId="77777777" w:rsidR="005700D8" w:rsidRPr="0093723A" w:rsidRDefault="00103932" w:rsidP="00103932">
      <w:pPr>
        <w:jc w:val="both"/>
        <w:rPr>
          <w:rFonts w:ascii="Arial" w:hAnsi="Arial" w:cs="Arial"/>
          <w:szCs w:val="22"/>
        </w:rPr>
      </w:pPr>
      <w:r>
        <w:rPr>
          <w:rFonts w:ascii="Arial" w:hAnsi="Arial" w:cs="Arial"/>
          <w:szCs w:val="22"/>
        </w:rPr>
        <w:br w:type="page"/>
      </w:r>
    </w:p>
    <w:p w14:paraId="38D9C357"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527B6C7" w14:textId="77777777" w:rsidR="002F4C87" w:rsidRPr="0093723A" w:rsidRDefault="002F4C87" w:rsidP="002F4C87">
      <w:pPr>
        <w:rPr>
          <w:rFonts w:ascii="Arial" w:hAnsi="Arial" w:cs="Arial"/>
          <w:szCs w:val="22"/>
        </w:rPr>
      </w:pPr>
    </w:p>
    <w:p w14:paraId="2F9B9F6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72D8E1E" w14:textId="77777777" w:rsidR="00F90369" w:rsidRDefault="002F4C87" w:rsidP="002F4C87">
      <w:pPr>
        <w:pStyle w:val="BodyText"/>
        <w:spacing w:after="0"/>
        <w:rPr>
          <w:rFonts w:ascii="Arial" w:hAnsi="Arial" w:cs="Arial"/>
          <w:szCs w:val="22"/>
        </w:rPr>
      </w:pPr>
      <w:r w:rsidRPr="0093723A">
        <w:rPr>
          <w:rFonts w:ascii="Arial" w:hAnsi="Arial" w:cs="Arial"/>
          <w:szCs w:val="22"/>
        </w:rPr>
        <w:t>All costs must be quoted on this schedule. Any costs not detailed will not be paid.</w:t>
      </w:r>
    </w:p>
    <w:p w14:paraId="3352A8B4" w14:textId="77777777" w:rsidR="00F90369" w:rsidRDefault="00F90369" w:rsidP="002F4C87">
      <w:pPr>
        <w:pStyle w:val="BodyText"/>
        <w:spacing w:after="0"/>
        <w:rPr>
          <w:rFonts w:ascii="Arial" w:hAnsi="Arial" w:cs="Arial"/>
          <w:szCs w:val="22"/>
        </w:rPr>
      </w:pPr>
    </w:p>
    <w:p w14:paraId="003FD5BE" w14:textId="47D95047" w:rsidR="002F4C87" w:rsidRPr="0093723A" w:rsidRDefault="00F90369" w:rsidP="002F4C87">
      <w:pPr>
        <w:pStyle w:val="BodyText"/>
        <w:spacing w:after="0"/>
        <w:rPr>
          <w:rFonts w:ascii="Arial" w:hAnsi="Arial" w:cs="Arial"/>
          <w:szCs w:val="22"/>
        </w:rPr>
      </w:pPr>
      <w:r>
        <w:rPr>
          <w:rFonts w:ascii="Arial" w:hAnsi="Arial" w:cs="Arial"/>
          <w:szCs w:val="22"/>
        </w:rPr>
        <w:t>Task 7 is for the provision of new dossiers for an undefined number of substances.</w:t>
      </w:r>
      <w:r w:rsidR="00094C8A">
        <w:rPr>
          <w:rFonts w:ascii="Arial" w:hAnsi="Arial" w:cs="Arial"/>
          <w:szCs w:val="22"/>
        </w:rPr>
        <w:t xml:space="preserve">  You should provide a day rate for all staff that may work on a dossier.  </w:t>
      </w:r>
      <w:r>
        <w:rPr>
          <w:rFonts w:ascii="Arial" w:hAnsi="Arial" w:cs="Arial"/>
          <w:szCs w:val="22"/>
        </w:rPr>
        <w:t xml:space="preserve">You should provide sufficient information </w:t>
      </w:r>
      <w:r w:rsidR="00094C8A">
        <w:rPr>
          <w:rFonts w:ascii="Arial" w:hAnsi="Arial" w:cs="Arial"/>
          <w:szCs w:val="22"/>
        </w:rPr>
        <w:t xml:space="preserve">to enable us to make a </w:t>
      </w:r>
      <w:r>
        <w:rPr>
          <w:rFonts w:ascii="Arial" w:hAnsi="Arial" w:cs="Arial"/>
          <w:szCs w:val="22"/>
        </w:rPr>
        <w:t xml:space="preserve">comparison of indicative costs for this item on </w:t>
      </w:r>
      <w:r w:rsidR="002D4250">
        <w:rPr>
          <w:rFonts w:ascii="Arial" w:hAnsi="Arial" w:cs="Arial"/>
          <w:szCs w:val="22"/>
        </w:rPr>
        <w:t xml:space="preserve">a time and materials basis </w:t>
      </w:r>
      <w:r w:rsidR="00094C8A">
        <w:rPr>
          <w:rFonts w:ascii="Arial" w:hAnsi="Arial" w:cs="Arial"/>
          <w:szCs w:val="22"/>
        </w:rPr>
        <w:t xml:space="preserve">for a simple dossier (for example, </w:t>
      </w:r>
      <w:r w:rsidR="00623CE2">
        <w:rPr>
          <w:rFonts w:ascii="Arial" w:hAnsi="Arial" w:cs="Arial"/>
        </w:rPr>
        <w:t>acrylamide</w:t>
      </w:r>
      <w:r w:rsidR="0066653B">
        <w:rPr>
          <w:rFonts w:ascii="Arial" w:hAnsi="Arial" w:cs="Arial"/>
        </w:rPr>
        <w:t xml:space="preserve"> or </w:t>
      </w:r>
      <w:r w:rsidR="00623CE2">
        <w:rPr>
          <w:rFonts w:ascii="Arial" w:hAnsi="Arial" w:cs="Arial"/>
          <w:szCs w:val="22"/>
        </w:rPr>
        <w:t>piperazine</w:t>
      </w:r>
      <w:r w:rsidR="00094C8A">
        <w:rPr>
          <w:rFonts w:ascii="Arial" w:hAnsi="Arial" w:cs="Arial"/>
          <w:szCs w:val="22"/>
        </w:rPr>
        <w:t>) and a potentially more complicated dossier (for example, selenium</w:t>
      </w:r>
      <w:r w:rsidR="0066653B">
        <w:rPr>
          <w:rFonts w:ascii="Arial" w:hAnsi="Arial" w:cs="Arial"/>
          <w:szCs w:val="22"/>
        </w:rPr>
        <w:t xml:space="preserve"> or</w:t>
      </w:r>
      <w:r w:rsidR="00094C8A">
        <w:rPr>
          <w:rFonts w:ascii="Arial" w:hAnsi="Arial" w:cs="Arial"/>
          <w:szCs w:val="22"/>
        </w:rPr>
        <w:t xml:space="preserve"> copper).</w:t>
      </w:r>
      <w:r>
        <w:rPr>
          <w:rFonts w:ascii="Arial" w:hAnsi="Arial" w:cs="Arial"/>
          <w:szCs w:val="22"/>
        </w:rPr>
        <w:t xml:space="preserve"> </w:t>
      </w:r>
      <w:r w:rsidR="002F4C87" w:rsidRPr="0093723A">
        <w:rPr>
          <w:rFonts w:ascii="Arial" w:hAnsi="Arial" w:cs="Arial"/>
          <w:szCs w:val="22"/>
        </w:rPr>
        <w:t xml:space="preserve"> </w:t>
      </w:r>
    </w:p>
    <w:p w14:paraId="2BF795E5" w14:textId="77777777" w:rsidR="002F4C87" w:rsidRPr="0093723A" w:rsidRDefault="002F4C87" w:rsidP="002F4C87">
      <w:pPr>
        <w:pStyle w:val="BodyText"/>
        <w:spacing w:after="0"/>
        <w:rPr>
          <w:rFonts w:ascii="Arial" w:hAnsi="Arial" w:cs="Arial"/>
          <w:szCs w:val="22"/>
        </w:rPr>
      </w:pPr>
    </w:p>
    <w:p w14:paraId="543E2AB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6FF88883"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649CF" w:rsidRPr="0093723A" w14:paraId="2A8AF88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C99FCFB"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F73696" w:rsidRPr="0093723A" w14:paraId="50A01E35"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306D60F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F2D71E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3D771E5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DD368F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526D92A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5351A" w:rsidRPr="0093723A" w14:paraId="7BA19C8A"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9B3B5A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E4D0F8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588C0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9018D96" w14:textId="77777777" w:rsidR="00B326B6" w:rsidRPr="0093723A" w:rsidRDefault="00B326B6" w:rsidP="002F4C87">
            <w:pPr>
              <w:jc w:val="right"/>
              <w:rPr>
                <w:rFonts w:ascii="Arial" w:hAnsi="Arial" w:cs="Arial"/>
                <w:snapToGrid w:val="0"/>
                <w:color w:val="000000"/>
                <w:sz w:val="18"/>
                <w:lang w:eastAsia="en-US"/>
              </w:rPr>
            </w:pPr>
          </w:p>
        </w:tc>
      </w:tr>
      <w:tr w:rsidR="00B5351A" w:rsidRPr="0093723A" w14:paraId="0A520F3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1FF4D4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A453D7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D54DF4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C072CE5" w14:textId="77777777" w:rsidR="00B326B6" w:rsidRPr="0093723A" w:rsidRDefault="00B326B6" w:rsidP="002F4C87">
            <w:pPr>
              <w:jc w:val="right"/>
              <w:rPr>
                <w:rFonts w:ascii="Arial" w:hAnsi="Arial" w:cs="Arial"/>
                <w:snapToGrid w:val="0"/>
                <w:color w:val="000000"/>
                <w:sz w:val="18"/>
                <w:lang w:eastAsia="en-US"/>
              </w:rPr>
            </w:pPr>
          </w:p>
        </w:tc>
      </w:tr>
      <w:tr w:rsidR="00B5351A" w:rsidRPr="0093723A" w14:paraId="607CDB2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91E18B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2A690EC"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B129E4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44EDCE4" w14:textId="77777777" w:rsidR="00B326B6" w:rsidRPr="0093723A" w:rsidRDefault="00B326B6" w:rsidP="002F4C87">
            <w:pPr>
              <w:jc w:val="right"/>
              <w:rPr>
                <w:rFonts w:ascii="Arial" w:hAnsi="Arial" w:cs="Arial"/>
                <w:snapToGrid w:val="0"/>
                <w:color w:val="000000"/>
                <w:sz w:val="18"/>
                <w:lang w:eastAsia="en-US"/>
              </w:rPr>
            </w:pPr>
          </w:p>
        </w:tc>
      </w:tr>
      <w:tr w:rsidR="00B5351A" w:rsidRPr="0093723A" w14:paraId="4659552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0F0A6E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B400B8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03069CC0"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FB82467" w14:textId="77777777" w:rsidR="00B326B6" w:rsidRPr="0093723A" w:rsidRDefault="00B326B6" w:rsidP="002F4C87">
            <w:pPr>
              <w:jc w:val="right"/>
              <w:rPr>
                <w:rFonts w:ascii="Arial" w:hAnsi="Arial" w:cs="Arial"/>
                <w:snapToGrid w:val="0"/>
                <w:color w:val="000000"/>
                <w:sz w:val="18"/>
                <w:lang w:eastAsia="en-US"/>
              </w:rPr>
            </w:pPr>
          </w:p>
        </w:tc>
      </w:tr>
      <w:tr w:rsidR="002649CF" w:rsidRPr="0093723A" w14:paraId="566CC46C"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6C25239E"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67D44BCC" w14:textId="77777777" w:rsidR="002F4C87" w:rsidRPr="0093723A" w:rsidRDefault="002F4C87" w:rsidP="002F4C87">
            <w:pPr>
              <w:jc w:val="right"/>
              <w:rPr>
                <w:rFonts w:ascii="Arial" w:hAnsi="Arial" w:cs="Arial"/>
                <w:snapToGrid w:val="0"/>
                <w:color w:val="000000"/>
                <w:sz w:val="18"/>
                <w:lang w:eastAsia="en-US"/>
              </w:rPr>
            </w:pPr>
          </w:p>
        </w:tc>
      </w:tr>
      <w:tr w:rsidR="002649CF" w:rsidRPr="0093723A" w14:paraId="177DEF4A"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5B851FB"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B2DCF7E" w14:textId="77777777" w:rsidR="002F4C87" w:rsidRPr="0093723A" w:rsidRDefault="002F4C87" w:rsidP="002F4C87">
            <w:pPr>
              <w:rPr>
                <w:rFonts w:ascii="Arial" w:hAnsi="Arial" w:cs="Arial"/>
                <w:snapToGrid w:val="0"/>
                <w:color w:val="000000"/>
                <w:sz w:val="18"/>
                <w:lang w:eastAsia="en-US"/>
              </w:rPr>
            </w:pPr>
          </w:p>
        </w:tc>
      </w:tr>
      <w:tr w:rsidR="002649CF" w:rsidRPr="0093723A" w14:paraId="53235E7E"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551AD8B"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397B8829" w14:textId="77777777" w:rsidR="002F4C87" w:rsidRPr="0093723A" w:rsidRDefault="002F4C87" w:rsidP="002F4C87">
            <w:pPr>
              <w:jc w:val="right"/>
              <w:rPr>
                <w:rFonts w:ascii="Arial" w:hAnsi="Arial" w:cs="Arial"/>
                <w:snapToGrid w:val="0"/>
                <w:color w:val="000000"/>
                <w:sz w:val="18"/>
                <w:lang w:eastAsia="en-US"/>
              </w:rPr>
            </w:pPr>
          </w:p>
        </w:tc>
      </w:tr>
      <w:tr w:rsidR="002649CF" w:rsidRPr="0093723A" w14:paraId="304AA6F8"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0EECDA33"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F7B8283" w14:textId="77777777" w:rsidR="002F4C87" w:rsidRPr="0093723A" w:rsidRDefault="002F4C87" w:rsidP="002F4C87">
            <w:pPr>
              <w:jc w:val="right"/>
              <w:rPr>
                <w:rFonts w:ascii="Arial" w:hAnsi="Arial" w:cs="Arial"/>
                <w:snapToGrid w:val="0"/>
                <w:color w:val="000000"/>
                <w:sz w:val="18"/>
                <w:lang w:eastAsia="en-US"/>
              </w:rPr>
            </w:pPr>
          </w:p>
        </w:tc>
      </w:tr>
    </w:tbl>
    <w:p w14:paraId="3AF44798" w14:textId="77777777" w:rsidR="007C5BBB" w:rsidRPr="007C5BBB" w:rsidRDefault="007C5BBB" w:rsidP="002F4C87">
      <w:pPr>
        <w:pStyle w:val="BodyText"/>
        <w:spacing w:after="0"/>
        <w:rPr>
          <w:rFonts w:ascii="Arial" w:hAnsi="Arial" w:cs="Arial"/>
          <w:b/>
          <w:color w:val="FF0000"/>
          <w:spacing w:val="-3"/>
          <w:szCs w:val="22"/>
        </w:rPr>
      </w:pPr>
    </w:p>
    <w:p w14:paraId="486B6158" w14:textId="77777777" w:rsidR="007C5BBB" w:rsidRPr="0093723A" w:rsidRDefault="007C5BBB" w:rsidP="002F4C87">
      <w:pPr>
        <w:pStyle w:val="BodyText"/>
        <w:spacing w:after="0"/>
        <w:rPr>
          <w:rFonts w:ascii="Arial" w:hAnsi="Arial" w:cs="Arial"/>
          <w:spacing w:val="-3"/>
          <w:szCs w:val="22"/>
        </w:rPr>
      </w:pPr>
    </w:p>
    <w:p w14:paraId="5A823F9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51CF514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96E42E6"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31904C4"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609422E" w14:textId="77777777" w:rsidR="002F4C87" w:rsidRPr="0093723A" w:rsidRDefault="002F4C87" w:rsidP="002F4C87">
            <w:pPr>
              <w:spacing w:line="120" w:lineRule="exact"/>
              <w:rPr>
                <w:rFonts w:ascii="Arial" w:hAnsi="Arial" w:cs="Arial"/>
                <w:b/>
                <w:szCs w:val="22"/>
                <w:u w:val="single"/>
              </w:rPr>
            </w:pPr>
          </w:p>
          <w:p w14:paraId="1C3CA34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D506F9F" w14:textId="77777777" w:rsidR="002F4C87" w:rsidRPr="0093723A" w:rsidRDefault="002F4C87" w:rsidP="002F4C87">
            <w:pPr>
              <w:spacing w:line="120" w:lineRule="exact"/>
              <w:rPr>
                <w:rFonts w:ascii="Arial" w:hAnsi="Arial" w:cs="Arial"/>
                <w:b/>
                <w:szCs w:val="22"/>
                <w:u w:val="single"/>
              </w:rPr>
            </w:pPr>
          </w:p>
          <w:p w14:paraId="71D713A1"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0E7DE8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51D8C804"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047E221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5EF7225" w14:textId="77777777" w:rsidR="002F4C87" w:rsidRPr="0093723A" w:rsidRDefault="002F4C87" w:rsidP="002F4C87">
            <w:pPr>
              <w:spacing w:line="120" w:lineRule="exact"/>
              <w:rPr>
                <w:rFonts w:ascii="Arial" w:hAnsi="Arial" w:cs="Arial"/>
                <w:b/>
                <w:szCs w:val="22"/>
                <w:u w:val="single"/>
              </w:rPr>
            </w:pPr>
          </w:p>
          <w:p w14:paraId="7DFAFDCF" w14:textId="77777777" w:rsidR="002F4C87" w:rsidRPr="0093723A" w:rsidRDefault="002F4C87" w:rsidP="002F4C87">
            <w:pPr>
              <w:rPr>
                <w:rFonts w:ascii="Arial" w:hAnsi="Arial" w:cs="Arial"/>
                <w:b/>
                <w:szCs w:val="22"/>
                <w:u w:val="single"/>
              </w:rPr>
            </w:pPr>
          </w:p>
        </w:tc>
      </w:tr>
      <w:tr w:rsidR="002F4C87" w:rsidRPr="0093723A" w14:paraId="13C62CE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7A505294" w14:textId="77777777" w:rsidR="002F4C87" w:rsidRPr="0093723A" w:rsidRDefault="002F4C87" w:rsidP="002F4C87">
            <w:pPr>
              <w:spacing w:line="120" w:lineRule="exact"/>
              <w:rPr>
                <w:rFonts w:ascii="Arial" w:hAnsi="Arial" w:cs="Arial"/>
                <w:b/>
                <w:szCs w:val="22"/>
                <w:u w:val="single"/>
              </w:rPr>
            </w:pPr>
          </w:p>
          <w:p w14:paraId="767CF5CB"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2EE5AA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191794" w14:textId="77777777" w:rsidR="002F4C87" w:rsidRPr="0093723A" w:rsidRDefault="002F4C87" w:rsidP="002F4C87">
            <w:pPr>
              <w:spacing w:line="120" w:lineRule="exact"/>
              <w:rPr>
                <w:rFonts w:ascii="Arial" w:hAnsi="Arial" w:cs="Arial"/>
                <w:b/>
                <w:szCs w:val="22"/>
                <w:u w:val="single"/>
              </w:rPr>
            </w:pPr>
          </w:p>
          <w:p w14:paraId="46AA7137" w14:textId="77777777" w:rsidR="002F4C87" w:rsidRPr="0093723A" w:rsidRDefault="002F4C87" w:rsidP="002F4C87">
            <w:pPr>
              <w:rPr>
                <w:rFonts w:ascii="Arial" w:hAnsi="Arial" w:cs="Arial"/>
                <w:b/>
                <w:szCs w:val="22"/>
                <w:u w:val="single"/>
              </w:rPr>
            </w:pPr>
          </w:p>
        </w:tc>
      </w:tr>
      <w:tr w:rsidR="002F4C87" w:rsidRPr="0093723A" w14:paraId="7DF25195"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34B5CFFF" w14:textId="77777777" w:rsidR="002F4C87" w:rsidRPr="0093723A" w:rsidRDefault="002F4C87" w:rsidP="002F4C87">
            <w:pPr>
              <w:spacing w:line="120" w:lineRule="exact"/>
              <w:rPr>
                <w:rFonts w:ascii="Arial" w:hAnsi="Arial" w:cs="Arial"/>
                <w:b/>
                <w:szCs w:val="22"/>
                <w:u w:val="single"/>
              </w:rPr>
            </w:pPr>
          </w:p>
          <w:p w14:paraId="3DF92BF3"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1B17D99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03B7FE" w14:textId="77777777" w:rsidR="002F4C87" w:rsidRPr="0093723A" w:rsidRDefault="002F4C87" w:rsidP="002F4C87">
            <w:pPr>
              <w:spacing w:line="120" w:lineRule="exact"/>
              <w:rPr>
                <w:rFonts w:ascii="Arial" w:hAnsi="Arial" w:cs="Arial"/>
                <w:b/>
                <w:szCs w:val="22"/>
                <w:u w:val="single"/>
              </w:rPr>
            </w:pPr>
          </w:p>
          <w:p w14:paraId="12B67D51" w14:textId="77777777" w:rsidR="002F4C87" w:rsidRPr="0093723A" w:rsidRDefault="002F4C87" w:rsidP="002F4C87">
            <w:pPr>
              <w:rPr>
                <w:rFonts w:ascii="Arial" w:hAnsi="Arial" w:cs="Arial"/>
                <w:b/>
                <w:szCs w:val="22"/>
                <w:u w:val="single"/>
              </w:rPr>
            </w:pPr>
          </w:p>
        </w:tc>
      </w:tr>
      <w:tr w:rsidR="002F4C87" w:rsidRPr="0093723A" w14:paraId="74599CEC"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5430B411" w14:textId="77777777" w:rsidR="002F4C87" w:rsidRPr="0093723A" w:rsidRDefault="002F4C87" w:rsidP="002F4C87">
            <w:pPr>
              <w:spacing w:line="120" w:lineRule="exact"/>
              <w:rPr>
                <w:rFonts w:ascii="Arial" w:hAnsi="Arial" w:cs="Arial"/>
                <w:b/>
                <w:szCs w:val="22"/>
                <w:u w:val="single"/>
              </w:rPr>
            </w:pPr>
          </w:p>
          <w:p w14:paraId="6B78E297" w14:textId="77777777" w:rsidR="002F4C87" w:rsidRPr="0093723A" w:rsidRDefault="002F4C87" w:rsidP="002F4C87">
            <w:pPr>
              <w:rPr>
                <w:rFonts w:ascii="Arial" w:hAnsi="Arial" w:cs="Arial"/>
                <w:b/>
                <w:szCs w:val="22"/>
                <w:u w:val="single"/>
              </w:rPr>
            </w:pPr>
          </w:p>
          <w:p w14:paraId="1799A2B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C03CA4C" w14:textId="77777777" w:rsidR="002F4C87" w:rsidRPr="0093723A" w:rsidRDefault="002F4C87" w:rsidP="002F4C87">
            <w:pPr>
              <w:spacing w:line="120" w:lineRule="exact"/>
              <w:rPr>
                <w:rFonts w:ascii="Arial" w:hAnsi="Arial" w:cs="Arial"/>
                <w:b/>
                <w:szCs w:val="22"/>
                <w:u w:val="single"/>
              </w:rPr>
            </w:pPr>
          </w:p>
          <w:p w14:paraId="3874CFEE" w14:textId="77777777" w:rsidR="002F4C87" w:rsidRPr="0093723A" w:rsidRDefault="002F4C87" w:rsidP="002F4C87">
            <w:pPr>
              <w:rPr>
                <w:rFonts w:ascii="Arial" w:hAnsi="Arial" w:cs="Arial"/>
                <w:b/>
                <w:szCs w:val="22"/>
                <w:u w:val="single"/>
              </w:rPr>
            </w:pPr>
          </w:p>
        </w:tc>
      </w:tr>
    </w:tbl>
    <w:p w14:paraId="2CE6042B" w14:textId="77777777" w:rsidR="002F4C87" w:rsidRPr="0093723A" w:rsidRDefault="002F4C87" w:rsidP="002F4C87">
      <w:pPr>
        <w:pStyle w:val="BodyText"/>
        <w:spacing w:after="0"/>
        <w:rPr>
          <w:rFonts w:ascii="Arial" w:hAnsi="Arial" w:cs="Arial"/>
          <w:b/>
          <w:szCs w:val="22"/>
        </w:rPr>
      </w:pPr>
    </w:p>
    <w:p w14:paraId="0F3AB7F8"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5AB0707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DD7A175"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947D9B9"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459D4A2" w14:textId="77777777" w:rsidR="002F4C87" w:rsidRPr="0093723A" w:rsidRDefault="002F4C87" w:rsidP="002F4C87">
            <w:pPr>
              <w:spacing w:line="120" w:lineRule="exact"/>
              <w:rPr>
                <w:rFonts w:ascii="Arial" w:hAnsi="Arial" w:cs="Arial"/>
                <w:b/>
                <w:szCs w:val="22"/>
                <w:u w:val="single"/>
              </w:rPr>
            </w:pPr>
          </w:p>
          <w:p w14:paraId="553EF722"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B9BBA9A" w14:textId="77777777" w:rsidR="002F4C87" w:rsidRPr="0093723A" w:rsidRDefault="002F4C87" w:rsidP="002F4C87">
            <w:pPr>
              <w:spacing w:line="120" w:lineRule="exact"/>
              <w:rPr>
                <w:rFonts w:ascii="Arial" w:hAnsi="Arial" w:cs="Arial"/>
                <w:b/>
                <w:szCs w:val="22"/>
                <w:u w:val="single"/>
              </w:rPr>
            </w:pPr>
          </w:p>
          <w:p w14:paraId="50528B53"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09B7BFDB"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E03AD9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4786BA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AC65FD3" w14:textId="77777777" w:rsidR="002F4C87" w:rsidRPr="0093723A" w:rsidRDefault="002F4C87" w:rsidP="002F4C87">
            <w:pPr>
              <w:spacing w:line="120" w:lineRule="exact"/>
              <w:rPr>
                <w:rFonts w:ascii="Arial" w:hAnsi="Arial" w:cs="Arial"/>
                <w:b/>
                <w:szCs w:val="22"/>
                <w:u w:val="single"/>
              </w:rPr>
            </w:pPr>
          </w:p>
          <w:p w14:paraId="4756F50C" w14:textId="77777777" w:rsidR="002F4C87" w:rsidRPr="0093723A" w:rsidRDefault="002F4C87" w:rsidP="002F4C87">
            <w:pPr>
              <w:rPr>
                <w:rFonts w:ascii="Arial" w:hAnsi="Arial" w:cs="Arial"/>
                <w:b/>
                <w:szCs w:val="22"/>
                <w:u w:val="single"/>
              </w:rPr>
            </w:pPr>
          </w:p>
        </w:tc>
      </w:tr>
      <w:tr w:rsidR="002F4C87" w:rsidRPr="0093723A" w14:paraId="5323409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E267635"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91A3B3" w14:textId="77777777" w:rsidR="002F4C87" w:rsidRPr="0093723A" w:rsidRDefault="002F4C87" w:rsidP="002F4C87">
            <w:pPr>
              <w:spacing w:line="120" w:lineRule="exact"/>
              <w:rPr>
                <w:rFonts w:ascii="Arial" w:hAnsi="Arial" w:cs="Arial"/>
                <w:b/>
                <w:szCs w:val="22"/>
                <w:u w:val="single"/>
              </w:rPr>
            </w:pPr>
          </w:p>
          <w:p w14:paraId="2241D8B4" w14:textId="77777777" w:rsidR="002F4C87" w:rsidRPr="0093723A" w:rsidRDefault="002F4C87" w:rsidP="002F4C87">
            <w:pPr>
              <w:rPr>
                <w:rFonts w:ascii="Arial" w:hAnsi="Arial" w:cs="Arial"/>
                <w:b/>
                <w:szCs w:val="22"/>
                <w:u w:val="single"/>
              </w:rPr>
            </w:pPr>
          </w:p>
        </w:tc>
      </w:tr>
      <w:tr w:rsidR="002F4C87" w:rsidRPr="0093723A" w14:paraId="1312007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71BA79"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80B70B9" w14:textId="77777777" w:rsidR="002F4C87" w:rsidRPr="0093723A" w:rsidRDefault="002F4C87" w:rsidP="002F4C87">
            <w:pPr>
              <w:spacing w:line="120" w:lineRule="exact"/>
              <w:rPr>
                <w:rFonts w:ascii="Arial" w:hAnsi="Arial" w:cs="Arial"/>
                <w:b/>
                <w:szCs w:val="22"/>
                <w:u w:val="single"/>
              </w:rPr>
            </w:pPr>
          </w:p>
          <w:p w14:paraId="79F04EF5" w14:textId="77777777" w:rsidR="002F4C87" w:rsidRPr="0093723A" w:rsidRDefault="002F4C87" w:rsidP="002F4C87">
            <w:pPr>
              <w:rPr>
                <w:rFonts w:ascii="Arial" w:hAnsi="Arial" w:cs="Arial"/>
                <w:b/>
                <w:szCs w:val="22"/>
                <w:u w:val="single"/>
              </w:rPr>
            </w:pPr>
          </w:p>
        </w:tc>
      </w:tr>
      <w:tr w:rsidR="002F4C87" w:rsidRPr="0093723A" w14:paraId="587ECAC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4A8D1FD" w14:textId="77777777" w:rsidR="002F4C87" w:rsidRPr="0093723A" w:rsidRDefault="002F4C87" w:rsidP="002F4C87">
            <w:pPr>
              <w:spacing w:line="120" w:lineRule="exact"/>
              <w:rPr>
                <w:rFonts w:ascii="Arial" w:hAnsi="Arial" w:cs="Arial"/>
                <w:b/>
                <w:szCs w:val="22"/>
                <w:u w:val="single"/>
              </w:rPr>
            </w:pPr>
          </w:p>
          <w:p w14:paraId="4B8C9AF2" w14:textId="77777777" w:rsidR="002F4C87" w:rsidRPr="0093723A" w:rsidRDefault="002F4C87" w:rsidP="002F4C87">
            <w:pPr>
              <w:rPr>
                <w:rFonts w:ascii="Arial" w:hAnsi="Arial" w:cs="Arial"/>
                <w:b/>
                <w:szCs w:val="22"/>
                <w:u w:val="single"/>
              </w:rPr>
            </w:pPr>
          </w:p>
          <w:p w14:paraId="6C210D0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AFEB571" w14:textId="77777777" w:rsidR="002F4C87" w:rsidRPr="0093723A" w:rsidRDefault="002F4C87" w:rsidP="002F4C87">
            <w:pPr>
              <w:spacing w:line="120" w:lineRule="exact"/>
              <w:rPr>
                <w:rFonts w:ascii="Arial" w:hAnsi="Arial" w:cs="Arial"/>
                <w:b/>
                <w:szCs w:val="22"/>
                <w:u w:val="single"/>
              </w:rPr>
            </w:pPr>
          </w:p>
          <w:p w14:paraId="2883847F" w14:textId="77777777" w:rsidR="002F4C87" w:rsidRPr="0093723A" w:rsidRDefault="002F4C87" w:rsidP="002F4C87">
            <w:pPr>
              <w:rPr>
                <w:rFonts w:ascii="Arial" w:hAnsi="Arial" w:cs="Arial"/>
                <w:b/>
                <w:szCs w:val="22"/>
                <w:u w:val="single"/>
              </w:rPr>
            </w:pPr>
          </w:p>
        </w:tc>
      </w:tr>
    </w:tbl>
    <w:p w14:paraId="13375CC4" w14:textId="77777777" w:rsidR="002F4C87" w:rsidRPr="0093723A" w:rsidRDefault="002F4C87" w:rsidP="002F4C87">
      <w:pPr>
        <w:rPr>
          <w:rFonts w:ascii="Arial" w:hAnsi="Arial" w:cs="Arial"/>
          <w:b/>
          <w:szCs w:val="22"/>
        </w:rPr>
      </w:pPr>
    </w:p>
    <w:p w14:paraId="4DEE7E74"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51760B45" w14:textId="77777777" w:rsidR="002F4C87" w:rsidRPr="0093723A" w:rsidRDefault="002F4C87" w:rsidP="002F4C87">
      <w:pPr>
        <w:rPr>
          <w:rFonts w:ascii="Arial" w:hAnsi="Arial" w:cs="Arial"/>
          <w:b/>
          <w:szCs w:val="22"/>
        </w:rPr>
      </w:pPr>
    </w:p>
    <w:p w14:paraId="389B3BD2"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3652B464"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D301A3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DDF36A6" w14:textId="77777777" w:rsidR="002F4C87" w:rsidRPr="0093723A" w:rsidRDefault="002F4C87" w:rsidP="002F4C87">
            <w:pPr>
              <w:spacing w:line="120" w:lineRule="exact"/>
              <w:rPr>
                <w:rFonts w:ascii="Arial" w:hAnsi="Arial" w:cs="Arial"/>
                <w:b/>
                <w:szCs w:val="22"/>
                <w:u w:val="single"/>
              </w:rPr>
            </w:pPr>
          </w:p>
          <w:p w14:paraId="17403B6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163286C7" w14:textId="77777777" w:rsidR="002F4C87" w:rsidRPr="0093723A" w:rsidRDefault="002F4C87" w:rsidP="002F4C87">
            <w:pPr>
              <w:spacing w:line="120" w:lineRule="exact"/>
              <w:rPr>
                <w:rFonts w:ascii="Arial" w:hAnsi="Arial" w:cs="Arial"/>
                <w:b/>
                <w:szCs w:val="22"/>
                <w:u w:val="single"/>
              </w:rPr>
            </w:pPr>
          </w:p>
          <w:p w14:paraId="2B693CE9"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7F528E7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FB2098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96A5F4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0D5586B" w14:textId="77777777" w:rsidR="002F4C87" w:rsidRPr="0093723A" w:rsidRDefault="002F4C87" w:rsidP="002F4C87">
            <w:pPr>
              <w:spacing w:line="120" w:lineRule="exact"/>
              <w:rPr>
                <w:rFonts w:ascii="Arial" w:hAnsi="Arial" w:cs="Arial"/>
                <w:b/>
                <w:szCs w:val="22"/>
                <w:u w:val="single"/>
              </w:rPr>
            </w:pPr>
          </w:p>
          <w:p w14:paraId="73ADDADB" w14:textId="77777777" w:rsidR="002F4C87" w:rsidRPr="0093723A" w:rsidRDefault="002F4C87" w:rsidP="002F4C87">
            <w:pPr>
              <w:rPr>
                <w:rFonts w:ascii="Arial" w:hAnsi="Arial" w:cs="Arial"/>
                <w:b/>
                <w:szCs w:val="22"/>
                <w:u w:val="single"/>
              </w:rPr>
            </w:pPr>
          </w:p>
        </w:tc>
      </w:tr>
      <w:tr w:rsidR="002F4C87" w:rsidRPr="0093723A" w14:paraId="7EB4073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C24778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E0B51A3" w14:textId="77777777" w:rsidR="002F4C87" w:rsidRPr="0093723A" w:rsidRDefault="002F4C87" w:rsidP="002F4C87">
            <w:pPr>
              <w:spacing w:line="120" w:lineRule="exact"/>
              <w:rPr>
                <w:rFonts w:ascii="Arial" w:hAnsi="Arial" w:cs="Arial"/>
                <w:b/>
                <w:szCs w:val="22"/>
                <w:u w:val="single"/>
              </w:rPr>
            </w:pPr>
          </w:p>
          <w:p w14:paraId="5347A5E4" w14:textId="77777777" w:rsidR="002F4C87" w:rsidRPr="0093723A" w:rsidRDefault="002F4C87" w:rsidP="002F4C87">
            <w:pPr>
              <w:rPr>
                <w:rFonts w:ascii="Arial" w:hAnsi="Arial" w:cs="Arial"/>
                <w:b/>
                <w:szCs w:val="22"/>
                <w:u w:val="single"/>
              </w:rPr>
            </w:pPr>
          </w:p>
        </w:tc>
      </w:tr>
      <w:tr w:rsidR="002F4C87" w:rsidRPr="0093723A" w14:paraId="1AFC88A7"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5B85148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B71798E" w14:textId="77777777" w:rsidR="002F4C87" w:rsidRPr="0093723A" w:rsidRDefault="002F4C87" w:rsidP="002F4C87">
            <w:pPr>
              <w:spacing w:line="120" w:lineRule="exact"/>
              <w:rPr>
                <w:rFonts w:ascii="Arial" w:hAnsi="Arial" w:cs="Arial"/>
                <w:b/>
                <w:szCs w:val="22"/>
                <w:u w:val="single"/>
              </w:rPr>
            </w:pPr>
          </w:p>
          <w:p w14:paraId="6B50EF63" w14:textId="77777777" w:rsidR="002F4C87" w:rsidRPr="0093723A" w:rsidRDefault="002F4C87" w:rsidP="002F4C87">
            <w:pPr>
              <w:rPr>
                <w:rFonts w:ascii="Arial" w:hAnsi="Arial" w:cs="Arial"/>
                <w:b/>
                <w:szCs w:val="22"/>
                <w:u w:val="single"/>
              </w:rPr>
            </w:pPr>
          </w:p>
        </w:tc>
      </w:tr>
      <w:tr w:rsidR="002F4C87" w:rsidRPr="0093723A" w14:paraId="5E81FD5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6513207E" w14:textId="77777777" w:rsidR="002F4C87" w:rsidRPr="0093723A" w:rsidRDefault="002F4C87" w:rsidP="002F4C87">
            <w:pPr>
              <w:spacing w:line="120" w:lineRule="exact"/>
              <w:rPr>
                <w:rFonts w:ascii="Arial" w:hAnsi="Arial" w:cs="Arial"/>
                <w:b/>
                <w:szCs w:val="22"/>
                <w:u w:val="single"/>
              </w:rPr>
            </w:pPr>
          </w:p>
          <w:p w14:paraId="29D279F6" w14:textId="77777777" w:rsidR="002F4C87" w:rsidRPr="0093723A" w:rsidRDefault="002F4C87" w:rsidP="002F4C87">
            <w:pPr>
              <w:rPr>
                <w:rFonts w:ascii="Arial" w:hAnsi="Arial" w:cs="Arial"/>
                <w:b/>
                <w:szCs w:val="22"/>
                <w:u w:val="single"/>
              </w:rPr>
            </w:pPr>
          </w:p>
          <w:p w14:paraId="0A9D935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5A29E9DC" w14:textId="77777777" w:rsidR="002F4C87" w:rsidRPr="0093723A" w:rsidRDefault="002F4C87" w:rsidP="002F4C87">
            <w:pPr>
              <w:spacing w:line="120" w:lineRule="exact"/>
              <w:rPr>
                <w:rFonts w:ascii="Arial" w:hAnsi="Arial" w:cs="Arial"/>
                <w:b/>
                <w:szCs w:val="22"/>
                <w:u w:val="single"/>
              </w:rPr>
            </w:pPr>
          </w:p>
          <w:p w14:paraId="14FD8FCA" w14:textId="77777777" w:rsidR="002F4C87" w:rsidRPr="0093723A" w:rsidRDefault="002F4C87" w:rsidP="002F4C87">
            <w:pPr>
              <w:rPr>
                <w:rFonts w:ascii="Arial" w:hAnsi="Arial" w:cs="Arial"/>
                <w:b/>
                <w:szCs w:val="22"/>
                <w:u w:val="single"/>
              </w:rPr>
            </w:pPr>
          </w:p>
        </w:tc>
      </w:tr>
    </w:tbl>
    <w:p w14:paraId="3BDFEA76" w14:textId="77777777" w:rsidR="002F4C87" w:rsidRPr="00544F4A" w:rsidRDefault="002F4C87" w:rsidP="002F4C87">
      <w:pPr>
        <w:rPr>
          <w:rFonts w:ascii="Arial" w:hAnsi="Arial" w:cs="Arial"/>
        </w:rPr>
      </w:pPr>
    </w:p>
    <w:p w14:paraId="18328923"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5C3B624" w14:textId="77777777" w:rsidR="002F4C87" w:rsidRPr="00544F4A" w:rsidRDefault="002F4C87" w:rsidP="002F4C87">
      <w:pPr>
        <w:pStyle w:val="BodyText"/>
        <w:spacing w:after="0"/>
        <w:jc w:val="both"/>
        <w:rPr>
          <w:rFonts w:ascii="Arial" w:hAnsi="Arial" w:cs="Arial"/>
        </w:rPr>
      </w:pPr>
    </w:p>
    <w:p w14:paraId="202F6649"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573C4E0"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5554B4B8" w14:textId="77777777" w:rsidR="002F4C87" w:rsidRPr="00544F4A" w:rsidRDefault="002F4C87" w:rsidP="002F4C87">
      <w:pPr>
        <w:jc w:val="both"/>
        <w:rPr>
          <w:rFonts w:ascii="Arial" w:hAnsi="Arial" w:cs="Arial"/>
          <w:b/>
          <w:bCs/>
        </w:rPr>
      </w:pPr>
    </w:p>
    <w:p w14:paraId="2DA5CD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CCAE0AD" w14:textId="77777777" w:rsidR="002F4C87" w:rsidRPr="00544F4A" w:rsidRDefault="002F4C87" w:rsidP="002F4C87">
      <w:pPr>
        <w:pStyle w:val="BodyText"/>
        <w:spacing w:after="0"/>
        <w:jc w:val="both"/>
        <w:rPr>
          <w:rFonts w:ascii="Arial" w:hAnsi="Arial" w:cs="Arial"/>
        </w:rPr>
      </w:pPr>
    </w:p>
    <w:p w14:paraId="1E1A39D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F2ADE80" w14:textId="77777777" w:rsidR="002F4C87" w:rsidRPr="00544F4A" w:rsidRDefault="002F4C87" w:rsidP="002F4C87">
      <w:pPr>
        <w:pStyle w:val="BodyText"/>
        <w:spacing w:after="0"/>
        <w:jc w:val="both"/>
        <w:rPr>
          <w:rFonts w:ascii="Arial" w:hAnsi="Arial" w:cs="Arial"/>
        </w:rPr>
      </w:pPr>
    </w:p>
    <w:p w14:paraId="5AA6C112" w14:textId="2CC2CB17" w:rsidR="002F4C87" w:rsidRPr="00544F4A" w:rsidRDefault="002F4C87" w:rsidP="002F4C87">
      <w:pPr>
        <w:pStyle w:val="BodyText"/>
        <w:spacing w:after="0"/>
        <w:jc w:val="both"/>
        <w:rPr>
          <w:rFonts w:ascii="Arial" w:hAnsi="Arial" w:cs="Arial"/>
        </w:rPr>
      </w:pPr>
      <w:r w:rsidRPr="00544F4A">
        <w:rPr>
          <w:rFonts w:ascii="Arial" w:hAnsi="Arial" w:cs="Arial"/>
        </w:rPr>
        <w:t>Hotel charges must not exceed a maximum limit per night bed and breakfast (VAT included) of: £1</w:t>
      </w:r>
      <w:r w:rsidR="008C62CA">
        <w:rPr>
          <w:rFonts w:ascii="Arial" w:hAnsi="Arial" w:cs="Arial"/>
        </w:rPr>
        <w:t>60</w:t>
      </w:r>
      <w:r w:rsidRPr="00544F4A">
        <w:rPr>
          <w:rFonts w:ascii="Arial" w:hAnsi="Arial" w:cs="Arial"/>
        </w:rPr>
        <w:t xml:space="preserve"> in London; £100 in all other destinations. Please note that these hotel ceiling rates are subject to change throughout the life of the contract. </w:t>
      </w:r>
    </w:p>
    <w:p w14:paraId="4A49B105" w14:textId="77777777" w:rsidR="002F4C87" w:rsidRPr="00544F4A" w:rsidRDefault="002F4C87" w:rsidP="002F4C87">
      <w:pPr>
        <w:pStyle w:val="BodyText"/>
        <w:spacing w:after="0"/>
        <w:jc w:val="both"/>
        <w:rPr>
          <w:rFonts w:ascii="Arial" w:hAnsi="Arial" w:cs="Arial"/>
        </w:rPr>
      </w:pPr>
    </w:p>
    <w:p w14:paraId="0818F2B9" w14:textId="15889DA7" w:rsidR="002F4C87" w:rsidRPr="00544F4A" w:rsidRDefault="002F4C87" w:rsidP="002F4C87">
      <w:pPr>
        <w:pStyle w:val="BodyText"/>
        <w:spacing w:after="0"/>
        <w:jc w:val="both"/>
        <w:rPr>
          <w:rFonts w:ascii="Arial" w:hAnsi="Arial" w:cs="Arial"/>
        </w:rPr>
      </w:pPr>
      <w:r w:rsidRPr="00544F4A">
        <w:rPr>
          <w:rFonts w:ascii="Arial" w:hAnsi="Arial" w:cs="Arial"/>
        </w:rPr>
        <w:t>Expenditure on dinner during an overnight stay must not exceed a maximum limit of £</w:t>
      </w:r>
      <w:r w:rsidR="004B5712">
        <w:rPr>
          <w:rFonts w:ascii="Arial" w:hAnsi="Arial" w:cs="Arial"/>
        </w:rPr>
        <w:t>33</w:t>
      </w:r>
      <w:r w:rsidRPr="00544F4A">
        <w:rPr>
          <w:rFonts w:ascii="Arial" w:hAnsi="Arial" w:cs="Arial"/>
        </w:rPr>
        <w:t xml:space="preserve">, including a drink. </w:t>
      </w:r>
    </w:p>
    <w:p w14:paraId="402457E2" w14:textId="77777777" w:rsidR="002F4C87" w:rsidRPr="00544F4A" w:rsidRDefault="002F4C87" w:rsidP="002F4C87">
      <w:pPr>
        <w:pStyle w:val="BodyText"/>
        <w:spacing w:after="0"/>
        <w:jc w:val="both"/>
        <w:rPr>
          <w:rFonts w:ascii="Arial" w:hAnsi="Arial" w:cs="Arial"/>
        </w:rPr>
      </w:pPr>
    </w:p>
    <w:p w14:paraId="4D4C472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02536D88" w14:textId="77777777" w:rsidR="002F4C87" w:rsidRDefault="002F4C87" w:rsidP="00E65F5D">
      <w:pPr>
        <w:rPr>
          <w:rFonts w:ascii="Arial" w:hAnsi="Arial" w:cs="Arial"/>
          <w:szCs w:val="22"/>
        </w:rPr>
      </w:pPr>
    </w:p>
    <w:p w14:paraId="559DA843"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C4CF27A" w14:textId="77777777" w:rsidR="00895C87" w:rsidRPr="0093723A" w:rsidRDefault="00895C87" w:rsidP="00E65F5D">
      <w:pPr>
        <w:pStyle w:val="BodyText3"/>
        <w:spacing w:after="0"/>
        <w:rPr>
          <w:rFonts w:ascii="Arial" w:hAnsi="Arial" w:cs="Arial"/>
          <w:caps/>
          <w:sz w:val="20"/>
          <w:szCs w:val="22"/>
        </w:rPr>
      </w:pPr>
    </w:p>
    <w:p w14:paraId="4EFEFE8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7772A1B"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219715F7" w14:textId="77777777" w:rsidR="00895C87" w:rsidRPr="0093723A" w:rsidRDefault="00895C87" w:rsidP="00E65F5D">
      <w:pPr>
        <w:rPr>
          <w:rFonts w:ascii="Arial" w:hAnsi="Arial" w:cs="Arial"/>
          <w:szCs w:val="22"/>
        </w:rPr>
      </w:pPr>
    </w:p>
    <w:p w14:paraId="3C327B7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77B89E0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DE9AE82" w14:textId="77777777" w:rsidTr="00137E82">
        <w:tc>
          <w:tcPr>
            <w:tcW w:w="3652" w:type="dxa"/>
          </w:tcPr>
          <w:p w14:paraId="0092C1F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928EC2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1F7E3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3DC7D2F" w14:textId="77777777" w:rsidTr="00137E82">
        <w:tc>
          <w:tcPr>
            <w:tcW w:w="3652" w:type="dxa"/>
          </w:tcPr>
          <w:p w14:paraId="78D87A5A" w14:textId="77777777" w:rsidR="00895C87" w:rsidRPr="0093723A" w:rsidRDefault="00895C87" w:rsidP="00E65F5D">
            <w:pPr>
              <w:rPr>
                <w:rFonts w:ascii="Arial" w:hAnsi="Arial" w:cs="Arial"/>
                <w:szCs w:val="22"/>
              </w:rPr>
            </w:pPr>
          </w:p>
        </w:tc>
        <w:tc>
          <w:tcPr>
            <w:tcW w:w="3119" w:type="dxa"/>
          </w:tcPr>
          <w:p w14:paraId="23DAD9B0" w14:textId="77777777" w:rsidR="00895C87" w:rsidRPr="0093723A" w:rsidRDefault="00895C87" w:rsidP="00E65F5D">
            <w:pPr>
              <w:rPr>
                <w:rFonts w:ascii="Arial" w:hAnsi="Arial" w:cs="Arial"/>
                <w:szCs w:val="22"/>
              </w:rPr>
            </w:pPr>
          </w:p>
        </w:tc>
        <w:tc>
          <w:tcPr>
            <w:tcW w:w="2693" w:type="dxa"/>
          </w:tcPr>
          <w:p w14:paraId="1DDE0CAE" w14:textId="77777777" w:rsidR="00895C87" w:rsidRPr="0093723A" w:rsidRDefault="00895C87" w:rsidP="00E65F5D">
            <w:pPr>
              <w:rPr>
                <w:rFonts w:ascii="Arial" w:hAnsi="Arial" w:cs="Arial"/>
                <w:szCs w:val="22"/>
              </w:rPr>
            </w:pPr>
          </w:p>
          <w:p w14:paraId="6A993D9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07FE2E2" w14:textId="77777777" w:rsidTr="00137E82">
        <w:tc>
          <w:tcPr>
            <w:tcW w:w="3652" w:type="dxa"/>
          </w:tcPr>
          <w:p w14:paraId="0CBB37D0" w14:textId="77777777" w:rsidR="00895C87" w:rsidRPr="0093723A" w:rsidRDefault="00895C87" w:rsidP="00E65F5D">
            <w:pPr>
              <w:rPr>
                <w:rFonts w:ascii="Arial" w:hAnsi="Arial" w:cs="Arial"/>
                <w:szCs w:val="22"/>
              </w:rPr>
            </w:pPr>
          </w:p>
        </w:tc>
        <w:tc>
          <w:tcPr>
            <w:tcW w:w="3119" w:type="dxa"/>
          </w:tcPr>
          <w:p w14:paraId="0558E1D6" w14:textId="77777777" w:rsidR="00895C87" w:rsidRPr="0093723A" w:rsidRDefault="00895C87" w:rsidP="00E65F5D">
            <w:pPr>
              <w:rPr>
                <w:rFonts w:ascii="Arial" w:hAnsi="Arial" w:cs="Arial"/>
                <w:szCs w:val="22"/>
              </w:rPr>
            </w:pPr>
          </w:p>
        </w:tc>
        <w:tc>
          <w:tcPr>
            <w:tcW w:w="2693" w:type="dxa"/>
          </w:tcPr>
          <w:p w14:paraId="3DDC75DB" w14:textId="77777777" w:rsidR="00895C87" w:rsidRPr="0093723A" w:rsidRDefault="00895C87" w:rsidP="00E65F5D">
            <w:pPr>
              <w:rPr>
                <w:rFonts w:ascii="Arial" w:hAnsi="Arial" w:cs="Arial"/>
                <w:szCs w:val="22"/>
              </w:rPr>
            </w:pPr>
          </w:p>
          <w:p w14:paraId="4DA2255B" w14:textId="77777777" w:rsidR="00895C87" w:rsidRPr="0093723A" w:rsidRDefault="00895C87" w:rsidP="00E65F5D">
            <w:pPr>
              <w:rPr>
                <w:rFonts w:ascii="Arial" w:hAnsi="Arial" w:cs="Arial"/>
                <w:szCs w:val="22"/>
              </w:rPr>
            </w:pPr>
          </w:p>
        </w:tc>
      </w:tr>
      <w:tr w:rsidR="00895C87" w:rsidRPr="0093723A" w14:paraId="2C1BAFB0" w14:textId="77777777" w:rsidTr="00137E82">
        <w:tc>
          <w:tcPr>
            <w:tcW w:w="3652" w:type="dxa"/>
          </w:tcPr>
          <w:p w14:paraId="252FD53D" w14:textId="77777777" w:rsidR="00895C87" w:rsidRPr="0093723A" w:rsidRDefault="00895C87" w:rsidP="00E65F5D">
            <w:pPr>
              <w:rPr>
                <w:rFonts w:ascii="Arial" w:hAnsi="Arial" w:cs="Arial"/>
                <w:szCs w:val="22"/>
              </w:rPr>
            </w:pPr>
          </w:p>
        </w:tc>
        <w:tc>
          <w:tcPr>
            <w:tcW w:w="3119" w:type="dxa"/>
          </w:tcPr>
          <w:p w14:paraId="37145688" w14:textId="77777777" w:rsidR="00895C87" w:rsidRPr="0093723A" w:rsidRDefault="00895C87" w:rsidP="00E65F5D">
            <w:pPr>
              <w:rPr>
                <w:rFonts w:ascii="Arial" w:hAnsi="Arial" w:cs="Arial"/>
                <w:szCs w:val="22"/>
              </w:rPr>
            </w:pPr>
          </w:p>
        </w:tc>
        <w:tc>
          <w:tcPr>
            <w:tcW w:w="2693" w:type="dxa"/>
          </w:tcPr>
          <w:p w14:paraId="2248834A" w14:textId="77777777" w:rsidR="00895C87" w:rsidRPr="0093723A" w:rsidRDefault="00895C87" w:rsidP="00E65F5D">
            <w:pPr>
              <w:rPr>
                <w:rFonts w:ascii="Arial" w:hAnsi="Arial" w:cs="Arial"/>
                <w:szCs w:val="22"/>
              </w:rPr>
            </w:pPr>
          </w:p>
          <w:p w14:paraId="52E1663A" w14:textId="77777777" w:rsidR="00895C87" w:rsidRPr="0093723A" w:rsidRDefault="00895C87" w:rsidP="00E65F5D">
            <w:pPr>
              <w:rPr>
                <w:rFonts w:ascii="Arial" w:hAnsi="Arial" w:cs="Arial"/>
                <w:szCs w:val="22"/>
              </w:rPr>
            </w:pPr>
          </w:p>
        </w:tc>
      </w:tr>
    </w:tbl>
    <w:p w14:paraId="3D2FCD00" w14:textId="77777777" w:rsidR="00895C87" w:rsidRPr="0093723A" w:rsidRDefault="00895C87" w:rsidP="00E65F5D">
      <w:pPr>
        <w:rPr>
          <w:rFonts w:ascii="Arial" w:hAnsi="Arial" w:cs="Arial"/>
          <w:szCs w:val="22"/>
        </w:rPr>
      </w:pPr>
    </w:p>
    <w:p w14:paraId="6DD85F9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0D77DC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480F824" w14:textId="77777777" w:rsidTr="00137E82">
        <w:tc>
          <w:tcPr>
            <w:tcW w:w="3652" w:type="dxa"/>
          </w:tcPr>
          <w:p w14:paraId="0601A419" w14:textId="77777777" w:rsidR="00895C87" w:rsidRPr="007C5BBB" w:rsidRDefault="00895C87" w:rsidP="00E65F5D">
            <w:pPr>
              <w:rPr>
                <w:rFonts w:ascii="Arial" w:hAnsi="Arial" w:cs="Arial"/>
                <w:b/>
                <w:szCs w:val="22"/>
              </w:rPr>
            </w:pPr>
            <w:r w:rsidRPr="007C5BBB">
              <w:rPr>
                <w:rFonts w:ascii="Arial" w:hAnsi="Arial" w:cs="Arial"/>
                <w:b/>
                <w:szCs w:val="22"/>
              </w:rPr>
              <w:lastRenderedPageBreak/>
              <w:t>Name and description of Prior Rights</w:t>
            </w:r>
          </w:p>
        </w:tc>
        <w:tc>
          <w:tcPr>
            <w:tcW w:w="3119" w:type="dxa"/>
          </w:tcPr>
          <w:p w14:paraId="0801144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C7375F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9C07511" w14:textId="77777777" w:rsidTr="00137E82">
        <w:tc>
          <w:tcPr>
            <w:tcW w:w="3652" w:type="dxa"/>
          </w:tcPr>
          <w:p w14:paraId="42BC6980" w14:textId="77777777" w:rsidR="00895C87" w:rsidRPr="0093723A" w:rsidRDefault="00895C87" w:rsidP="00E65F5D">
            <w:pPr>
              <w:rPr>
                <w:rFonts w:ascii="Arial" w:hAnsi="Arial" w:cs="Arial"/>
                <w:szCs w:val="22"/>
              </w:rPr>
            </w:pPr>
          </w:p>
        </w:tc>
        <w:tc>
          <w:tcPr>
            <w:tcW w:w="3119" w:type="dxa"/>
          </w:tcPr>
          <w:p w14:paraId="512826F8" w14:textId="77777777" w:rsidR="00895C87" w:rsidRPr="0093723A" w:rsidRDefault="00895C87" w:rsidP="00E65F5D">
            <w:pPr>
              <w:rPr>
                <w:rFonts w:ascii="Arial" w:hAnsi="Arial" w:cs="Arial"/>
                <w:szCs w:val="22"/>
              </w:rPr>
            </w:pPr>
          </w:p>
        </w:tc>
        <w:tc>
          <w:tcPr>
            <w:tcW w:w="2693" w:type="dxa"/>
          </w:tcPr>
          <w:p w14:paraId="0C6BDF46" w14:textId="77777777" w:rsidR="00895C87" w:rsidRPr="0093723A" w:rsidRDefault="00895C87" w:rsidP="00E65F5D">
            <w:pPr>
              <w:rPr>
                <w:rFonts w:ascii="Arial" w:hAnsi="Arial" w:cs="Arial"/>
                <w:szCs w:val="22"/>
              </w:rPr>
            </w:pPr>
          </w:p>
          <w:p w14:paraId="2161387A" w14:textId="77777777" w:rsidR="00895C87" w:rsidRPr="0093723A" w:rsidRDefault="00895C87" w:rsidP="00E65F5D">
            <w:pPr>
              <w:rPr>
                <w:rFonts w:ascii="Arial" w:hAnsi="Arial" w:cs="Arial"/>
                <w:szCs w:val="22"/>
              </w:rPr>
            </w:pPr>
          </w:p>
        </w:tc>
      </w:tr>
      <w:tr w:rsidR="00895C87" w:rsidRPr="0093723A" w14:paraId="13F76354" w14:textId="77777777" w:rsidTr="00137E82">
        <w:tc>
          <w:tcPr>
            <w:tcW w:w="3652" w:type="dxa"/>
          </w:tcPr>
          <w:p w14:paraId="5757D15C" w14:textId="77777777" w:rsidR="00895C87" w:rsidRPr="0093723A" w:rsidRDefault="00895C87" w:rsidP="00E65F5D">
            <w:pPr>
              <w:rPr>
                <w:rFonts w:ascii="Arial" w:hAnsi="Arial" w:cs="Arial"/>
                <w:szCs w:val="22"/>
              </w:rPr>
            </w:pPr>
          </w:p>
        </w:tc>
        <w:tc>
          <w:tcPr>
            <w:tcW w:w="3119" w:type="dxa"/>
          </w:tcPr>
          <w:p w14:paraId="5F079B80" w14:textId="77777777" w:rsidR="00895C87" w:rsidRPr="0093723A" w:rsidRDefault="00895C87" w:rsidP="00E65F5D">
            <w:pPr>
              <w:rPr>
                <w:rFonts w:ascii="Arial" w:hAnsi="Arial" w:cs="Arial"/>
                <w:szCs w:val="22"/>
              </w:rPr>
            </w:pPr>
          </w:p>
        </w:tc>
        <w:tc>
          <w:tcPr>
            <w:tcW w:w="2693" w:type="dxa"/>
          </w:tcPr>
          <w:p w14:paraId="41E5589D" w14:textId="77777777" w:rsidR="00895C87" w:rsidRPr="0093723A" w:rsidRDefault="00895C87" w:rsidP="00E65F5D">
            <w:pPr>
              <w:rPr>
                <w:rFonts w:ascii="Arial" w:hAnsi="Arial" w:cs="Arial"/>
                <w:szCs w:val="22"/>
              </w:rPr>
            </w:pPr>
          </w:p>
          <w:p w14:paraId="16855415" w14:textId="77777777" w:rsidR="00895C87" w:rsidRPr="0093723A" w:rsidRDefault="00895C87" w:rsidP="00E65F5D">
            <w:pPr>
              <w:rPr>
                <w:rFonts w:ascii="Arial" w:hAnsi="Arial" w:cs="Arial"/>
                <w:szCs w:val="22"/>
              </w:rPr>
            </w:pPr>
          </w:p>
        </w:tc>
      </w:tr>
      <w:tr w:rsidR="00895C87" w:rsidRPr="0093723A" w14:paraId="1E3EAC3D" w14:textId="77777777" w:rsidTr="00137E82">
        <w:tc>
          <w:tcPr>
            <w:tcW w:w="3652" w:type="dxa"/>
          </w:tcPr>
          <w:p w14:paraId="14AA3BC0" w14:textId="77777777" w:rsidR="00895C87" w:rsidRPr="0093723A" w:rsidRDefault="00895C87" w:rsidP="00E65F5D">
            <w:pPr>
              <w:rPr>
                <w:rFonts w:ascii="Arial" w:hAnsi="Arial" w:cs="Arial"/>
                <w:szCs w:val="22"/>
              </w:rPr>
            </w:pPr>
          </w:p>
        </w:tc>
        <w:tc>
          <w:tcPr>
            <w:tcW w:w="3119" w:type="dxa"/>
          </w:tcPr>
          <w:p w14:paraId="61C2EAFF" w14:textId="77777777" w:rsidR="00895C87" w:rsidRPr="0093723A" w:rsidRDefault="00895C87" w:rsidP="00E65F5D">
            <w:pPr>
              <w:rPr>
                <w:rFonts w:ascii="Arial" w:hAnsi="Arial" w:cs="Arial"/>
                <w:szCs w:val="22"/>
              </w:rPr>
            </w:pPr>
          </w:p>
        </w:tc>
        <w:tc>
          <w:tcPr>
            <w:tcW w:w="2693" w:type="dxa"/>
          </w:tcPr>
          <w:p w14:paraId="0DBE25F6" w14:textId="77777777" w:rsidR="00895C87" w:rsidRPr="0093723A" w:rsidRDefault="00895C87" w:rsidP="00E65F5D">
            <w:pPr>
              <w:rPr>
                <w:rFonts w:ascii="Arial" w:hAnsi="Arial" w:cs="Arial"/>
                <w:szCs w:val="22"/>
              </w:rPr>
            </w:pPr>
          </w:p>
          <w:p w14:paraId="52C3025E" w14:textId="77777777" w:rsidR="00895C87" w:rsidRPr="0093723A" w:rsidRDefault="00895C87" w:rsidP="00E65F5D">
            <w:pPr>
              <w:rPr>
                <w:rFonts w:ascii="Arial" w:hAnsi="Arial" w:cs="Arial"/>
                <w:szCs w:val="22"/>
              </w:rPr>
            </w:pPr>
          </w:p>
        </w:tc>
      </w:tr>
    </w:tbl>
    <w:p w14:paraId="65625CB3" w14:textId="77777777" w:rsidR="00895C87" w:rsidRPr="0093723A" w:rsidRDefault="00895C87" w:rsidP="00E65F5D">
      <w:pPr>
        <w:jc w:val="both"/>
        <w:rPr>
          <w:rFonts w:ascii="Arial" w:hAnsi="Arial" w:cs="Arial"/>
          <w:szCs w:val="22"/>
        </w:rPr>
      </w:pPr>
    </w:p>
    <w:p w14:paraId="098B363E"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CAC9BA0" w14:textId="77777777" w:rsidR="0093252F" w:rsidRPr="0093723A" w:rsidRDefault="0093252F" w:rsidP="00E65F5D">
      <w:pPr>
        <w:rPr>
          <w:rFonts w:ascii="Arial" w:hAnsi="Arial" w:cs="Arial"/>
          <w:szCs w:val="22"/>
        </w:rPr>
      </w:pPr>
    </w:p>
    <w:p w14:paraId="44DB1E52"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526F76C" w14:textId="77777777" w:rsidR="00EA220E" w:rsidRDefault="00EA220E" w:rsidP="00E65F5D">
      <w:pPr>
        <w:rPr>
          <w:rFonts w:ascii="Arial" w:hAnsi="Arial" w:cs="Arial"/>
          <w:b/>
          <w:szCs w:val="22"/>
        </w:rPr>
      </w:pPr>
    </w:p>
    <w:p w14:paraId="62EEB69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7ADF75D9" w14:textId="77777777" w:rsidR="00EA220E" w:rsidRDefault="00EA220E" w:rsidP="00EA220E">
      <w:pPr>
        <w:rPr>
          <w:rFonts w:ascii="Arial" w:hAnsi="Arial" w:cs="Arial"/>
          <w:color w:val="FF0000"/>
          <w:szCs w:val="22"/>
        </w:rPr>
      </w:pPr>
    </w:p>
    <w:p w14:paraId="69B91278" w14:textId="77777777" w:rsidR="00EA220E" w:rsidRDefault="00EA220E" w:rsidP="00EA220E">
      <w:pPr>
        <w:rPr>
          <w:rFonts w:ascii="Arial" w:hAnsi="Arial" w:cs="Arial"/>
          <w:color w:val="FF0000"/>
          <w:szCs w:val="22"/>
        </w:rPr>
      </w:pPr>
    </w:p>
    <w:p w14:paraId="7C06838B"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F178AA"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6AAECD53" w14:textId="77777777" w:rsidR="00EA220E" w:rsidRPr="005A2AA8" w:rsidRDefault="00EA220E" w:rsidP="00EA220E">
      <w:pPr>
        <w:rPr>
          <w:rFonts w:ascii="Arial" w:hAnsi="Arial" w:cs="Arial"/>
          <w:sz w:val="22"/>
          <w:szCs w:val="22"/>
        </w:rPr>
      </w:pPr>
    </w:p>
    <w:p w14:paraId="4F07D280" w14:textId="77777777" w:rsidR="00EA220E" w:rsidRPr="005A2AA8" w:rsidRDefault="00EA220E" w:rsidP="00EA220E">
      <w:pPr>
        <w:rPr>
          <w:rFonts w:ascii="Arial" w:hAnsi="Arial" w:cs="Arial"/>
          <w:sz w:val="22"/>
          <w:szCs w:val="22"/>
        </w:rPr>
      </w:pPr>
    </w:p>
    <w:p w14:paraId="7A23612C"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A53CBAC" w14:textId="77777777" w:rsidR="00EA220E" w:rsidRPr="005A2AA8" w:rsidRDefault="00EA220E" w:rsidP="00EA220E">
      <w:pPr>
        <w:rPr>
          <w:rFonts w:ascii="Arial" w:hAnsi="Arial" w:cs="Arial"/>
          <w:sz w:val="22"/>
          <w:szCs w:val="22"/>
        </w:rPr>
      </w:pPr>
    </w:p>
    <w:p w14:paraId="3BB95489" w14:textId="77777777" w:rsidR="00EA220E" w:rsidRPr="005A2AA8" w:rsidRDefault="00EA220E" w:rsidP="00EA220E">
      <w:pPr>
        <w:rPr>
          <w:rFonts w:ascii="Arial" w:hAnsi="Arial" w:cs="Arial"/>
          <w:sz w:val="22"/>
          <w:szCs w:val="22"/>
        </w:rPr>
      </w:pPr>
    </w:p>
    <w:p w14:paraId="4FECD772"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C121BC9" w14:textId="77777777" w:rsidR="00EA220E" w:rsidRPr="005A2AA8" w:rsidRDefault="00EA220E" w:rsidP="00EA220E">
      <w:pPr>
        <w:rPr>
          <w:rFonts w:ascii="Arial" w:hAnsi="Arial" w:cs="Arial"/>
          <w:sz w:val="22"/>
          <w:szCs w:val="22"/>
        </w:rPr>
      </w:pPr>
    </w:p>
    <w:p w14:paraId="6DC0D305" w14:textId="77777777" w:rsidR="00EA220E" w:rsidRPr="005A2AA8" w:rsidRDefault="00EA220E" w:rsidP="00EA220E">
      <w:pPr>
        <w:rPr>
          <w:rFonts w:ascii="Arial" w:hAnsi="Arial" w:cs="Arial"/>
          <w:sz w:val="22"/>
          <w:szCs w:val="22"/>
        </w:rPr>
      </w:pPr>
    </w:p>
    <w:p w14:paraId="196C6154"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DDE8664" w14:textId="77777777" w:rsidR="00EA220E" w:rsidRPr="005A2AA8" w:rsidRDefault="00EA220E" w:rsidP="00EA220E">
      <w:pPr>
        <w:rPr>
          <w:rFonts w:ascii="Arial" w:hAnsi="Arial" w:cs="Arial"/>
          <w:sz w:val="22"/>
          <w:szCs w:val="22"/>
        </w:rPr>
      </w:pPr>
    </w:p>
    <w:p w14:paraId="0CD690FC" w14:textId="77777777" w:rsidR="00EA220E" w:rsidRPr="005A2AA8" w:rsidRDefault="00EA220E" w:rsidP="00EA220E">
      <w:pPr>
        <w:rPr>
          <w:rFonts w:ascii="Arial" w:hAnsi="Arial" w:cs="Arial"/>
          <w:sz w:val="22"/>
          <w:szCs w:val="22"/>
        </w:rPr>
      </w:pPr>
    </w:p>
    <w:p w14:paraId="1E84C155" w14:textId="77777777" w:rsidR="00EA220E" w:rsidRPr="00C11EBA" w:rsidRDefault="00EA220E" w:rsidP="00EA220E">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5F98CAE" w14:textId="77777777" w:rsidR="00EA220E" w:rsidRDefault="00EA220E" w:rsidP="00E65F5D">
      <w:pPr>
        <w:rPr>
          <w:rFonts w:ascii="Arial" w:hAnsi="Arial" w:cs="Arial"/>
          <w:b/>
          <w:szCs w:val="22"/>
        </w:rPr>
      </w:pPr>
    </w:p>
    <w:p w14:paraId="3196CEE5" w14:textId="77777777" w:rsidR="0044471C" w:rsidRDefault="0044471C" w:rsidP="00E65F5D">
      <w:pPr>
        <w:rPr>
          <w:rFonts w:ascii="Arial" w:hAnsi="Arial" w:cs="Arial"/>
          <w:b/>
          <w:szCs w:val="22"/>
        </w:rPr>
      </w:pPr>
    </w:p>
    <w:p w14:paraId="018BFF50" w14:textId="77777777" w:rsidR="00DA0A9A" w:rsidRDefault="00DA0A9A">
      <w:pPr>
        <w:rPr>
          <w:rFonts w:ascii="Arial" w:hAnsi="Arial" w:cs="Arial"/>
          <w:b/>
          <w:szCs w:val="22"/>
        </w:rPr>
      </w:pPr>
      <w:r>
        <w:rPr>
          <w:rFonts w:ascii="Arial" w:hAnsi="Arial" w:cs="Arial"/>
          <w:b/>
          <w:szCs w:val="22"/>
        </w:rPr>
        <w:br w:type="page"/>
      </w:r>
    </w:p>
    <w:p w14:paraId="72CE448D" w14:textId="77777777" w:rsidR="00F1537C" w:rsidRDefault="00F1537C" w:rsidP="00E65F5D">
      <w:pPr>
        <w:rPr>
          <w:rFonts w:ascii="Arial" w:hAnsi="Arial" w:cs="Arial"/>
          <w:b/>
          <w:szCs w:val="22"/>
        </w:rPr>
      </w:pPr>
    </w:p>
    <w:p w14:paraId="6E28C0AB" w14:textId="77777777" w:rsidR="00DA0A9A" w:rsidRDefault="00DA0A9A" w:rsidP="00E65F5D">
      <w:pPr>
        <w:rPr>
          <w:rFonts w:ascii="Arial" w:hAnsi="Arial" w:cs="Arial"/>
          <w:b/>
          <w:szCs w:val="22"/>
        </w:rPr>
      </w:pPr>
    </w:p>
    <w:p w14:paraId="2C7457A2" w14:textId="62FF4EA7" w:rsidR="00DA0A9A" w:rsidRPr="00DA0A9A" w:rsidRDefault="00DA0A9A" w:rsidP="00DA0A9A">
      <w:pPr>
        <w:rPr>
          <w:rFonts w:ascii="Arial" w:hAnsi="Arial" w:cs="Arial"/>
          <w:b/>
          <w:sz w:val="32"/>
          <w:szCs w:val="32"/>
        </w:rPr>
      </w:pPr>
      <w:r w:rsidRPr="00DA0A9A">
        <w:rPr>
          <w:rFonts w:ascii="Arial" w:hAnsi="Arial" w:cs="Arial"/>
          <w:b/>
          <w:sz w:val="32"/>
          <w:szCs w:val="32"/>
        </w:rPr>
        <w:t>APPENDIX D – EXAMPLE QSR DOSSIER</w:t>
      </w:r>
      <w:r w:rsidR="005561DC">
        <w:rPr>
          <w:rFonts w:ascii="Arial" w:hAnsi="Arial" w:cs="Arial"/>
          <w:b/>
          <w:sz w:val="32"/>
          <w:szCs w:val="32"/>
        </w:rPr>
        <w:t xml:space="preserve"> (additional dossiers can be made available on request.)</w:t>
      </w:r>
    </w:p>
    <w:p w14:paraId="0652B0E8" w14:textId="77777777" w:rsidR="00DA0A9A" w:rsidRDefault="00DA0A9A" w:rsidP="00DA0A9A">
      <w:pPr>
        <w:rPr>
          <w:rFonts w:ascii="Arial" w:hAnsi="Arial" w:cs="Arial"/>
          <w:b/>
          <w:szCs w:val="22"/>
        </w:rPr>
      </w:pPr>
    </w:p>
    <w:p w14:paraId="5323BE83" w14:textId="77777777" w:rsidR="0046775A" w:rsidRDefault="0046775A" w:rsidP="002005FC">
      <w:pPr>
        <w:pStyle w:val="Heading3"/>
        <w:numPr>
          <w:ilvl w:val="0"/>
          <w:numId w:val="0"/>
        </w:numPr>
        <w:rPr>
          <w:rFonts w:ascii="Arial" w:hAnsi="Arial" w:cs="Arial"/>
          <w:szCs w:val="24"/>
        </w:rPr>
      </w:pPr>
    </w:p>
    <w:p w14:paraId="75AB9A93" w14:textId="77777777" w:rsidR="008002CC" w:rsidRDefault="008002CC" w:rsidP="008002CC">
      <w:pPr>
        <w:pStyle w:val="Heading2"/>
      </w:pPr>
      <w:bookmarkStart w:id="1" w:name="_Toc27563622"/>
      <w:r>
        <w:t>Piperazine (CAS Number 110-85-0)</w:t>
      </w:r>
      <w:bookmarkEnd w:id="1"/>
    </w:p>
    <w:p w14:paraId="5355F962" w14:textId="77777777" w:rsidR="008002CC" w:rsidRPr="005561DC" w:rsidRDefault="008002CC" w:rsidP="008002CC">
      <w:pPr>
        <w:jc w:val="both"/>
        <w:rPr>
          <w:rFonts w:ascii="Arial" w:hAnsi="Arial" w:cs="Arial"/>
          <w:szCs w:val="22"/>
        </w:rPr>
      </w:pPr>
      <w:r w:rsidRPr="005561DC">
        <w:rPr>
          <w:rFonts w:ascii="Arial" w:hAnsi="Arial" w:cs="Arial"/>
          <w:szCs w:val="22"/>
        </w:rPr>
        <w:t xml:space="preserve">Piperazine (PZ) is a cyclic compound with two secondary amine groups.  It is solid at room temperature, the anhydrous compound forming white or translucent, rhomboid, or flake like crystals that are highly hygroscopic (ECB 2005).  It is water soluble, although its salts differ in their water solubility from very slightly soluble to freely soluble (ECB 2005).  It is assumed to be rapidly photolysed in the atmosphere with a calculated half-life of 0.80 hours (ECB 2005) to 2.80 hours (ECHA 2023).  In natural waters, it is considered photolytically and hydrolytically stable under environmentally relevant conditions (ECB 2005), although it is inherently biodegradable in water (ECHA 2023).  </w:t>
      </w:r>
    </w:p>
    <w:p w14:paraId="244CF873" w14:textId="77777777" w:rsidR="008002CC" w:rsidRPr="005561DC" w:rsidRDefault="008002CC" w:rsidP="008002CC">
      <w:pPr>
        <w:jc w:val="both"/>
        <w:rPr>
          <w:rFonts w:ascii="Arial" w:hAnsi="Arial" w:cs="Arial"/>
          <w:szCs w:val="22"/>
        </w:rPr>
      </w:pPr>
      <w:r w:rsidRPr="005561DC">
        <w:rPr>
          <w:rFonts w:ascii="Arial" w:hAnsi="Arial" w:cs="Arial"/>
          <w:szCs w:val="22"/>
        </w:rPr>
        <w:t>PZ has been used as a hardener, as a scrubber (gas washing liquid), as a corrosion inhibitor, as an intermediate and a process regulator in the production of industrial chemicals, and in the manufacture of food contact materials.  PZ and its derivatives have also been used in insecticides, as an intermediate in the production of human and veterinary medicines as well as previously as an active ingredient in oral anthelmintic drugs (AICIS 2020, ECB 2005)</w:t>
      </w:r>
      <w:r w:rsidRPr="005561DC">
        <w:rPr>
          <w:rFonts w:ascii="Arial" w:hAnsi="Arial" w:cs="Arial"/>
          <w:szCs w:val="22"/>
        </w:rPr>
        <w:footnoteReference w:id="2"/>
      </w:r>
      <w:r w:rsidRPr="005561DC">
        <w:rPr>
          <w:rFonts w:ascii="Arial" w:hAnsi="Arial" w:cs="Arial"/>
          <w:szCs w:val="22"/>
        </w:rPr>
        <w:t>, and as a flavouring substance / food additive (Galleria chemica cited in ECB 2005, WHO 2009).  Currently, its main source in ambient air is from its industrial applications (ECB 2005, ECHA 2023).   New uses for PZ include as a solvent in post-combustion carbon capture systems (Rochelle et al. 2011), where it may be released in small quantities via stack emissions.</w:t>
      </w:r>
    </w:p>
    <w:p w14:paraId="37E41112" w14:textId="77777777" w:rsidR="008002CC" w:rsidRPr="005561DC" w:rsidRDefault="008002CC" w:rsidP="008002CC">
      <w:pPr>
        <w:jc w:val="both"/>
        <w:rPr>
          <w:rFonts w:ascii="Arial" w:hAnsi="Arial" w:cs="Arial"/>
          <w:szCs w:val="22"/>
        </w:rPr>
      </w:pPr>
      <w:r w:rsidRPr="005561DC">
        <w:rPr>
          <w:rFonts w:ascii="Arial" w:hAnsi="Arial" w:cs="Arial"/>
          <w:szCs w:val="22"/>
        </w:rPr>
        <w:t xml:space="preserve">Under certain conditions in the atmosphere, secondary amines (e.g., PZ) have the potential to form nitramines (Lag et al. 2009) and nitrosamines (SEPA 2015).  Nitrosamine formation is expected with all primary, secondary, and tertiary amines used for carbon capture (Lathouri et al. 2022), with secondary amines having a higher potential to form stable nitrosamines than primary and tertiary amines (Afzal et al. 2017 cited in Lathouri et al. 2022).  Formation of breakdown products from stack emissions in air, including nitramines and nitrosamines, should be considered and a separate risk assessment conducted.  Nitrosamines can also be potentially formed in the body from the nitrosation of specific amines via an acid- or bacterial catalysed reaction with nitrite, or by reaction with products of nitrogen oxide generated during inflammation and infection (Lag et al. 2009).  Evidence is evaluated in this dossier, where inhalation exposure to PZ has been associated with increases in biomarkers for nitrosation observed in urine in occupational and experimental studies. </w:t>
      </w:r>
    </w:p>
    <w:p w14:paraId="436FA958" w14:textId="77777777" w:rsidR="008002CC" w:rsidRDefault="008002CC" w:rsidP="008002CC">
      <w:pPr>
        <w:jc w:val="both"/>
        <w:rPr>
          <w:rFonts w:ascii="Arial" w:hAnsi="Arial" w:cs="Arial"/>
          <w:szCs w:val="22"/>
        </w:rPr>
      </w:pPr>
      <w:r w:rsidRPr="005561DC">
        <w:rPr>
          <w:rFonts w:ascii="Arial" w:hAnsi="Arial" w:cs="Arial"/>
          <w:szCs w:val="22"/>
        </w:rPr>
        <w:t xml:space="preserve">PZ is registered under EU REACH in the tonnage band ≥ 1 000 to &lt; 10 000 tonnes. </w:t>
      </w:r>
    </w:p>
    <w:p w14:paraId="4DDD3397" w14:textId="77777777" w:rsidR="00EE6D3F" w:rsidRPr="005561DC" w:rsidRDefault="00EE6D3F" w:rsidP="008002CC">
      <w:pPr>
        <w:jc w:val="both"/>
        <w:rPr>
          <w:rFonts w:ascii="Arial" w:hAnsi="Arial" w:cs="Arial"/>
          <w:szCs w:val="22"/>
        </w:rPr>
      </w:pPr>
    </w:p>
    <w:p w14:paraId="2DC06B96" w14:textId="77777777" w:rsidR="008002CC" w:rsidRPr="005561DC" w:rsidRDefault="008002CC" w:rsidP="008002CC">
      <w:pPr>
        <w:pStyle w:val="Heading3"/>
        <w:rPr>
          <w:rFonts w:ascii="Arial" w:hAnsi="Arial" w:cs="Arial"/>
        </w:rPr>
      </w:pPr>
      <w:r w:rsidRPr="005561DC">
        <w:rPr>
          <w:rFonts w:ascii="Arial" w:hAnsi="Arial" w:cs="Arial"/>
        </w:rPr>
        <w:t>Regulatory Guidelines</w:t>
      </w:r>
    </w:p>
    <w:tbl>
      <w:tblPr>
        <w:tblStyle w:val="TableGrid"/>
        <w:tblW w:w="0" w:type="auto"/>
        <w:tblBorders>
          <w:insideV w:val="none" w:sz="0" w:space="0" w:color="auto"/>
        </w:tblBorders>
        <w:tblLook w:val="04A0" w:firstRow="1" w:lastRow="0" w:firstColumn="1" w:lastColumn="0" w:noHBand="0" w:noVBand="1"/>
      </w:tblPr>
      <w:tblGrid>
        <w:gridCol w:w="3804"/>
        <w:gridCol w:w="4492"/>
      </w:tblGrid>
      <w:tr w:rsidR="008002CC" w:rsidRPr="005561DC" w14:paraId="0C4CA4ED" w14:textId="77777777" w:rsidTr="00113A8F">
        <w:tc>
          <w:tcPr>
            <w:tcW w:w="4248" w:type="dxa"/>
          </w:tcPr>
          <w:p w14:paraId="49EC326F" w14:textId="77777777" w:rsidR="008002CC" w:rsidRPr="005561DC" w:rsidRDefault="008002CC" w:rsidP="00113A8F">
            <w:pPr>
              <w:jc w:val="both"/>
              <w:rPr>
                <w:rFonts w:ascii="Arial" w:hAnsi="Arial" w:cs="Arial"/>
              </w:rPr>
            </w:pPr>
            <w:r w:rsidRPr="005561DC">
              <w:rPr>
                <w:rFonts w:ascii="Arial" w:hAnsi="Arial" w:cs="Arial"/>
              </w:rPr>
              <w:t>None</w:t>
            </w:r>
          </w:p>
        </w:tc>
        <w:tc>
          <w:tcPr>
            <w:tcW w:w="5102" w:type="dxa"/>
          </w:tcPr>
          <w:p w14:paraId="0557971B" w14:textId="77777777" w:rsidR="008002CC" w:rsidRPr="005561DC" w:rsidRDefault="008002CC" w:rsidP="00113A8F">
            <w:pPr>
              <w:jc w:val="both"/>
              <w:rPr>
                <w:rFonts w:ascii="Arial" w:hAnsi="Arial" w:cs="Arial"/>
              </w:rPr>
            </w:pPr>
          </w:p>
        </w:tc>
      </w:tr>
    </w:tbl>
    <w:p w14:paraId="735FE1D3" w14:textId="77777777" w:rsidR="008002CC" w:rsidRPr="005561DC" w:rsidRDefault="008002CC" w:rsidP="008002CC">
      <w:pPr>
        <w:pStyle w:val="Heading3"/>
        <w:rPr>
          <w:rFonts w:ascii="Arial" w:hAnsi="Arial" w:cs="Arial"/>
        </w:rPr>
      </w:pPr>
      <w:r w:rsidRPr="005561DC">
        <w:rPr>
          <w:rFonts w:ascii="Arial" w:hAnsi="Arial" w:cs="Arial"/>
        </w:rPr>
        <w:t>Recommended Environmental Assessment Level in Air</w:t>
      </w:r>
    </w:p>
    <w:tbl>
      <w:tblPr>
        <w:tblStyle w:val="TableGrid"/>
        <w:tblW w:w="9016" w:type="dxa"/>
        <w:tblLook w:val="04A0" w:firstRow="1" w:lastRow="0" w:firstColumn="1" w:lastColumn="0" w:noHBand="0" w:noVBand="1"/>
      </w:tblPr>
      <w:tblGrid>
        <w:gridCol w:w="4105"/>
        <w:gridCol w:w="4911"/>
      </w:tblGrid>
      <w:tr w:rsidR="008002CC" w:rsidRPr="005561DC" w14:paraId="6FCBF990" w14:textId="77777777" w:rsidTr="00113A8F">
        <w:tc>
          <w:tcPr>
            <w:tcW w:w="4105" w:type="dxa"/>
          </w:tcPr>
          <w:p w14:paraId="406751AA" w14:textId="77777777" w:rsidR="008002CC" w:rsidRPr="005561DC" w:rsidRDefault="008002CC" w:rsidP="00113A8F">
            <w:pPr>
              <w:jc w:val="both"/>
              <w:rPr>
                <w:rFonts w:ascii="Arial" w:hAnsi="Arial" w:cs="Arial"/>
              </w:rPr>
            </w:pPr>
            <w:r w:rsidRPr="005561DC">
              <w:rPr>
                <w:rFonts w:ascii="Arial" w:hAnsi="Arial" w:cs="Arial"/>
              </w:rPr>
              <w:t>Long-term EAL</w:t>
            </w:r>
          </w:p>
        </w:tc>
        <w:tc>
          <w:tcPr>
            <w:tcW w:w="4911" w:type="dxa"/>
          </w:tcPr>
          <w:p w14:paraId="56B4C3E5" w14:textId="77777777" w:rsidR="008002CC" w:rsidRPr="005561DC" w:rsidRDefault="008002CC" w:rsidP="00113A8F">
            <w:pPr>
              <w:jc w:val="both"/>
              <w:rPr>
                <w:rFonts w:ascii="Arial" w:hAnsi="Arial" w:cs="Arial"/>
              </w:rPr>
            </w:pPr>
            <w:r w:rsidRPr="005561DC">
              <w:rPr>
                <w:rFonts w:ascii="Arial" w:hAnsi="Arial" w:cs="Arial"/>
              </w:rPr>
              <w:t>0.015 mg/m</w:t>
            </w:r>
            <w:r w:rsidRPr="005561DC">
              <w:rPr>
                <w:rFonts w:ascii="Arial" w:hAnsi="Arial" w:cs="Arial"/>
                <w:vertAlign w:val="superscript"/>
              </w:rPr>
              <w:t>3</w:t>
            </w:r>
            <w:r w:rsidRPr="005561DC">
              <w:rPr>
                <w:rFonts w:ascii="Arial" w:hAnsi="Arial" w:cs="Arial"/>
              </w:rPr>
              <w:t xml:space="preserve"> (15 µg/m</w:t>
            </w:r>
            <w:r w:rsidRPr="005561DC">
              <w:rPr>
                <w:rFonts w:ascii="Arial" w:hAnsi="Arial" w:cs="Arial"/>
                <w:vertAlign w:val="superscript"/>
              </w:rPr>
              <w:t>3</w:t>
            </w:r>
            <w:r w:rsidRPr="005561DC">
              <w:rPr>
                <w:rFonts w:ascii="Arial" w:hAnsi="Arial" w:cs="Arial"/>
              </w:rPr>
              <w:t>) as daily mean</w:t>
            </w:r>
          </w:p>
        </w:tc>
      </w:tr>
      <w:tr w:rsidR="008002CC" w:rsidRPr="005561DC" w14:paraId="7EAAFEC9" w14:textId="77777777" w:rsidTr="00113A8F">
        <w:tc>
          <w:tcPr>
            <w:tcW w:w="4105" w:type="dxa"/>
          </w:tcPr>
          <w:p w14:paraId="7F31ED30" w14:textId="77777777" w:rsidR="008002CC" w:rsidRPr="005561DC" w:rsidRDefault="008002CC" w:rsidP="00113A8F">
            <w:pPr>
              <w:jc w:val="both"/>
              <w:rPr>
                <w:rFonts w:ascii="Arial" w:hAnsi="Arial" w:cs="Arial"/>
              </w:rPr>
            </w:pPr>
            <w:r w:rsidRPr="005561DC">
              <w:rPr>
                <w:rFonts w:ascii="Arial" w:hAnsi="Arial" w:cs="Arial"/>
              </w:rPr>
              <w:t>Short-term EAL</w:t>
            </w:r>
          </w:p>
        </w:tc>
        <w:tc>
          <w:tcPr>
            <w:tcW w:w="4911" w:type="dxa"/>
          </w:tcPr>
          <w:p w14:paraId="39654F96" w14:textId="77777777" w:rsidR="008002CC" w:rsidRPr="005561DC" w:rsidRDefault="008002CC" w:rsidP="00113A8F">
            <w:pPr>
              <w:jc w:val="both"/>
              <w:rPr>
                <w:rFonts w:ascii="Arial" w:hAnsi="Arial" w:cs="Arial"/>
              </w:rPr>
            </w:pPr>
            <w:r w:rsidRPr="005561DC">
              <w:rPr>
                <w:rFonts w:ascii="Arial" w:hAnsi="Arial" w:cs="Arial"/>
              </w:rPr>
              <w:t>None (practical compliance)</w:t>
            </w:r>
          </w:p>
        </w:tc>
      </w:tr>
    </w:tbl>
    <w:p w14:paraId="00FD684C" w14:textId="77777777" w:rsidR="008002CC" w:rsidRPr="005561DC" w:rsidRDefault="008002CC" w:rsidP="008002CC">
      <w:pPr>
        <w:pStyle w:val="Heading3"/>
        <w:rPr>
          <w:rFonts w:ascii="Arial" w:hAnsi="Arial" w:cs="Arial"/>
        </w:rPr>
      </w:pPr>
      <w:r w:rsidRPr="005561DC">
        <w:rPr>
          <w:rFonts w:ascii="Arial" w:hAnsi="Arial" w:cs="Arial"/>
        </w:rPr>
        <w:t>Overview</w:t>
      </w:r>
    </w:p>
    <w:p w14:paraId="1496E814" w14:textId="77777777" w:rsidR="008002CC" w:rsidRPr="005561DC" w:rsidRDefault="008002CC" w:rsidP="008002CC">
      <w:pPr>
        <w:jc w:val="both"/>
        <w:rPr>
          <w:rFonts w:ascii="Arial" w:hAnsi="Arial" w:cs="Arial"/>
        </w:rPr>
      </w:pPr>
      <w:r w:rsidRPr="005561DC">
        <w:rPr>
          <w:rFonts w:ascii="Arial" w:hAnsi="Arial" w:cs="Arial"/>
        </w:rPr>
        <w:t>PZ (liquid and solid) has a harmonised classification under Annex VI of Regulation (EC) No 1272/2008 (Classification, Labelling and Packaging (CLP) Regulation) for skin corrosion (category 1B; H314), skin sensitization (category 1; H317), respiratory sensitisation (category 1; H334) and reproductive toxicity by oral exposure</w:t>
      </w:r>
      <w:r w:rsidRPr="005561DC" w:rsidDel="00EB34F4">
        <w:rPr>
          <w:rFonts w:ascii="Arial" w:hAnsi="Arial" w:cs="Arial"/>
        </w:rPr>
        <w:t xml:space="preserve"> </w:t>
      </w:r>
      <w:r w:rsidRPr="005561DC">
        <w:rPr>
          <w:rFonts w:ascii="Arial" w:hAnsi="Arial" w:cs="Arial"/>
        </w:rPr>
        <w:t>(category 2; H361fd).</w:t>
      </w:r>
    </w:p>
    <w:p w14:paraId="7C521125" w14:textId="77777777" w:rsidR="008002CC" w:rsidRPr="005561DC" w:rsidRDefault="008002CC" w:rsidP="008002CC">
      <w:pPr>
        <w:jc w:val="both"/>
        <w:rPr>
          <w:rFonts w:ascii="Arial" w:hAnsi="Arial" w:cs="Arial"/>
        </w:rPr>
      </w:pPr>
      <w:r w:rsidRPr="005561DC">
        <w:rPr>
          <w:rFonts w:ascii="Arial" w:hAnsi="Arial" w:cs="Arial"/>
        </w:rPr>
        <w:t xml:space="preserve">Adverse effects from exposure to PZ have been reviewed by several authoritative bodies (AICIS 2020, ECB 2005, ECHA 2013, and OECD 2004).  Studies on the adverse effects following inhalation exposure are very limited. </w:t>
      </w:r>
    </w:p>
    <w:p w14:paraId="7368A187" w14:textId="77777777" w:rsidR="008002CC" w:rsidRPr="005561DC" w:rsidRDefault="008002CC" w:rsidP="008002CC">
      <w:pPr>
        <w:jc w:val="both"/>
        <w:rPr>
          <w:rFonts w:ascii="Arial" w:hAnsi="Arial" w:cs="Arial"/>
        </w:rPr>
      </w:pPr>
      <w:r w:rsidRPr="005561DC">
        <w:rPr>
          <w:rFonts w:ascii="Arial" w:hAnsi="Arial" w:cs="Arial"/>
        </w:rPr>
        <w:t xml:space="preserve">PZ has shown a low acute toxicity by the oral, dermal, and subcutaneous routes of exposure in </w:t>
      </w:r>
      <w:r w:rsidRPr="005561DC">
        <w:rPr>
          <w:rFonts w:ascii="Arial" w:hAnsi="Arial" w:cs="Arial"/>
          <w:i/>
          <w:iCs/>
        </w:rPr>
        <w:t>in vivo</w:t>
      </w:r>
      <w:r w:rsidRPr="005561DC">
        <w:rPr>
          <w:rFonts w:ascii="Arial" w:hAnsi="Arial" w:cs="Arial"/>
        </w:rPr>
        <w:t xml:space="preserve"> studies, but no adequate </w:t>
      </w:r>
      <w:r w:rsidRPr="005561DC">
        <w:rPr>
          <w:rFonts w:ascii="Arial" w:hAnsi="Arial" w:cs="Arial"/>
          <w:i/>
          <w:iCs/>
        </w:rPr>
        <w:t>in vivo</w:t>
      </w:r>
      <w:r w:rsidRPr="005561DC">
        <w:rPr>
          <w:rFonts w:ascii="Arial" w:hAnsi="Arial" w:cs="Arial"/>
        </w:rPr>
        <w:t xml:space="preserve"> acute inhalation toxicity data has been found (ECB </w:t>
      </w:r>
      <w:r w:rsidRPr="005561DC">
        <w:rPr>
          <w:rFonts w:ascii="Arial" w:hAnsi="Arial" w:cs="Arial"/>
        </w:rPr>
        <w:lastRenderedPageBreak/>
        <w:t xml:space="preserve">2005, OECD 2004).  It is a respiratory sensitiser, based on observations in humans, a skin sensitiser based on </w:t>
      </w:r>
      <w:r w:rsidRPr="005561DC">
        <w:rPr>
          <w:rFonts w:ascii="Arial" w:hAnsi="Arial" w:cs="Arial"/>
          <w:i/>
          <w:iCs/>
        </w:rPr>
        <w:t>in vivo</w:t>
      </w:r>
      <w:r w:rsidRPr="005561DC">
        <w:rPr>
          <w:rFonts w:ascii="Arial" w:hAnsi="Arial" w:cs="Arial"/>
        </w:rPr>
        <w:t xml:space="preserve"> animal studies, and a corrosive agent (AICIS 2020).</w:t>
      </w:r>
    </w:p>
    <w:p w14:paraId="10099BA0" w14:textId="77777777" w:rsidR="008002CC" w:rsidRPr="005561DC" w:rsidRDefault="008002CC" w:rsidP="008002CC">
      <w:pPr>
        <w:jc w:val="both"/>
        <w:rPr>
          <w:rFonts w:ascii="Arial" w:hAnsi="Arial" w:cs="Arial"/>
        </w:rPr>
      </w:pPr>
      <w:r w:rsidRPr="005561DC">
        <w:rPr>
          <w:rFonts w:ascii="Arial" w:hAnsi="Arial" w:cs="Arial"/>
        </w:rPr>
        <w:t>Limited repeat dose inhalation studies in humans or animals have been located.  Repeated exposure to PZ by inhalation in human studies may induce chronic bronchitis (Rutter and Voelker 1975 cited in ECB 2005; unnamed study 1975 cited in ECHA 2023).</w:t>
      </w:r>
    </w:p>
    <w:p w14:paraId="5BA40C09" w14:textId="77777777" w:rsidR="008002CC" w:rsidRPr="005561DC" w:rsidRDefault="008002CC" w:rsidP="008002CC">
      <w:pPr>
        <w:jc w:val="both"/>
        <w:rPr>
          <w:rFonts w:ascii="Arial" w:hAnsi="Arial" w:cs="Arial"/>
        </w:rPr>
      </w:pPr>
      <w:r w:rsidRPr="005561DC">
        <w:rPr>
          <w:rFonts w:ascii="Arial" w:hAnsi="Arial" w:cs="Arial"/>
        </w:rPr>
        <w:t xml:space="preserve">PZ salts were used extensively in oral anthelmintic drugs from the 1950s in adults and children for treatment durations up to a week (ECB 2005).  Reversible neurotoxic effects were observed including abnormal EEG changes, which resulted in a decline in its therapeutic use.  While neurotoxicity has also been observed in cats and dogs, ECB (2005) noted that the neurotoxicity observed in human case studies has not been generally reported in rodents.  </w:t>
      </w:r>
    </w:p>
    <w:p w14:paraId="3F6E96FA" w14:textId="77777777" w:rsidR="008002CC" w:rsidRPr="005561DC" w:rsidRDefault="008002CC" w:rsidP="008002CC">
      <w:pPr>
        <w:jc w:val="both"/>
        <w:rPr>
          <w:rFonts w:ascii="Arial" w:hAnsi="Arial" w:cs="Arial"/>
        </w:rPr>
      </w:pPr>
      <w:r w:rsidRPr="005561DC">
        <w:rPr>
          <w:rFonts w:ascii="Arial" w:hAnsi="Arial" w:cs="Arial"/>
        </w:rPr>
        <w:t>In oral reproduction and developmental studies</w:t>
      </w:r>
      <w:r w:rsidRPr="005561DC">
        <w:rPr>
          <w:rFonts w:ascii="Arial" w:hAnsi="Arial" w:cs="Arial"/>
          <w:i/>
          <w:iCs/>
        </w:rPr>
        <w:t xml:space="preserve"> in vivo</w:t>
      </w:r>
      <w:r w:rsidRPr="005561DC">
        <w:rPr>
          <w:rFonts w:ascii="Arial" w:hAnsi="Arial" w:cs="Arial"/>
        </w:rPr>
        <w:t xml:space="preserve">, PZ has demonstrated adverse effects on fertility (ECB 2005, OECD 2013), but no symptoms of developmental toxicity (ECB 2005, ECHA 2023). </w:t>
      </w:r>
    </w:p>
    <w:p w14:paraId="10A2C945" w14:textId="77777777" w:rsidR="008002CC" w:rsidRPr="005561DC" w:rsidRDefault="008002CC" w:rsidP="008002CC">
      <w:pPr>
        <w:pStyle w:val="Heading4"/>
        <w:rPr>
          <w:rFonts w:ascii="Arial" w:hAnsi="Arial" w:cs="Arial"/>
        </w:rPr>
      </w:pPr>
      <w:r w:rsidRPr="00EE6D3F">
        <w:rPr>
          <w:rFonts w:ascii="Arial" w:hAnsi="Arial" w:cs="Arial"/>
          <w:color w:val="auto"/>
        </w:rPr>
        <w:t>Toxicokinetics</w:t>
      </w:r>
    </w:p>
    <w:p w14:paraId="50100461" w14:textId="77777777" w:rsidR="008002CC" w:rsidRPr="005561DC" w:rsidRDefault="008002CC" w:rsidP="008002CC">
      <w:pPr>
        <w:jc w:val="both"/>
        <w:rPr>
          <w:rFonts w:ascii="Arial" w:hAnsi="Arial" w:cs="Arial"/>
        </w:rPr>
      </w:pPr>
      <w:r w:rsidRPr="005561DC">
        <w:rPr>
          <w:rFonts w:ascii="Arial" w:hAnsi="Arial" w:cs="Arial"/>
        </w:rPr>
        <w:t xml:space="preserve">Toxicokinetic data on PZ are limited, although more data on its salts and nitrosated compounds are available (ECB 2005).  In occupational settings, inhalation exposure is most likely to the PZ base as either a vapour or solid aerosol.  Acknowledging that there were likely to be differences in the bioavailability of the different PZ salts, ECB (2005) noted that there were no indications in the evidence collated that these resulted in significant variations in their toxicological properties.  While it was noted that PZ is a strong base (Khalili et al. 2009) and likely to mostly dissociate in acid environments such as the stomach, there was little or no information available on whether it dissociates in the lung, which under normal conditions is slightly alkaline.   In pigs (unnamed study 1997 cited in ECHA 2023; Morrison 1997 cited in ECB 2005), radiolabelled (14C) PZ dichloride was readily absorbed from the gastrointestinal tract following administration of 300 mg/kg bodyweight/day by gavage.  Peak plasma concentrations were attained one hour after administration, followed by rapid elimination (Unnamed study 1997 cited in ECHA 2023).  ECB (2005) concluded that oral absorption was 100%.  In the absence of data on respiratory uptake, they also assumed 100% uptake from inhalation exposure. </w:t>
      </w:r>
    </w:p>
    <w:p w14:paraId="1184CC71" w14:textId="77777777" w:rsidR="008002CC" w:rsidRPr="005561DC" w:rsidRDefault="008002CC" w:rsidP="008002CC">
      <w:pPr>
        <w:jc w:val="both"/>
        <w:rPr>
          <w:rFonts w:ascii="Arial" w:hAnsi="Arial" w:cs="Arial"/>
        </w:rPr>
      </w:pPr>
      <w:r w:rsidRPr="005561DC">
        <w:rPr>
          <w:rFonts w:ascii="Arial" w:hAnsi="Arial" w:cs="Arial"/>
        </w:rPr>
        <w:t>With respect to distribution, in pigs administered 300 mg/kg bodyweight/day radiolabelled (14C) PZ dichloride by gavage, the highest activity was reported in the kidney and liver (unnamed study 1997 cited in ECHA 2023).  Twelve hours post-dosing, elimination of the radiolabelled activity in the kidney was rapid, with only 3% remaining.  Elimination from the liver, skeleton, muscle, fat, and skin was slower with 10, 11, 24, and 25%, respectively, remaining after 7 days in comparison with levels at 12 hours post-dosing.  ECB (2005) concluded that around 25% of a single administered dose was retained in tissues at seven days after exposure, noting that some metabolites were unidentified.</w:t>
      </w:r>
    </w:p>
    <w:p w14:paraId="2EA3BE4E" w14:textId="77777777" w:rsidR="008002CC" w:rsidRPr="005561DC" w:rsidRDefault="008002CC" w:rsidP="008002CC">
      <w:pPr>
        <w:jc w:val="both"/>
        <w:rPr>
          <w:rFonts w:ascii="Arial" w:hAnsi="Arial" w:cs="Arial"/>
        </w:rPr>
      </w:pPr>
      <w:r w:rsidRPr="005561DC">
        <w:rPr>
          <w:rFonts w:ascii="Arial" w:hAnsi="Arial" w:cs="Arial"/>
        </w:rPr>
        <w:t>Metabolism of radiolabelled (14C) PZ dihydrochloride was characterised in pigs following administration of 300 mg/kg bodyweight/day by gavage.  Analysis of urine, faeces and tissues showed the presence of mostly unchanged PZ (Morrison 1997 cited in ECB 2005), which is consistent with the findings in humans.  ECB (2005) concluded that the principal route of excretion of PZ and its metabolites in animal studies was via urine with only a minor fraction recovered from faeces (16%).  Based on the study results presented in the EU REACH dossier, the registrant concluded there was low bioaccumulation potential (ECHA 2023).</w:t>
      </w:r>
    </w:p>
    <w:p w14:paraId="5AC8731A" w14:textId="77777777" w:rsidR="008002CC" w:rsidRPr="005561DC" w:rsidRDefault="008002CC" w:rsidP="008002CC">
      <w:pPr>
        <w:jc w:val="both"/>
        <w:rPr>
          <w:rFonts w:ascii="Arial" w:hAnsi="Arial" w:cs="Arial"/>
        </w:rPr>
      </w:pPr>
      <w:r w:rsidRPr="005561DC">
        <w:rPr>
          <w:rFonts w:ascii="Arial" w:hAnsi="Arial" w:cs="Arial"/>
        </w:rPr>
        <w:t>The only metabolite consistently identified in urine samples from oral and inhalation animal and human studies using PZ was the nitrosamine N-nitrosopiperazine (NPZ) (ECB 2005).  NPZ was detected in gastric juices taken from human volunteers given a single oral dose of 480 mg PZ (Bellander et al. 1985 cited by ECB 2005).  In a later paper, Bellander et al. (1988b) estimated the conversion efficiency from PZ to NPZ from this oral dose to be around 0.01%.  This is much lower than has been subsequently estimated from repeat dose inhalation studies.</w:t>
      </w:r>
      <w:r w:rsidRPr="005561DC" w:rsidDel="00E530A5">
        <w:rPr>
          <w:rFonts w:ascii="Arial" w:hAnsi="Arial" w:cs="Arial"/>
        </w:rPr>
        <w:t xml:space="preserve"> </w:t>
      </w:r>
    </w:p>
    <w:p w14:paraId="56F49232" w14:textId="77777777" w:rsidR="008002CC" w:rsidRPr="005561DC" w:rsidRDefault="008002CC" w:rsidP="008002CC">
      <w:pPr>
        <w:jc w:val="both"/>
        <w:rPr>
          <w:rFonts w:ascii="Arial" w:hAnsi="Arial" w:cs="Arial"/>
        </w:rPr>
      </w:pPr>
      <w:r w:rsidRPr="005561DC">
        <w:rPr>
          <w:rFonts w:ascii="Arial" w:hAnsi="Arial" w:cs="Arial"/>
        </w:rPr>
        <w:t>Bellander et al. (1988a) detected NPZ in the urine of eleven workers exposed to anhydrous PZ or PZ hexahydrate vapours at occupational air concentrations ranging from 0.06 to 1.7 mg/m</w:t>
      </w:r>
      <w:r w:rsidRPr="005561DC">
        <w:rPr>
          <w:rFonts w:ascii="Arial" w:hAnsi="Arial" w:cs="Arial"/>
          <w:vertAlign w:val="superscript"/>
        </w:rPr>
        <w:t>3</w:t>
      </w:r>
      <w:r w:rsidRPr="005561DC">
        <w:rPr>
          <w:rFonts w:ascii="Arial" w:hAnsi="Arial" w:cs="Arial"/>
        </w:rPr>
        <w:t xml:space="preserve"> for up to a twelve-hour period.  In five of the eleven cases, the total amount excreted was 0.3 – 4.7 µg NPZ per person per 24-hour period.  In four other cases, the urine levels amounted to &lt;0.2 µg NPZ per 24-hour period, while in the remaining two cases NPZ was not detected in the urine samples.  The excretion of PZ in urine was between 100 to 4,700 µg per person per 24-hour period and was strongly correlated to the concentration of PZ in air.  Excreted urine concentrations of NPZ were strongly correlated to PZ levels in urine. Urinary NPZ concentrations were not found to be significantly correlated with measured concentrations of nitrite or nitrate in saliva.   Workers who smoked did not have higher levels of NPZ in their urine compared to non-smokers.  Adjusting for excretion in urine of a maximum of 38% of the </w:t>
      </w:r>
      <w:r w:rsidRPr="005561DC">
        <w:rPr>
          <w:rFonts w:ascii="Arial" w:hAnsi="Arial" w:cs="Arial"/>
        </w:rPr>
        <w:lastRenderedPageBreak/>
        <w:t>absorbed dose as unchanged PZ (as reported by Bellander et al. 1985 cited by ECB 2005), ECB (2005) estimated that the amount of PZ absorbed was between 184 (70/0.38) and 12,400 (4,700/0.38) µg per person per 24-hour period.</w:t>
      </w:r>
      <w:r w:rsidRPr="005561DC">
        <w:rPr>
          <w:rStyle w:val="FootnoteReference"/>
          <w:rFonts w:ascii="Arial" w:hAnsi="Arial" w:cs="Arial"/>
        </w:rPr>
        <w:footnoteReference w:id="3"/>
      </w:r>
      <w:r w:rsidRPr="005561DC">
        <w:rPr>
          <w:rFonts w:ascii="Arial" w:hAnsi="Arial" w:cs="Arial"/>
        </w:rPr>
        <w:t xml:space="preserve">  ECB (2005) concluded that this could indicate a higher rate of conversion from PZ to NPZ for chronic exposures to lower doses, but where the efficiency of NPZ formation decreased with increasing uptake.  Using their own “conservative” estimate of 1% conversion for the highest exposure to PZ, ECB calculated a maximum generation of 124 μg NPZ per person over 24-hours (12,400 * 0.01) (ECB 2005).</w:t>
      </w:r>
      <w:r w:rsidRPr="005561DC">
        <w:rPr>
          <w:rStyle w:val="FootnoteReference"/>
          <w:rFonts w:ascii="Arial" w:hAnsi="Arial" w:cs="Arial"/>
        </w:rPr>
        <w:footnoteReference w:id="4"/>
      </w:r>
      <w:r w:rsidRPr="005561DC">
        <w:rPr>
          <w:rFonts w:ascii="Arial" w:hAnsi="Arial" w:cs="Arial"/>
        </w:rPr>
        <w:t xml:space="preserve">  Citing earlier work that stated that around 10% of NPZ was excreted unchanged in urine (Tricker et al. 1991 cited by ECB 2005), ECB (2005) concluded that the maximum predicted NPZ urine levels of 12.4 µg per person per 24-hour period (124 * 0.1) were in reasonable agreement with the highest NPZ urine levels of 4.7 µg per person per 24-hour period observed in Bellander et al. (1988a).</w:t>
      </w:r>
    </w:p>
    <w:p w14:paraId="7F997BA0" w14:textId="77777777" w:rsidR="008002CC" w:rsidRPr="005561DC" w:rsidRDefault="008002CC" w:rsidP="008002CC">
      <w:pPr>
        <w:jc w:val="both"/>
        <w:rPr>
          <w:rFonts w:ascii="Arial" w:hAnsi="Arial" w:cs="Arial"/>
        </w:rPr>
      </w:pPr>
      <w:r w:rsidRPr="005561DC">
        <w:rPr>
          <w:rFonts w:ascii="Arial" w:hAnsi="Arial" w:cs="Arial"/>
        </w:rPr>
        <w:t>In a subsequent experimental study, Bellander et al. (1988b) investigated the urinary levels of NPZ in four volunteers exposed to between 0.25 – 0.30 mg PZ/m</w:t>
      </w:r>
      <w:r w:rsidRPr="005561DC">
        <w:rPr>
          <w:rFonts w:ascii="Arial" w:hAnsi="Arial" w:cs="Arial"/>
          <w:vertAlign w:val="superscript"/>
        </w:rPr>
        <w:t>3</w:t>
      </w:r>
      <w:r w:rsidRPr="005561DC">
        <w:rPr>
          <w:rFonts w:ascii="Arial" w:hAnsi="Arial" w:cs="Arial"/>
        </w:rPr>
        <w:t xml:space="preserve"> under experimental conditions with diets containing nitrate- and ascorbate-rich foodstuffs such as spinach, beetroot, and citrus fruits such as lemon juice.  Exposure to PZ vapour took place in an air chamber in two four-hour periods with an hour between them.  Air was sampled each hour.  Urine samples were taken every 4 hours, and 4, 16, 24, and 40 hours after the end of exposure.   The approximate nitrate content of the three diets ranged from 30 - 900 mg/day and the ascorbate content ranged from 30 – 330 mg/day.  Unlike the earlier occupational study (Bellander et al. 1988a), PZ urinary levels were not correlated with air concentration, but the variations in air concentrations were small.  Most excretion occurred during and up to 24-hours after exposure.  NPZ was found in urine and the levels impacted by the dietary intake of nitrate and ascorbate.  Bellander et al. (1988b) speculated that an observed mean excretion level of 0.4 mg PZ per person was consistent with around 36% of the total exposure dose (around 1.1 mg) being excreted unchanged (assuming 100% absorption).  The highest observed excretion of NPZ in this study was 1.7 µg per person after 32-hours.  Referring to an earlier (unreferenced) study, Bellander et al. (1988b) inferred that the total amount of NPZ formed in the body over this period was about 50 µg per person.  They concluded that this was equivalent to a conversion rate from PZ to NPZ of around 5% [ (50 µg NPZ / 1100 µg PZ) * 100].</w:t>
      </w:r>
      <w:r w:rsidRPr="005561DC">
        <w:rPr>
          <w:rStyle w:val="FootnoteReference"/>
          <w:rFonts w:ascii="Arial" w:hAnsi="Arial" w:cs="Arial"/>
        </w:rPr>
        <w:footnoteReference w:id="5"/>
      </w:r>
    </w:p>
    <w:p w14:paraId="3E28A5CE" w14:textId="77777777" w:rsidR="008002CC" w:rsidRPr="00EE6D3F" w:rsidRDefault="008002CC" w:rsidP="008002CC">
      <w:pPr>
        <w:jc w:val="both"/>
        <w:rPr>
          <w:rFonts w:ascii="Arial" w:hAnsi="Arial" w:cs="Arial"/>
        </w:rPr>
      </w:pPr>
      <w:r w:rsidRPr="005561DC">
        <w:rPr>
          <w:rFonts w:ascii="Arial" w:hAnsi="Arial" w:cs="Arial"/>
        </w:rPr>
        <w:t>Several human studies have examined excretion of PZ and its salts following oral administration, although the non-specific chemical colorimetric method used by older studies may be unreliable (ECB 2005).  When 480 mg of PZ was administered to four volunteers over a period of 16 hours, 19 – 35% of the administered dose was recovered unchanged in urine, with a further 2-3% excreted over an additional 24-hour period (Bellander et al. 1985 cited by ECB 2005</w:t>
      </w:r>
      <w:r w:rsidRPr="00EE6D3F">
        <w:rPr>
          <w:rFonts w:ascii="Arial" w:hAnsi="Arial" w:cs="Arial"/>
        </w:rPr>
        <w:t>).  No information on excretion of PZ in human faeces was reported (ECB 2005).</w:t>
      </w:r>
    </w:p>
    <w:p w14:paraId="386DB344" w14:textId="77777777" w:rsidR="008002CC" w:rsidRPr="00EE6D3F" w:rsidRDefault="008002CC" w:rsidP="008002CC">
      <w:pPr>
        <w:pStyle w:val="Heading4"/>
        <w:rPr>
          <w:rFonts w:ascii="Arial" w:hAnsi="Arial" w:cs="Arial"/>
          <w:color w:val="auto"/>
        </w:rPr>
      </w:pPr>
      <w:r w:rsidRPr="00EE6D3F">
        <w:rPr>
          <w:rFonts w:ascii="Arial" w:hAnsi="Arial" w:cs="Arial"/>
          <w:color w:val="auto"/>
        </w:rPr>
        <w:t>Short- and Long-term Exposures</w:t>
      </w:r>
    </w:p>
    <w:p w14:paraId="638312F7" w14:textId="77777777" w:rsidR="008002CC" w:rsidRPr="00EE6D3F" w:rsidRDefault="008002CC" w:rsidP="008002CC">
      <w:pPr>
        <w:jc w:val="both"/>
        <w:rPr>
          <w:rFonts w:ascii="Arial" w:hAnsi="Arial" w:cs="Arial"/>
        </w:rPr>
      </w:pPr>
      <w:r w:rsidRPr="00EE6D3F">
        <w:rPr>
          <w:rFonts w:ascii="Arial" w:hAnsi="Arial" w:cs="Arial"/>
        </w:rPr>
        <w:t xml:space="preserve">Short- and long-term inhalation and oral studies in animals and humans are limited. </w:t>
      </w:r>
    </w:p>
    <w:p w14:paraId="367B70B6" w14:textId="77777777" w:rsidR="008002CC" w:rsidRPr="00EE6D3F" w:rsidRDefault="008002CC" w:rsidP="008002CC">
      <w:pPr>
        <w:jc w:val="both"/>
        <w:rPr>
          <w:rFonts w:ascii="Arial" w:hAnsi="Arial" w:cs="Arial"/>
        </w:rPr>
      </w:pPr>
      <w:r w:rsidRPr="00EE6D3F">
        <w:rPr>
          <w:rFonts w:ascii="Arial" w:hAnsi="Arial" w:cs="Arial"/>
        </w:rPr>
        <w:t>Only limited data has been reported on the acute toxicity of PZ via inhalation (AICIS 2020, ECB 2005).  In a study similar to OECD TG 403 (no further details provided), rats were exposed (whole body) to a single dose of PZ vapours at 1.61 mg/L (1,610 mg/m</w:t>
      </w:r>
      <w:r w:rsidRPr="00EE6D3F">
        <w:rPr>
          <w:rFonts w:ascii="Arial" w:hAnsi="Arial" w:cs="Arial"/>
          <w:vertAlign w:val="superscript"/>
        </w:rPr>
        <w:t>3</w:t>
      </w:r>
      <w:r w:rsidRPr="00EE6D3F">
        <w:rPr>
          <w:rFonts w:ascii="Arial" w:hAnsi="Arial" w:cs="Arial"/>
        </w:rPr>
        <w:t xml:space="preserve">) for eight hours (AICIS 2020).  There were no mortalities, the animals reportedly exhibiting only a slight mucosal </w:t>
      </w:r>
      <w:r w:rsidRPr="00EE6D3F">
        <w:rPr>
          <w:rFonts w:ascii="Arial" w:hAnsi="Arial" w:cs="Arial"/>
        </w:rPr>
        <w:lastRenderedPageBreak/>
        <w:t>irritation.  AICIS (2020) concluded that the LC</w:t>
      </w:r>
      <w:r w:rsidRPr="00EE6D3F">
        <w:rPr>
          <w:rFonts w:ascii="Arial" w:hAnsi="Arial" w:cs="Arial"/>
          <w:vertAlign w:val="subscript"/>
        </w:rPr>
        <w:t>50</w:t>
      </w:r>
      <w:r w:rsidRPr="00EE6D3F">
        <w:rPr>
          <w:rFonts w:ascii="Arial" w:hAnsi="Arial" w:cs="Arial"/>
        </w:rPr>
        <w:t xml:space="preserve"> was therefore &gt;1,610 mg/m</w:t>
      </w:r>
      <w:r w:rsidRPr="00EE6D3F">
        <w:rPr>
          <w:rFonts w:ascii="Arial" w:hAnsi="Arial" w:cs="Arial"/>
          <w:vertAlign w:val="superscript"/>
        </w:rPr>
        <w:t>3</w:t>
      </w:r>
      <w:r w:rsidRPr="00EE6D3F">
        <w:rPr>
          <w:rFonts w:ascii="Arial" w:hAnsi="Arial" w:cs="Arial"/>
        </w:rPr>
        <w:t xml:space="preserve"> (the highest reported dose).  </w:t>
      </w:r>
    </w:p>
    <w:p w14:paraId="389FCDEF" w14:textId="77777777" w:rsidR="008002CC" w:rsidRPr="00EE6D3F" w:rsidRDefault="008002CC" w:rsidP="008002CC">
      <w:pPr>
        <w:jc w:val="both"/>
        <w:rPr>
          <w:rFonts w:ascii="Arial" w:hAnsi="Arial" w:cs="Arial"/>
        </w:rPr>
      </w:pPr>
      <w:r w:rsidRPr="00EE6D3F">
        <w:rPr>
          <w:rFonts w:ascii="Arial" w:hAnsi="Arial" w:cs="Arial"/>
        </w:rPr>
        <w:t>In acute oral toxicity studies conducted according to OECD TG 401 or equivalent, PZ had a low toxicity, with reported LD</w:t>
      </w:r>
      <w:r w:rsidRPr="00EE6D3F">
        <w:rPr>
          <w:rFonts w:ascii="Arial" w:hAnsi="Arial" w:cs="Arial"/>
          <w:vertAlign w:val="subscript"/>
        </w:rPr>
        <w:t>50</w:t>
      </w:r>
      <w:r w:rsidRPr="00EE6D3F">
        <w:rPr>
          <w:rFonts w:ascii="Arial" w:hAnsi="Arial" w:cs="Arial"/>
        </w:rPr>
        <w:t xml:space="preserve"> values in rats of 2,300-2,600 mg/kg bodyweight (Unnamed studies 1964, 1980, 1981 cited in ECHA 2023).  Available human data reported a ‘probable oral lethal dose’ of 5–15 g/kg bodyweight (HSDB cited in AICIS 2020).</w:t>
      </w:r>
      <w:bookmarkStart w:id="2" w:name="_Hlk132726295"/>
      <w:r w:rsidRPr="00EE6D3F">
        <w:rPr>
          <w:rFonts w:ascii="Arial" w:hAnsi="Arial" w:cs="Arial"/>
        </w:rPr>
        <w:t xml:space="preserve"> </w:t>
      </w:r>
    </w:p>
    <w:p w14:paraId="65AC1F2A" w14:textId="77777777" w:rsidR="008002CC" w:rsidRPr="00EE6D3F" w:rsidRDefault="008002CC" w:rsidP="008002CC">
      <w:pPr>
        <w:jc w:val="both"/>
        <w:rPr>
          <w:rFonts w:ascii="Arial" w:hAnsi="Arial" w:cs="Arial"/>
        </w:rPr>
      </w:pPr>
      <w:r w:rsidRPr="00EE6D3F">
        <w:rPr>
          <w:rFonts w:ascii="Arial" w:hAnsi="Arial" w:cs="Arial"/>
        </w:rPr>
        <w:t xml:space="preserve">PZ is a skin sensitiser causing allergic dermatitis and a respiratory sensitiser (ECB 2005).  No animal data were available to support the classification as a respiratory sensitiser, which was based on case reports in humans (AICIS 2020).  </w:t>
      </w:r>
    </w:p>
    <w:p w14:paraId="17348A31" w14:textId="77777777" w:rsidR="008002CC" w:rsidRPr="00EE6D3F" w:rsidRDefault="008002CC" w:rsidP="008002CC">
      <w:pPr>
        <w:jc w:val="both"/>
        <w:rPr>
          <w:rFonts w:ascii="Arial" w:hAnsi="Arial" w:cs="Arial"/>
        </w:rPr>
      </w:pPr>
      <w:r w:rsidRPr="00EE6D3F">
        <w:rPr>
          <w:rFonts w:ascii="Arial" w:hAnsi="Arial" w:cs="Arial"/>
        </w:rPr>
        <w:t xml:space="preserve">PZ salts were used extensively in anthelmintic drugs from the 1950s at recommended doses of around 100 mg/kg body weight for adults and up to 65 mg/kg body weight for children for treatment durations up to a week (ECB 2005).  Reversible neurotoxic effects including muscular weakness, unsteadiness, lack of co-ordination, hypotonia, diminished tendon reflexes, but also tremors, clonic spasms, dysarthria, diffuse EEG disturbances, mental confusion and hallucinations were observed.  This has led to a decline in its therapeutic use.  </w:t>
      </w:r>
    </w:p>
    <w:p w14:paraId="55A63DE9" w14:textId="77777777" w:rsidR="008002CC" w:rsidRPr="00EE6D3F" w:rsidRDefault="008002CC" w:rsidP="008002CC">
      <w:pPr>
        <w:jc w:val="both"/>
        <w:rPr>
          <w:rFonts w:ascii="Arial" w:hAnsi="Arial" w:cs="Arial"/>
        </w:rPr>
      </w:pPr>
      <w:bookmarkStart w:id="3" w:name="_Hlk156222142"/>
      <w:r w:rsidRPr="00EE6D3F">
        <w:rPr>
          <w:rFonts w:ascii="Arial" w:hAnsi="Arial" w:cs="Arial"/>
        </w:rPr>
        <w:t>ECB (2005) summarised a number of clinical case studies that taken together “</w:t>
      </w:r>
      <w:r w:rsidRPr="00EE6D3F">
        <w:rPr>
          <w:rFonts w:ascii="Arial" w:hAnsi="Arial" w:cs="Arial"/>
          <w:i/>
          <w:iCs/>
        </w:rPr>
        <w:t>offered convincing evidence for PZ neurotoxicity at recommended doses without predisposing factors present</w:t>
      </w:r>
      <w:r w:rsidRPr="00EE6D3F">
        <w:rPr>
          <w:rFonts w:ascii="Arial" w:hAnsi="Arial" w:cs="Arial"/>
        </w:rPr>
        <w:t xml:space="preserve">… </w:t>
      </w:r>
      <w:r w:rsidRPr="00EE6D3F">
        <w:rPr>
          <w:rFonts w:ascii="Arial" w:hAnsi="Arial" w:cs="Arial"/>
          <w:i/>
          <w:iCs/>
        </w:rPr>
        <w:t>The fact that only a minority of all patients in the [larger] studies developed neurotoxicity, cannot be cited as evidence against a causal association, but rather reflects large differences in individual sensitivity, a well-known observation that must be taken into consideration.</w:t>
      </w:r>
      <w:r w:rsidRPr="00EE6D3F">
        <w:rPr>
          <w:rFonts w:ascii="Arial" w:hAnsi="Arial" w:cs="Arial"/>
        </w:rPr>
        <w:t>”  In a clinical case study, Belloni and Rizzoni (1967 cited by ECB 2005) investigated 11 children treated with PZ hexahydrate at a dose of 35 mg/kg body weight/day PZ base for five days.  Abnormal EEG changes were noted that were similar to those previously described in the literature (continuous bilateral spikes and polyspikes and high-voltage waves interspaced with slow-wave activity).  In a study by Padelt et al. (1966 cited by ECB 2005), a cohort of 89 children (most children were aged 1-3 years) including 41 boys and 48 girls, who had been hospitalised mostly for infectious diseases and later treated for pinworm infection, were treated with PZ hexahydrate about ten days after the main acute illness had subsided.  The children were given a single dose equivalent to a total daily dose of 110 mg/kg body weight/day (ECB 2005).  No visible signs of neurotoxicity were observed.  In 56 children (63%) the EEG changes could be classified into Category A (no or light effects), and in 33 (37%) in Category B (moderate to severe changes).  No association between abnormal EEG pattern and infectious disease or age was noted.</w:t>
      </w:r>
    </w:p>
    <w:bookmarkEnd w:id="3"/>
    <w:p w14:paraId="65A1F1C1" w14:textId="77777777" w:rsidR="008002CC" w:rsidRPr="00EE6D3F" w:rsidRDefault="008002CC" w:rsidP="008002CC">
      <w:pPr>
        <w:jc w:val="both"/>
        <w:rPr>
          <w:rFonts w:ascii="Arial" w:hAnsi="Arial" w:cs="Arial"/>
        </w:rPr>
      </w:pPr>
      <w:r w:rsidRPr="00EE6D3F">
        <w:rPr>
          <w:rFonts w:ascii="Arial" w:hAnsi="Arial" w:cs="Arial"/>
        </w:rPr>
        <w:t>Neurotoxic side effects in animals treated with anthelmintic formulations of PZ (recommended dose in cats and dogs is 45–65 mg/kg body weight) have also been reported (ECB 2005, AICIS 2020). Neurological effects in dogs included acute distress, ataxia, head, and neck stretched out, front legs pulled back along the chest wall, and hind legs stretched outwards.  Felidae species (cats, tigers, lions) appeared to be more sensitive to piperazine and have showed effects including lethargy, clonic seizures, and lack of muscular coordination with ataxia (ECB 2005, AICIS 2020).</w:t>
      </w:r>
    </w:p>
    <w:p w14:paraId="10C4585A" w14:textId="77777777" w:rsidR="008002CC" w:rsidRPr="00EE6D3F" w:rsidRDefault="008002CC" w:rsidP="008002CC">
      <w:pPr>
        <w:jc w:val="both"/>
        <w:rPr>
          <w:rFonts w:ascii="Arial" w:hAnsi="Arial" w:cs="Arial"/>
        </w:rPr>
      </w:pPr>
      <w:r w:rsidRPr="00EE6D3F">
        <w:rPr>
          <w:rFonts w:ascii="Arial" w:hAnsi="Arial" w:cs="Arial"/>
        </w:rPr>
        <w:t xml:space="preserve">ECB (2005) noted that the neurotoxicity observed in human case studies has not been generally observed in short- or long-term animal studies in rodents (see below).  </w:t>
      </w:r>
    </w:p>
    <w:p w14:paraId="577E2300" w14:textId="77777777" w:rsidR="008002CC" w:rsidRPr="00EE6D3F" w:rsidRDefault="008002CC" w:rsidP="008002CC">
      <w:pPr>
        <w:jc w:val="both"/>
        <w:rPr>
          <w:rFonts w:ascii="Arial" w:hAnsi="Arial" w:cs="Arial"/>
        </w:rPr>
      </w:pPr>
      <w:r w:rsidRPr="00EE6D3F">
        <w:rPr>
          <w:rFonts w:ascii="Arial" w:hAnsi="Arial" w:cs="Arial"/>
        </w:rPr>
        <w:t>Limited repeat dose inhalation studies in humans or animals have been located.  Repeated exposure to PZ by inhalation in human studies may induce chronic bronchitis, but no Low Observed Adverse Effect Concentration (LOAEC) or No Observed Adverse Effect Concentration (NOAEC) was established (Rutter and Voelker 1975 cited in ECB 2005; unnamed study 1975 cited in ECHA 2023).</w:t>
      </w:r>
    </w:p>
    <w:p w14:paraId="1D119A95" w14:textId="77777777" w:rsidR="008002CC" w:rsidRPr="00EE6D3F" w:rsidRDefault="008002CC" w:rsidP="008002CC">
      <w:pPr>
        <w:jc w:val="both"/>
        <w:rPr>
          <w:rFonts w:ascii="Arial" w:hAnsi="Arial" w:cs="Arial"/>
        </w:rPr>
      </w:pPr>
      <w:r w:rsidRPr="00EE6D3F">
        <w:rPr>
          <w:rFonts w:ascii="Arial" w:hAnsi="Arial" w:cs="Arial"/>
        </w:rPr>
        <w:t>In a dietary study, PZ dihydrochloride was administered to beagle dogs at doses up to 3,692 ppm (approximately 122 mg/kg body weight/day) for 13 weeks, no clear Low Observed Effect Level (LOEL) could be established (Rutter and Voelker 1975 cited by ECB 2005).  Except for signs of possible mild hepatic involvement, examination of clinical parameters, behaviour, body weight changes, organ weights, gross and microscopic pathology as well as ophthalmoscopic findings gave no indication of compound-related systemic toxicity. All dogs showed slight to moderate body weight gains and food consumption was generally comparable between test and control animals.  For liver toxicity, a No Observed Adverse Effect Level (NOAEL) of 25 mg/kg body weight/day PZ base was proposed.  ECB (2005) noted “surprise” that symptoms of neurotoxicity had not been observed in the animals since the dosing regime in this study was consistent with levels found to cause symptoms in animals treated with anthelmintic drugs.</w:t>
      </w:r>
    </w:p>
    <w:p w14:paraId="476408F7" w14:textId="77777777" w:rsidR="008002CC" w:rsidRPr="00EE6D3F" w:rsidRDefault="008002CC" w:rsidP="008002CC">
      <w:pPr>
        <w:jc w:val="both"/>
        <w:rPr>
          <w:rFonts w:ascii="Arial" w:hAnsi="Arial" w:cs="Arial"/>
        </w:rPr>
      </w:pPr>
      <w:r w:rsidRPr="00EE6D3F">
        <w:rPr>
          <w:rFonts w:ascii="Arial" w:hAnsi="Arial" w:cs="Arial"/>
        </w:rPr>
        <w:t xml:space="preserve">In a 90-day dietary study, groups of male and female rats were given either anhydrous PZ at doses corresponding to 50, 150, and 500 mg/kg body weight/day PZ base or PZ dihydrochloride </w:t>
      </w:r>
      <w:r w:rsidRPr="00EE6D3F">
        <w:rPr>
          <w:rFonts w:ascii="Arial" w:hAnsi="Arial" w:cs="Arial"/>
        </w:rPr>
        <w:lastRenderedPageBreak/>
        <w:t>at doses of 45, 140, and 450 mg/kg body weight/day PZ base (Lockwood 1957 cited by ECB 2005).  For anhydrous PZ, degenerative changes of the liver with diffuse cloudy swelling and focal necrosis as well as fibrotic and degenerative changes in the kidneys were reported at 500 mg/kg body weight/day and “somewhat milder” changes at 150 mg/kg body weight/day.  A NOAEL of 50 mg/kg body weight/day was reported.  No adverse effects were observed for PZ dihydrochloride, which ECB (2005) suggested casted significant doubts over the study findings.</w:t>
      </w:r>
    </w:p>
    <w:p w14:paraId="63B8C677" w14:textId="77777777" w:rsidR="008002CC" w:rsidRPr="00EE6D3F" w:rsidRDefault="008002CC" w:rsidP="008002CC">
      <w:pPr>
        <w:jc w:val="both"/>
        <w:rPr>
          <w:rFonts w:ascii="Arial" w:hAnsi="Arial" w:cs="Arial"/>
        </w:rPr>
      </w:pPr>
      <w:r w:rsidRPr="00EE6D3F">
        <w:rPr>
          <w:rFonts w:ascii="Arial" w:hAnsi="Arial" w:cs="Arial"/>
        </w:rPr>
        <w:t>In a 90-day feeding study (following US FDA standards and GLP compliant), Sprague Dawley rats were administered PZ dihydrochloride at 0, 400, 1200 or 2,394 mg/kg body weight/day.  Apart from a dose related decrease in body weight gain, no adverse effects were observed during the study (AICIS 2020). A NOAEL of 1,200 mg/kg bodyweight/day (equivalent to 627 mg/kg body weight/day as PZ) was determined.</w:t>
      </w:r>
    </w:p>
    <w:p w14:paraId="42A2C229" w14:textId="77777777" w:rsidR="008002CC" w:rsidRPr="00EE6D3F" w:rsidRDefault="008002CC" w:rsidP="008002CC">
      <w:pPr>
        <w:jc w:val="both"/>
        <w:rPr>
          <w:rFonts w:ascii="Arial" w:hAnsi="Arial" w:cs="Arial"/>
        </w:rPr>
      </w:pPr>
      <w:r w:rsidRPr="00EE6D3F">
        <w:rPr>
          <w:rFonts w:ascii="Arial" w:hAnsi="Arial" w:cs="Arial"/>
        </w:rPr>
        <w:t>Systemic toxicity has also been observed in several more recent reproductive and developmental toxicity studies (see below for more experimental details).  A NOAEL of 420 mg/kg/day was reported for pregnant rats based on excessive salivation, lethargy and a reduction in body weight gain, body weight, as well as food consumption in animals fed by gavage during Gestation Days (GD) 6-15 (Ridgway 1987b cited by ECB 2005).  A NOAEL of 42 mg/kg body weight/day was reported for pregnant rabbits based on decreased food consumption and body weight gain during the first four days of dosing by gavage (Ridgway 1987b cited by ECB 2005).</w:t>
      </w:r>
      <w:bookmarkEnd w:id="2"/>
      <w:r w:rsidRPr="00EE6D3F">
        <w:rPr>
          <w:rFonts w:ascii="Arial" w:hAnsi="Arial" w:cs="Arial"/>
        </w:rPr>
        <w:t xml:space="preserve"> In a reproductive and developmental toxicity study (conforming to OECD TG 416), Sprague Dawley CD rats were administered PZ dihydrochloride in the diet throughout maturation, mating, gestation, and lactation phases for two successive generations (Wood and Brooks 1994 cited by ECB 2005 and AICIS 2020).  There was clear evidence of toxicity at the highest dose in both generations indicated by reduced body weight gain, reduced number of pregnancies (significant only in F1) and reduced litter size.  Developmental effects were also noted including delayed sexual maturation in F1 animals (age at vaginal opening in females and preputial separation in males), but AICIS (2020) considered that this could be related to a decreased body weight.  Reduced body weights and food consumption were noted at 300 mg/kg body weight/day, along with reduced litter size in both generations, reduced implantation sites in F1 and delayed sexual maturation in F1.  No treatment-related effects were reported at 125 mg/kg body weight/day.  A NOAEL of 125 mg/kg body weight/day and a Low Observed Adverse Effect Level (LOAEL) of 300 mg/kg body weight/day were established for maternal toxicity (ECB 2005, AICIS 2020).  In a developmental toxicity study (non-guideline), Charles River CD(SD)BR female rats were treated by gavage with PZ phosphate at doses of 105, 420 and 2,100 mg/kg body weight/day PZ base during Gestation Days (GD) 6 – 15 (Ridgway 1987b cited by ECB 2005).  Signs of maternal toxicity included excessive salivation, lethargy, reduced food consumption and body weight gain at the highest dose.  No teratogenic effect was reported, but foetal weights were reduced (ECB 2005, AICIS 2020).  In another developmental toxicity study (GLP compliant), groups of 16 New Zealand White female rabbits were orally administered PZ phosphate suspended in 1% w/v methyl cellulose at 0, 42, 94 and 210 mg/kg body weight/day PZ base from GD 6–18 of gestation (Ridgway 1987a cited by ECB 2005).  Signs of maternal toxicity at the highest dose included neurotoxicity (excessive salivation and nervousness), anorexia, reduced food intake (by 85 % during days 6–14), reduced faeces production and body weight, abortion (in one female) and intestinal abnormalities (in two females killed in extremis). A LOAEL of 94 mg/kg body weight/day for maternal toxicity was determined based on transiently reduced body weight gain, food consumption (-39 %) and faeces production.  A NOAEL of 42 mg/body weight/day was reported (ECB 2005).  Teratogenic effects included a high rate of post-implantation loss (100% resorption in four litters), reduced foetal weight, slight retardation in ossification, major abnormalities in 23% of foetuses (cleft palate, umbilical hernia) and increased incidence of poorly ossified hindlimbs, all at the highest dose.  The study suggested that teratogenic effects could be secondary to maternal toxicity, due to reduced food intake (ECB 2005, AICIS 2020).  As a result, ECB (2005) recommended a harmonised classification for PZ under CLP for reproductive and developmental toxicity (category 2; H361fd). </w:t>
      </w:r>
    </w:p>
    <w:p w14:paraId="78FF6D31" w14:textId="77777777" w:rsidR="008002CC" w:rsidRPr="00EE6D3F" w:rsidRDefault="008002CC" w:rsidP="008002CC">
      <w:pPr>
        <w:pStyle w:val="Heading4"/>
        <w:rPr>
          <w:rFonts w:ascii="Arial" w:hAnsi="Arial" w:cs="Arial"/>
          <w:color w:val="auto"/>
        </w:rPr>
      </w:pPr>
      <w:r w:rsidRPr="00EE6D3F">
        <w:rPr>
          <w:rFonts w:ascii="Arial" w:hAnsi="Arial" w:cs="Arial"/>
          <w:color w:val="auto"/>
        </w:rPr>
        <w:t>Pivotal Studies</w:t>
      </w:r>
    </w:p>
    <w:p w14:paraId="7A0CE9E2" w14:textId="77777777" w:rsidR="008002CC" w:rsidRPr="00EE6D3F" w:rsidRDefault="008002CC" w:rsidP="008002CC">
      <w:pPr>
        <w:jc w:val="both"/>
        <w:rPr>
          <w:rFonts w:ascii="Arial" w:hAnsi="Arial" w:cs="Arial"/>
        </w:rPr>
      </w:pPr>
      <w:r w:rsidRPr="00EE6D3F">
        <w:rPr>
          <w:rFonts w:ascii="Arial" w:hAnsi="Arial" w:cs="Arial"/>
        </w:rPr>
        <w:t>The pivotal study used in the derivation of the short-term Derived No-Effect Level (DNEL) for systemic and local effects in workers following inhalation (ECHA 2023) was not specified. The DNEL was derived from an unreferenced Occupational Exposure Level (OEL), based on respiratory tract sensitisation.</w:t>
      </w:r>
    </w:p>
    <w:p w14:paraId="5C757152" w14:textId="77777777" w:rsidR="008002CC" w:rsidRPr="00EE6D3F" w:rsidRDefault="008002CC" w:rsidP="008002CC">
      <w:pPr>
        <w:jc w:val="both"/>
        <w:rPr>
          <w:rFonts w:ascii="Arial" w:hAnsi="Arial" w:cs="Arial"/>
        </w:rPr>
      </w:pPr>
      <w:r w:rsidRPr="00EE6D3F">
        <w:rPr>
          <w:rFonts w:ascii="Arial" w:hAnsi="Arial" w:cs="Arial"/>
        </w:rPr>
        <w:t xml:space="preserve">The point of departure (POD) of 30 mg/kg bodyweight/day used for risk characterisation by ECB (2005) was taken from a clinical study by Belloni and Rizzoni (1967 cited by ECB 2005).  </w:t>
      </w:r>
      <w:r w:rsidRPr="00EE6D3F">
        <w:rPr>
          <w:rFonts w:ascii="Arial" w:hAnsi="Arial" w:cs="Arial"/>
        </w:rPr>
        <w:lastRenderedPageBreak/>
        <w:t xml:space="preserve">After treatment of a four-year-old child for 3 days with 100 mg/kg body weight PZ hexahydrate (44 mg/kg body weight PZ base), severe asthenia, tottering gait, poor balance, extreme muscular weakness, and EEG changes developed.  This first case caused the clinic to investigate all children under treatment with PZ.  In ten out of eleven children treated with PZ hexahydrate at 35 mg/kg body weight/day PZ base for five days, abnormal EEG changes were noted that were similar to those previously described in the literature (including continuous bilateral spikes and polyspikes and high-voltage waves interspaced with slow-wave activity).  Only one of the children was reported to suffer from clinical abnormality that could cause confounding (enlarged liver due to chronic cardiac failure).  Upon repeated treatment, after normalisation of the EEG, 6 of the children were treated with PZ hexahydrate at the same dose together with 1 mg/kg body weight/day prednisone and EEG changes either did not appear or were reported to be less pronounced.  ECB (2005) regarded the POD of 30 mg/kg body weight/day as not a “true LOAEL” since it was based on the therapeutic dose and there was little information reported on effects lower than this dose.  </w:t>
      </w:r>
      <w:bookmarkStart w:id="4" w:name="_Hlk156223223"/>
      <w:r w:rsidRPr="00EE6D3F">
        <w:rPr>
          <w:rFonts w:ascii="Arial" w:hAnsi="Arial" w:cs="Arial"/>
        </w:rPr>
        <w:t>The human toxicity data was considered more relevant than a POD from repeat dose animal studies because of its greater relevance to human health and greater seriousness compared to milder hepatic effects (ECB 2005).</w:t>
      </w:r>
      <w:bookmarkEnd w:id="4"/>
    </w:p>
    <w:p w14:paraId="20893820" w14:textId="77777777" w:rsidR="008002CC" w:rsidRPr="00EE6D3F" w:rsidRDefault="008002CC" w:rsidP="008002CC">
      <w:pPr>
        <w:jc w:val="both"/>
        <w:rPr>
          <w:rFonts w:ascii="Arial" w:hAnsi="Arial" w:cs="Arial"/>
        </w:rPr>
      </w:pPr>
      <w:r w:rsidRPr="00EE6D3F">
        <w:rPr>
          <w:rFonts w:ascii="Arial" w:hAnsi="Arial" w:cs="Arial"/>
        </w:rPr>
        <w:t xml:space="preserve">The pivotal study used by EMEA (2001) to set an acceptable daily intake (ADI) for veterinary medicinal products was a sub-chronic study in Beagle dogs (Rutter and Voelker 1975 cited by ECB 2005).  In a dietary study, PZ dihydrochloride was administered in the feed to groups of 8 dogs (4 females and 4 males) at levels of approximately 1.5, 6, and 25 mg/kg body weight/day PZ base.  For the high dose group, PZ dihydrochloride was administered at about 25 mg/kg body weight/day PZ base from week 1 through 5 and about 63 mg/kg body weight/day PZ base from week 6 through 13.  A fourth group served as a control.  Appearance and behaviour, body weight changes, clinical laboratory data, ophthalmoscopic findings, organ weights, as well as gross and microscopic pathology were recorded.  All animals were observed daily for appearance, behaviour, appetite, elimination, and signs of toxic or pharmacological effects.  Individual body weights, food and test compound consumption were recorded weekly for the duration of the study.  Clinical laboratory studies were performed on all dogs initially, and at 4 and 13 weeks.  Gross pathology was performed on all dogs following sacrifice, and the following organ weights were measured for each sacrificed dog and the organ/body weight ratios subsequently determined: thyroid, liver, spleen, kidney, adrenal and testis with epididymis. Histopathological examination included brain, thoracic spinal cord, pituitary, thyroid, adrenal, heart, lung, spleen, liver, kidney, stomach, small and large intestines, pancreas, ovary, uterus, prostate, salivary gland, mesenteric lymph nodes, urinary bladder, gallbladder, nerve with muscle, eye, bone marrow, and rib junction.  Except for signs of possible mild hepatic involvement, examination of clinical parameters, behaviour, body weight changes, organ weights, gross and microscopic pathology as well as ophthalmoscopic findings gave no indication of compound-related systemic toxicity.  All dogs showed slight to moderate body weight gains and food consumption was generally comparable between test and control animals. After 4 weeks, serum glutamic-oxaloacetic transaminase (SGOT) values were significantly higher in the exposed males in comparison with controls, but the SGOT values had returned to normal after 13 weeks.  At 13 weeks, there was indication of an elevation of this biomarker in the intermediate and high dose females.  There were no significant effects on alkaline phosphatase, or on the serum glutamic pyruvic transaminase (SGPT) values in any of the exposed groups.  Interpretation of the SGOT data was hampered by the low number of animals in each group, as well as by the significant drift in base-line values found in the control group at the start of the study, after 4, and 13 weeks respectively.  In males, but not in females, there was a dose related trend for increase in absolute liver and spleen weights, but no significant differences in comparison with controls for organ weight/body weight ratios could be noted.  All other organ weights and organ/body weight ratios were within historical laboratory limits and comparable to control values.  Gross and microscopic pathology did not reveal any organ or tissue alterations that could be attributed to the administration of the test material. Although the report states that “All animals were observed daily for appearance, behaviour, appetite, elimination, and signs of toxic or pharmacological effects”, the study failed to identify neurotoxic effects of PZ in the dog, although the highest dosage (145 mg/kg body weight/day for 8 weeks) was considered by ECB (2005) to exceed the dose, as well as the time of administration that have been described in the veterinary literature to induce serious signs of neurotoxicity in dogs such as ataxia, muscular weakness, head pressing, hyperesthesia, and an unusual myoclonus (head and neck stretched out, front legs pulled back along the chest </w:t>
      </w:r>
      <w:r w:rsidRPr="00EE6D3F">
        <w:rPr>
          <w:rFonts w:ascii="Arial" w:hAnsi="Arial" w:cs="Arial"/>
        </w:rPr>
        <w:lastRenderedPageBreak/>
        <w:t>wall, and hind legs stretched outwards and back).  Based on this study, the EU Committee for Veterinary Medicinal Products identified a NOAEL of 25 mg/kg body weight/day PZ base for mild liver effects.</w:t>
      </w:r>
    </w:p>
    <w:p w14:paraId="4B3AD53A" w14:textId="77777777" w:rsidR="008002CC" w:rsidRPr="00EE6D3F" w:rsidRDefault="008002CC" w:rsidP="008002CC">
      <w:pPr>
        <w:pStyle w:val="Heading4"/>
        <w:rPr>
          <w:rFonts w:ascii="Arial" w:hAnsi="Arial" w:cs="Arial"/>
          <w:color w:val="auto"/>
        </w:rPr>
      </w:pPr>
      <w:r w:rsidRPr="00EE6D3F">
        <w:rPr>
          <w:rFonts w:ascii="Arial" w:hAnsi="Arial" w:cs="Arial"/>
          <w:color w:val="auto"/>
        </w:rPr>
        <w:t>Genotoxicity and Carcinogenicity</w:t>
      </w:r>
    </w:p>
    <w:p w14:paraId="2B12F55A" w14:textId="77777777" w:rsidR="008002CC" w:rsidRPr="00EE6D3F" w:rsidRDefault="008002CC" w:rsidP="008002CC">
      <w:pPr>
        <w:pStyle w:val="Heading4"/>
        <w:rPr>
          <w:rFonts w:ascii="Arial" w:hAnsi="Arial" w:cs="Arial"/>
          <w:color w:val="auto"/>
        </w:rPr>
      </w:pPr>
      <w:r w:rsidRPr="00EE6D3F">
        <w:rPr>
          <w:rFonts w:ascii="Arial" w:hAnsi="Arial" w:cs="Arial"/>
          <w:color w:val="auto"/>
        </w:rPr>
        <w:t>Genotoxicity data</w:t>
      </w:r>
    </w:p>
    <w:p w14:paraId="115B4B06" w14:textId="77777777" w:rsidR="008002CC" w:rsidRPr="00EE6D3F" w:rsidRDefault="008002CC" w:rsidP="008002CC">
      <w:pPr>
        <w:pStyle w:val="Heading5"/>
        <w:jc w:val="both"/>
        <w:rPr>
          <w:rFonts w:ascii="Arial" w:hAnsi="Arial" w:cs="Arial"/>
        </w:rPr>
      </w:pPr>
      <w:r w:rsidRPr="00EE6D3F">
        <w:rPr>
          <w:rFonts w:ascii="Arial" w:hAnsi="Arial" w:cs="Arial"/>
          <w:iCs/>
        </w:rPr>
        <w:t>In vitro</w:t>
      </w:r>
      <w:r w:rsidRPr="00EE6D3F">
        <w:rPr>
          <w:rFonts w:ascii="Arial" w:hAnsi="Arial" w:cs="Arial"/>
        </w:rPr>
        <w:t xml:space="preserve"> data</w:t>
      </w:r>
    </w:p>
    <w:p w14:paraId="7659EA09" w14:textId="77777777" w:rsidR="008002CC" w:rsidRPr="00EE6D3F" w:rsidRDefault="008002CC" w:rsidP="008002CC">
      <w:pPr>
        <w:jc w:val="both"/>
        <w:rPr>
          <w:rFonts w:ascii="Arial" w:hAnsi="Arial" w:cs="Arial"/>
        </w:rPr>
      </w:pPr>
      <w:r w:rsidRPr="00EE6D3F">
        <w:rPr>
          <w:rFonts w:ascii="Arial" w:hAnsi="Arial" w:cs="Arial"/>
        </w:rPr>
        <w:t xml:space="preserve">Several </w:t>
      </w:r>
      <w:r w:rsidRPr="00EE6D3F">
        <w:rPr>
          <w:rFonts w:ascii="Arial" w:hAnsi="Arial" w:cs="Arial"/>
          <w:i/>
          <w:iCs/>
        </w:rPr>
        <w:t>in vitro</w:t>
      </w:r>
      <w:r w:rsidRPr="00EE6D3F">
        <w:rPr>
          <w:rFonts w:ascii="Arial" w:hAnsi="Arial" w:cs="Arial"/>
        </w:rPr>
        <w:t xml:space="preserve"> assays have been carried out in bacterial and mammalian cells to assess the genotoxic potential of PZ (AICIS 2020, ECB 2005, ECHA 2023, OECD 2004).</w:t>
      </w:r>
    </w:p>
    <w:p w14:paraId="727458B2" w14:textId="77777777" w:rsidR="008002CC" w:rsidRPr="00EE6D3F" w:rsidRDefault="008002CC" w:rsidP="008002CC">
      <w:pPr>
        <w:jc w:val="both"/>
        <w:rPr>
          <w:rFonts w:ascii="Arial" w:hAnsi="Arial" w:cs="Arial"/>
        </w:rPr>
      </w:pPr>
      <w:r w:rsidRPr="00EE6D3F">
        <w:rPr>
          <w:rFonts w:ascii="Arial" w:hAnsi="Arial" w:cs="Arial"/>
        </w:rPr>
        <w:t xml:space="preserve">Negative results were reported in four bacterial reverse mutation assays (similar to OECD TG 471) using </w:t>
      </w:r>
      <w:r w:rsidRPr="00EE6D3F">
        <w:rPr>
          <w:rFonts w:ascii="Arial" w:hAnsi="Arial" w:cs="Arial"/>
          <w:i/>
          <w:iCs/>
        </w:rPr>
        <w:t>Salmonella typhimurium</w:t>
      </w:r>
      <w:r w:rsidRPr="00EE6D3F">
        <w:rPr>
          <w:rFonts w:ascii="Arial" w:hAnsi="Arial" w:cs="Arial"/>
        </w:rPr>
        <w:t xml:space="preserve"> strains TA 1535, TA 1537, TA 97, TA 98, and TA 100 with and without metabolic activation, up to the highest dose tested of 10,000 µg/plate (Unnamed studies 1980, 1983, 1986 and Haworth et al. 1983 cited in ECHA 2023). </w:t>
      </w:r>
    </w:p>
    <w:p w14:paraId="747BA790" w14:textId="77777777" w:rsidR="008002CC" w:rsidRPr="00EE6D3F" w:rsidRDefault="008002CC" w:rsidP="008002CC">
      <w:pPr>
        <w:jc w:val="both"/>
        <w:rPr>
          <w:rFonts w:ascii="Arial" w:hAnsi="Arial" w:cs="Arial"/>
        </w:rPr>
      </w:pPr>
      <w:bookmarkStart w:id="5" w:name="_Hlk134633585"/>
      <w:r w:rsidRPr="00EE6D3F">
        <w:rPr>
          <w:rFonts w:ascii="Arial" w:hAnsi="Arial" w:cs="Arial"/>
        </w:rPr>
        <w:t xml:space="preserve">Negative results were reported in an </w:t>
      </w:r>
      <w:bookmarkEnd w:id="5"/>
      <w:r w:rsidRPr="00EE6D3F">
        <w:rPr>
          <w:rFonts w:ascii="Arial" w:hAnsi="Arial" w:cs="Arial"/>
          <w:i/>
          <w:iCs/>
        </w:rPr>
        <w:t>in vitro</w:t>
      </w:r>
      <w:r w:rsidRPr="00EE6D3F">
        <w:rPr>
          <w:rFonts w:ascii="Arial" w:hAnsi="Arial" w:cs="Arial"/>
        </w:rPr>
        <w:t xml:space="preserve"> mammalian chromosome aberration test (similar to OECD TG 473) using Chinese hamster ovary (CHO) cells with and without metabolic activation, up to the highest dose tested of 110 µg/ml (Unnamed study 1986 cited in ECHA 2023).</w:t>
      </w:r>
    </w:p>
    <w:p w14:paraId="46D825BD" w14:textId="77777777" w:rsidR="008002CC" w:rsidRPr="00EE6D3F" w:rsidRDefault="008002CC" w:rsidP="008002CC">
      <w:pPr>
        <w:jc w:val="both"/>
        <w:rPr>
          <w:rFonts w:ascii="Arial" w:hAnsi="Arial" w:cs="Arial"/>
        </w:rPr>
      </w:pPr>
      <w:r w:rsidRPr="00EE6D3F">
        <w:rPr>
          <w:rFonts w:ascii="Arial" w:hAnsi="Arial" w:cs="Arial"/>
        </w:rPr>
        <w:t xml:space="preserve">Negative results were reported in an </w:t>
      </w:r>
      <w:r w:rsidRPr="00EE6D3F">
        <w:rPr>
          <w:rFonts w:ascii="Arial" w:hAnsi="Arial" w:cs="Arial"/>
          <w:i/>
          <w:iCs/>
        </w:rPr>
        <w:t>in vitro</w:t>
      </w:r>
      <w:r w:rsidRPr="00EE6D3F">
        <w:rPr>
          <w:rFonts w:ascii="Arial" w:hAnsi="Arial" w:cs="Arial"/>
        </w:rPr>
        <w:t xml:space="preserve"> mammalian cell gene mutation test (similar to OECD TG 476) using mouse lymphoma L5178Y cells with and without metabolic activation, up to the highest dose tested of 400 µg/ml (Unnamed study 1987 cited in ECHA 2023).  Positive results were reported in an </w:t>
      </w:r>
      <w:r w:rsidRPr="00EE6D3F">
        <w:rPr>
          <w:rFonts w:ascii="Arial" w:hAnsi="Arial" w:cs="Arial"/>
          <w:i/>
          <w:iCs/>
        </w:rPr>
        <w:t>in vitro</w:t>
      </w:r>
      <w:r w:rsidRPr="00EE6D3F">
        <w:rPr>
          <w:rFonts w:ascii="Arial" w:hAnsi="Arial" w:cs="Arial"/>
        </w:rPr>
        <w:t xml:space="preserve"> mammalian cell gene mutation test (no guideline followed) using mouse lymphoma L5178Y cells with metabolic activation at the highest dose tested of 500 µg/ml where there was clear cytotoxicity (unnamed study 1980 cited in ECHA 2023).  Negative results were reported at 400 µg/ml.</w:t>
      </w:r>
    </w:p>
    <w:p w14:paraId="6D2CA930" w14:textId="77777777" w:rsidR="008002CC" w:rsidRPr="00EE6D3F" w:rsidRDefault="008002CC" w:rsidP="008002CC">
      <w:pPr>
        <w:jc w:val="both"/>
        <w:rPr>
          <w:rFonts w:ascii="Arial" w:hAnsi="Arial" w:cs="Arial"/>
        </w:rPr>
      </w:pPr>
      <w:r w:rsidRPr="00EE6D3F">
        <w:rPr>
          <w:rFonts w:ascii="Arial" w:hAnsi="Arial" w:cs="Arial"/>
        </w:rPr>
        <w:t>Negative results were reported in a mammalian cell transformation assay (following EU Method B.21) using BALB/3T3 mouse cells at doses up to 300 μg/ml (no data on metabolic activation) (Unnamed study cited 1980 in ECHA 2023).</w:t>
      </w:r>
    </w:p>
    <w:p w14:paraId="656374FF" w14:textId="77777777" w:rsidR="008002CC" w:rsidRPr="00EE6D3F" w:rsidRDefault="008002CC" w:rsidP="008002CC">
      <w:pPr>
        <w:pStyle w:val="Heading5"/>
        <w:jc w:val="both"/>
        <w:rPr>
          <w:rFonts w:ascii="Arial" w:hAnsi="Arial" w:cs="Arial"/>
        </w:rPr>
      </w:pPr>
      <w:r w:rsidRPr="00EE6D3F">
        <w:rPr>
          <w:rFonts w:ascii="Arial" w:hAnsi="Arial" w:cs="Arial"/>
          <w:iCs/>
        </w:rPr>
        <w:t xml:space="preserve">In vivo </w:t>
      </w:r>
      <w:r w:rsidRPr="00EE6D3F">
        <w:rPr>
          <w:rFonts w:ascii="Arial" w:hAnsi="Arial" w:cs="Arial"/>
        </w:rPr>
        <w:t>data</w:t>
      </w:r>
    </w:p>
    <w:p w14:paraId="338C3D78" w14:textId="77777777" w:rsidR="008002CC" w:rsidRPr="00EE6D3F" w:rsidRDefault="008002CC" w:rsidP="008002CC">
      <w:pPr>
        <w:jc w:val="both"/>
        <w:rPr>
          <w:rFonts w:ascii="Arial" w:hAnsi="Arial" w:cs="Arial"/>
        </w:rPr>
      </w:pPr>
      <w:r w:rsidRPr="00EE6D3F">
        <w:rPr>
          <w:rFonts w:ascii="Arial" w:hAnsi="Arial" w:cs="Arial"/>
        </w:rPr>
        <w:t xml:space="preserve">No </w:t>
      </w:r>
      <w:r w:rsidRPr="00EE6D3F">
        <w:rPr>
          <w:rFonts w:ascii="Arial" w:hAnsi="Arial" w:cs="Arial"/>
          <w:i/>
          <w:iCs/>
        </w:rPr>
        <w:t>in vivo</w:t>
      </w:r>
      <w:r w:rsidRPr="00EE6D3F">
        <w:rPr>
          <w:rFonts w:ascii="Arial" w:hAnsi="Arial" w:cs="Arial"/>
        </w:rPr>
        <w:t xml:space="preserve"> genotoxicity studies are available on PZ, but a small number of studies have been conducted using its salts (AICIS 2020). </w:t>
      </w:r>
    </w:p>
    <w:p w14:paraId="261EEE7A" w14:textId="77777777" w:rsidR="008002CC" w:rsidRPr="00EE6D3F" w:rsidRDefault="008002CC" w:rsidP="008002CC">
      <w:pPr>
        <w:jc w:val="both"/>
        <w:rPr>
          <w:rFonts w:ascii="Arial" w:hAnsi="Arial" w:cs="Arial"/>
        </w:rPr>
      </w:pPr>
      <w:r w:rsidRPr="00EE6D3F">
        <w:rPr>
          <w:rFonts w:ascii="Arial" w:hAnsi="Arial" w:cs="Arial"/>
        </w:rPr>
        <w:t xml:space="preserve">Negative results were reported in an </w:t>
      </w:r>
      <w:r w:rsidRPr="00EE6D3F">
        <w:rPr>
          <w:rFonts w:ascii="Arial" w:hAnsi="Arial" w:cs="Arial"/>
          <w:i/>
          <w:iCs/>
        </w:rPr>
        <w:t>in vivo</w:t>
      </w:r>
      <w:r w:rsidRPr="00EE6D3F">
        <w:rPr>
          <w:rFonts w:ascii="Arial" w:hAnsi="Arial" w:cs="Arial"/>
        </w:rPr>
        <w:t xml:space="preserve"> micronucleus test, carried out according to OECD TG 474, in male and female CD-1 mice (5/sex/group) that received a single oral dose (5000 mg/kg bodyweight) of PZ dihydrogen phosphate</w:t>
      </w:r>
      <w:r w:rsidRPr="00EE6D3F">
        <w:rPr>
          <w:rStyle w:val="FootnoteReference"/>
          <w:rFonts w:ascii="Arial" w:hAnsi="Arial" w:cs="Arial"/>
        </w:rPr>
        <w:footnoteReference w:id="6"/>
      </w:r>
      <w:r w:rsidRPr="00EE6D3F">
        <w:rPr>
          <w:rFonts w:ascii="Arial" w:hAnsi="Arial" w:cs="Arial"/>
        </w:rPr>
        <w:t>) (Unnamed study 1987 cited in AICIS 2020).</w:t>
      </w:r>
    </w:p>
    <w:p w14:paraId="0BAF758C" w14:textId="77777777" w:rsidR="008002CC" w:rsidRPr="00EE6D3F" w:rsidRDefault="008002CC" w:rsidP="008002CC">
      <w:pPr>
        <w:jc w:val="both"/>
        <w:rPr>
          <w:rFonts w:ascii="Arial" w:hAnsi="Arial" w:cs="Arial"/>
        </w:rPr>
      </w:pPr>
      <w:r w:rsidRPr="00EE6D3F">
        <w:rPr>
          <w:rFonts w:ascii="Arial" w:hAnsi="Arial" w:cs="Arial"/>
        </w:rPr>
        <w:t xml:space="preserve">Negative results were reported in a host-mediated </w:t>
      </w:r>
      <w:r w:rsidRPr="00EE6D3F">
        <w:rPr>
          <w:rFonts w:ascii="Arial" w:hAnsi="Arial" w:cs="Arial"/>
          <w:i/>
          <w:iCs/>
        </w:rPr>
        <w:t>Salmonella typhimurium</w:t>
      </w:r>
      <w:r w:rsidRPr="00EE6D3F">
        <w:rPr>
          <w:rFonts w:ascii="Arial" w:hAnsi="Arial" w:cs="Arial"/>
        </w:rPr>
        <w:t xml:space="preserve"> (TA 1950) mouse assay (similar to OECD TG 474) in which NMRI mice were administered 1450–2900 μmol/kg body weight of PZ dihydrochloride by gavage. However, when the salt was co-administered with nitrite, it induced a positive response (no further details available) at all doses (Braun et al. 1977 cited in AICIS 2020, ECB 2005).</w:t>
      </w:r>
    </w:p>
    <w:p w14:paraId="653D2A50" w14:textId="77777777" w:rsidR="008002CC" w:rsidRPr="00EE6D3F" w:rsidRDefault="008002CC" w:rsidP="008002CC">
      <w:pPr>
        <w:jc w:val="both"/>
        <w:rPr>
          <w:rFonts w:ascii="Arial" w:hAnsi="Arial" w:cs="Arial"/>
        </w:rPr>
      </w:pPr>
      <w:r w:rsidRPr="00EE6D3F">
        <w:rPr>
          <w:rFonts w:ascii="Arial" w:hAnsi="Arial" w:cs="Arial"/>
        </w:rPr>
        <w:t xml:space="preserve">A cohort study in male Swedish workers exposed mainly to PZ indicated a modest but significant increase in the incidence of micronuclei in cultured peripheral lymphocytes compared with control subjects (Hogstedt et al. 1988 cited in AICIS 2020, ECB 2005).  The interpretation and significance of the results from the study were stated as uncertain because numerous other organic chemicals were manufactured in the same plant, including genotoxic agents such as ethylene oxide, from which PZ was synthesised.  ECB (2005) stated that no further detail on the other organic chemicals, which could result in significant confounding effects on the results reported, were provided in the reported study. </w:t>
      </w:r>
    </w:p>
    <w:p w14:paraId="768D3093" w14:textId="77777777" w:rsidR="008002CC" w:rsidRPr="00EE6D3F" w:rsidRDefault="008002CC" w:rsidP="008002CC">
      <w:pPr>
        <w:jc w:val="both"/>
        <w:rPr>
          <w:rFonts w:ascii="Arial" w:hAnsi="Arial" w:cs="Arial"/>
        </w:rPr>
      </w:pPr>
      <w:r w:rsidRPr="00EE6D3F">
        <w:rPr>
          <w:rFonts w:ascii="Arial" w:hAnsi="Arial" w:cs="Arial"/>
        </w:rPr>
        <w:t>Other studies in workers exposed to mixtures of chemicals including PZ showed no difference in the incidence of micronuclei and chromosome aberrations in lymphocytes between exposed workers and unexposed control subjects (Hagmar et al. 1988; Pero et al. 1988 cited in AICIS 2020).</w:t>
      </w:r>
    </w:p>
    <w:p w14:paraId="218D7EBA" w14:textId="77777777" w:rsidR="008002CC" w:rsidRPr="00EE6D3F" w:rsidRDefault="008002CC" w:rsidP="008002CC">
      <w:pPr>
        <w:pStyle w:val="Heading5"/>
        <w:jc w:val="both"/>
        <w:rPr>
          <w:rFonts w:ascii="Arial" w:hAnsi="Arial" w:cs="Arial"/>
        </w:rPr>
      </w:pPr>
      <w:r w:rsidRPr="00EE6D3F">
        <w:rPr>
          <w:rFonts w:ascii="Arial" w:hAnsi="Arial" w:cs="Arial"/>
        </w:rPr>
        <w:t>Overall genotoxicity conclusion</w:t>
      </w:r>
    </w:p>
    <w:p w14:paraId="4C435AD8" w14:textId="77777777" w:rsidR="008002CC" w:rsidRPr="00EE6D3F" w:rsidRDefault="008002CC" w:rsidP="008002CC">
      <w:pPr>
        <w:jc w:val="both"/>
        <w:rPr>
          <w:rFonts w:ascii="Arial" w:hAnsi="Arial" w:cs="Arial"/>
        </w:rPr>
      </w:pPr>
      <w:r w:rsidRPr="00EE6D3F">
        <w:rPr>
          <w:rFonts w:ascii="Arial" w:hAnsi="Arial" w:cs="Arial"/>
        </w:rPr>
        <w:t xml:space="preserve">The available data from epidemiological, </w:t>
      </w:r>
      <w:r w:rsidRPr="00EE6D3F">
        <w:rPr>
          <w:rFonts w:ascii="Arial" w:hAnsi="Arial" w:cs="Arial"/>
          <w:i/>
          <w:iCs/>
        </w:rPr>
        <w:t>in vivo</w:t>
      </w:r>
      <w:r w:rsidRPr="00EE6D3F">
        <w:rPr>
          <w:rFonts w:ascii="Arial" w:hAnsi="Arial" w:cs="Arial"/>
        </w:rPr>
        <w:t xml:space="preserve">, and </w:t>
      </w:r>
      <w:r w:rsidRPr="00EE6D3F">
        <w:rPr>
          <w:rFonts w:ascii="Arial" w:hAnsi="Arial" w:cs="Arial"/>
          <w:i/>
          <w:iCs/>
        </w:rPr>
        <w:t>in vitro</w:t>
      </w:r>
      <w:r w:rsidRPr="00EE6D3F">
        <w:rPr>
          <w:rFonts w:ascii="Arial" w:hAnsi="Arial" w:cs="Arial"/>
        </w:rPr>
        <w:t xml:space="preserve"> studies indicate PZ alone is not genotoxic. Some evidence is available to indicate that PZ in the presence of nitrosating agents may be genotoxic.</w:t>
      </w:r>
    </w:p>
    <w:p w14:paraId="4F00EFED" w14:textId="77777777" w:rsidR="008002CC" w:rsidRPr="00EE6D3F" w:rsidRDefault="008002CC" w:rsidP="008002CC">
      <w:pPr>
        <w:pStyle w:val="Heading4"/>
        <w:rPr>
          <w:rFonts w:ascii="Arial" w:hAnsi="Arial" w:cs="Arial"/>
          <w:i w:val="0"/>
          <w:iCs/>
          <w:color w:val="auto"/>
        </w:rPr>
      </w:pPr>
      <w:r w:rsidRPr="00EE6D3F">
        <w:rPr>
          <w:rFonts w:ascii="Arial" w:hAnsi="Arial" w:cs="Arial"/>
          <w:color w:val="auto"/>
        </w:rPr>
        <w:lastRenderedPageBreak/>
        <w:t>Carcinogenicity data</w:t>
      </w:r>
    </w:p>
    <w:p w14:paraId="720140AB" w14:textId="77777777" w:rsidR="008002CC" w:rsidRPr="00EE6D3F" w:rsidRDefault="008002CC" w:rsidP="008002CC">
      <w:pPr>
        <w:jc w:val="both"/>
        <w:rPr>
          <w:rFonts w:ascii="Arial" w:hAnsi="Arial" w:cs="Arial"/>
        </w:rPr>
      </w:pPr>
      <w:r w:rsidRPr="00EE6D3F">
        <w:rPr>
          <w:rFonts w:ascii="Arial" w:hAnsi="Arial" w:cs="Arial"/>
        </w:rPr>
        <w:t>No reliable human epidemiology studies were found in the reviewed literature.  Available animal carcinogenicity studies with PZ did not meet current standards in most respects (ECB 2005), but they are nonetheless summarised below.</w:t>
      </w:r>
    </w:p>
    <w:p w14:paraId="351ADDB4" w14:textId="77777777" w:rsidR="008002CC" w:rsidRPr="00EE6D3F" w:rsidRDefault="008002CC" w:rsidP="008002CC">
      <w:pPr>
        <w:jc w:val="both"/>
        <w:rPr>
          <w:rFonts w:ascii="Arial" w:hAnsi="Arial" w:cs="Arial"/>
        </w:rPr>
      </w:pPr>
      <w:r w:rsidRPr="00EE6D3F">
        <w:rPr>
          <w:rFonts w:ascii="Arial" w:hAnsi="Arial" w:cs="Arial"/>
        </w:rPr>
        <w:t>Groups of MRC rats (n=15/sex) were administered 0.025% of PZ in drinking water (equivalent to 20 – 25 mg/kg body weight/day) for 5 days per week for 75 weeks.  No increase in incidence of any tumours relative to controls was reported by the authors (Lijinsky 1973 cited by ECB 2005).</w:t>
      </w:r>
    </w:p>
    <w:p w14:paraId="62B80659" w14:textId="77777777" w:rsidR="008002CC" w:rsidRPr="00EE6D3F" w:rsidRDefault="008002CC" w:rsidP="008002CC">
      <w:pPr>
        <w:jc w:val="both"/>
        <w:rPr>
          <w:rFonts w:ascii="Arial" w:hAnsi="Arial" w:cs="Arial"/>
        </w:rPr>
      </w:pPr>
      <w:r w:rsidRPr="00EE6D3F">
        <w:rPr>
          <w:rFonts w:ascii="Arial" w:hAnsi="Arial" w:cs="Arial"/>
        </w:rPr>
        <w:t xml:space="preserve">In a dietary study, Swiss mice (40/sex/group) were administered 6.25 g/kg in feed (equivalent to 938 mg/kg body weight/day) PZ, alone or together with 1,000 mg/L sodium nitrite in drinking water for 5 days per week for 28 weeks (Greenblatt et al. 1971 cited by ECB 2005).  They were subsequently observed for a further 12 weeks.  PZ alone produced no effect, but administration with sodium nitrite induced a significant increase in the percentage of adenoma-bearing mice (64%) and lung adenomas per mouse ((1.8 ± 2.2) compared with controls (80/sex).  There was no increase in any other type of tumour and the data for the sexes was not reported separately.  The authors concluded that </w:t>
      </w:r>
      <w:r w:rsidRPr="00EE6D3F">
        <w:rPr>
          <w:rFonts w:ascii="Arial" w:hAnsi="Arial" w:cs="Arial"/>
          <w:i/>
          <w:iCs/>
        </w:rPr>
        <w:t>in vivo</w:t>
      </w:r>
      <w:r w:rsidRPr="00EE6D3F">
        <w:rPr>
          <w:rFonts w:ascii="Arial" w:hAnsi="Arial" w:cs="Arial"/>
        </w:rPr>
        <w:t xml:space="preserve"> nitrosation of PZ to NPZ in the stomach was responsible for the carcinogenicity observed.  ECB (2005) noted that “…</w:t>
      </w:r>
      <w:r w:rsidRPr="00EE6D3F">
        <w:rPr>
          <w:rFonts w:ascii="Arial" w:hAnsi="Arial" w:cs="Arial"/>
          <w:i/>
          <w:iCs/>
        </w:rPr>
        <w:t>spontaneous incidences of lung adenomas up to 50% in females have been reported for certain strains of Swiss mouse</w:t>
      </w:r>
      <w:r w:rsidRPr="00EE6D3F">
        <w:rPr>
          <w:rFonts w:ascii="Arial" w:hAnsi="Arial" w:cs="Arial"/>
        </w:rPr>
        <w:t>.”</w:t>
      </w:r>
    </w:p>
    <w:p w14:paraId="48D87ADE" w14:textId="77777777" w:rsidR="008002CC" w:rsidRPr="00EE6D3F" w:rsidRDefault="008002CC" w:rsidP="008002CC">
      <w:pPr>
        <w:jc w:val="both"/>
        <w:rPr>
          <w:rFonts w:ascii="Arial" w:hAnsi="Arial" w:cs="Arial"/>
        </w:rPr>
      </w:pPr>
      <w:r w:rsidRPr="00EE6D3F">
        <w:rPr>
          <w:rFonts w:ascii="Arial" w:hAnsi="Arial" w:cs="Arial"/>
        </w:rPr>
        <w:t>In a subsequent study in strain A mice (Greenblatt and Mirvish 1973 cited by ECB 2005), varying doses of PZ were administered with the feed (equivalent to 104 to 2,820 mg/kg body weight/day) together with a constant concentration of nitrite in drinking water (1,000 mg/L) to groups of 40 animals per sex for 5 days per week for 25 weeks with sacrifice after another 13 weeks post exposure.  In a second series of experiments in the same study, various amounts of nitrite were given in drinking water (50 -2,000 mg/L), keeping the PZ concentration in food at a constant level of 938 mg/kg feed.  At nitrite levels &gt;50 mg/L, an elevation in lung adenomas was seen for all combined exposures.  ECB (2005) noted again that “</w:t>
      </w:r>
      <w:r w:rsidRPr="00EE6D3F">
        <w:rPr>
          <w:rFonts w:ascii="Arial" w:hAnsi="Arial" w:cs="Arial"/>
          <w:i/>
          <w:iCs/>
        </w:rPr>
        <w:t>no data for other types of tumours were reported</w:t>
      </w:r>
      <w:r w:rsidRPr="00EE6D3F">
        <w:rPr>
          <w:rFonts w:ascii="Arial" w:hAnsi="Arial" w:cs="Arial"/>
        </w:rPr>
        <w:t>” and that “</w:t>
      </w:r>
      <w:r w:rsidRPr="00EE6D3F">
        <w:rPr>
          <w:rFonts w:ascii="Arial" w:hAnsi="Arial" w:cs="Arial"/>
          <w:i/>
          <w:iCs/>
        </w:rPr>
        <w:t>…the strain A mouse has long been known to be extraordinarily susceptible to induction of adenomas of the lung by a host of initiating as well as cancer promoting substances.</w:t>
      </w:r>
      <w:r w:rsidRPr="00EE6D3F">
        <w:rPr>
          <w:rFonts w:ascii="Arial" w:hAnsi="Arial" w:cs="Arial"/>
        </w:rPr>
        <w:t xml:space="preserve">”  They further concluded that “… </w:t>
      </w:r>
      <w:r w:rsidRPr="00EE6D3F">
        <w:rPr>
          <w:rFonts w:ascii="Arial" w:hAnsi="Arial" w:cs="Arial"/>
          <w:i/>
          <w:iCs/>
        </w:rPr>
        <w:t>the background incidence in controls was high also in this case, as well as it was strikingly variable (32% of control mice with adenomas in the first experiment, and 13% in the second), possibly indicating lack of randomisation of the animals with respect to the dosage groups. For the above-mentioned reasons, it is very difficult to draw any valid conclusions from these studies</w:t>
      </w:r>
      <w:r w:rsidRPr="00EE6D3F">
        <w:rPr>
          <w:rFonts w:ascii="Arial" w:hAnsi="Arial" w:cs="Arial"/>
        </w:rPr>
        <w:t>.”</w:t>
      </w:r>
    </w:p>
    <w:p w14:paraId="33EE7E20" w14:textId="77777777" w:rsidR="008002CC" w:rsidRPr="00EE6D3F" w:rsidRDefault="008002CC" w:rsidP="008002CC">
      <w:pPr>
        <w:pStyle w:val="Heading5"/>
        <w:spacing w:after="40"/>
        <w:jc w:val="both"/>
        <w:rPr>
          <w:rFonts w:ascii="Arial" w:hAnsi="Arial" w:cs="Arial"/>
        </w:rPr>
      </w:pPr>
      <w:r w:rsidRPr="00EE6D3F">
        <w:rPr>
          <w:rFonts w:ascii="Arial" w:hAnsi="Arial" w:cs="Arial"/>
        </w:rPr>
        <w:t>Conclusion</w:t>
      </w:r>
    </w:p>
    <w:p w14:paraId="5F69658B" w14:textId="77777777" w:rsidR="008002CC" w:rsidRPr="00EE6D3F" w:rsidRDefault="008002CC" w:rsidP="008002CC">
      <w:pPr>
        <w:jc w:val="both"/>
        <w:rPr>
          <w:rFonts w:ascii="Arial" w:hAnsi="Arial" w:cs="Arial"/>
        </w:rPr>
      </w:pPr>
      <w:r w:rsidRPr="00EE6D3F">
        <w:rPr>
          <w:rFonts w:ascii="Arial" w:hAnsi="Arial" w:cs="Arial"/>
        </w:rPr>
        <w:t>IARC have not evaluated the carcinogenicity of PZ.</w:t>
      </w:r>
    </w:p>
    <w:p w14:paraId="6969701E" w14:textId="77777777" w:rsidR="008002CC" w:rsidRPr="00EE6D3F" w:rsidRDefault="008002CC" w:rsidP="008002CC">
      <w:pPr>
        <w:autoSpaceDE w:val="0"/>
        <w:autoSpaceDN w:val="0"/>
        <w:adjustRightInd w:val="0"/>
        <w:jc w:val="both"/>
        <w:rPr>
          <w:rFonts w:ascii="Arial" w:hAnsi="Arial" w:cs="Arial"/>
        </w:rPr>
      </w:pPr>
      <w:r w:rsidRPr="00EE6D3F">
        <w:rPr>
          <w:rFonts w:ascii="Arial" w:hAnsi="Arial" w:cs="Arial"/>
        </w:rPr>
        <w:t>Although the data is limited, ECB (2005) cautiously concluded PZ is not considered to be carcinogenic itself in the absence of nitrosating agents.  This was primarily based on a lack of genotoxic action.</w:t>
      </w:r>
    </w:p>
    <w:p w14:paraId="0CFF1AF3" w14:textId="77777777" w:rsidR="008002CC" w:rsidRPr="00EE6D3F" w:rsidRDefault="008002CC" w:rsidP="008002CC">
      <w:pPr>
        <w:jc w:val="both"/>
        <w:rPr>
          <w:rFonts w:ascii="Arial" w:hAnsi="Arial" w:cs="Arial"/>
        </w:rPr>
      </w:pPr>
      <w:r w:rsidRPr="00EE6D3F">
        <w:rPr>
          <w:rFonts w:ascii="Arial" w:hAnsi="Arial" w:cs="Arial"/>
        </w:rPr>
        <w:t xml:space="preserve">Secondary amines can form N-nitrosamines and N-nitramines under certain conditions. Nitrosamines have well documented mutagenic and carcinogenic effects, whereas there are limited data for nitramines, although they have been found to be carcinogenic by deamination to formaldehyde and ammonia both </w:t>
      </w:r>
      <w:r w:rsidRPr="00EE6D3F">
        <w:rPr>
          <w:rFonts w:ascii="Arial" w:hAnsi="Arial" w:cs="Arial"/>
          <w:i/>
          <w:iCs/>
        </w:rPr>
        <w:t>in vivo</w:t>
      </w:r>
      <w:r w:rsidRPr="00EE6D3F">
        <w:rPr>
          <w:rFonts w:ascii="Arial" w:hAnsi="Arial" w:cs="Arial"/>
        </w:rPr>
        <w:t xml:space="preserve"> and </w:t>
      </w:r>
      <w:r w:rsidRPr="00EE6D3F">
        <w:rPr>
          <w:rFonts w:ascii="Arial" w:hAnsi="Arial" w:cs="Arial"/>
          <w:i/>
          <w:iCs/>
        </w:rPr>
        <w:t>in vitro</w:t>
      </w:r>
      <w:r w:rsidRPr="00EE6D3F">
        <w:rPr>
          <w:rFonts w:ascii="Arial" w:hAnsi="Arial" w:cs="Arial"/>
        </w:rPr>
        <w:t xml:space="preserve"> (Ravnum et al. 2014). N-nitramines are structurally related to nitrosamines, and due to this similarity, there has been a general interest in the potential mutagenicity and carcinogenicity of the N-nitramines (Lag et al. 2011).</w:t>
      </w:r>
    </w:p>
    <w:p w14:paraId="31B98CE8" w14:textId="77777777" w:rsidR="008002CC" w:rsidRPr="00EE6D3F" w:rsidRDefault="008002CC" w:rsidP="008002CC">
      <w:pPr>
        <w:autoSpaceDE w:val="0"/>
        <w:autoSpaceDN w:val="0"/>
        <w:adjustRightInd w:val="0"/>
        <w:jc w:val="both"/>
        <w:rPr>
          <w:rFonts w:ascii="Arial" w:hAnsi="Arial" w:cs="Arial"/>
        </w:rPr>
      </w:pPr>
      <w:r w:rsidRPr="00EE6D3F">
        <w:rPr>
          <w:rFonts w:ascii="Arial" w:hAnsi="Arial" w:cs="Arial"/>
        </w:rPr>
        <w:t xml:space="preserve">The only metabolite consistently identified in urine samples from oral and inhalation animal and human studies was the nitrosamine NPZ (ECB 2005).  </w:t>
      </w:r>
    </w:p>
    <w:p w14:paraId="365F75B3" w14:textId="77777777" w:rsidR="008002CC" w:rsidRPr="00EE6D3F" w:rsidRDefault="008002CC" w:rsidP="008002CC">
      <w:pPr>
        <w:autoSpaceDE w:val="0"/>
        <w:autoSpaceDN w:val="0"/>
        <w:adjustRightInd w:val="0"/>
        <w:jc w:val="both"/>
        <w:rPr>
          <w:rFonts w:ascii="Arial" w:hAnsi="Arial" w:cs="Arial"/>
        </w:rPr>
      </w:pPr>
      <w:r w:rsidRPr="00EE6D3F">
        <w:rPr>
          <w:rFonts w:ascii="Arial" w:hAnsi="Arial" w:cs="Arial"/>
        </w:rPr>
        <w:t xml:space="preserve">Nitrosation has been noted in dietary rodent studies, where PZ and a nitrosating agent (usually a nitrate or nitrite salt) have been co-administered.  However, ECB (2005) noted the following reservations for the interpretation of nitrosation experiments in rodents.  Whereas the pH of the rodent stomach was considered to be close to the optimum pH for nitrosation of amines (Mirvish 1982 cited by ECB 2005), the human stomach had a less favourable and higher acidity.  The nitrite co-doses used in the dietary studies were also considered unrealistic (ECB 2005).  </w:t>
      </w:r>
    </w:p>
    <w:p w14:paraId="07333091" w14:textId="77777777" w:rsidR="008002CC" w:rsidRPr="00EE6D3F" w:rsidRDefault="008002CC" w:rsidP="008002CC">
      <w:pPr>
        <w:autoSpaceDE w:val="0"/>
        <w:autoSpaceDN w:val="0"/>
        <w:adjustRightInd w:val="0"/>
        <w:jc w:val="both"/>
        <w:rPr>
          <w:rFonts w:ascii="Arial" w:hAnsi="Arial" w:cs="Arial"/>
        </w:rPr>
      </w:pPr>
      <w:r w:rsidRPr="00EE6D3F">
        <w:rPr>
          <w:rFonts w:ascii="Arial" w:hAnsi="Arial" w:cs="Arial"/>
        </w:rPr>
        <w:t xml:space="preserve">More importantly, there is evidence that inhalation exposure to PZ and its salts (see earlier Toxicokinetics section) also results in the formation of NPZ in humans (both in occupational and volunteer studies).  ECB (2005) concluded that a higher rate of conversion from inhaled PZ to NPZ may result from chronic exposures to lower doses.  ECB (2005) assumed a “worst-case” conversion rate of 1%, but the findings of work by Bellander et al. (1988b) suggested that this could be as high as 5%.  It is important to note the approximate nitrate content of the three diets used by Bellander et al. ranged from 30 – 900 mg/day.  EFSA (2017b) estimated that the mean exposure to nitrate from all dietary sources for a 70 kg adult ranged from 75 to 165 </w:t>
      </w:r>
      <w:r w:rsidRPr="00EE6D3F">
        <w:rPr>
          <w:rFonts w:ascii="Arial" w:hAnsi="Arial" w:cs="Arial"/>
        </w:rPr>
        <w:lastRenderedPageBreak/>
        <w:t>mg/day and the high-level consumption (95</w:t>
      </w:r>
      <w:r w:rsidRPr="00EE6D3F">
        <w:rPr>
          <w:rFonts w:ascii="Arial" w:hAnsi="Arial" w:cs="Arial"/>
          <w:vertAlign w:val="superscript"/>
        </w:rPr>
        <w:t>th</w:t>
      </w:r>
      <w:r w:rsidRPr="00EE6D3F">
        <w:rPr>
          <w:rFonts w:ascii="Arial" w:hAnsi="Arial" w:cs="Arial"/>
        </w:rPr>
        <w:t xml:space="preserve"> percentile) ranged from 165 to 370 mg/day.  Therefore, the low nitrate diets considered by Bellander et al. (1988b) are relevant to typical population exposures.</w:t>
      </w:r>
    </w:p>
    <w:p w14:paraId="51DAEAAA" w14:textId="77777777" w:rsidR="008002CC" w:rsidRPr="00EE6D3F" w:rsidRDefault="008002CC" w:rsidP="008002CC">
      <w:pPr>
        <w:autoSpaceDE w:val="0"/>
        <w:autoSpaceDN w:val="0"/>
        <w:adjustRightInd w:val="0"/>
        <w:jc w:val="both"/>
        <w:rPr>
          <w:rFonts w:ascii="Arial" w:hAnsi="Arial" w:cs="Arial"/>
        </w:rPr>
      </w:pPr>
      <w:r w:rsidRPr="00EE6D3F">
        <w:rPr>
          <w:rFonts w:ascii="Arial" w:hAnsi="Arial" w:cs="Arial"/>
        </w:rPr>
        <w:t xml:space="preserve">Bercu et al. (2023) reviewed the potential carcinogenic risk from ingestion of small molecule nitrosamines in pharmaceuticals including NPZ.  They concluded that it is mutagenic </w:t>
      </w:r>
      <w:r w:rsidRPr="00EE6D3F">
        <w:rPr>
          <w:rFonts w:ascii="Arial" w:hAnsi="Arial" w:cs="Arial"/>
          <w:i/>
          <w:iCs/>
        </w:rPr>
        <w:t>in vitro</w:t>
      </w:r>
      <w:r w:rsidRPr="00EE6D3F">
        <w:rPr>
          <w:rFonts w:ascii="Arial" w:hAnsi="Arial" w:cs="Arial"/>
        </w:rPr>
        <w:t xml:space="preserve"> and a multi-organ carcinogen in rodent studies.  They derived a TD</w:t>
      </w:r>
      <w:r w:rsidRPr="00EE6D3F">
        <w:rPr>
          <w:rFonts w:ascii="Arial" w:hAnsi="Arial" w:cs="Arial"/>
          <w:vertAlign w:val="subscript"/>
        </w:rPr>
        <w:t>50</w:t>
      </w:r>
      <w:r w:rsidRPr="00EE6D3F">
        <w:rPr>
          <w:rFonts w:ascii="Arial" w:hAnsi="Arial" w:cs="Arial"/>
        </w:rPr>
        <w:t xml:space="preserve"> of 28.5 mg/kg bodyweight/day from a study by Love et al. (1977 cited by Bercu et al. 2023), where rats were administered with approximately 18.8 and 37.6 mg/kg bodyweight/day in drinking water for 5 days per week over their lifetime.  This study identified the nasal cavity and to a lesser extent the liver as the most sensitive target organs for tumours.  Consistent with other nitrosamines, the mode of action for its carcinogenicity was considered to be via the diazonium ion (Bercu et al. 2023). The data from the Love et al. (1977) has been reviewed and a BMDL</w:t>
      </w:r>
      <w:r w:rsidRPr="00EE6D3F">
        <w:rPr>
          <w:rFonts w:ascii="Arial" w:hAnsi="Arial" w:cs="Arial"/>
          <w:vertAlign w:val="subscript"/>
        </w:rPr>
        <w:t>10</w:t>
      </w:r>
      <w:r w:rsidRPr="00EE6D3F">
        <w:rPr>
          <w:rFonts w:ascii="Arial" w:hAnsi="Arial" w:cs="Arial"/>
        </w:rPr>
        <w:t xml:space="preserve"> of 2.7 mg/kg bw/day</w:t>
      </w:r>
      <w:r w:rsidRPr="00EE6D3F">
        <w:rPr>
          <w:rStyle w:val="FootnoteReference"/>
          <w:rFonts w:ascii="Arial" w:hAnsi="Arial" w:cs="Arial"/>
        </w:rPr>
        <w:footnoteReference w:id="7"/>
      </w:r>
      <w:r w:rsidRPr="00EE6D3F">
        <w:rPr>
          <w:rFonts w:ascii="Arial" w:hAnsi="Arial" w:cs="Arial"/>
        </w:rPr>
        <w:t xml:space="preserve"> for nasal tumours derived.  </w:t>
      </w:r>
    </w:p>
    <w:p w14:paraId="56695A3E" w14:textId="77777777" w:rsidR="008002CC" w:rsidRPr="00EE6D3F" w:rsidRDefault="008002CC" w:rsidP="008002CC">
      <w:pPr>
        <w:autoSpaceDE w:val="0"/>
        <w:autoSpaceDN w:val="0"/>
        <w:adjustRightInd w:val="0"/>
        <w:jc w:val="both"/>
        <w:rPr>
          <w:rFonts w:ascii="Arial" w:hAnsi="Arial" w:cs="Arial"/>
        </w:rPr>
      </w:pPr>
      <w:r w:rsidRPr="00EE6D3F">
        <w:rPr>
          <w:rFonts w:ascii="Arial" w:hAnsi="Arial" w:cs="Arial"/>
        </w:rPr>
        <w:t xml:space="preserve">Although ECB (2005) concluded that PZ itself was not a carcinogen, there is clear evidence that the carcinogenic nitrosamine NPZ forms </w:t>
      </w:r>
      <w:r w:rsidRPr="00EE6D3F">
        <w:rPr>
          <w:rFonts w:ascii="Arial" w:hAnsi="Arial" w:cs="Arial"/>
          <w:i/>
          <w:iCs/>
        </w:rPr>
        <w:t>in vivo</w:t>
      </w:r>
      <w:r w:rsidRPr="00EE6D3F">
        <w:rPr>
          <w:rFonts w:ascii="Arial" w:hAnsi="Arial" w:cs="Arial"/>
        </w:rPr>
        <w:t xml:space="preserve"> following inhalation of PZ (Bellander et al. 1988a and 1988b).  Bellander et al. (1988b) suggested that the site of NPZ formation is the stomach, noting that due to its “… </w:t>
      </w:r>
      <w:r w:rsidRPr="00EE6D3F">
        <w:rPr>
          <w:rFonts w:ascii="Arial" w:hAnsi="Arial" w:cs="Arial"/>
          <w:i/>
          <w:iCs/>
        </w:rPr>
        <w:t>high water solubility, PZ is readily absorbed in the airways, from where it can reach the stomach either by Mucociliary clearance followed by swallowing or by pulmonary absorption followed by intragastric secretion</w:t>
      </w:r>
      <w:r w:rsidRPr="00EE6D3F">
        <w:rPr>
          <w:rFonts w:ascii="Arial" w:hAnsi="Arial" w:cs="Arial"/>
        </w:rPr>
        <w:t>”.  The formation of NPZ from the combination of inhalation of PZ and dietary exposure to nitrites and nitrates (the nitrosation agent) has been considered in the derivation of the long-term EAL.</w:t>
      </w:r>
    </w:p>
    <w:p w14:paraId="22B7D83D" w14:textId="77777777" w:rsidR="008002CC" w:rsidRPr="00EE6D3F" w:rsidRDefault="008002CC" w:rsidP="008002CC">
      <w:pPr>
        <w:pStyle w:val="Heading3"/>
        <w:rPr>
          <w:rFonts w:ascii="Arial" w:hAnsi="Arial" w:cs="Arial"/>
        </w:rPr>
      </w:pPr>
      <w:r w:rsidRPr="00EE6D3F">
        <w:rPr>
          <w:rFonts w:ascii="Arial" w:hAnsi="Arial" w:cs="Arial"/>
        </w:rPr>
        <w:t>Authoritative opinion for short-term exposure</w:t>
      </w:r>
    </w:p>
    <w:p w14:paraId="01EF5C3A" w14:textId="77777777" w:rsidR="008002CC" w:rsidRPr="00EE6D3F" w:rsidRDefault="008002CC" w:rsidP="008002CC">
      <w:pPr>
        <w:jc w:val="both"/>
        <w:rPr>
          <w:rFonts w:ascii="Arial" w:hAnsi="Arial" w:cs="Arial"/>
        </w:rPr>
      </w:pPr>
      <w:r w:rsidRPr="00EE6D3F">
        <w:rPr>
          <w:rFonts w:ascii="Arial" w:hAnsi="Arial" w:cs="Arial"/>
        </w:rPr>
        <w:t xml:space="preserve">The EU REACH registrants (ECHA 2023) proposed an inhalation health-based guidance value (HBGV) for workers only. </w:t>
      </w:r>
    </w:p>
    <w:p w14:paraId="56B1DC29" w14:textId="77777777" w:rsidR="008002CC" w:rsidRPr="00EE6D3F" w:rsidRDefault="008002CC" w:rsidP="008002CC">
      <w:pPr>
        <w:pStyle w:val="Heading4"/>
        <w:rPr>
          <w:rFonts w:ascii="Arial" w:hAnsi="Arial" w:cs="Arial"/>
          <w:color w:val="auto"/>
        </w:rPr>
      </w:pPr>
      <w:r w:rsidRPr="00EE6D3F">
        <w:rPr>
          <w:rFonts w:ascii="Arial" w:hAnsi="Arial" w:cs="Arial"/>
          <w:color w:val="auto"/>
        </w:rPr>
        <w:t>EU REACH Chemical dossier</w:t>
      </w:r>
    </w:p>
    <w:p w14:paraId="0057E87E" w14:textId="77777777" w:rsidR="008002CC" w:rsidRPr="00EE6D3F" w:rsidRDefault="008002CC" w:rsidP="008002CC">
      <w:pPr>
        <w:pStyle w:val="Heading5"/>
        <w:rPr>
          <w:rFonts w:ascii="Arial" w:hAnsi="Arial" w:cs="Arial"/>
        </w:rPr>
      </w:pPr>
      <w:r w:rsidRPr="00EE6D3F">
        <w:rPr>
          <w:rFonts w:ascii="Arial" w:hAnsi="Arial" w:cs="Arial"/>
        </w:rPr>
        <w:t>Workers: short-term inhalation exposure – local and systemic effects</w:t>
      </w:r>
    </w:p>
    <w:p w14:paraId="477EDADA" w14:textId="77777777" w:rsidR="008002CC" w:rsidRPr="00EE6D3F" w:rsidRDefault="008002CC" w:rsidP="008002CC">
      <w:pPr>
        <w:jc w:val="both"/>
        <w:rPr>
          <w:rFonts w:ascii="Arial" w:hAnsi="Arial" w:cs="Arial"/>
        </w:rPr>
      </w:pPr>
      <w:r w:rsidRPr="00EE6D3F">
        <w:rPr>
          <w:rFonts w:ascii="Arial" w:hAnsi="Arial" w:cs="Arial"/>
        </w:rPr>
        <w:t>The EU REACH dossier for PZ (ECHA 2023) on the ECHA dissemination portal</w:t>
      </w:r>
      <w:r w:rsidRPr="00EE6D3F">
        <w:rPr>
          <w:rStyle w:val="FootnoteReference"/>
          <w:rFonts w:ascii="Arial" w:hAnsi="Arial" w:cs="Arial"/>
        </w:rPr>
        <w:footnoteReference w:id="8"/>
      </w:r>
      <w:r w:rsidRPr="00EE6D3F">
        <w:rPr>
          <w:rFonts w:ascii="Arial" w:hAnsi="Arial" w:cs="Arial"/>
        </w:rPr>
        <w:t xml:space="preserve"> derived a DNEL of 300 µg/m</w:t>
      </w:r>
      <w:r w:rsidRPr="00EE6D3F">
        <w:rPr>
          <w:rFonts w:ascii="Arial" w:hAnsi="Arial" w:cs="Arial"/>
          <w:vertAlign w:val="superscript"/>
        </w:rPr>
        <w:t>3</w:t>
      </w:r>
      <w:r w:rsidRPr="00EE6D3F">
        <w:rPr>
          <w:rFonts w:ascii="Arial" w:hAnsi="Arial" w:cs="Arial"/>
        </w:rPr>
        <w:t xml:space="preserve"> (0.30 mg/m</w:t>
      </w:r>
      <w:r w:rsidRPr="00EE6D3F">
        <w:rPr>
          <w:rFonts w:ascii="Arial" w:hAnsi="Arial" w:cs="Arial"/>
          <w:vertAlign w:val="superscript"/>
        </w:rPr>
        <w:t>3</w:t>
      </w:r>
      <w:r w:rsidRPr="00EE6D3F">
        <w:rPr>
          <w:rFonts w:ascii="Arial" w:hAnsi="Arial" w:cs="Arial"/>
        </w:rPr>
        <w:t xml:space="preserve">) for short- term inhalation exposure to protect workers, based on local and systemic effects.   </w:t>
      </w:r>
    </w:p>
    <w:p w14:paraId="689EB60F" w14:textId="77777777" w:rsidR="008002CC" w:rsidRPr="00EE6D3F" w:rsidRDefault="008002CC" w:rsidP="008002CC">
      <w:pPr>
        <w:jc w:val="both"/>
        <w:rPr>
          <w:rFonts w:ascii="Arial" w:hAnsi="Arial" w:cs="Arial"/>
        </w:rPr>
      </w:pPr>
      <w:r w:rsidRPr="00EE6D3F">
        <w:rPr>
          <w:rFonts w:ascii="Arial" w:hAnsi="Arial" w:cs="Arial"/>
        </w:rPr>
        <w:t>The EU REACH dossier stated that deriving NOAELs from available data would result in a DNEL that would be higher than the OEL (reference not stated</w:t>
      </w:r>
      <w:bookmarkStart w:id="6" w:name="_Ref133752866"/>
      <w:r w:rsidRPr="00EE6D3F">
        <w:rPr>
          <w:rStyle w:val="FootnoteReference"/>
          <w:rFonts w:ascii="Arial" w:hAnsi="Arial" w:cs="Arial"/>
        </w:rPr>
        <w:footnoteReference w:id="9"/>
      </w:r>
      <w:bookmarkEnd w:id="6"/>
      <w:r w:rsidRPr="00EE6D3F">
        <w:rPr>
          <w:rFonts w:ascii="Arial" w:hAnsi="Arial" w:cs="Arial"/>
        </w:rPr>
        <w:t>).  Therefore, the short-term (15-minute reference period) workplace exposure limit was used as the DNEL.  This is based on respiratory tract sensitisation, although the pivotal study used to derive the OEL is not detailed in ECHA (2023) or HSE (2020).</w:t>
      </w:r>
    </w:p>
    <w:p w14:paraId="2BBB5603" w14:textId="77777777" w:rsidR="008002CC" w:rsidRPr="00EE6D3F" w:rsidRDefault="008002CC" w:rsidP="008002CC">
      <w:pPr>
        <w:pStyle w:val="Heading3"/>
        <w:rPr>
          <w:rFonts w:ascii="Arial" w:hAnsi="Arial" w:cs="Arial"/>
        </w:rPr>
      </w:pPr>
      <w:r w:rsidRPr="00EE6D3F">
        <w:rPr>
          <w:rFonts w:ascii="Arial" w:hAnsi="Arial" w:cs="Arial"/>
        </w:rPr>
        <w:t>Authoritative opinion for long-term exposure</w:t>
      </w:r>
    </w:p>
    <w:p w14:paraId="4CDF6E88" w14:textId="77777777" w:rsidR="008002CC" w:rsidRPr="00EE6D3F" w:rsidRDefault="008002CC" w:rsidP="008002CC">
      <w:pPr>
        <w:jc w:val="both"/>
        <w:rPr>
          <w:rFonts w:ascii="Arial" w:hAnsi="Arial" w:cs="Arial"/>
        </w:rPr>
      </w:pPr>
      <w:r w:rsidRPr="00EE6D3F">
        <w:rPr>
          <w:rFonts w:ascii="Arial" w:hAnsi="Arial" w:cs="Arial"/>
        </w:rPr>
        <w:t xml:space="preserve">No inhalation based HBGV for the protection of the general public were identified.  EMEA (2001) has proposed an oral HBGV for the use of PZ in veterinary medicinal products and the EU REACH registrants (ECHA 2023) have proposed an oral HBGV for workers. </w:t>
      </w:r>
    </w:p>
    <w:p w14:paraId="32A02F26" w14:textId="77777777" w:rsidR="008002CC" w:rsidRPr="00EE6D3F" w:rsidRDefault="008002CC" w:rsidP="008002CC">
      <w:pPr>
        <w:pStyle w:val="Heading4"/>
        <w:rPr>
          <w:rFonts w:ascii="Arial" w:hAnsi="Arial" w:cs="Arial"/>
          <w:color w:val="auto"/>
        </w:rPr>
      </w:pPr>
      <w:r w:rsidRPr="00EE6D3F">
        <w:rPr>
          <w:rFonts w:ascii="Arial" w:hAnsi="Arial" w:cs="Arial"/>
          <w:color w:val="auto"/>
        </w:rPr>
        <w:t>European Agency for the Evaluation of Medical Product</w:t>
      </w:r>
    </w:p>
    <w:p w14:paraId="463D932E" w14:textId="77777777" w:rsidR="008002CC" w:rsidRPr="00EE6D3F" w:rsidDel="00023D09" w:rsidRDefault="008002CC" w:rsidP="008002CC">
      <w:pPr>
        <w:jc w:val="both"/>
        <w:rPr>
          <w:rFonts w:ascii="Arial" w:hAnsi="Arial" w:cs="Arial"/>
        </w:rPr>
      </w:pPr>
      <w:r w:rsidRPr="00EE6D3F" w:rsidDel="00023D09">
        <w:rPr>
          <w:rFonts w:ascii="Arial" w:hAnsi="Arial" w:cs="Arial"/>
        </w:rPr>
        <w:t xml:space="preserve">EMEA (2001) proposed an ADI of 0.25 mg/kg </w:t>
      </w:r>
      <w:r w:rsidRPr="00EE6D3F">
        <w:rPr>
          <w:rFonts w:ascii="Arial" w:hAnsi="Arial" w:cs="Arial"/>
        </w:rPr>
        <w:t>body weight</w:t>
      </w:r>
      <w:r w:rsidRPr="00EE6D3F" w:rsidDel="00023D09">
        <w:rPr>
          <w:rFonts w:ascii="Arial" w:hAnsi="Arial" w:cs="Arial"/>
        </w:rPr>
        <w:t>/day</w:t>
      </w:r>
      <w:r w:rsidRPr="00EE6D3F">
        <w:rPr>
          <w:rFonts w:ascii="Arial" w:hAnsi="Arial" w:cs="Arial"/>
        </w:rPr>
        <w:t xml:space="preserve"> for veterinary medicinal use</w:t>
      </w:r>
      <w:r w:rsidRPr="00EE6D3F" w:rsidDel="00023D09">
        <w:rPr>
          <w:rFonts w:ascii="Arial" w:hAnsi="Arial" w:cs="Arial"/>
        </w:rPr>
        <w:t xml:space="preserve">. </w:t>
      </w:r>
    </w:p>
    <w:p w14:paraId="43442566" w14:textId="77777777" w:rsidR="008002CC" w:rsidRPr="00EE6D3F" w:rsidRDefault="008002CC" w:rsidP="008002CC">
      <w:pPr>
        <w:jc w:val="both"/>
        <w:rPr>
          <w:rFonts w:ascii="Arial" w:hAnsi="Arial" w:cs="Arial"/>
        </w:rPr>
      </w:pPr>
      <w:r w:rsidRPr="00EE6D3F">
        <w:rPr>
          <w:rFonts w:ascii="Arial" w:hAnsi="Arial" w:cs="Arial"/>
        </w:rPr>
        <w:t>A NOAEL of 25 mg/kg body weight/day was determined from a repeat dose oral study (Rutter and Voelker 1975 cited in ECB 2005) based on liver toxicity in Beagle dogs following exposure to doses of 0, 1.5, 6 or 25 mg/kg body weight/day piperazine base in the diet for 13 weeks.  The NOAEL was divided by a safety factor of 100 (no further details) to give the ADI of 0.25 mg/kg bodyweight/day.</w:t>
      </w:r>
    </w:p>
    <w:p w14:paraId="285BA428" w14:textId="77777777" w:rsidR="008002CC" w:rsidRPr="00EE6D3F" w:rsidRDefault="008002CC" w:rsidP="008002CC">
      <w:pPr>
        <w:pStyle w:val="Heading4"/>
        <w:rPr>
          <w:rFonts w:ascii="Arial" w:hAnsi="Arial" w:cs="Arial"/>
          <w:color w:val="auto"/>
        </w:rPr>
      </w:pPr>
      <w:r w:rsidRPr="00EE6D3F">
        <w:rPr>
          <w:rFonts w:ascii="Arial" w:hAnsi="Arial" w:cs="Arial"/>
          <w:color w:val="auto"/>
        </w:rPr>
        <w:t>EU REACH Chemical dossier</w:t>
      </w:r>
    </w:p>
    <w:p w14:paraId="5EB54DCC" w14:textId="77777777" w:rsidR="008002CC" w:rsidRPr="00EE6D3F" w:rsidRDefault="008002CC" w:rsidP="008002CC">
      <w:pPr>
        <w:pStyle w:val="Heading5"/>
        <w:rPr>
          <w:rFonts w:ascii="Arial" w:hAnsi="Arial" w:cs="Arial"/>
        </w:rPr>
      </w:pPr>
      <w:r w:rsidRPr="00EE6D3F">
        <w:rPr>
          <w:rFonts w:ascii="Arial" w:hAnsi="Arial" w:cs="Arial"/>
        </w:rPr>
        <w:t xml:space="preserve">Workers:  long-term inhalation exposure – local and systemic effects </w:t>
      </w:r>
    </w:p>
    <w:p w14:paraId="6C767EF2" w14:textId="77777777" w:rsidR="008002CC" w:rsidRPr="00EE6D3F" w:rsidRDefault="008002CC" w:rsidP="008002CC">
      <w:pPr>
        <w:jc w:val="both"/>
        <w:rPr>
          <w:rFonts w:ascii="Arial" w:hAnsi="Arial" w:cs="Arial"/>
        </w:rPr>
      </w:pPr>
      <w:r w:rsidRPr="00EE6D3F">
        <w:rPr>
          <w:rFonts w:ascii="Arial" w:hAnsi="Arial" w:cs="Arial"/>
        </w:rPr>
        <w:t>The EU REACH dossier for PZ accessed through the ECHA dissemination portal (ECHA 2023) derived a DNEL of 100 µg/m</w:t>
      </w:r>
      <w:r w:rsidRPr="00EE6D3F">
        <w:rPr>
          <w:rFonts w:ascii="Arial" w:hAnsi="Arial" w:cs="Arial"/>
          <w:vertAlign w:val="superscript"/>
        </w:rPr>
        <w:t>3</w:t>
      </w:r>
      <w:r w:rsidRPr="00EE6D3F">
        <w:rPr>
          <w:rFonts w:ascii="Arial" w:hAnsi="Arial" w:cs="Arial"/>
        </w:rPr>
        <w:t xml:space="preserve"> (0.10 mg/m</w:t>
      </w:r>
      <w:r w:rsidRPr="00EE6D3F">
        <w:rPr>
          <w:rFonts w:ascii="Arial" w:hAnsi="Arial" w:cs="Arial"/>
          <w:vertAlign w:val="superscript"/>
        </w:rPr>
        <w:t>3</w:t>
      </w:r>
      <w:r w:rsidRPr="00EE6D3F">
        <w:rPr>
          <w:rFonts w:ascii="Arial" w:hAnsi="Arial" w:cs="Arial"/>
        </w:rPr>
        <w:t xml:space="preserve">) for long-term inhalation exposure to protect workers, based on local and systemic effects.  </w:t>
      </w:r>
    </w:p>
    <w:p w14:paraId="18F10313" w14:textId="77777777" w:rsidR="008002CC" w:rsidRPr="00EE6D3F" w:rsidRDefault="008002CC" w:rsidP="008002CC">
      <w:pPr>
        <w:jc w:val="both"/>
        <w:rPr>
          <w:rFonts w:ascii="Arial" w:hAnsi="Arial" w:cs="Arial"/>
        </w:rPr>
      </w:pPr>
      <w:r w:rsidRPr="00EE6D3F">
        <w:rPr>
          <w:rFonts w:ascii="Arial" w:hAnsi="Arial" w:cs="Arial"/>
        </w:rPr>
        <w:t>The EU REACH dossier stated that deriving NOAELs from available data would result in a DNEL that would be higher than the OEL (reference not stated</w:t>
      </w:r>
      <w:r w:rsidRPr="00EE6D3F">
        <w:rPr>
          <w:rFonts w:ascii="Arial" w:hAnsi="Arial" w:cs="Arial"/>
          <w:vertAlign w:val="superscript"/>
        </w:rPr>
        <w:t>7</w:t>
      </w:r>
      <w:r w:rsidRPr="00EE6D3F">
        <w:rPr>
          <w:rFonts w:ascii="Arial" w:hAnsi="Arial" w:cs="Arial"/>
        </w:rPr>
        <w:t xml:space="preserve">).  Therefore, the long-term exposure limit (8-hour reference period) workplace exposure limit was adopted as the DNEL.  </w:t>
      </w:r>
      <w:r w:rsidRPr="00EE6D3F">
        <w:rPr>
          <w:rFonts w:ascii="Arial" w:hAnsi="Arial" w:cs="Arial"/>
        </w:rPr>
        <w:lastRenderedPageBreak/>
        <w:t>This is based on respiratory tract sensitisation, although the pivotal study used to derive the OEL is not detailed in ECHA (2023) or HSE (2020).</w:t>
      </w:r>
    </w:p>
    <w:p w14:paraId="710FBECD" w14:textId="77777777" w:rsidR="008002CC" w:rsidRPr="00EE6D3F" w:rsidRDefault="008002CC" w:rsidP="008002CC">
      <w:pPr>
        <w:pStyle w:val="Heading3"/>
        <w:rPr>
          <w:rFonts w:ascii="Arial" w:hAnsi="Arial" w:cs="Arial"/>
        </w:rPr>
      </w:pPr>
      <w:r w:rsidRPr="00EE6D3F">
        <w:rPr>
          <w:rFonts w:ascii="Arial" w:hAnsi="Arial" w:cs="Arial"/>
        </w:rPr>
        <w:t>Summary</w:t>
      </w:r>
    </w:p>
    <w:p w14:paraId="0417A295" w14:textId="77777777" w:rsidR="008002CC" w:rsidRPr="00EE6D3F" w:rsidRDefault="008002CC" w:rsidP="008002CC">
      <w:pPr>
        <w:jc w:val="both"/>
        <w:rPr>
          <w:rFonts w:ascii="Arial" w:hAnsi="Arial" w:cs="Arial"/>
          <w:sz w:val="24"/>
          <w:szCs w:val="24"/>
        </w:rPr>
      </w:pPr>
      <w:r w:rsidRPr="00EE6D3F">
        <w:rPr>
          <w:rFonts w:ascii="Arial" w:hAnsi="Arial" w:cs="Arial"/>
        </w:rPr>
        <w:t>One authoritative body EMEA (2001) and EU REACH registrants (ECHA 2023) have proposed HBGVs.</w:t>
      </w:r>
      <w:r w:rsidRPr="00EE6D3F">
        <w:rPr>
          <w:rFonts w:ascii="Arial" w:hAnsi="Arial" w:cs="Arial"/>
          <w:sz w:val="24"/>
          <w:szCs w:val="24"/>
        </w:rPr>
        <w:t xml:space="preserve"> </w:t>
      </w:r>
    </w:p>
    <w:p w14:paraId="19C4D505" w14:textId="77777777" w:rsidR="008002CC" w:rsidRPr="00EE6D3F" w:rsidRDefault="008002CC" w:rsidP="008002CC">
      <w:pPr>
        <w:jc w:val="both"/>
        <w:rPr>
          <w:rFonts w:ascii="Arial" w:hAnsi="Arial" w:cs="Arial"/>
          <w:sz w:val="24"/>
          <w:szCs w:val="24"/>
        </w:rPr>
      </w:pPr>
    </w:p>
    <w:p w14:paraId="2F2CDEB5" w14:textId="77777777" w:rsidR="008002CC" w:rsidRPr="00EE6D3F" w:rsidRDefault="008002CC" w:rsidP="008002CC">
      <w:pPr>
        <w:jc w:val="both"/>
        <w:rPr>
          <w:rFonts w:ascii="Arial" w:hAnsi="Arial" w:cs="Arial"/>
        </w:rPr>
      </w:pPr>
      <w:r w:rsidRPr="00EE6D3F">
        <w:rPr>
          <w:rFonts w:ascii="Arial" w:hAnsi="Arial" w:cs="Arial"/>
        </w:rPr>
        <w:t>Only the EU REACH dossier for PZ proposed a short-term HBGV of 0.30 mg/m</w:t>
      </w:r>
      <w:r w:rsidRPr="00EE6D3F">
        <w:rPr>
          <w:rFonts w:ascii="Arial" w:hAnsi="Arial" w:cs="Arial"/>
          <w:vertAlign w:val="superscript"/>
        </w:rPr>
        <w:t>3</w:t>
      </w:r>
      <w:r w:rsidRPr="00EE6D3F">
        <w:rPr>
          <w:rFonts w:ascii="Arial" w:hAnsi="Arial" w:cs="Arial"/>
        </w:rPr>
        <w:t xml:space="preserve"> for inhalation exposure based on the protection of workers from local and systemic effects (ECHA 2023). The DNEL was based on the OEL for short-term exposure (15-minute reference period), the derivation of which is not presented, but it is reportedly based on respiratory tract sensitisation.</w:t>
      </w:r>
    </w:p>
    <w:p w14:paraId="6768A0F1" w14:textId="77777777" w:rsidR="008002CC" w:rsidRPr="00EE6D3F" w:rsidRDefault="008002CC" w:rsidP="008002CC">
      <w:pPr>
        <w:jc w:val="both"/>
        <w:rPr>
          <w:rFonts w:ascii="Arial" w:hAnsi="Arial" w:cs="Arial"/>
          <w:b/>
          <w:bCs/>
        </w:rPr>
      </w:pPr>
    </w:p>
    <w:p w14:paraId="33F31990" w14:textId="77777777" w:rsidR="008002CC" w:rsidRPr="00EE6D3F" w:rsidRDefault="008002CC" w:rsidP="008002CC">
      <w:pPr>
        <w:jc w:val="both"/>
        <w:rPr>
          <w:rFonts w:ascii="Arial" w:hAnsi="Arial" w:cs="Arial"/>
        </w:rPr>
      </w:pPr>
      <w:r w:rsidRPr="00EE6D3F">
        <w:rPr>
          <w:rFonts w:ascii="Arial" w:hAnsi="Arial" w:cs="Arial"/>
        </w:rPr>
        <w:t>A long-term DNEL of 0.1 mg/m</w:t>
      </w:r>
      <w:r w:rsidRPr="00EE6D3F">
        <w:rPr>
          <w:rFonts w:ascii="Arial" w:hAnsi="Arial" w:cs="Arial"/>
          <w:vertAlign w:val="superscript"/>
        </w:rPr>
        <w:t>3</w:t>
      </w:r>
      <w:r w:rsidRPr="00EE6D3F">
        <w:rPr>
          <w:rFonts w:ascii="Arial" w:hAnsi="Arial" w:cs="Arial"/>
        </w:rPr>
        <w:t xml:space="preserve"> was derived in the EU REACH dossier (ECHA 2023) for the protection of workers from inhalation exposure.  The DNEL was based on the OEL for long-term exposure (8-hour reference period) for respiratory tract sensitisation.  No further details were provided. An ADI was also proposed by EMEA (2001) for the oral use of PZ in veterinary medicinal products.  EMEA (2001) based the ADI</w:t>
      </w:r>
      <w:r w:rsidRPr="00EE6D3F" w:rsidDel="00023D09">
        <w:rPr>
          <w:rFonts w:ascii="Arial" w:hAnsi="Arial" w:cs="Arial"/>
        </w:rPr>
        <w:t xml:space="preserve"> of 0.25 mg/kg </w:t>
      </w:r>
      <w:r w:rsidRPr="00EE6D3F">
        <w:rPr>
          <w:rFonts w:ascii="Arial" w:hAnsi="Arial" w:cs="Arial"/>
        </w:rPr>
        <w:t>body weight</w:t>
      </w:r>
      <w:r w:rsidRPr="00EE6D3F" w:rsidDel="00023D09">
        <w:rPr>
          <w:rFonts w:ascii="Arial" w:hAnsi="Arial" w:cs="Arial"/>
        </w:rPr>
        <w:t>/day</w:t>
      </w:r>
      <w:r w:rsidRPr="00EE6D3F">
        <w:rPr>
          <w:rFonts w:ascii="Arial" w:hAnsi="Arial" w:cs="Arial"/>
        </w:rPr>
        <w:t xml:space="preserve"> on a 13-week dietary study in Beagle dogs (Rutter and Voelker 1975 cited in ECB 2005) from which a NOEL of 25 mg/kg body weight/day was determined based on liver toxicity.</w:t>
      </w:r>
    </w:p>
    <w:p w14:paraId="10288541" w14:textId="77777777" w:rsidR="008002CC" w:rsidRPr="00EE6D3F" w:rsidRDefault="008002CC" w:rsidP="008002CC">
      <w:pPr>
        <w:pStyle w:val="Heading3"/>
        <w:rPr>
          <w:rFonts w:ascii="Arial" w:hAnsi="Arial" w:cs="Arial"/>
        </w:rPr>
      </w:pPr>
      <w:r w:rsidRPr="00EE6D3F">
        <w:rPr>
          <w:rFonts w:ascii="Arial" w:hAnsi="Arial" w:cs="Arial"/>
        </w:rPr>
        <w:t>Recommendations</w:t>
      </w:r>
    </w:p>
    <w:p w14:paraId="7D8CBD37" w14:textId="77777777" w:rsidR="008002CC" w:rsidRPr="00EE6D3F" w:rsidRDefault="008002CC" w:rsidP="008002CC">
      <w:pPr>
        <w:pStyle w:val="Heading4"/>
        <w:rPr>
          <w:rFonts w:ascii="Arial" w:hAnsi="Arial" w:cs="Arial"/>
          <w:color w:val="auto"/>
        </w:rPr>
      </w:pPr>
      <w:r w:rsidRPr="00EE6D3F">
        <w:rPr>
          <w:rFonts w:ascii="Arial" w:hAnsi="Arial" w:cs="Arial"/>
          <w:color w:val="auto"/>
        </w:rPr>
        <w:t>Short-term EAL</w:t>
      </w:r>
    </w:p>
    <w:p w14:paraId="1B43E670" w14:textId="77777777" w:rsidR="008002CC" w:rsidRPr="00EE6D3F" w:rsidRDefault="008002CC" w:rsidP="008002CC">
      <w:pPr>
        <w:jc w:val="both"/>
        <w:rPr>
          <w:rFonts w:ascii="Arial" w:hAnsi="Arial" w:cs="Arial"/>
        </w:rPr>
      </w:pPr>
      <w:r w:rsidRPr="00EE6D3F">
        <w:rPr>
          <w:rFonts w:ascii="Arial" w:hAnsi="Arial" w:cs="Arial"/>
        </w:rPr>
        <w:t>No authoritative short-term HBGVs for inhalation exposures for the general population have been derived. The DNEL for workers was not considered a suitable basis for the short-term EAL.</w:t>
      </w:r>
    </w:p>
    <w:p w14:paraId="16EC091E" w14:textId="77777777" w:rsidR="008002CC" w:rsidRPr="00EE6D3F" w:rsidRDefault="008002CC" w:rsidP="008002CC">
      <w:pPr>
        <w:jc w:val="both"/>
        <w:rPr>
          <w:rFonts w:ascii="Arial" w:hAnsi="Arial" w:cs="Arial"/>
        </w:rPr>
      </w:pPr>
      <w:r w:rsidRPr="00EE6D3F">
        <w:rPr>
          <w:rFonts w:ascii="Arial" w:hAnsi="Arial" w:cs="Arial"/>
        </w:rPr>
        <w:t>A short-term EAL of 0.15 mg/m</w:t>
      </w:r>
      <w:r w:rsidRPr="00EE6D3F">
        <w:rPr>
          <w:rFonts w:ascii="Arial" w:hAnsi="Arial" w:cs="Arial"/>
          <w:vertAlign w:val="superscript"/>
        </w:rPr>
        <w:t xml:space="preserve">3 </w:t>
      </w:r>
      <w:r w:rsidRPr="00EE6D3F">
        <w:rPr>
          <w:rFonts w:ascii="Arial" w:hAnsi="Arial" w:cs="Arial"/>
        </w:rPr>
        <w:t>as a 24-hour mean is proposed to protect the public.</w:t>
      </w:r>
    </w:p>
    <w:p w14:paraId="782680BD" w14:textId="77777777" w:rsidR="008002CC" w:rsidRPr="00EE6D3F" w:rsidRDefault="008002CC" w:rsidP="008002CC">
      <w:pPr>
        <w:jc w:val="both"/>
        <w:rPr>
          <w:rFonts w:ascii="Arial" w:hAnsi="Arial" w:cs="Arial"/>
        </w:rPr>
      </w:pPr>
      <w:r w:rsidRPr="00EE6D3F">
        <w:rPr>
          <w:rFonts w:ascii="Arial" w:hAnsi="Arial" w:cs="Arial"/>
        </w:rPr>
        <w:t>ECB (2005) summarised a number of clinical case studies that taken together “</w:t>
      </w:r>
      <w:r w:rsidRPr="00EE6D3F">
        <w:rPr>
          <w:rFonts w:ascii="Arial" w:hAnsi="Arial" w:cs="Arial"/>
          <w:i/>
          <w:iCs/>
        </w:rPr>
        <w:t xml:space="preserve">offered convincing evidence for PZ neurotoxicity at recommended </w:t>
      </w:r>
      <w:r w:rsidRPr="00EE6D3F">
        <w:rPr>
          <w:rFonts w:ascii="Arial" w:hAnsi="Arial" w:cs="Arial"/>
        </w:rPr>
        <w:t>[oral]</w:t>
      </w:r>
      <w:r w:rsidRPr="00EE6D3F">
        <w:rPr>
          <w:rFonts w:ascii="Arial" w:hAnsi="Arial" w:cs="Arial"/>
          <w:i/>
          <w:iCs/>
        </w:rPr>
        <w:t xml:space="preserve"> doses without predisposing factors present… The fact that only a minority of all patients in the [larger] studies developed neurotoxicity, cannot be cited as evidence against a causal association, but rather reflects large differences in individual sensitivity, a well-known observation that must be taken into consideration.</w:t>
      </w:r>
      <w:r w:rsidRPr="00EE6D3F">
        <w:rPr>
          <w:rFonts w:ascii="Arial" w:hAnsi="Arial" w:cs="Arial"/>
        </w:rPr>
        <w:t>”  The human toxicity data was considered more relevant than POD from repeat dose animal studies because of its greater relevance to human health and greater seriousness compared to milder hepatic effects.  The short-term EAL of 0.15 mg/m</w:t>
      </w:r>
      <w:r w:rsidRPr="00EE6D3F">
        <w:rPr>
          <w:rFonts w:ascii="Arial" w:hAnsi="Arial" w:cs="Arial"/>
          <w:vertAlign w:val="superscript"/>
        </w:rPr>
        <w:t>3</w:t>
      </w:r>
      <w:r w:rsidRPr="00EE6D3F">
        <w:rPr>
          <w:rFonts w:ascii="Arial" w:hAnsi="Arial" w:cs="Arial"/>
        </w:rPr>
        <w:t xml:space="preserve"> was derived from the clinical case study (Belloni and Rizzoni 1967 cited by ECB 2005), where abnormal EEG changes were observed in children prescribed PZ hexahydrate at a dose of 35 mg/kg body weight/day PZ base for five days.  ECB (2005) regarded the approximate 30 mg/kg body weight/day as an effect level </w:t>
      </w:r>
      <w:bookmarkStart w:id="7" w:name="_Hlk168666960"/>
      <w:r w:rsidRPr="00EE6D3F">
        <w:rPr>
          <w:rFonts w:ascii="Arial" w:hAnsi="Arial" w:cs="Arial"/>
        </w:rPr>
        <w:t>as it was based on the therapeutic dose</w:t>
      </w:r>
      <w:bookmarkEnd w:id="7"/>
      <w:r w:rsidRPr="00EE6D3F">
        <w:rPr>
          <w:rFonts w:ascii="Arial" w:hAnsi="Arial" w:cs="Arial"/>
        </w:rPr>
        <w:t>.  Assuming 100% bioavailability by both the inhalation and oral routes (as assumed by ECB 2005), this can be converted to a LOAEC of 45 mg/m</w:t>
      </w:r>
      <w:r w:rsidRPr="00EE6D3F">
        <w:rPr>
          <w:rFonts w:ascii="Arial" w:hAnsi="Arial" w:cs="Arial"/>
          <w:vertAlign w:val="superscript"/>
        </w:rPr>
        <w:t>3</w:t>
      </w:r>
      <w:r w:rsidRPr="00EE6D3F">
        <w:rPr>
          <w:rFonts w:ascii="Arial" w:hAnsi="Arial" w:cs="Arial"/>
        </w:rPr>
        <w:t xml:space="preserve"> by assuming a young child inhales 10 m</w:t>
      </w:r>
      <w:r w:rsidRPr="00EE6D3F">
        <w:rPr>
          <w:rFonts w:ascii="Arial" w:hAnsi="Arial" w:cs="Arial"/>
          <w:vertAlign w:val="superscript"/>
        </w:rPr>
        <w:t>3</w:t>
      </w:r>
      <w:r w:rsidRPr="00EE6D3F">
        <w:rPr>
          <w:rFonts w:ascii="Arial" w:hAnsi="Arial" w:cs="Arial"/>
        </w:rPr>
        <w:t xml:space="preserve"> per day and weighs 15 kg.  Considering the commentary by ECB (2005), a total UF of 300 was applied (a factor of 10 for intraspecies variation, a factor of 10 for extrapolation from LOAEC to NOAEC, and a factor of 3 for the quality of the database). </w:t>
      </w:r>
    </w:p>
    <w:p w14:paraId="7825BF61" w14:textId="77777777" w:rsidR="008002CC" w:rsidRPr="00EE6D3F" w:rsidRDefault="008002CC" w:rsidP="008002CC">
      <w:pPr>
        <w:pStyle w:val="Heading4"/>
        <w:rPr>
          <w:rFonts w:ascii="Arial" w:hAnsi="Arial" w:cs="Arial"/>
          <w:color w:val="auto"/>
        </w:rPr>
      </w:pPr>
      <w:r w:rsidRPr="00EE6D3F">
        <w:rPr>
          <w:rFonts w:ascii="Arial" w:hAnsi="Arial" w:cs="Arial"/>
          <w:color w:val="auto"/>
        </w:rPr>
        <w:t>Long-term EAL</w:t>
      </w:r>
    </w:p>
    <w:p w14:paraId="5B2BDBA8" w14:textId="77777777" w:rsidR="008002CC" w:rsidRPr="00EE6D3F" w:rsidRDefault="008002CC" w:rsidP="008002CC">
      <w:pPr>
        <w:jc w:val="both"/>
        <w:rPr>
          <w:rFonts w:ascii="Arial" w:hAnsi="Arial" w:cs="Arial"/>
        </w:rPr>
      </w:pPr>
      <w:r w:rsidRPr="00EE6D3F">
        <w:rPr>
          <w:rFonts w:ascii="Arial" w:hAnsi="Arial" w:cs="Arial"/>
        </w:rPr>
        <w:t>No authoritative long-term HBGVs for inhalation exposures have been derived.  The DNEL for workers was not considered a suitable basis for the long-term EAL.</w:t>
      </w:r>
    </w:p>
    <w:p w14:paraId="3C9699C4" w14:textId="77777777" w:rsidR="008002CC" w:rsidRPr="00EE6D3F" w:rsidRDefault="008002CC" w:rsidP="008002CC">
      <w:pPr>
        <w:jc w:val="both"/>
        <w:rPr>
          <w:rFonts w:ascii="Arial" w:hAnsi="Arial" w:cs="Arial"/>
        </w:rPr>
      </w:pPr>
      <w:r w:rsidRPr="00EE6D3F">
        <w:rPr>
          <w:rFonts w:ascii="Arial" w:hAnsi="Arial" w:cs="Arial"/>
        </w:rPr>
        <w:t>A long-term EAL of 0.015 mg/m</w:t>
      </w:r>
      <w:r w:rsidRPr="00EE6D3F">
        <w:rPr>
          <w:rFonts w:ascii="Arial" w:hAnsi="Arial" w:cs="Arial"/>
          <w:vertAlign w:val="superscript"/>
        </w:rPr>
        <w:t>3</w:t>
      </w:r>
      <w:r w:rsidRPr="00EE6D3F">
        <w:rPr>
          <w:rFonts w:ascii="Arial" w:hAnsi="Arial" w:cs="Arial"/>
        </w:rPr>
        <w:t xml:space="preserve"> as a 24-hour mean is proposed to protect the public.</w:t>
      </w:r>
    </w:p>
    <w:p w14:paraId="7895D6F5" w14:textId="77777777" w:rsidR="008002CC" w:rsidRPr="00EE6D3F" w:rsidRDefault="008002CC" w:rsidP="008002CC">
      <w:pPr>
        <w:jc w:val="both"/>
        <w:rPr>
          <w:rFonts w:ascii="Arial" w:hAnsi="Arial" w:cs="Arial"/>
        </w:rPr>
      </w:pPr>
      <w:r w:rsidRPr="00EE6D3F">
        <w:rPr>
          <w:rFonts w:ascii="Arial" w:hAnsi="Arial" w:cs="Arial"/>
        </w:rPr>
        <w:t>ECB (2005) identified the importance of neurotoxicity in clinical case studies in humans, which is not observed in rodent laboratory studies.  There is a lack of dose-response information.  A long-term EAL of 0.015 mg/m</w:t>
      </w:r>
      <w:r w:rsidRPr="00EE6D3F">
        <w:rPr>
          <w:rFonts w:ascii="Arial" w:hAnsi="Arial" w:cs="Arial"/>
          <w:vertAlign w:val="superscript"/>
        </w:rPr>
        <w:t>3</w:t>
      </w:r>
      <w:r w:rsidRPr="00EE6D3F">
        <w:rPr>
          <w:rFonts w:ascii="Arial" w:hAnsi="Arial" w:cs="Arial"/>
        </w:rPr>
        <w:t xml:space="preserve"> was derived from the clinical case study (Belloni and Rizzoni 1967 cited by ECB 2005), where abnormal EEG changes were observed in children prescribed PZ hexahydrate at a dose of 35 mg/kg body weight/day PZ base for five days.  ECB (2005) regarded the approximate 30 mg/kg body weight/day as an effect level as it was based on the therapeutic dose.  Assuming 100% bioavailability by both the inhalation and oral routes (as assumed also by ECB 2005), this can be converted to a LOAEC of 45 mg/m</w:t>
      </w:r>
      <w:r w:rsidRPr="00EE6D3F">
        <w:rPr>
          <w:rFonts w:ascii="Arial" w:hAnsi="Arial" w:cs="Arial"/>
          <w:vertAlign w:val="superscript"/>
        </w:rPr>
        <w:t>3</w:t>
      </w:r>
      <w:r w:rsidRPr="00EE6D3F">
        <w:rPr>
          <w:rFonts w:ascii="Arial" w:hAnsi="Arial" w:cs="Arial"/>
        </w:rPr>
        <w:t xml:space="preserve"> by assuming a young child inhales 10 m</w:t>
      </w:r>
      <w:r w:rsidRPr="00EE6D3F">
        <w:rPr>
          <w:rFonts w:ascii="Arial" w:hAnsi="Arial" w:cs="Arial"/>
          <w:vertAlign w:val="superscript"/>
        </w:rPr>
        <w:t>3</w:t>
      </w:r>
      <w:r w:rsidRPr="00EE6D3F">
        <w:rPr>
          <w:rFonts w:ascii="Arial" w:hAnsi="Arial" w:cs="Arial"/>
        </w:rPr>
        <w:t xml:space="preserve"> per day and weighs 15 kg.  Considering the commentary by ECB (2005), a total UF of 3,000 was applied (a factor of 10 for intraspecies variation, a factor of 10 for extrapolation from LOAEC to NOAEC, a factor of 10 to extrapolate to chronic exposures, and a factor of 3 for the quality of the database).</w:t>
      </w:r>
    </w:p>
    <w:p w14:paraId="27645E48" w14:textId="77777777" w:rsidR="008002CC" w:rsidRPr="00EE6D3F" w:rsidRDefault="008002CC" w:rsidP="008002CC">
      <w:pPr>
        <w:jc w:val="both"/>
        <w:rPr>
          <w:rFonts w:ascii="Arial" w:hAnsi="Arial" w:cs="Arial"/>
        </w:rPr>
      </w:pPr>
      <w:r w:rsidRPr="00EE6D3F">
        <w:rPr>
          <w:rFonts w:ascii="Arial" w:hAnsi="Arial" w:cs="Arial"/>
        </w:rPr>
        <w:t>This value is protective of other toxic effects and potential carcinogenicity resulting from conversion of PZ to NPZ following inhalation.</w:t>
      </w:r>
    </w:p>
    <w:p w14:paraId="5081AB93" w14:textId="77777777" w:rsidR="008002CC" w:rsidRPr="009E5ECA" w:rsidRDefault="008002CC" w:rsidP="008002CC">
      <w:pPr>
        <w:pStyle w:val="Heading3"/>
        <w:spacing w:before="160"/>
        <w:rPr>
          <w:rFonts w:ascii="Arial" w:hAnsi="Arial" w:cs="Arial"/>
        </w:rPr>
      </w:pPr>
      <w:r w:rsidRPr="009E5ECA">
        <w:rPr>
          <w:rFonts w:ascii="Arial" w:hAnsi="Arial" w:cs="Arial"/>
        </w:rPr>
        <w:lastRenderedPageBreak/>
        <w:t>Practical Compliance Constraints</w:t>
      </w:r>
    </w:p>
    <w:p w14:paraId="19A001D1" w14:textId="77777777" w:rsidR="008002CC" w:rsidRPr="00EE6D3F" w:rsidRDefault="008002CC" w:rsidP="008002CC">
      <w:pPr>
        <w:jc w:val="both"/>
        <w:rPr>
          <w:rFonts w:ascii="Arial" w:hAnsi="Arial" w:cs="Arial"/>
        </w:rPr>
      </w:pPr>
      <w:r w:rsidRPr="00EE6D3F">
        <w:rPr>
          <w:rFonts w:ascii="Arial" w:hAnsi="Arial" w:cs="Arial"/>
        </w:rPr>
        <w:t>Depending on the toxicity of a substance, both a short- and long-term EAL may be appropriate, reflecting adverse effects to health over different exposure periods. Notwithstanding the possible differences in the toxicology (dose-response and endpoints) between potential short-term and long-term health effects, there is a practical limit on the value of a short-term EAL if the long-term EAL or statutory value is not to be exceeded. The limit depends on whether the long-term EAL is based on either a threshold or a non-threshold health effect.</w:t>
      </w:r>
    </w:p>
    <w:p w14:paraId="2A72797B" w14:textId="77777777" w:rsidR="008002CC" w:rsidRPr="00EE6D3F" w:rsidRDefault="008002CC" w:rsidP="008002CC">
      <w:pPr>
        <w:jc w:val="both"/>
        <w:rPr>
          <w:rFonts w:ascii="Arial" w:hAnsi="Arial" w:cs="Arial"/>
          <w:b/>
          <w:bCs/>
          <w:u w:val="single"/>
        </w:rPr>
      </w:pPr>
      <w:r w:rsidRPr="00EE6D3F">
        <w:rPr>
          <w:rFonts w:ascii="Arial" w:hAnsi="Arial" w:cs="Arial"/>
          <w:b/>
          <w:bCs/>
          <w:u w:val="single"/>
        </w:rPr>
        <w:t>Thresholded Effects</w:t>
      </w:r>
    </w:p>
    <w:p w14:paraId="04AB3343" w14:textId="77777777" w:rsidR="008002CC" w:rsidRPr="00EE6D3F" w:rsidRDefault="008002CC" w:rsidP="008002CC">
      <w:pPr>
        <w:jc w:val="both"/>
        <w:rPr>
          <w:rFonts w:ascii="Arial" w:hAnsi="Arial" w:cs="Arial"/>
        </w:rPr>
      </w:pPr>
      <w:r w:rsidRPr="00EE6D3F">
        <w:rPr>
          <w:rFonts w:ascii="Arial" w:hAnsi="Arial" w:cs="Arial"/>
        </w:rPr>
        <w:t>The long-term EAL is usually based on a 24-hour time weighted mean concentration. The highest short-term air concentration that will not exceed the long-term EAL can be estimated by multiplying the long-term value by 24 for a short-term hourly upper limit.  There is no short-term daily upper limit.</w:t>
      </w:r>
    </w:p>
    <w:p w14:paraId="36DA4112" w14:textId="77777777" w:rsidR="008002CC" w:rsidRPr="00EE6D3F" w:rsidRDefault="008002CC" w:rsidP="008002CC">
      <w:pPr>
        <w:jc w:val="both"/>
        <w:rPr>
          <w:rFonts w:ascii="Arial" w:hAnsi="Arial" w:cs="Arial"/>
        </w:rPr>
      </w:pPr>
      <w:r w:rsidRPr="00EE6D3F">
        <w:rPr>
          <w:rFonts w:ascii="Arial" w:hAnsi="Arial" w:cs="Arial"/>
        </w:rPr>
        <w:t>Any proposed short-term EAL should be less than the appropriate daily or hourly upper limit to be useful without any practical constraint imposed by the need to ensure compliance with the long-term EAL or statutory value.  If a recommended short-term EAL is equal to or exceeds the upper limit, then it is assumed that compliance with the long-term EAL will be protective of short-term exposures and health effects.</w:t>
      </w:r>
    </w:p>
    <w:p w14:paraId="6DFF1E10" w14:textId="77777777" w:rsidR="008002CC" w:rsidRDefault="008002CC" w:rsidP="008002CC">
      <w:pPr>
        <w:jc w:val="both"/>
        <w:rPr>
          <w:rFonts w:ascii="Arial" w:hAnsi="Arial" w:cs="Arial"/>
        </w:rPr>
      </w:pPr>
      <w:r w:rsidRPr="00EE6D3F">
        <w:rPr>
          <w:rFonts w:ascii="Arial" w:hAnsi="Arial" w:cs="Arial"/>
        </w:rPr>
        <w:t>In the case of piperazine (PZ), the proposed short-term EAL of 0.15 mg/m</w:t>
      </w:r>
      <w:r w:rsidRPr="00EE6D3F">
        <w:rPr>
          <w:rFonts w:ascii="Arial" w:hAnsi="Arial" w:cs="Arial"/>
          <w:vertAlign w:val="superscript"/>
        </w:rPr>
        <w:t>3</w:t>
      </w:r>
      <w:r w:rsidRPr="00EE6D3F">
        <w:rPr>
          <w:rFonts w:ascii="Arial" w:hAnsi="Arial" w:cs="Arial"/>
        </w:rPr>
        <w:t xml:space="preserve"> (24-hour mean) exceeds the long-term EAL of 0.015 mg/m</w:t>
      </w:r>
      <w:r w:rsidRPr="00EE6D3F">
        <w:rPr>
          <w:rFonts w:ascii="Arial" w:hAnsi="Arial" w:cs="Arial"/>
          <w:vertAlign w:val="superscript"/>
        </w:rPr>
        <w:t>3</w:t>
      </w:r>
      <w:r w:rsidRPr="00EE6D3F">
        <w:rPr>
          <w:rFonts w:ascii="Arial" w:hAnsi="Arial" w:cs="Arial"/>
        </w:rPr>
        <w:t xml:space="preserve"> (24-hour mean) based on a threshold effect.  Therefore, due to the requirements for practical compliance, no short-term EAL is proposed.</w:t>
      </w:r>
    </w:p>
    <w:p w14:paraId="3C6EB300" w14:textId="77777777" w:rsidR="00D94ACD" w:rsidRDefault="00D94ACD" w:rsidP="008002CC">
      <w:pPr>
        <w:jc w:val="both"/>
        <w:rPr>
          <w:rFonts w:ascii="Arial" w:hAnsi="Arial" w:cs="Arial"/>
        </w:rPr>
      </w:pPr>
    </w:p>
    <w:p w14:paraId="0FF7571A" w14:textId="77777777" w:rsidR="00D94ACD" w:rsidRDefault="00D94ACD" w:rsidP="008002CC">
      <w:pPr>
        <w:jc w:val="both"/>
        <w:rPr>
          <w:rFonts w:ascii="Arial" w:hAnsi="Arial" w:cs="Arial"/>
        </w:rPr>
      </w:pPr>
    </w:p>
    <w:p w14:paraId="748632C8" w14:textId="77777777" w:rsidR="00D94ACD" w:rsidRDefault="00D94ACD" w:rsidP="008002CC">
      <w:pPr>
        <w:jc w:val="both"/>
        <w:rPr>
          <w:rFonts w:ascii="Arial" w:hAnsi="Arial" w:cs="Arial"/>
        </w:rPr>
      </w:pPr>
    </w:p>
    <w:p w14:paraId="61A36A5A" w14:textId="77777777" w:rsidR="001D707B" w:rsidRDefault="001D707B" w:rsidP="001D707B">
      <w:pPr>
        <w:pStyle w:val="Heading2"/>
      </w:pPr>
      <w:bookmarkStart w:id="8" w:name="_Toc27563628"/>
      <w:r>
        <w:t>Selenium and its compounds (CAS Number 7782-49-2)</w:t>
      </w:r>
      <w:bookmarkEnd w:id="8"/>
    </w:p>
    <w:p w14:paraId="5533DCA8" w14:textId="77777777" w:rsidR="001D707B" w:rsidRPr="005860C0" w:rsidRDefault="001D707B" w:rsidP="001D707B">
      <w:pPr>
        <w:jc w:val="both"/>
        <w:rPr>
          <w:rFonts w:cstheme="minorHAnsi"/>
        </w:rPr>
      </w:pPr>
      <w:r w:rsidRPr="00E46819">
        <w:rPr>
          <w:rFonts w:cstheme="minorHAnsi"/>
        </w:rPr>
        <w:t>Selenium is a ubiquitous non-metal element</w:t>
      </w:r>
      <w:r>
        <w:rPr>
          <w:rFonts w:cstheme="minorHAnsi"/>
        </w:rPr>
        <w:t xml:space="preserve"> (IPCS</w:t>
      </w:r>
      <w:r w:rsidRPr="00E46819">
        <w:rPr>
          <w:rFonts w:cstheme="minorHAnsi"/>
        </w:rPr>
        <w:t xml:space="preserve"> 1987), which forms variable oxidation state compounds, the most common of which are selenite (+4), selenate (+6) and selenide (-2).  </w:t>
      </w:r>
      <w:r w:rsidRPr="00E46819">
        <w:rPr>
          <w:rFonts w:cstheme="minorHAnsi"/>
          <w:lang w:val="en"/>
        </w:rPr>
        <w:t>It is used to colour glass or ceramics, in semi-conductor diodes, in photoelectric cells, shampoos, to improve the properties of metal (steel) alloys, as a catalyst in the chemical industry, as an additive to dyes, plastics and lubricants, in the rubber industry and in clinical treatment (de Groot 2009).</w:t>
      </w:r>
      <w:r>
        <w:rPr>
          <w:rFonts w:cstheme="minorHAnsi"/>
          <w:lang w:val="en"/>
        </w:rPr>
        <w:t xml:space="preserve">  </w:t>
      </w:r>
      <w:r w:rsidRPr="00E46819">
        <w:rPr>
          <w:rFonts w:cstheme="minorHAnsi"/>
          <w:lang w:val="en"/>
        </w:rPr>
        <w:t xml:space="preserve">Significant atmospheric emissions of selenium </w:t>
      </w:r>
      <w:r>
        <w:rPr>
          <w:rFonts w:cstheme="minorHAnsi"/>
          <w:lang w:val="en"/>
        </w:rPr>
        <w:t xml:space="preserve">dioxide </w:t>
      </w:r>
      <w:r w:rsidRPr="00E46819">
        <w:rPr>
          <w:rFonts w:cstheme="minorHAnsi"/>
          <w:lang w:val="en"/>
        </w:rPr>
        <w:t>result from the combustion of coal</w:t>
      </w:r>
      <w:r>
        <w:rPr>
          <w:rFonts w:cstheme="minorHAnsi"/>
          <w:lang w:val="en"/>
        </w:rPr>
        <w:t xml:space="preserve"> and metal smelting, but it is rapidly transformed into elemental selenium by atmospheric reactions (Wen and Carignan 2007)</w:t>
      </w:r>
      <w:r w:rsidRPr="00E46819">
        <w:rPr>
          <w:rFonts w:cstheme="minorHAnsi"/>
          <w:lang w:val="en"/>
        </w:rPr>
        <w:t>.</w:t>
      </w:r>
      <w:r>
        <w:rPr>
          <w:rFonts w:cstheme="minorHAnsi"/>
          <w:lang w:val="en"/>
        </w:rPr>
        <w:t xml:space="preserve">  The principal route of human exposure is via the diet, where selenium forms important amino acid</w:t>
      </w:r>
      <w:r w:rsidRPr="00E46819">
        <w:rPr>
          <w:rFonts w:cstheme="minorHAnsi"/>
          <w:lang w:val="en"/>
        </w:rPr>
        <w:t>s including selenomethionine and selenocysteine</w:t>
      </w:r>
      <w:r>
        <w:rPr>
          <w:rFonts w:cstheme="minorHAnsi"/>
          <w:lang w:val="en"/>
        </w:rPr>
        <w:t xml:space="preserve"> (EFSA 2014).  </w:t>
      </w:r>
      <w:r>
        <w:rPr>
          <w:rFonts w:cstheme="minorHAnsi"/>
        </w:rPr>
        <w:t>Hydrogen selenide is a colourless gas with a foul pungent odour (SCOEL 1992), whose main uses were in the electronic and photovoltaic industries.  In line with the previous EAL derivation, hydrogen selenide is not included in this review.</w:t>
      </w:r>
    </w:p>
    <w:p w14:paraId="41A4EA54" w14:textId="77777777" w:rsidR="001D707B" w:rsidRDefault="001D707B" w:rsidP="001D707B">
      <w:pPr>
        <w:pStyle w:val="Heading3"/>
      </w:pPr>
      <w:r>
        <w:t>Regulatory Guidelines</w:t>
      </w:r>
    </w:p>
    <w:tbl>
      <w:tblPr>
        <w:tblStyle w:val="TableGrid"/>
        <w:tblW w:w="0" w:type="auto"/>
        <w:tblBorders>
          <w:insideV w:val="none" w:sz="0" w:space="0" w:color="auto"/>
        </w:tblBorders>
        <w:tblLook w:val="04A0" w:firstRow="1" w:lastRow="0" w:firstColumn="1" w:lastColumn="0" w:noHBand="0" w:noVBand="1"/>
      </w:tblPr>
      <w:tblGrid>
        <w:gridCol w:w="3801"/>
        <w:gridCol w:w="4495"/>
      </w:tblGrid>
      <w:tr w:rsidR="001D707B" w14:paraId="25F57AEB" w14:textId="77777777" w:rsidTr="00D8358E">
        <w:tc>
          <w:tcPr>
            <w:tcW w:w="4248" w:type="dxa"/>
          </w:tcPr>
          <w:p w14:paraId="6EBE756D" w14:textId="77777777" w:rsidR="001D707B" w:rsidRDefault="001D707B" w:rsidP="00D8358E">
            <w:pPr>
              <w:jc w:val="both"/>
            </w:pPr>
            <w:r>
              <w:t>None</w:t>
            </w:r>
          </w:p>
        </w:tc>
        <w:tc>
          <w:tcPr>
            <w:tcW w:w="5102" w:type="dxa"/>
          </w:tcPr>
          <w:p w14:paraId="1BABB96E" w14:textId="77777777" w:rsidR="001D707B" w:rsidRDefault="001D707B" w:rsidP="00D8358E">
            <w:pPr>
              <w:jc w:val="both"/>
            </w:pPr>
          </w:p>
        </w:tc>
      </w:tr>
    </w:tbl>
    <w:p w14:paraId="55794790" w14:textId="77777777" w:rsidR="001D707B" w:rsidRDefault="001D707B" w:rsidP="001D707B">
      <w:pPr>
        <w:pStyle w:val="Heading3"/>
      </w:pPr>
    </w:p>
    <w:p w14:paraId="28BB3003" w14:textId="77777777" w:rsidR="001D707B" w:rsidRPr="00A52DD2" w:rsidRDefault="001D707B" w:rsidP="001D707B">
      <w:pPr>
        <w:pStyle w:val="Heading3"/>
      </w:pPr>
      <w:r w:rsidRPr="00A52DD2">
        <w:t>Recommended Environmental Assessment Level in Air</w:t>
      </w:r>
    </w:p>
    <w:tbl>
      <w:tblPr>
        <w:tblStyle w:val="TableGrid"/>
        <w:tblW w:w="0" w:type="auto"/>
        <w:tblLook w:val="04A0" w:firstRow="1" w:lastRow="0" w:firstColumn="1" w:lastColumn="0" w:noHBand="0" w:noVBand="1"/>
      </w:tblPr>
      <w:tblGrid>
        <w:gridCol w:w="3737"/>
        <w:gridCol w:w="4559"/>
      </w:tblGrid>
      <w:tr w:rsidR="001D707B" w14:paraId="434298A0" w14:textId="77777777" w:rsidTr="00D8358E">
        <w:tc>
          <w:tcPr>
            <w:tcW w:w="4248" w:type="dxa"/>
          </w:tcPr>
          <w:p w14:paraId="302DAE9E" w14:textId="77777777" w:rsidR="001D707B" w:rsidRDefault="001D707B" w:rsidP="00D8358E">
            <w:pPr>
              <w:jc w:val="both"/>
            </w:pPr>
            <w:r>
              <w:t>Long-term EAL</w:t>
            </w:r>
          </w:p>
        </w:tc>
        <w:tc>
          <w:tcPr>
            <w:tcW w:w="5102" w:type="dxa"/>
          </w:tcPr>
          <w:p w14:paraId="6390C0D5" w14:textId="77777777" w:rsidR="001D707B" w:rsidRDefault="001D707B" w:rsidP="00D8358E">
            <w:pPr>
              <w:jc w:val="both"/>
            </w:pPr>
            <w:r>
              <w:rPr>
                <w:rFonts w:cstheme="minorHAnsi"/>
              </w:rPr>
              <w:t xml:space="preserve">0.002 </w:t>
            </w:r>
            <w:r w:rsidRPr="00067100">
              <w:t>mg/</w:t>
            </w:r>
            <w:r w:rsidRPr="00502C7B">
              <w:t>m</w:t>
            </w:r>
            <w:r w:rsidRPr="00502C7B">
              <w:rPr>
                <w:vertAlign w:val="superscript"/>
              </w:rPr>
              <w:t>3</w:t>
            </w:r>
            <w:r w:rsidRPr="00502C7B">
              <w:t xml:space="preserve"> </w:t>
            </w:r>
            <w:r>
              <w:t xml:space="preserve">(2 </w:t>
            </w:r>
            <w:r>
              <w:rPr>
                <w:rFonts w:cstheme="minorHAnsi"/>
              </w:rPr>
              <w:t>µ</w:t>
            </w:r>
            <w:r>
              <w:t>g/m</w:t>
            </w:r>
            <w:r w:rsidRPr="00502C7B">
              <w:rPr>
                <w:vertAlign w:val="superscript"/>
              </w:rPr>
              <w:t>3</w:t>
            </w:r>
            <w:r>
              <w:t xml:space="preserve">) </w:t>
            </w:r>
            <w:r w:rsidRPr="00502C7B">
              <w:t>as</w:t>
            </w:r>
            <w:r>
              <w:t xml:space="preserve"> a 24-hour mean </w:t>
            </w:r>
          </w:p>
        </w:tc>
      </w:tr>
      <w:tr w:rsidR="001D707B" w14:paraId="61EABA35" w14:textId="77777777" w:rsidTr="00D8358E">
        <w:tc>
          <w:tcPr>
            <w:tcW w:w="4248" w:type="dxa"/>
          </w:tcPr>
          <w:p w14:paraId="6CE60585" w14:textId="77777777" w:rsidR="001D707B" w:rsidRDefault="001D707B" w:rsidP="00D8358E">
            <w:pPr>
              <w:jc w:val="both"/>
            </w:pPr>
            <w:r>
              <w:t>Short-term EAL</w:t>
            </w:r>
          </w:p>
        </w:tc>
        <w:tc>
          <w:tcPr>
            <w:tcW w:w="5102" w:type="dxa"/>
          </w:tcPr>
          <w:p w14:paraId="4F6E9F86" w14:textId="77777777" w:rsidR="001D707B" w:rsidRPr="00A52DD2" w:rsidRDefault="001D707B" w:rsidP="00D8358E">
            <w:pPr>
              <w:jc w:val="both"/>
            </w:pPr>
            <w:r>
              <w:t>Not recommended (insufficient evidence)</w:t>
            </w:r>
          </w:p>
        </w:tc>
      </w:tr>
    </w:tbl>
    <w:p w14:paraId="04F67DFE" w14:textId="77777777" w:rsidR="001D707B" w:rsidRDefault="001D707B" w:rsidP="001D707B">
      <w:pPr>
        <w:pStyle w:val="Heading3"/>
      </w:pPr>
    </w:p>
    <w:p w14:paraId="7F4C1A9D" w14:textId="77777777" w:rsidR="001D707B" w:rsidRDefault="001D707B" w:rsidP="001D707B">
      <w:pPr>
        <w:pStyle w:val="Heading3"/>
      </w:pPr>
      <w:r>
        <w:t>Overview</w:t>
      </w:r>
    </w:p>
    <w:p w14:paraId="25A5F2B8" w14:textId="77777777" w:rsidR="001D707B" w:rsidRDefault="001D707B" w:rsidP="001D707B">
      <w:pPr>
        <w:jc w:val="both"/>
      </w:pPr>
      <w:r>
        <w:t xml:space="preserve">Adverse effects from exposure to selenium and its compounds have been reviewed by a few authoritative bodies (ATSDR 2003, EA 2009, EVM 2003, IPCS 1987, US EPA 1991, WHO 2011).  Selenium is an essential element in humans and animals, where it is a component of the enzyme glutathione peroxidase, and an antidote to the toxic effects of other trace metals including mercury, cadmium, and arsenic (de Groot 2009).  </w:t>
      </w:r>
      <w:r w:rsidRPr="00F13571">
        <w:t>There is limited evidence on its inhalation toxicity, but selenium dust is a strong irritant of the upper respiratory tract and lungs (ATSDR 2003). Evidence for systemic toxicity comes from epidemiological studies of excessive dietary exposure</w:t>
      </w:r>
      <w:r>
        <w:t xml:space="preserve"> </w:t>
      </w:r>
      <w:r w:rsidRPr="00F13571">
        <w:t xml:space="preserve">(ATSDR 2003, </w:t>
      </w:r>
      <w:r>
        <w:t>EA</w:t>
      </w:r>
      <w:r w:rsidRPr="00F13571">
        <w:t xml:space="preserve"> 2009, EVM 2003, US EPA 1991,</w:t>
      </w:r>
      <w:r>
        <w:t xml:space="preserve"> </w:t>
      </w:r>
      <w:r w:rsidRPr="00F13571">
        <w:t>WHO 2011), which resulted in selenosis, whose symptoms include the dermal and neurological effects of diseased nails, skin</w:t>
      </w:r>
      <w:r>
        <w:t>,</w:t>
      </w:r>
      <w:r w:rsidRPr="00F13571">
        <w:t xml:space="preserve"> and hair loss, as well as an unsteady gait and paralysis.</w:t>
      </w:r>
      <w:r>
        <w:rPr>
          <w:rStyle w:val="FootnoteReference"/>
        </w:rPr>
        <w:footnoteReference w:id="10"/>
      </w:r>
      <w:r>
        <w:t xml:space="preserve"> </w:t>
      </w:r>
    </w:p>
    <w:p w14:paraId="6A5D5615" w14:textId="77777777" w:rsidR="001D707B" w:rsidRDefault="001D707B" w:rsidP="001D707B">
      <w:pPr>
        <w:pStyle w:val="Heading4"/>
      </w:pPr>
      <w:r>
        <w:t>Toxicokinetics</w:t>
      </w:r>
    </w:p>
    <w:p w14:paraId="19BC4A49" w14:textId="77777777" w:rsidR="001D707B" w:rsidRDefault="001D707B" w:rsidP="001D707B">
      <w:pPr>
        <w:jc w:val="both"/>
      </w:pPr>
      <w:r>
        <w:t xml:space="preserve">Animal studies indicate that selenium is extensively absorbed after inhalation exposure with the rate of uptake dependent on chemical form and particle size (ATSDR 2003).  When supplied as selenomethionine and selenocysteine, oral absorption is close to 90% (EFSA 2014), but although </w:t>
      </w:r>
      <w:r>
        <w:lastRenderedPageBreak/>
        <w:t>inorganic forms are well absorbed, the rates are closer to 50% (EA 2009).  Selenite has been observed to be better absorbed than selenate, but retention of selenium from these two species appears to be similar (EFSA 2014).  Absorption efficiency does not seem to be affected by selenium status or play a role in the homeostatic regulation of selenium (ATSDR 2003, EFSA 2014).</w:t>
      </w:r>
    </w:p>
    <w:p w14:paraId="677A8026" w14:textId="77777777" w:rsidR="001D707B" w:rsidRPr="00760F92" w:rsidRDefault="001D707B" w:rsidP="001D707B">
      <w:pPr>
        <w:jc w:val="both"/>
      </w:pPr>
      <w:r>
        <w:t xml:space="preserve">In blood plasma, the most abundant selenoproteins with known functions are SEPP1 and extracellular glutathione peroxidase, typically accounting for approximately 30–60 % and 10–30 % of selenium, respectively (EFSA 2014).  The rest of plasma selenium consists of selenomethionine in albumin and other proteins and a minor fraction (&lt; 3 %) in small molecular compounds such as selenosugars.  Studies in rodents have demonstrated a hierarchy amongst the selenoproteins, with preferential incorporation of selenium into certain selenoproteins and the prioritisation of selenium supply to specific organs, in particular the brain and the </w:t>
      </w:r>
      <w:r w:rsidRPr="00760F92">
        <w:t>reproductive and endocrine organs (EFSA 2014).</w:t>
      </w:r>
      <w:r>
        <w:t xml:space="preserve">  </w:t>
      </w:r>
      <w:r w:rsidRPr="00760F92">
        <w:t>The thyroid gland has the highest selenium concentration, followed by the kidneys, testes</w:t>
      </w:r>
      <w:r>
        <w:t>,</w:t>
      </w:r>
      <w:r w:rsidRPr="00760F92">
        <w:t xml:space="preserve"> and liver.</w:t>
      </w:r>
      <w:r>
        <w:t xml:space="preserve">  </w:t>
      </w:r>
      <w:r w:rsidRPr="00760F92">
        <w:t>Skeletal muscles account for the major</w:t>
      </w:r>
      <w:r>
        <w:t>ity</w:t>
      </w:r>
      <w:r w:rsidRPr="00760F92">
        <w:t xml:space="preserve"> of body content (30–50 %), while less selenium is contained in the bones (15 %), blood (10 %), liver (8 %), kidneys (3 %) and brain (3 %).</w:t>
      </w:r>
    </w:p>
    <w:p w14:paraId="61932365" w14:textId="77777777" w:rsidR="001D707B" w:rsidRDefault="001D707B" w:rsidP="001D707B">
      <w:pPr>
        <w:jc w:val="both"/>
      </w:pPr>
      <w:r w:rsidRPr="00760F92">
        <w:t>Absorbed selenocysteine, selenate, and selenite are available for the synthesis of selenoproteins</w:t>
      </w:r>
      <w:r>
        <w:t xml:space="preserve"> (EFSA 2014).  </w:t>
      </w:r>
      <w:r w:rsidRPr="00760F92">
        <w:t>Cellular selenoprotein synthesis involves the degradation of free selenocysteine to selenide, which is then converted to selenophosphate and selenocysteine-tRNA</w:t>
      </w:r>
      <w:r w:rsidRPr="00760F92">
        <w:rPr>
          <w:vertAlign w:val="superscript"/>
        </w:rPr>
        <w:t>[ser]sec</w:t>
      </w:r>
      <w:r w:rsidRPr="00760F92">
        <w:t xml:space="preserve"> before integration of selenocysteine into t</w:t>
      </w:r>
      <w:r>
        <w:t xml:space="preserve">he expanding polypeptide chain.  </w:t>
      </w:r>
      <w:r w:rsidRPr="00760F92">
        <w:t>Utilisation of selenate or selenite for selenoprotein synthesis first requires reduction to selenide via interaction with g</w:t>
      </w:r>
      <w:r>
        <w:t>lutathione</w:t>
      </w:r>
      <w:r w:rsidRPr="00760F92">
        <w:t>.</w:t>
      </w:r>
      <w:r>
        <w:t xml:space="preserve">  SEPP1 appears to play a central role in selenium supply to tissues and to participate in the regulation of selenium metabolism.  Whole-body selenium appears to be regulated in the liver through the distribution from the functional selenium body pool between pathways of selenoprotein synthesis, including SEPP1, and selenium excretory metabolites.</w:t>
      </w:r>
    </w:p>
    <w:p w14:paraId="64C1C19D" w14:textId="77777777" w:rsidR="001D707B" w:rsidRDefault="001D707B" w:rsidP="001D707B">
      <w:pPr>
        <w:jc w:val="both"/>
      </w:pPr>
      <w:r>
        <w:t>Methylated selenium metabolites in the liver are predominantly excreted in urine, between 40 – 60% of total dietary intake (EFSA 2014).  Urinary metabolites include a methylated selenosugar, Se-methyl-</w:t>
      </w:r>
      <w:r>
        <w:rPr>
          <w:i/>
          <w:iCs/>
        </w:rPr>
        <w:t>N</w:t>
      </w:r>
      <w:r>
        <w:t>-acetylgalactosamine, which is the major selenium compound in urine under normal dietary intakes.  Under conditions of excessive selenium intake, the major elimination metabolite in urine is the trimethylselenonium ion, which is often accompanied by garlic breath (dimethylselenide).  Unabsorbed selenium and some endogenous excretion from the turnover of intestinal mucosal cells, is excreted via the faeces (typically around 30% of total dietary intake).  Selenium is also found in breast milk (EFSA 2014).</w:t>
      </w:r>
    </w:p>
    <w:p w14:paraId="782DA1C3" w14:textId="77777777" w:rsidR="001D707B" w:rsidRDefault="001D707B" w:rsidP="001D707B">
      <w:pPr>
        <w:pStyle w:val="Heading4"/>
      </w:pPr>
      <w:r>
        <w:t>Short- and Long-term Exposures</w:t>
      </w:r>
    </w:p>
    <w:p w14:paraId="09A3AE1A" w14:textId="77777777" w:rsidR="001D707B" w:rsidRPr="0004183E" w:rsidRDefault="001D707B" w:rsidP="001D707B">
      <w:pPr>
        <w:jc w:val="both"/>
        <w:rPr>
          <w:rFonts w:cstheme="minorHAnsi"/>
        </w:rPr>
      </w:pPr>
      <w:r>
        <w:rPr>
          <w:rFonts w:cstheme="minorHAnsi"/>
        </w:rPr>
        <w:t xml:space="preserve">Most evidence for the systemic toxicity of selenium and its compounds comes from epidemiological and animal studies, where the principal route of exposure was ingestion (ATSDR 2003, EA 2009, IPCS 1987).  This section focuses on the limited evidence for local respiratory effects after inhalation (see Route-to-Route Extrapolation for a further discussion of oral exposure).  As a general observation, IPCS (1987) observed that elemental selenium did not appear to be as toxic as either hydrogen selenide or selenium dioxide.  Organic forms such as dimethylselenide are relatively non-toxic. </w:t>
      </w:r>
    </w:p>
    <w:p w14:paraId="675AE373" w14:textId="77777777" w:rsidR="001D707B" w:rsidRDefault="001D707B" w:rsidP="001D707B">
      <w:pPr>
        <w:jc w:val="both"/>
        <w:rPr>
          <w:rFonts w:cstheme="minorHAnsi"/>
        </w:rPr>
      </w:pPr>
      <w:r w:rsidRPr="009F56B7">
        <w:rPr>
          <w:rFonts w:cstheme="minorHAnsi"/>
        </w:rPr>
        <w:t>ATSDR (2003) found no case reports of death from inhalation of selenium dust and its compounds.</w:t>
      </w:r>
      <w:r>
        <w:rPr>
          <w:rFonts w:cstheme="minorHAnsi"/>
        </w:rPr>
        <w:t xml:space="preserve">  </w:t>
      </w:r>
      <w:r w:rsidRPr="009F56B7">
        <w:rPr>
          <w:rFonts w:cstheme="minorHAnsi"/>
          <w:color w:val="000000"/>
        </w:rPr>
        <w:t xml:space="preserve">In animals, the acute lethality of </w:t>
      </w:r>
      <w:r>
        <w:rPr>
          <w:rFonts w:cstheme="minorHAnsi"/>
          <w:color w:val="000000"/>
        </w:rPr>
        <w:t xml:space="preserve">inhaled </w:t>
      </w:r>
      <w:r w:rsidRPr="009F56B7">
        <w:rPr>
          <w:rFonts w:cstheme="minorHAnsi"/>
          <w:color w:val="000000"/>
        </w:rPr>
        <w:t xml:space="preserve">elemental selenium dust </w:t>
      </w:r>
      <w:r>
        <w:rPr>
          <w:rFonts w:cstheme="minorHAnsi"/>
          <w:color w:val="000000"/>
        </w:rPr>
        <w:t>and selenium dioxide has been investigated.  No deaths were reported in rabbits or guinea pigs exposed to dust at 31 mg/m</w:t>
      </w:r>
      <w:r w:rsidRPr="009F56B7">
        <w:rPr>
          <w:rFonts w:cstheme="minorHAnsi"/>
          <w:color w:val="000000"/>
          <w:vertAlign w:val="superscript"/>
        </w:rPr>
        <w:t>3</w:t>
      </w:r>
      <w:r>
        <w:rPr>
          <w:rFonts w:cstheme="minorHAnsi"/>
          <w:color w:val="000000"/>
        </w:rPr>
        <w:t xml:space="preserve"> for 4-hours per day, every other day for 8 days.  Higher levels were not tested.  </w:t>
      </w:r>
      <w:r>
        <w:rPr>
          <w:rFonts w:cstheme="minorHAnsi"/>
        </w:rPr>
        <w:t>All rats exposed to 150</w:t>
      </w:r>
      <w:r w:rsidRPr="00DB62AB">
        <w:rPr>
          <w:rFonts w:cstheme="minorHAnsi"/>
        </w:rPr>
        <w:t xml:space="preserve"> mg/m</w:t>
      </w:r>
      <w:r w:rsidRPr="00DB62AB">
        <w:rPr>
          <w:rFonts w:cstheme="minorHAnsi"/>
          <w:vertAlign w:val="superscript"/>
        </w:rPr>
        <w:t>3</w:t>
      </w:r>
      <w:r w:rsidRPr="00DB62AB">
        <w:rPr>
          <w:rFonts w:cstheme="minorHAnsi"/>
        </w:rPr>
        <w:t xml:space="preserve"> of selenium dioxide for up to 4 hours</w:t>
      </w:r>
      <w:r>
        <w:rPr>
          <w:rFonts w:cstheme="minorHAnsi"/>
        </w:rPr>
        <w:t xml:space="preserve"> died, but those exposed to 90 mg/m</w:t>
      </w:r>
      <w:r w:rsidRPr="002F58C9">
        <w:rPr>
          <w:rFonts w:cstheme="minorHAnsi"/>
          <w:vertAlign w:val="superscript"/>
        </w:rPr>
        <w:t>3</w:t>
      </w:r>
      <w:r>
        <w:rPr>
          <w:rFonts w:cstheme="minorHAnsi"/>
        </w:rPr>
        <w:t xml:space="preserve"> survived (IPCS 1987)</w:t>
      </w:r>
      <w:r w:rsidRPr="00DB62AB">
        <w:rPr>
          <w:rFonts w:cstheme="minorHAnsi"/>
        </w:rPr>
        <w:t>.</w:t>
      </w:r>
      <w:r>
        <w:rPr>
          <w:rFonts w:cstheme="minorHAnsi"/>
        </w:rPr>
        <w:t xml:space="preserve">  </w:t>
      </w:r>
      <w:r w:rsidRPr="00DB62AB">
        <w:rPr>
          <w:rFonts w:cstheme="minorHAnsi"/>
        </w:rPr>
        <w:t>Morphological examination of the organs revealed that intra</w:t>
      </w:r>
      <w:r>
        <w:rPr>
          <w:rFonts w:cstheme="minorHAnsi"/>
        </w:rPr>
        <w:t>-</w:t>
      </w:r>
      <w:r w:rsidRPr="00DB62AB">
        <w:rPr>
          <w:rFonts w:cstheme="minorHAnsi"/>
        </w:rPr>
        <w:t xml:space="preserve">alveolar and perivascular oedema occurred in the lungs, and haemorrhages and degenerative changes </w:t>
      </w:r>
      <w:r>
        <w:rPr>
          <w:rFonts w:cstheme="minorHAnsi"/>
        </w:rPr>
        <w:t xml:space="preserve">were found </w:t>
      </w:r>
      <w:r w:rsidRPr="00DB62AB">
        <w:rPr>
          <w:rFonts w:cstheme="minorHAnsi"/>
        </w:rPr>
        <w:t>in the liver, kidney, and heart.</w:t>
      </w:r>
      <w:r>
        <w:rPr>
          <w:rFonts w:cstheme="minorHAnsi"/>
        </w:rPr>
        <w:t xml:space="preserve"> </w:t>
      </w:r>
    </w:p>
    <w:p w14:paraId="24D4A1F9" w14:textId="77777777" w:rsidR="001D707B" w:rsidRDefault="001D707B" w:rsidP="001D707B">
      <w:pPr>
        <w:jc w:val="both"/>
        <w:rPr>
          <w:rFonts w:cstheme="minorHAnsi"/>
          <w:color w:val="000000"/>
        </w:rPr>
      </w:pPr>
      <w:r>
        <w:rPr>
          <w:rFonts w:cstheme="minorHAnsi"/>
        </w:rPr>
        <w:t>Workers in the production and recovery of selenium compounds and those in the manufacture of glass or rectifiers have been exposed to fumes and dusts of selenium and its compounds, mostly elemental selenium, and selenium dioxide (</w:t>
      </w:r>
      <w:r>
        <w:rPr>
          <w:rFonts w:cstheme="minorHAnsi"/>
          <w:color w:val="000000"/>
        </w:rPr>
        <w:t>ATSDR 2003, IPCS 1987</w:t>
      </w:r>
      <w:r>
        <w:rPr>
          <w:rFonts w:cstheme="minorHAnsi"/>
        </w:rPr>
        <w:t xml:space="preserve">).  Inhalation was expected to be the principal route of exposure.  These studies </w:t>
      </w:r>
      <w:r>
        <w:rPr>
          <w:rFonts w:cstheme="minorHAnsi"/>
          <w:color w:val="000000"/>
        </w:rPr>
        <w:t xml:space="preserve">showed that the respiratory tract is the primary target following inhalation, but gastrointestinal and cardiovascular, as well as irritation of the skin and eyes, also occurred.  In addition, short-term animal studies also reported haematological and hepatic effects including </w:t>
      </w:r>
      <w:r>
        <w:rPr>
          <w:rFonts w:cstheme="minorHAnsi"/>
        </w:rPr>
        <w:t>hepatocellular degeneration and liver atrophy (IPCS 1987).</w:t>
      </w:r>
    </w:p>
    <w:p w14:paraId="0C569637" w14:textId="77777777" w:rsidR="001D707B" w:rsidRPr="00F3350D" w:rsidRDefault="001D707B" w:rsidP="001D707B">
      <w:pPr>
        <w:jc w:val="both"/>
        <w:rPr>
          <w:rFonts w:cstheme="minorHAnsi"/>
        </w:rPr>
      </w:pPr>
      <w:r>
        <w:rPr>
          <w:rFonts w:cstheme="minorHAnsi"/>
        </w:rPr>
        <w:t>Selenium dioxide is volatile and is formed when selenium is heated in air and by the combustion of coal and other fossil fuels (de Groot 2009).  It forms selenious acid on contact with water including perspiration and moist mucous membranes, which leads to irritation.  Glover (1976</w:t>
      </w:r>
      <w:r w:rsidRPr="0074780B">
        <w:rPr>
          <w:rFonts w:cstheme="minorHAnsi"/>
        </w:rPr>
        <w:t xml:space="preserve">) summarised the local and systemic toxicity of selenium dioxide via inhalation, primarily acute, but </w:t>
      </w:r>
      <w:r>
        <w:rPr>
          <w:rFonts w:cstheme="minorHAnsi"/>
        </w:rPr>
        <w:t xml:space="preserve">also possibly long-term effects.  </w:t>
      </w:r>
      <w:r w:rsidRPr="0074780B">
        <w:rPr>
          <w:rFonts w:cstheme="minorHAnsi"/>
        </w:rPr>
        <w:t>Acute local effects were seen in the lungs, gastric muc</w:t>
      </w:r>
      <w:r>
        <w:rPr>
          <w:rFonts w:cstheme="minorHAnsi"/>
        </w:rPr>
        <w:t xml:space="preserve">osa, skin, nails, and eyes.  </w:t>
      </w:r>
      <w:r w:rsidRPr="0074780B">
        <w:rPr>
          <w:rFonts w:cstheme="minorHAnsi"/>
        </w:rPr>
        <w:t>Sudden inhalation of large amou</w:t>
      </w:r>
      <w:r>
        <w:rPr>
          <w:rFonts w:cstheme="minorHAnsi"/>
        </w:rPr>
        <w:t>nts produced</w:t>
      </w:r>
      <w:r w:rsidRPr="0074780B">
        <w:rPr>
          <w:rFonts w:cstheme="minorHAnsi"/>
        </w:rPr>
        <w:t xml:space="preserve"> pulmonary oedema</w:t>
      </w:r>
      <w:r>
        <w:rPr>
          <w:rFonts w:cstheme="minorHAnsi"/>
        </w:rPr>
        <w:t>s</w:t>
      </w:r>
      <w:r w:rsidRPr="0074780B">
        <w:rPr>
          <w:rFonts w:cstheme="minorHAnsi"/>
        </w:rPr>
        <w:t>, due to a local irritant effect on lung alveoli</w:t>
      </w:r>
      <w:r>
        <w:rPr>
          <w:rFonts w:cstheme="minorHAnsi"/>
        </w:rPr>
        <w:t xml:space="preserve"> (Glover 1970)</w:t>
      </w:r>
      <w:r w:rsidRPr="0074780B">
        <w:rPr>
          <w:rFonts w:cstheme="minorHAnsi"/>
        </w:rPr>
        <w:t>.</w:t>
      </w:r>
      <w:r>
        <w:rPr>
          <w:rFonts w:cstheme="minorHAnsi"/>
        </w:rPr>
        <w:t xml:space="preserve">  </w:t>
      </w:r>
      <w:r w:rsidRPr="0074780B">
        <w:rPr>
          <w:rFonts w:cstheme="minorHAnsi"/>
        </w:rPr>
        <w:t>Skin contact resulted in burns and/or dermatitis.</w:t>
      </w:r>
      <w:r>
        <w:rPr>
          <w:rFonts w:cstheme="minorHAnsi"/>
        </w:rPr>
        <w:t xml:space="preserve">  </w:t>
      </w:r>
      <w:r w:rsidRPr="0074780B">
        <w:rPr>
          <w:rFonts w:cstheme="minorHAnsi"/>
        </w:rPr>
        <w:t xml:space="preserve">"Rose eye", a pink discoloration of the skin of the eyelids, which often become puffy, </w:t>
      </w:r>
      <w:r>
        <w:rPr>
          <w:rFonts w:cstheme="minorHAnsi"/>
        </w:rPr>
        <w:t>was</w:t>
      </w:r>
      <w:r w:rsidRPr="0074780B">
        <w:rPr>
          <w:rFonts w:cstheme="minorHAnsi"/>
        </w:rPr>
        <w:t xml:space="preserve"> </w:t>
      </w:r>
      <w:r>
        <w:rPr>
          <w:rFonts w:cstheme="minorHAnsi"/>
        </w:rPr>
        <w:t xml:space="preserve">also </w:t>
      </w:r>
      <w:r w:rsidRPr="0074780B">
        <w:rPr>
          <w:rFonts w:cstheme="minorHAnsi"/>
        </w:rPr>
        <w:t>sometimes reported.</w:t>
      </w:r>
      <w:r>
        <w:rPr>
          <w:rFonts w:cstheme="minorHAnsi"/>
        </w:rPr>
        <w:t xml:space="preserve">  Reported s</w:t>
      </w:r>
      <w:r w:rsidRPr="0074780B">
        <w:rPr>
          <w:rFonts w:cstheme="minorHAnsi"/>
        </w:rPr>
        <w:t xml:space="preserve">ystemic effects </w:t>
      </w:r>
      <w:r w:rsidRPr="0074780B">
        <w:rPr>
          <w:rFonts w:cstheme="minorHAnsi"/>
        </w:rPr>
        <w:lastRenderedPageBreak/>
        <w:t>of selenium dioxide exposure included garlicky-smelling breath, metallic taste on the tongue, and indefinite socio-psychological effects such as lassitude and irritability.</w:t>
      </w:r>
      <w:r>
        <w:rPr>
          <w:rFonts w:cstheme="minorHAnsi"/>
        </w:rPr>
        <w:t xml:space="preserve">  G</w:t>
      </w:r>
      <w:r w:rsidRPr="0074780B">
        <w:rPr>
          <w:rFonts w:cstheme="minorHAnsi"/>
        </w:rPr>
        <w:t>arlicky breath was the first and most characteristic sign and had been used by occupational hygienists as a way of monitoring e</w:t>
      </w:r>
      <w:r>
        <w:rPr>
          <w:rFonts w:cstheme="minorHAnsi"/>
        </w:rPr>
        <w:t>xposure</w:t>
      </w:r>
      <w:r w:rsidRPr="0074780B">
        <w:rPr>
          <w:rFonts w:cstheme="minorHAnsi"/>
        </w:rPr>
        <w:t>.</w:t>
      </w:r>
      <w:r>
        <w:rPr>
          <w:rFonts w:cstheme="minorHAnsi"/>
        </w:rPr>
        <w:t xml:space="preserve">  Glover (1967) studied a group of selenium workers in a rectifier factory between 1953 and </w:t>
      </w:r>
      <w:r w:rsidRPr="00B21A81">
        <w:rPr>
          <w:rFonts w:cstheme="minorHAnsi"/>
        </w:rPr>
        <w:t>1956.</w:t>
      </w:r>
      <w:r>
        <w:rPr>
          <w:rFonts w:cstheme="minorHAnsi"/>
        </w:rPr>
        <w:t xml:space="preserve">  </w:t>
      </w:r>
      <w:r w:rsidRPr="00B21A81">
        <w:rPr>
          <w:rFonts w:cstheme="minorHAnsi"/>
        </w:rPr>
        <w:t>A strong odour of garlic on the breath was detected in most workers with selenium-urinary levels of 0.5 - 1.0 mg</w:t>
      </w:r>
      <w:r>
        <w:rPr>
          <w:rFonts w:cstheme="minorHAnsi"/>
        </w:rPr>
        <w:t>/l</w:t>
      </w:r>
      <w:r w:rsidRPr="00B21A81">
        <w:rPr>
          <w:rFonts w:cstheme="minorHAnsi"/>
        </w:rPr>
        <w:t>, but not below these levels.</w:t>
      </w:r>
      <w:r>
        <w:rPr>
          <w:rFonts w:cstheme="minorHAnsi"/>
        </w:rPr>
        <w:t xml:space="preserve">  Bronchial spasms, </w:t>
      </w:r>
      <w:r w:rsidRPr="002F58C9">
        <w:t xml:space="preserve">symptoms of asphyxiation, and persistent bronchitis </w:t>
      </w:r>
      <w:r>
        <w:t>were</w:t>
      </w:r>
      <w:r w:rsidRPr="002F58C9">
        <w:t xml:space="preserve"> noted in workers briefly </w:t>
      </w:r>
      <w:r>
        <w:t xml:space="preserve">exposed to high concentrations (Wilson 1962 cited in ATSDR 2003).  </w:t>
      </w:r>
    </w:p>
    <w:p w14:paraId="70CD7DC4" w14:textId="77777777" w:rsidR="001D707B" w:rsidRDefault="001D707B" w:rsidP="001D707B">
      <w:pPr>
        <w:jc w:val="both"/>
      </w:pPr>
      <w:r>
        <w:t xml:space="preserve">In animal studies, rats </w:t>
      </w:r>
      <w:r w:rsidRPr="00DD4A29">
        <w:t>exposed to selenium dust (average particle diameter, 1.2 μm) at levels of 33 mg</w:t>
      </w:r>
      <w:r>
        <w:t>/m</w:t>
      </w:r>
      <w:r w:rsidRPr="00DD4A29">
        <w:rPr>
          <w:vertAlign w:val="superscript"/>
        </w:rPr>
        <w:t>3</w:t>
      </w:r>
      <w:r>
        <w:t xml:space="preserve"> for 8-</w:t>
      </w:r>
      <w:r w:rsidRPr="00DD4A29">
        <w:t>hours</w:t>
      </w:r>
      <w:r>
        <w:t>,</w:t>
      </w:r>
      <w:r w:rsidRPr="00DD4A29">
        <w:t xml:space="preserve"> experie</w:t>
      </w:r>
      <w:r>
        <w:t>nced severe respiratory effects</w:t>
      </w:r>
      <w:r w:rsidRPr="00DD4A29">
        <w:t xml:space="preserve"> including haemorrhage and oedema of the lungs, and several a</w:t>
      </w:r>
      <w:r>
        <w:t>nimals died (Hall et al. 1951).  Histopathological examination</w:t>
      </w:r>
      <w:r w:rsidRPr="00DD4A29">
        <w:t xml:space="preserve"> of surviving animals revealed chronic interstitial pneumonitis.</w:t>
      </w:r>
      <w:r>
        <w:t xml:space="preserve">  </w:t>
      </w:r>
      <w:r w:rsidRPr="00DD4A29">
        <w:t>Acute exposure of rabbits and guinea pigs to selenium dust (average particle diameter, 1.2 μm) at a concentration of 33 mg</w:t>
      </w:r>
      <w:r>
        <w:t>/m</w:t>
      </w:r>
      <w:r w:rsidRPr="00DD4A29">
        <w:rPr>
          <w:vertAlign w:val="superscript"/>
        </w:rPr>
        <w:t>3</w:t>
      </w:r>
      <w:r>
        <w:t xml:space="preserve"> </w:t>
      </w:r>
      <w:r w:rsidRPr="00DD4A29">
        <w:t>resulted in mild interstitial pneumonitis or congestion, and slight emphysema in both species. Other histological findings included vascular lymphocytic infiltration and intra-alveolar foci of large macrophages.</w:t>
      </w:r>
      <w:r>
        <w:t xml:space="preserve">  Cardiovascular effects were not observed at the same concentration in rabbits or guinea pigs.</w:t>
      </w:r>
    </w:p>
    <w:p w14:paraId="165EB47A" w14:textId="77777777" w:rsidR="001D707B" w:rsidRDefault="001D707B" w:rsidP="001D707B">
      <w:pPr>
        <w:jc w:val="both"/>
        <w:rPr>
          <w:rFonts w:cstheme="minorHAnsi"/>
        </w:rPr>
      </w:pPr>
      <w:r>
        <w:t xml:space="preserve">Hepatoxicity, slight liver congestion and mild centrilobular atrophy, was observed in rats one month after </w:t>
      </w:r>
      <w:r w:rsidRPr="006C79B2">
        <w:t>an 8-hour exposure to selenium dust at 33 mg/m</w:t>
      </w:r>
      <w:r w:rsidRPr="006C79B2">
        <w:rPr>
          <w:vertAlign w:val="superscript"/>
        </w:rPr>
        <w:t>3</w:t>
      </w:r>
      <w:r>
        <w:t xml:space="preserve"> (Hall et al. 1951).  </w:t>
      </w:r>
      <w:r w:rsidRPr="006C79B2">
        <w:t>Three weeks following acute exposure to elemental se</w:t>
      </w:r>
      <w:r>
        <w:t>lenium dust at a level of 33 mg/m</w:t>
      </w:r>
      <w:r w:rsidRPr="006C79B2">
        <w:rPr>
          <w:vertAlign w:val="superscript"/>
        </w:rPr>
        <w:t>3</w:t>
      </w:r>
      <w:r>
        <w:t xml:space="preserve"> for 4-</w:t>
      </w:r>
      <w:r w:rsidRPr="006C79B2">
        <w:t xml:space="preserve">hours every other day for 8 days, 4/10 guinea pigs exhibited slight hepatic congestion with mild central atrophy and 2/10 showed some fatty hepatocellular </w:t>
      </w:r>
      <w:r w:rsidRPr="006C79B2">
        <w:rPr>
          <w:rFonts w:cstheme="minorHAnsi"/>
        </w:rPr>
        <w:t>degener</w:t>
      </w:r>
      <w:r>
        <w:rPr>
          <w:rFonts w:cstheme="minorHAnsi"/>
        </w:rPr>
        <w:t>ation (Dudley and Miller 1941).  The kidneys did</w:t>
      </w:r>
      <w:r w:rsidRPr="006C79B2">
        <w:rPr>
          <w:rFonts w:cstheme="minorHAnsi"/>
        </w:rPr>
        <w:t xml:space="preserve"> not appear to be affected in guin</w:t>
      </w:r>
      <w:r>
        <w:rPr>
          <w:rFonts w:cstheme="minorHAnsi"/>
        </w:rPr>
        <w:t>ea pigs (Dudley and Miller 1941,</w:t>
      </w:r>
      <w:r w:rsidRPr="006C79B2">
        <w:rPr>
          <w:rFonts w:cstheme="minorHAnsi"/>
        </w:rPr>
        <w:t xml:space="preserve"> Hall et al. 1951) after</w:t>
      </w:r>
      <w:r>
        <w:rPr>
          <w:rFonts w:cstheme="minorHAnsi"/>
        </w:rPr>
        <w:t xml:space="preserve"> acute inhalation exposure to 8</w:t>
      </w:r>
      <w:r w:rsidRPr="006C79B2">
        <w:rPr>
          <w:rFonts w:cstheme="minorHAnsi"/>
        </w:rPr>
        <w:t xml:space="preserve"> mg</w:t>
      </w:r>
      <w:r>
        <w:rPr>
          <w:rFonts w:cstheme="minorHAnsi"/>
        </w:rPr>
        <w:t>/m</w:t>
      </w:r>
      <w:r w:rsidRPr="006C79B2">
        <w:rPr>
          <w:rFonts w:cstheme="minorHAnsi"/>
          <w:vertAlign w:val="superscript"/>
        </w:rPr>
        <w:t>3</w:t>
      </w:r>
      <w:r>
        <w:rPr>
          <w:rFonts w:cstheme="minorHAnsi"/>
        </w:rPr>
        <w:t xml:space="preserve"> </w:t>
      </w:r>
      <w:r w:rsidRPr="006C79B2">
        <w:rPr>
          <w:rFonts w:cstheme="minorHAnsi"/>
        </w:rPr>
        <w:t>for 4 hours.</w:t>
      </w:r>
      <w:r>
        <w:rPr>
          <w:rFonts w:cstheme="minorHAnsi"/>
        </w:rPr>
        <w:t xml:space="preserve">  </w:t>
      </w:r>
    </w:p>
    <w:p w14:paraId="4A3E71EE" w14:textId="77777777" w:rsidR="001D707B" w:rsidRDefault="001D707B" w:rsidP="001D707B">
      <w:pPr>
        <w:jc w:val="both"/>
      </w:pPr>
      <w:r w:rsidRPr="006C79B2">
        <w:t>No histopathological changes in the adrenal gland were observed in rats exposed</w:t>
      </w:r>
      <w:r>
        <w:t xml:space="preserve"> to elemental selenium dust at 33 mg/m</w:t>
      </w:r>
      <w:r w:rsidRPr="006C79B2">
        <w:rPr>
          <w:vertAlign w:val="superscript"/>
        </w:rPr>
        <w:t>3</w:t>
      </w:r>
      <w:r>
        <w:t xml:space="preserve"> </w:t>
      </w:r>
      <w:r w:rsidRPr="006C79B2">
        <w:t>for 8 hours (Hall et al. 1951).</w:t>
      </w:r>
      <w:r>
        <w:rPr>
          <w:rFonts w:cstheme="minorHAnsi"/>
        </w:rPr>
        <w:t xml:space="preserve">  </w:t>
      </w:r>
      <w:r w:rsidRPr="003A3437">
        <w:t>Histopathological changes in the spleen were not observed in guinea pig</w:t>
      </w:r>
      <w:r>
        <w:t xml:space="preserve">s exposed to </w:t>
      </w:r>
      <w:r w:rsidRPr="003A3437">
        <w:t>dust (average particle diameter, 1.2 μm) at 33 mg</w:t>
      </w:r>
      <w:r>
        <w:t>/m</w:t>
      </w:r>
      <w:r w:rsidRPr="003A3437">
        <w:rPr>
          <w:vertAlign w:val="superscript"/>
        </w:rPr>
        <w:t>3</w:t>
      </w:r>
      <w:r>
        <w:t xml:space="preserve"> for 8-hours (Hall et al. 1951).  </w:t>
      </w:r>
      <w:r w:rsidRPr="003A3437">
        <w:t xml:space="preserve">Injury to the spleen was observed in guinea pigs following exposure for </w:t>
      </w:r>
      <w:r>
        <w:t>4 hours, every other day, for 8-</w:t>
      </w:r>
      <w:r w:rsidRPr="003A3437">
        <w:t>days to dust at a level of 33 mg</w:t>
      </w:r>
      <w:r>
        <w:t>/m</w:t>
      </w:r>
      <w:r w:rsidRPr="003A3437">
        <w:rPr>
          <w:vertAlign w:val="superscript"/>
        </w:rPr>
        <w:t>3</w:t>
      </w:r>
      <w:r>
        <w:t xml:space="preserve">.  </w:t>
      </w:r>
      <w:r w:rsidRPr="003A3437">
        <w:t>Specific effects included congestion of the spleen, fissuring red pulp, and increased polymorphonucle</w:t>
      </w:r>
      <w:r>
        <w:t>ar leukocytes</w:t>
      </w:r>
      <w:r w:rsidRPr="003A3437">
        <w:t>.</w:t>
      </w:r>
    </w:p>
    <w:p w14:paraId="58A5877C" w14:textId="77777777" w:rsidR="001D707B" w:rsidRDefault="001D707B" w:rsidP="001D707B">
      <w:pPr>
        <w:jc w:val="both"/>
      </w:pPr>
      <w:r>
        <w:t>No studies of reproductive and developmental toxicity were found (ATSDR 2003).</w:t>
      </w:r>
    </w:p>
    <w:p w14:paraId="614B7996" w14:textId="77777777" w:rsidR="001D707B" w:rsidRDefault="001D707B" w:rsidP="001D707B">
      <w:pPr>
        <w:jc w:val="both"/>
        <w:rPr>
          <w:rFonts w:cstheme="minorHAnsi"/>
        </w:rPr>
      </w:pPr>
      <w:r>
        <w:rPr>
          <w:rFonts w:cstheme="minorHAnsi"/>
        </w:rPr>
        <w:t>Workers exposed over a long period of time to elemental selenium and selenium dioxide aerosols, between 0.35 – 24.8 mg/m</w:t>
      </w:r>
      <w:r w:rsidRPr="00F65D8B">
        <w:rPr>
          <w:rFonts w:cstheme="minorHAnsi"/>
          <w:vertAlign w:val="superscript"/>
        </w:rPr>
        <w:t>3</w:t>
      </w:r>
      <w:r>
        <w:rPr>
          <w:rFonts w:cstheme="minorHAnsi"/>
        </w:rPr>
        <w:t xml:space="preserve"> and 0.11 – 0.78 mg/m</w:t>
      </w:r>
      <w:r w:rsidRPr="00F65D8B">
        <w:rPr>
          <w:rFonts w:cstheme="minorHAnsi"/>
          <w:vertAlign w:val="superscript"/>
        </w:rPr>
        <w:t>3</w:t>
      </w:r>
      <w:r>
        <w:rPr>
          <w:rFonts w:cstheme="minorHAnsi"/>
        </w:rPr>
        <w:t>, respectively, developed rhinitis, nasal bleeding, headaches, weight loss, irritability, and pain in their extremities (Izraelson et al. 1973 cited by IPCS 1987).  In another study in a rectifier factory, with reported selenium dioxide concentrations of 0.007 – 0.05 mg selenium/m</w:t>
      </w:r>
      <w:r w:rsidRPr="00D47CEF">
        <w:rPr>
          <w:rFonts w:cstheme="minorHAnsi"/>
          <w:vertAlign w:val="superscript"/>
        </w:rPr>
        <w:t>3</w:t>
      </w:r>
      <w:r>
        <w:rPr>
          <w:rFonts w:cstheme="minorHAnsi"/>
        </w:rPr>
        <w:t xml:space="preserve">, more than 50% of the 62 workers investigated complained of irritability, sleeplessness, loss of appetite and nausea (Kinnigkeit 1962 cited in ATSDR 2003).  Clinical examination revealed irritation of the mucosa in 9 of 62 exposed workers with conjunctivitis and slight </w:t>
      </w:r>
      <w:r w:rsidRPr="00D25BD8">
        <w:t>tracheobronchitis</w:t>
      </w:r>
      <w:r>
        <w:rPr>
          <w:rFonts w:cstheme="minorHAnsi"/>
        </w:rPr>
        <w:t xml:space="preserve">.  In the highest exposed group, those involved in the electrical testing of rectifier plates, abnormal results from the Takata reaction and thymol test suggested impaired liver function.  </w:t>
      </w:r>
      <w:r w:rsidRPr="006968DA">
        <w:t>Chronic exposure of 40 workers at a copper refinery produced increased nose irritation and sputum (Holness et al. 1989</w:t>
      </w:r>
      <w:r>
        <w:t xml:space="preserve"> cited in ATSDR 2003</w:t>
      </w:r>
      <w:r w:rsidRPr="006968DA">
        <w:t>). The exact concentration of selenium was not given, but the concentration was reported to exceed 0.2 mg selenium/m</w:t>
      </w:r>
      <w:r w:rsidRPr="00F30F81">
        <w:rPr>
          <w:vertAlign w:val="superscript"/>
        </w:rPr>
        <w:t>3</w:t>
      </w:r>
      <w:r w:rsidRPr="006968DA">
        <w:t>.</w:t>
      </w:r>
      <w:r>
        <w:t xml:space="preserve">  </w:t>
      </w:r>
      <w:r w:rsidRPr="006968DA">
        <w:t xml:space="preserve">Confounding variables in this study include concurrent exposure to several other metals including copper, nickel, silver, lead, arsenic, and tellurium. </w:t>
      </w:r>
      <w:r>
        <w:t xml:space="preserve">  </w:t>
      </w:r>
      <w:r>
        <w:rPr>
          <w:rFonts w:cstheme="minorHAnsi"/>
        </w:rPr>
        <w:t>In a sub-chronic repeat dose study, rats were exposed to selenium dioxide at 3 – 5 mg/m</w:t>
      </w:r>
      <w:r w:rsidRPr="00854C75">
        <w:rPr>
          <w:rFonts w:cstheme="minorHAnsi"/>
          <w:vertAlign w:val="superscript"/>
        </w:rPr>
        <w:t>3</w:t>
      </w:r>
      <w:r>
        <w:rPr>
          <w:rFonts w:cstheme="minorHAnsi"/>
        </w:rPr>
        <w:t>, 6 – 9 mg/m</w:t>
      </w:r>
      <w:r w:rsidRPr="00854C75">
        <w:rPr>
          <w:rFonts w:cstheme="minorHAnsi"/>
          <w:vertAlign w:val="superscript"/>
        </w:rPr>
        <w:t>3</w:t>
      </w:r>
      <w:r>
        <w:rPr>
          <w:rFonts w:cstheme="minorHAnsi"/>
        </w:rPr>
        <w:t>, or 10 – 30 mg/m</w:t>
      </w:r>
      <w:r w:rsidRPr="00854C75">
        <w:rPr>
          <w:rFonts w:cstheme="minorHAnsi"/>
          <w:vertAlign w:val="superscript"/>
        </w:rPr>
        <w:t>3</w:t>
      </w:r>
      <w:r>
        <w:rPr>
          <w:rFonts w:cstheme="minorHAnsi"/>
        </w:rPr>
        <w:t>, for 6 hours per day, every other day for a month (Filatova 1951 cited by IPCS 1987).  Severe mortality was observed at doses greater than 6 to 9 mg/m</w:t>
      </w:r>
      <w:r w:rsidRPr="00A454B6">
        <w:rPr>
          <w:rFonts w:cstheme="minorHAnsi"/>
          <w:vertAlign w:val="superscript"/>
        </w:rPr>
        <w:t>3</w:t>
      </w:r>
      <w:r>
        <w:rPr>
          <w:rFonts w:cstheme="minorHAnsi"/>
        </w:rPr>
        <w:t>, but all rats survived in the lowest dose group (3 to 5 mg/m</w:t>
      </w:r>
      <w:r w:rsidRPr="00A454B6">
        <w:rPr>
          <w:rFonts w:cstheme="minorHAnsi"/>
          <w:vertAlign w:val="superscript"/>
        </w:rPr>
        <w:t>3</w:t>
      </w:r>
      <w:r>
        <w:rPr>
          <w:rFonts w:cstheme="minorHAnsi"/>
        </w:rPr>
        <w:t>).  Histological examination of the rats in the lowest dose group revealed degenerative changes in the liver, renal tubules, dystrophy of heart muscle, hyperaemia, and hypertrophy of the splenic pulp.  In the higher dose groups, severe weight loss was observed during the final two weeks of the experiment leading to death.  Similar histopathological changes were observed compared to the lowest dose group, although the effects were much more pronounced.  At the highest tested dose (greater than 10 mg/m</w:t>
      </w:r>
      <w:r w:rsidRPr="00A454B6">
        <w:rPr>
          <w:rFonts w:cstheme="minorHAnsi"/>
          <w:vertAlign w:val="superscript"/>
        </w:rPr>
        <w:t>3</w:t>
      </w:r>
      <w:r>
        <w:rPr>
          <w:rFonts w:cstheme="minorHAnsi"/>
        </w:rPr>
        <w:t>), the rats showed respiratory distress and anaemia with lung oedemas similar to those seen under conditions of acute exposure.  Rabbits exposed to 20 mg/m</w:t>
      </w:r>
      <w:r w:rsidRPr="00E55D00">
        <w:rPr>
          <w:rFonts w:cstheme="minorHAnsi"/>
          <w:vertAlign w:val="superscript"/>
        </w:rPr>
        <w:t>3</w:t>
      </w:r>
      <w:r>
        <w:rPr>
          <w:rFonts w:cstheme="minorHAnsi"/>
        </w:rPr>
        <w:t xml:space="preserve"> selenium dioxide or 40 mg/m</w:t>
      </w:r>
      <w:r w:rsidRPr="00E55D00">
        <w:rPr>
          <w:rFonts w:cstheme="minorHAnsi"/>
          <w:vertAlign w:val="superscript"/>
        </w:rPr>
        <w:t>3</w:t>
      </w:r>
      <w:r>
        <w:rPr>
          <w:rFonts w:cstheme="minorHAnsi"/>
        </w:rPr>
        <w:t xml:space="preserve"> elemental selenium for 2 hours per day for 5 days showed a decrease in blood catalase activity (Lipinskij 1962 cited by IPCS 1987).  In another study, rabbits exposed to 20 mg/m</w:t>
      </w:r>
      <w:r w:rsidRPr="008156A3">
        <w:rPr>
          <w:rFonts w:cstheme="minorHAnsi"/>
          <w:vertAlign w:val="superscript"/>
        </w:rPr>
        <w:t>3</w:t>
      </w:r>
      <w:r>
        <w:rPr>
          <w:rFonts w:cstheme="minorHAnsi"/>
        </w:rPr>
        <w:t xml:space="preserve"> for 2 hours per day for 12 weeks had decreased total and reduced glutathione levels, but there was no observed change in oxidised glutathione levels.</w:t>
      </w:r>
    </w:p>
    <w:p w14:paraId="27844BA8" w14:textId="77777777" w:rsidR="001D707B" w:rsidRDefault="001D707B" w:rsidP="001D707B">
      <w:pPr>
        <w:pStyle w:val="Heading4"/>
      </w:pPr>
      <w:r>
        <w:t>Pivotal Studies</w:t>
      </w:r>
    </w:p>
    <w:p w14:paraId="19572F8B" w14:textId="77777777" w:rsidR="001D707B" w:rsidRDefault="001D707B" w:rsidP="001D707B">
      <w:pPr>
        <w:jc w:val="both"/>
        <w:rPr>
          <w:rFonts w:cstheme="minorHAnsi"/>
        </w:rPr>
      </w:pPr>
      <w:r>
        <w:rPr>
          <w:rFonts w:cstheme="minorHAnsi"/>
        </w:rPr>
        <w:t>Many of the pivotal studies cited by ATSDR (2003) and IPCS (1987) are in German or Russian and the details have not been translated for this summary.</w:t>
      </w:r>
    </w:p>
    <w:p w14:paraId="40C7B439" w14:textId="77777777" w:rsidR="001D707B" w:rsidRPr="001D3606" w:rsidRDefault="001D707B" w:rsidP="001D707B">
      <w:pPr>
        <w:jc w:val="both"/>
        <w:rPr>
          <w:rFonts w:cstheme="minorHAnsi"/>
          <w:color w:val="262626"/>
          <w:lang w:val="en"/>
        </w:rPr>
      </w:pPr>
      <w:r w:rsidRPr="001534E7">
        <w:rPr>
          <w:rFonts w:cstheme="minorHAnsi"/>
        </w:rPr>
        <w:lastRenderedPageBreak/>
        <w:t xml:space="preserve">In </w:t>
      </w:r>
      <w:r>
        <w:rPr>
          <w:rFonts w:cstheme="minorHAnsi"/>
        </w:rPr>
        <w:t>the</w:t>
      </w:r>
      <w:r w:rsidRPr="001534E7">
        <w:rPr>
          <w:rFonts w:cstheme="minorHAnsi"/>
        </w:rPr>
        <w:t xml:space="preserve"> study by Hall et al. (1951)</w:t>
      </w:r>
      <w:r>
        <w:rPr>
          <w:rFonts w:cstheme="minorHAnsi"/>
        </w:rPr>
        <w:t>,</w:t>
      </w:r>
      <w:r w:rsidRPr="001534E7">
        <w:rPr>
          <w:rFonts w:cstheme="minorHAnsi"/>
        </w:rPr>
        <w:t xml:space="preserve"> rats </w:t>
      </w:r>
      <w:r w:rsidRPr="001534E7">
        <w:rPr>
          <w:rFonts w:cstheme="minorHAnsi"/>
          <w:color w:val="262626"/>
          <w:lang w:val="en"/>
        </w:rPr>
        <w:t xml:space="preserve">were exposed to the fume produced by vacuum </w:t>
      </w:r>
      <w:r w:rsidRPr="001534E7">
        <w:rPr>
          <w:rStyle w:val="indexed-hide"/>
          <w:rFonts w:cstheme="minorHAnsi"/>
          <w:color w:val="262626"/>
          <w:lang w:val="en"/>
        </w:rPr>
        <w:t xml:space="preserve">evaporation </w:t>
      </w:r>
      <w:r w:rsidRPr="001534E7">
        <w:rPr>
          <w:rStyle w:val="tip-content3"/>
          <w:rFonts w:cstheme="minorHAnsi"/>
          <w:b/>
          <w:bCs/>
          <w:color w:val="262626"/>
          <w:shd w:val="clear" w:color="auto" w:fill="7CC243"/>
          <w:lang w:val="en"/>
          <w:specVanish w:val="0"/>
        </w:rPr>
        <w:t>evaporation</w:t>
      </w:r>
      <w:r w:rsidRPr="001534E7">
        <w:rPr>
          <w:rFonts w:cstheme="minorHAnsi"/>
          <w:color w:val="262626"/>
          <w:lang w:val="en"/>
        </w:rPr>
        <w:t xml:space="preserve"> of </w:t>
      </w:r>
      <w:r w:rsidRPr="001534E7">
        <w:rPr>
          <w:rStyle w:val="indexed-hide"/>
          <w:rFonts w:cstheme="minorHAnsi"/>
          <w:color w:val="262626"/>
          <w:lang w:val="en"/>
        </w:rPr>
        <w:t>selenium</w:t>
      </w:r>
      <w:r>
        <w:rPr>
          <w:rStyle w:val="indexed-hide"/>
          <w:rFonts w:cstheme="minorHAnsi"/>
          <w:color w:val="262626"/>
          <w:lang w:val="en"/>
        </w:rPr>
        <w:t xml:space="preserve"> </w:t>
      </w:r>
      <w:r w:rsidRPr="001534E7">
        <w:rPr>
          <w:rStyle w:val="tip-content3"/>
          <w:rFonts w:cstheme="minorHAnsi"/>
          <w:b/>
          <w:bCs/>
          <w:color w:val="262626"/>
          <w:shd w:val="clear" w:color="auto" w:fill="7CC243"/>
          <w:lang w:val="en"/>
          <w:specVanish w:val="0"/>
        </w:rPr>
        <w:t>selenium</w:t>
      </w:r>
      <w:r w:rsidRPr="001534E7">
        <w:rPr>
          <w:rStyle w:val="tip-content3"/>
          <w:rFonts w:cstheme="minorHAnsi"/>
          <w:b/>
          <w:bCs/>
          <w:color w:val="262626"/>
          <w:lang w:val="en"/>
          <w:specVanish w:val="0"/>
        </w:rPr>
        <w:t xml:space="preserve"> </w:t>
      </w:r>
      <w:r>
        <w:rPr>
          <w:rFonts w:cstheme="minorHAnsi"/>
          <w:color w:val="262626"/>
          <w:lang w:val="en"/>
        </w:rPr>
        <w:t>metal (</w:t>
      </w:r>
      <w:r w:rsidRPr="00DD4A29">
        <w:t>average particle diameter, 1.2 μm</w:t>
      </w:r>
      <w:r>
        <w:t xml:space="preserve">) </w:t>
      </w:r>
      <w:r w:rsidRPr="00DD4A29">
        <w:t xml:space="preserve">at </w:t>
      </w:r>
      <w:r>
        <w:t xml:space="preserve">a </w:t>
      </w:r>
      <w:r w:rsidRPr="00DD4A29">
        <w:t>level of 33 mg</w:t>
      </w:r>
      <w:r>
        <w:t>/m</w:t>
      </w:r>
      <w:r w:rsidRPr="00DD4A29">
        <w:rPr>
          <w:vertAlign w:val="superscript"/>
        </w:rPr>
        <w:t>3</w:t>
      </w:r>
      <w:r>
        <w:t xml:space="preserve"> for 8-</w:t>
      </w:r>
      <w:r w:rsidRPr="00DD4A29">
        <w:t>hours</w:t>
      </w:r>
      <w:r>
        <w:t xml:space="preserve"> and experienced severe respiratory effects, with </w:t>
      </w:r>
      <w:r>
        <w:rPr>
          <w:rFonts w:cstheme="minorHAnsi"/>
          <w:color w:val="262626"/>
          <w:lang w:val="en"/>
        </w:rPr>
        <w:t>10%</w:t>
      </w:r>
      <w:r w:rsidRPr="001534E7">
        <w:rPr>
          <w:rFonts w:cstheme="minorHAnsi"/>
          <w:color w:val="262626"/>
          <w:lang w:val="en"/>
        </w:rPr>
        <w:t xml:space="preserve"> </w:t>
      </w:r>
      <w:r w:rsidRPr="001534E7">
        <w:rPr>
          <w:rStyle w:val="indexed-hide"/>
          <w:rFonts w:cstheme="minorHAnsi"/>
          <w:color w:val="262626"/>
          <w:lang w:val="en"/>
        </w:rPr>
        <w:t>mortality</w:t>
      </w:r>
      <w:r>
        <w:t xml:space="preserve">.  </w:t>
      </w:r>
      <w:r w:rsidRPr="001534E7">
        <w:rPr>
          <w:rFonts w:cstheme="minorHAnsi"/>
          <w:color w:val="262626"/>
          <w:lang w:val="en"/>
        </w:rPr>
        <w:t xml:space="preserve">After the </w:t>
      </w:r>
      <w:r w:rsidRPr="001534E7">
        <w:rPr>
          <w:rStyle w:val="indexed-hide"/>
          <w:rFonts w:cstheme="minorHAnsi"/>
          <w:color w:val="262626"/>
          <w:lang w:val="en"/>
        </w:rPr>
        <w:t>animals</w:t>
      </w:r>
      <w:r>
        <w:rPr>
          <w:rStyle w:val="indexed-hide"/>
          <w:rFonts w:cstheme="minorHAnsi"/>
          <w:color w:val="262626"/>
          <w:lang w:val="en"/>
        </w:rPr>
        <w:t xml:space="preserve"> </w:t>
      </w:r>
      <w:r w:rsidRPr="001534E7">
        <w:rPr>
          <w:rStyle w:val="tip-content3"/>
          <w:rFonts w:cstheme="minorHAnsi"/>
          <w:b/>
          <w:bCs/>
          <w:color w:val="262626"/>
          <w:shd w:val="clear" w:color="auto" w:fill="7CC243"/>
          <w:lang w:val="en"/>
          <w:specVanish w:val="0"/>
        </w:rPr>
        <w:t>animals</w:t>
      </w:r>
      <w:r w:rsidRPr="001534E7">
        <w:rPr>
          <w:rStyle w:val="tip-content3"/>
          <w:rFonts w:cstheme="minorHAnsi"/>
          <w:b/>
          <w:bCs/>
          <w:color w:val="262626"/>
          <w:lang w:val="en"/>
          <w:specVanish w:val="0"/>
        </w:rPr>
        <w:t xml:space="preserve"> </w:t>
      </w:r>
      <w:r w:rsidRPr="001534E7">
        <w:rPr>
          <w:rFonts w:cstheme="minorHAnsi"/>
          <w:color w:val="262626"/>
          <w:lang w:val="en"/>
        </w:rPr>
        <w:t xml:space="preserve">were killed the </w:t>
      </w:r>
      <w:r w:rsidRPr="001534E7">
        <w:rPr>
          <w:rStyle w:val="indexed-hide"/>
          <w:rFonts w:cstheme="minorHAnsi"/>
          <w:color w:val="262626"/>
          <w:lang w:val="en"/>
        </w:rPr>
        <w:t>lungs</w:t>
      </w:r>
      <w:r>
        <w:rPr>
          <w:rStyle w:val="indexed-hide"/>
          <w:rFonts w:cstheme="minorHAnsi"/>
          <w:color w:val="262626"/>
          <w:lang w:val="en"/>
        </w:rPr>
        <w:t xml:space="preserve"> </w:t>
      </w:r>
      <w:r w:rsidRPr="001534E7">
        <w:rPr>
          <w:rStyle w:val="tip-content3"/>
          <w:rFonts w:cstheme="minorHAnsi"/>
          <w:b/>
          <w:bCs/>
          <w:color w:val="262626"/>
          <w:shd w:val="clear" w:color="auto" w:fill="7CC243"/>
          <w:lang w:val="en"/>
          <w:specVanish w:val="0"/>
        </w:rPr>
        <w:t>lungs</w:t>
      </w:r>
      <w:r w:rsidRPr="001534E7">
        <w:rPr>
          <w:rStyle w:val="tip-content3"/>
          <w:rFonts w:cstheme="minorHAnsi"/>
          <w:b/>
          <w:bCs/>
          <w:color w:val="262626"/>
          <w:lang w:val="en"/>
          <w:specVanish w:val="0"/>
        </w:rPr>
        <w:t xml:space="preserve"> </w:t>
      </w:r>
      <w:r w:rsidRPr="001534E7">
        <w:rPr>
          <w:rFonts w:cstheme="minorHAnsi"/>
          <w:color w:val="262626"/>
          <w:lang w:val="en"/>
        </w:rPr>
        <w:t xml:space="preserve">showed a mild or moderately severe </w:t>
      </w:r>
      <w:r w:rsidRPr="001534E7">
        <w:rPr>
          <w:rStyle w:val="indexed-hide"/>
          <w:rFonts w:cstheme="minorHAnsi"/>
          <w:color w:val="262626"/>
          <w:lang w:val="en"/>
        </w:rPr>
        <w:t>pneumonitis</w:t>
      </w:r>
      <w:r>
        <w:rPr>
          <w:rStyle w:val="indexed-hide"/>
          <w:rFonts w:cstheme="minorHAnsi"/>
          <w:color w:val="262626"/>
          <w:lang w:val="en"/>
        </w:rPr>
        <w:t xml:space="preserve">.  </w:t>
      </w:r>
      <w:r w:rsidRPr="001534E7">
        <w:rPr>
          <w:rStyle w:val="tip-content3"/>
          <w:rFonts w:cstheme="minorHAnsi"/>
          <w:b/>
          <w:bCs/>
          <w:color w:val="262626"/>
          <w:shd w:val="clear" w:color="auto" w:fill="7CC243"/>
          <w:lang w:val="en"/>
          <w:specVanish w:val="0"/>
        </w:rPr>
        <w:t>pneumonitis</w:t>
      </w:r>
      <w:r>
        <w:rPr>
          <w:rStyle w:val="tip-content3"/>
          <w:rFonts w:cstheme="minorHAnsi"/>
          <w:b/>
          <w:bCs/>
          <w:color w:val="262626"/>
          <w:lang w:val="en"/>
          <w:specVanish w:val="0"/>
        </w:rPr>
        <w:t xml:space="preserve">.  </w:t>
      </w:r>
      <w:r w:rsidRPr="001534E7">
        <w:rPr>
          <w:rFonts w:cstheme="minorHAnsi"/>
          <w:color w:val="262626"/>
          <w:lang w:val="en"/>
        </w:rPr>
        <w:t>The possibility that the changes were due to contamination by traces of selenium oxide cannot be excluded.</w:t>
      </w:r>
      <w:r>
        <w:rPr>
          <w:rFonts w:cstheme="minorHAnsi"/>
          <w:color w:val="262626"/>
          <w:lang w:val="en"/>
        </w:rPr>
        <w:t xml:space="preserve">  The acute exposure of </w:t>
      </w:r>
      <w:r w:rsidRPr="001534E7">
        <w:rPr>
          <w:rStyle w:val="indexed-hide"/>
          <w:rFonts w:cstheme="minorHAnsi"/>
          <w:color w:val="262626"/>
          <w:lang w:val="en"/>
        </w:rPr>
        <w:t>guinea</w:t>
      </w:r>
      <w:r>
        <w:rPr>
          <w:rStyle w:val="indexed-hide"/>
          <w:rFonts w:cstheme="minorHAnsi"/>
          <w:color w:val="262626"/>
          <w:lang w:val="en"/>
        </w:rPr>
        <w:t xml:space="preserve"> </w:t>
      </w:r>
      <w:r w:rsidRPr="001534E7">
        <w:rPr>
          <w:rStyle w:val="indexed-hide"/>
          <w:rFonts w:cstheme="minorHAnsi"/>
          <w:color w:val="262626"/>
          <w:lang w:val="en"/>
        </w:rPr>
        <w:t>pigs</w:t>
      </w:r>
      <w:r>
        <w:rPr>
          <w:rStyle w:val="indexed-hide"/>
          <w:rFonts w:cstheme="minorHAnsi"/>
          <w:color w:val="262626"/>
          <w:lang w:val="en"/>
        </w:rPr>
        <w:t xml:space="preserve"> </w:t>
      </w:r>
      <w:r w:rsidRPr="001534E7">
        <w:rPr>
          <w:rStyle w:val="tip-content3"/>
          <w:rFonts w:cstheme="minorHAnsi"/>
          <w:b/>
          <w:bCs/>
          <w:color w:val="262626"/>
          <w:shd w:val="clear" w:color="auto" w:fill="7CC243"/>
          <w:lang w:val="en"/>
          <w:specVanish w:val="0"/>
        </w:rPr>
        <w:t>guineapigs</w:t>
      </w:r>
      <w:r w:rsidRPr="001534E7">
        <w:rPr>
          <w:rStyle w:val="tip-content3"/>
          <w:rFonts w:cstheme="minorHAnsi"/>
          <w:b/>
          <w:bCs/>
          <w:color w:val="262626"/>
          <w:lang w:val="en"/>
          <w:specVanish w:val="0"/>
        </w:rPr>
        <w:t xml:space="preserve"> </w:t>
      </w:r>
      <w:r w:rsidRPr="001534E7">
        <w:rPr>
          <w:rFonts w:cstheme="minorHAnsi"/>
          <w:color w:val="262626"/>
          <w:lang w:val="en"/>
        </w:rPr>
        <w:t xml:space="preserve">and </w:t>
      </w:r>
      <w:r w:rsidRPr="001534E7">
        <w:rPr>
          <w:rStyle w:val="indexed-hide"/>
          <w:rFonts w:cstheme="minorHAnsi"/>
          <w:color w:val="262626"/>
          <w:lang w:val="en"/>
        </w:rPr>
        <w:t>rabbits</w:t>
      </w:r>
      <w:r>
        <w:rPr>
          <w:rStyle w:val="indexed-hide"/>
          <w:rFonts w:cstheme="minorHAnsi"/>
          <w:color w:val="262626"/>
          <w:lang w:val="en"/>
        </w:rPr>
        <w:t xml:space="preserve"> </w:t>
      </w:r>
      <w:r w:rsidRPr="001534E7">
        <w:rPr>
          <w:rStyle w:val="tip-content3"/>
          <w:rFonts w:cstheme="minorHAnsi"/>
          <w:b/>
          <w:bCs/>
          <w:color w:val="262626"/>
          <w:shd w:val="clear" w:color="auto" w:fill="7CC243"/>
          <w:lang w:val="en"/>
          <w:specVanish w:val="0"/>
        </w:rPr>
        <w:t>rabbits</w:t>
      </w:r>
      <w:r w:rsidRPr="001534E7">
        <w:rPr>
          <w:rStyle w:val="tip-content3"/>
          <w:rFonts w:cstheme="minorHAnsi"/>
          <w:b/>
          <w:bCs/>
          <w:color w:val="262626"/>
          <w:lang w:val="en"/>
          <w:specVanish w:val="0"/>
        </w:rPr>
        <w:t xml:space="preserve"> </w:t>
      </w:r>
      <w:r w:rsidRPr="001534E7">
        <w:rPr>
          <w:rFonts w:cstheme="minorHAnsi"/>
          <w:color w:val="262626"/>
          <w:lang w:val="en"/>
        </w:rPr>
        <w:t>to selenium dust of average particle size of 1.2 µ</w:t>
      </w:r>
      <w:r>
        <w:rPr>
          <w:rFonts w:cstheme="minorHAnsi"/>
          <w:color w:val="262626"/>
          <w:lang w:val="en"/>
        </w:rPr>
        <w:t>m</w:t>
      </w:r>
      <w:r w:rsidRPr="001534E7">
        <w:rPr>
          <w:rFonts w:cstheme="minorHAnsi"/>
          <w:color w:val="262626"/>
          <w:lang w:val="en"/>
        </w:rPr>
        <w:t>, and a concentration of about 30 mg</w:t>
      </w:r>
      <w:r>
        <w:rPr>
          <w:rFonts w:cstheme="minorHAnsi"/>
          <w:color w:val="262626"/>
          <w:lang w:val="en"/>
        </w:rPr>
        <w:t>/m</w:t>
      </w:r>
      <w:r w:rsidRPr="001534E7">
        <w:rPr>
          <w:rFonts w:cstheme="minorHAnsi"/>
          <w:color w:val="262626"/>
          <w:vertAlign w:val="superscript"/>
          <w:lang w:val="en"/>
        </w:rPr>
        <w:t>3</w:t>
      </w:r>
      <w:r>
        <w:rPr>
          <w:rFonts w:cstheme="minorHAnsi"/>
          <w:color w:val="262626"/>
          <w:lang w:val="en"/>
        </w:rPr>
        <w:t xml:space="preserve"> for 16-hours resulted in </w:t>
      </w:r>
      <w:r w:rsidRPr="001534E7">
        <w:rPr>
          <w:rFonts w:cstheme="minorHAnsi"/>
          <w:color w:val="262626"/>
          <w:lang w:val="en"/>
        </w:rPr>
        <w:t xml:space="preserve">mild interstitial pneumonitis </w:t>
      </w:r>
      <w:r w:rsidRPr="00DD4A29">
        <w:t xml:space="preserve">and slight emphysema </w:t>
      </w:r>
      <w:r w:rsidRPr="001534E7">
        <w:rPr>
          <w:rFonts w:cstheme="minorHAnsi"/>
          <w:color w:val="262626"/>
          <w:lang w:val="en"/>
        </w:rPr>
        <w:t>with no significant changes in other organs</w:t>
      </w:r>
      <w:r>
        <w:rPr>
          <w:rFonts w:cstheme="minorHAnsi"/>
          <w:color w:val="262626"/>
          <w:lang w:val="en"/>
        </w:rPr>
        <w:t xml:space="preserve"> when assessed </w:t>
      </w:r>
      <w:r w:rsidRPr="001534E7">
        <w:rPr>
          <w:rFonts w:cstheme="minorHAnsi"/>
          <w:color w:val="262626"/>
          <w:lang w:val="en"/>
        </w:rPr>
        <w:t>at varying periods up to one month after exposure</w:t>
      </w:r>
      <w:r>
        <w:rPr>
          <w:rFonts w:cstheme="minorHAnsi"/>
          <w:color w:val="262626"/>
          <w:lang w:val="en"/>
        </w:rPr>
        <w:t xml:space="preserve">.  </w:t>
      </w:r>
      <w:r w:rsidRPr="001534E7">
        <w:rPr>
          <w:rFonts w:cstheme="minorHAnsi"/>
          <w:color w:val="262626"/>
          <w:lang w:val="en"/>
        </w:rPr>
        <w:t>Intraperitoneal injection of selenium suspension and application of a paste to the shaved skin produced no pathological change</w:t>
      </w:r>
      <w:r>
        <w:rPr>
          <w:rFonts w:cstheme="minorHAnsi"/>
          <w:color w:val="262626"/>
          <w:lang w:val="en"/>
        </w:rPr>
        <w:t>.</w:t>
      </w:r>
    </w:p>
    <w:p w14:paraId="4859C88C" w14:textId="77777777" w:rsidR="001D707B" w:rsidRDefault="001D707B" w:rsidP="001D707B">
      <w:pPr>
        <w:pStyle w:val="Heading4"/>
      </w:pPr>
      <w:r>
        <w:t>Genotoxicity and Carcinogenicity</w:t>
      </w:r>
    </w:p>
    <w:p w14:paraId="376F7488" w14:textId="77777777" w:rsidR="001D707B" w:rsidRPr="006E0316" w:rsidRDefault="001D707B" w:rsidP="001D707B">
      <w:pPr>
        <w:jc w:val="both"/>
        <w:rPr>
          <w:rFonts w:cstheme="minorHAnsi"/>
        </w:rPr>
      </w:pPr>
      <w:r w:rsidRPr="006E0316">
        <w:rPr>
          <w:rFonts w:cstheme="minorHAnsi"/>
        </w:rPr>
        <w:t>Selenium and its inorganic compounds have both genotoxic and anti-genotoxic effects with the latter generally occurring at lower concentrations (ATSDR 2003).</w:t>
      </w:r>
      <w:r>
        <w:rPr>
          <w:rFonts w:cstheme="minorHAnsi"/>
        </w:rPr>
        <w:t xml:space="preserve">  </w:t>
      </w:r>
      <w:r w:rsidRPr="006E0316">
        <w:rPr>
          <w:rFonts w:cstheme="minorHAnsi"/>
          <w:color w:val="000000"/>
        </w:rPr>
        <w:t xml:space="preserve">Selenium dioxide was found to be mutagenic in both the Ames and the VITO-TOX </w:t>
      </w:r>
      <w:r w:rsidRPr="006E0316">
        <w:rPr>
          <w:rFonts w:cstheme="minorHAnsi"/>
          <w:i/>
          <w:color w:val="000000"/>
        </w:rPr>
        <w:t>Salmonella typhimurium</w:t>
      </w:r>
      <w:r w:rsidRPr="006E0316">
        <w:rPr>
          <w:rFonts w:cstheme="minorHAnsi"/>
          <w:color w:val="000000"/>
        </w:rPr>
        <w:t xml:space="preserve"> tests of genotoxi</w:t>
      </w:r>
      <w:r>
        <w:rPr>
          <w:rFonts w:cstheme="minorHAnsi"/>
          <w:color w:val="000000"/>
        </w:rPr>
        <w:t>city</w:t>
      </w:r>
      <w:r w:rsidRPr="006E0316">
        <w:rPr>
          <w:rFonts w:cstheme="minorHAnsi"/>
          <w:color w:val="000000"/>
        </w:rPr>
        <w:t>.</w:t>
      </w:r>
    </w:p>
    <w:p w14:paraId="49D65ECC" w14:textId="77777777" w:rsidR="001D707B" w:rsidRDefault="001D707B" w:rsidP="001D707B">
      <w:pPr>
        <w:jc w:val="both"/>
        <w:rPr>
          <w:rFonts w:cstheme="minorHAnsi"/>
          <w:color w:val="000000"/>
        </w:rPr>
      </w:pPr>
      <w:r w:rsidRPr="006E0316">
        <w:rPr>
          <w:rFonts w:cstheme="minorHAnsi"/>
          <w:color w:val="000000"/>
        </w:rPr>
        <w:t>In general, sodium se</w:t>
      </w:r>
      <w:r>
        <w:rPr>
          <w:rFonts w:cstheme="minorHAnsi"/>
          <w:color w:val="000000"/>
        </w:rPr>
        <w:t xml:space="preserve">lenite and sodium selenate </w:t>
      </w:r>
      <w:r w:rsidRPr="006E0316">
        <w:rPr>
          <w:rFonts w:cstheme="minorHAnsi"/>
          <w:color w:val="000000"/>
        </w:rPr>
        <w:t>produced mixed results in bacterial mutag</w:t>
      </w:r>
      <w:r>
        <w:rPr>
          <w:rFonts w:cstheme="minorHAnsi"/>
          <w:color w:val="000000"/>
        </w:rPr>
        <w:t>enicity test systems (ATSDR 2003)</w:t>
      </w:r>
      <w:r w:rsidRPr="006E0316">
        <w:rPr>
          <w:rFonts w:cstheme="minorHAnsi"/>
          <w:color w:val="000000"/>
        </w:rPr>
        <w:t>.</w:t>
      </w:r>
      <w:r>
        <w:rPr>
          <w:rFonts w:cstheme="minorHAnsi"/>
          <w:color w:val="000000"/>
        </w:rPr>
        <w:t xml:space="preserve">  </w:t>
      </w:r>
      <w:r w:rsidRPr="006E0316">
        <w:rPr>
          <w:rFonts w:cstheme="minorHAnsi"/>
          <w:color w:val="000000"/>
        </w:rPr>
        <w:t>The addition of glutathione to test mixtures enhance</w:t>
      </w:r>
      <w:r>
        <w:rPr>
          <w:rFonts w:cstheme="minorHAnsi"/>
          <w:color w:val="000000"/>
        </w:rPr>
        <w:t>d</w:t>
      </w:r>
      <w:r w:rsidRPr="006E0316">
        <w:rPr>
          <w:rFonts w:cstheme="minorHAnsi"/>
          <w:color w:val="000000"/>
        </w:rPr>
        <w:t xml:space="preserve"> the genotoxicity of sodium selenite, sodium selenate, and sodium selenide in ba</w:t>
      </w:r>
      <w:r>
        <w:rPr>
          <w:rFonts w:cstheme="minorHAnsi"/>
          <w:color w:val="000000"/>
        </w:rPr>
        <w:t>cterial test systems, indicating</w:t>
      </w:r>
      <w:r w:rsidRPr="006E0316">
        <w:rPr>
          <w:rFonts w:cstheme="minorHAnsi"/>
          <w:color w:val="000000"/>
        </w:rPr>
        <w:t xml:space="preserve"> that production of a reactive species mutagenic for </w:t>
      </w:r>
      <w:r>
        <w:rPr>
          <w:rFonts w:cstheme="minorHAnsi"/>
          <w:color w:val="000000"/>
        </w:rPr>
        <w:t>bacteria occurred</w:t>
      </w:r>
      <w:r w:rsidRPr="006E0316">
        <w:rPr>
          <w:rFonts w:cstheme="minorHAnsi"/>
          <w:color w:val="000000"/>
        </w:rPr>
        <w:t xml:space="preserve"> via a reductive mechanism following concomitant exposure to these compounds (Whiti</w:t>
      </w:r>
      <w:r>
        <w:rPr>
          <w:rFonts w:cstheme="minorHAnsi"/>
          <w:color w:val="000000"/>
        </w:rPr>
        <w:t>ng et al. 1980).  This finding was</w:t>
      </w:r>
      <w:r w:rsidRPr="006E0316">
        <w:rPr>
          <w:rFonts w:cstheme="minorHAnsi"/>
          <w:color w:val="000000"/>
        </w:rPr>
        <w:t xml:space="preserve"> supported by results in mammalian test systems</w:t>
      </w:r>
      <w:r>
        <w:rPr>
          <w:rFonts w:cstheme="minorHAnsi"/>
          <w:color w:val="000000"/>
        </w:rPr>
        <w:t xml:space="preserve"> (ATSDR 2003)</w:t>
      </w:r>
      <w:r w:rsidRPr="006E0316">
        <w:rPr>
          <w:rFonts w:cstheme="minorHAnsi"/>
          <w:color w:val="000000"/>
        </w:rPr>
        <w:t>.</w:t>
      </w:r>
    </w:p>
    <w:p w14:paraId="3FFF8656" w14:textId="77777777" w:rsidR="001D707B" w:rsidRPr="006E0316" w:rsidRDefault="001D707B" w:rsidP="001D707B">
      <w:pPr>
        <w:jc w:val="both"/>
        <w:rPr>
          <w:rFonts w:cstheme="minorHAnsi"/>
        </w:rPr>
      </w:pPr>
      <w:r>
        <w:rPr>
          <w:rFonts w:cstheme="minorHAnsi"/>
          <w:color w:val="000000"/>
        </w:rPr>
        <w:t>Overall, the results with mammalian cell systems were</w:t>
      </w:r>
      <w:r w:rsidRPr="006E0316">
        <w:rPr>
          <w:rFonts w:cstheme="minorHAnsi"/>
          <w:color w:val="000000"/>
        </w:rPr>
        <w:t xml:space="preserve"> also mixed, although sodium selenite is more consistently genotoxic in these systems</w:t>
      </w:r>
      <w:r>
        <w:rPr>
          <w:rFonts w:cstheme="minorHAnsi"/>
          <w:color w:val="000000"/>
        </w:rPr>
        <w:t xml:space="preserve"> (ATSDR 2003)</w:t>
      </w:r>
      <w:r w:rsidRPr="006E0316">
        <w:rPr>
          <w:rFonts w:cstheme="minorHAnsi"/>
          <w:color w:val="000000"/>
        </w:rPr>
        <w:t>.</w:t>
      </w:r>
      <w:r>
        <w:rPr>
          <w:rFonts w:cstheme="minorHAnsi"/>
          <w:color w:val="000000"/>
        </w:rPr>
        <w:t xml:space="preserve">  </w:t>
      </w:r>
      <w:r w:rsidRPr="006E0316">
        <w:rPr>
          <w:rFonts w:cstheme="minorHAnsi"/>
          <w:color w:val="000000"/>
        </w:rPr>
        <w:t xml:space="preserve">Results of </w:t>
      </w:r>
      <w:r w:rsidRPr="006E0316">
        <w:rPr>
          <w:rFonts w:cstheme="minorHAnsi"/>
          <w:i/>
          <w:color w:val="000000"/>
        </w:rPr>
        <w:t>in vivo</w:t>
      </w:r>
      <w:r w:rsidRPr="006E0316">
        <w:rPr>
          <w:rFonts w:cstheme="minorHAnsi"/>
          <w:color w:val="000000"/>
        </w:rPr>
        <w:t xml:space="preserve"> genotoxicity tests </w:t>
      </w:r>
      <w:r>
        <w:rPr>
          <w:rFonts w:cstheme="minorHAnsi"/>
          <w:color w:val="000000"/>
        </w:rPr>
        <w:t>were</w:t>
      </w:r>
      <w:r w:rsidRPr="006E0316">
        <w:rPr>
          <w:rFonts w:cstheme="minorHAnsi"/>
          <w:color w:val="000000"/>
        </w:rPr>
        <w:t xml:space="preserve"> </w:t>
      </w:r>
      <w:r>
        <w:rPr>
          <w:rFonts w:cstheme="minorHAnsi"/>
          <w:color w:val="000000"/>
        </w:rPr>
        <w:t>also</w:t>
      </w:r>
      <w:r>
        <w:rPr>
          <w:rFonts w:cstheme="minorHAnsi"/>
        </w:rPr>
        <w:t xml:space="preserve"> largely negative (EVM</w:t>
      </w:r>
      <w:r w:rsidRPr="006E0316">
        <w:rPr>
          <w:rFonts w:cstheme="minorHAnsi"/>
        </w:rPr>
        <w:t xml:space="preserve"> 200</w:t>
      </w:r>
      <w:r>
        <w:rPr>
          <w:rFonts w:cstheme="minorHAnsi"/>
        </w:rPr>
        <w:t xml:space="preserve">3), except where there was overt </w:t>
      </w:r>
      <w:r w:rsidRPr="006E0316">
        <w:rPr>
          <w:rFonts w:cstheme="minorHAnsi"/>
        </w:rPr>
        <w:t>toxicity.</w:t>
      </w:r>
    </w:p>
    <w:p w14:paraId="48D15CFF" w14:textId="77777777" w:rsidR="001D707B" w:rsidRPr="006E0316" w:rsidRDefault="001D707B" w:rsidP="001D707B">
      <w:pPr>
        <w:jc w:val="both"/>
        <w:rPr>
          <w:rFonts w:cstheme="minorHAnsi"/>
        </w:rPr>
      </w:pPr>
      <w:r w:rsidRPr="006E0316">
        <w:rPr>
          <w:rFonts w:cstheme="minorHAnsi"/>
        </w:rPr>
        <w:t>ATSDR (2003) found no epidemiological data that supported a causal association between inhalation of selenium and its compounds and human cancers.  No studies were identified regarding the carcinogenicity of selenium in laboratory animals after inhalation exposure.</w:t>
      </w:r>
    </w:p>
    <w:p w14:paraId="22E96E9E" w14:textId="77777777" w:rsidR="001D707B" w:rsidRDefault="001D707B" w:rsidP="001D707B">
      <w:pPr>
        <w:pStyle w:val="Heading3"/>
      </w:pPr>
      <w:r>
        <w:t>Short-term Exposure</w:t>
      </w:r>
    </w:p>
    <w:p w14:paraId="70455DEA" w14:textId="77777777" w:rsidR="001D707B" w:rsidRPr="00C972BD" w:rsidRDefault="001D707B" w:rsidP="001D707B">
      <w:r>
        <w:t>No authoritative HBGV for selenium and its compounds were identified to protect public health.</w:t>
      </w:r>
    </w:p>
    <w:p w14:paraId="3030D4E4" w14:textId="77777777" w:rsidR="001D707B" w:rsidRDefault="001D707B" w:rsidP="001D707B">
      <w:pPr>
        <w:pStyle w:val="Heading3"/>
      </w:pPr>
      <w:r>
        <w:t>Long-term Exposure</w:t>
      </w:r>
    </w:p>
    <w:p w14:paraId="5C640478" w14:textId="77777777" w:rsidR="001D707B" w:rsidRDefault="001D707B" w:rsidP="001D707B">
      <w:pPr>
        <w:jc w:val="both"/>
      </w:pPr>
      <w:r>
        <w:t>The industry REACH dossiers have proposed long-term inhalation HBGV for selenium and its compounds to protect public health.  These DNEL are all based on route-to-route extrapolation from systemic effects observed after excessive dietary (oral) exposure.  See section on ‘Route-to-Route Extrapolation’ for a further discussion of systemic effects via oral exposure.</w:t>
      </w:r>
    </w:p>
    <w:p w14:paraId="040C610A" w14:textId="77777777" w:rsidR="001D707B" w:rsidRDefault="001D707B" w:rsidP="001D707B">
      <w:pPr>
        <w:pStyle w:val="Heading4"/>
      </w:pPr>
      <w:r>
        <w:t>REACH Chemical Dossiers for Selenium and its compounds</w:t>
      </w:r>
    </w:p>
    <w:p w14:paraId="69F37042" w14:textId="77777777" w:rsidR="001D707B" w:rsidRDefault="001D707B" w:rsidP="001D707B">
      <w:pPr>
        <w:jc w:val="both"/>
      </w:pPr>
      <w:r>
        <w:t>The industry REACH dossiers for selenium, selenium dioxide, sodium selenate, and sodium selenite on the ECHA dissemination portal</w:t>
      </w:r>
      <w:r w:rsidRPr="00675A40">
        <w:rPr>
          <w:rStyle w:val="FootnoteReference"/>
        </w:rPr>
        <w:footnoteReference w:id="11"/>
      </w:r>
      <w:r w:rsidRPr="005701F4">
        <w:rPr>
          <w:vertAlign w:val="superscript"/>
        </w:rPr>
        <w:t>,</w:t>
      </w:r>
      <w:r w:rsidRPr="00675A40">
        <w:rPr>
          <w:rStyle w:val="FootnoteReference"/>
        </w:rPr>
        <w:footnoteReference w:id="12"/>
      </w:r>
      <w:r w:rsidRPr="005701F4">
        <w:rPr>
          <w:vertAlign w:val="superscript"/>
        </w:rPr>
        <w:t>,</w:t>
      </w:r>
      <w:r w:rsidRPr="00675A40">
        <w:rPr>
          <w:rStyle w:val="FootnoteReference"/>
        </w:rPr>
        <w:footnoteReference w:id="13"/>
      </w:r>
      <w:r w:rsidRPr="005701F4">
        <w:rPr>
          <w:vertAlign w:val="superscript"/>
        </w:rPr>
        <w:t>,</w:t>
      </w:r>
      <w:r>
        <w:rPr>
          <w:rStyle w:val="FootnoteReference"/>
        </w:rPr>
        <w:footnoteReference w:id="14"/>
      </w:r>
      <w:r>
        <w:t xml:space="preserve"> were reviewed.  In all cases, the DNEL for chronic exposures to protect the general population was based on an upper limit of total intake of 0.3 </w:t>
      </w:r>
      <w:r>
        <w:rPr>
          <w:rFonts w:cstheme="minorHAnsi"/>
        </w:rPr>
        <w:t>m</w:t>
      </w:r>
      <w:r>
        <w:t xml:space="preserve">g selenium/day proposed by SCF (2000) from a study of selenosis in the Chinese population (Yang and Zhou 1994).  </w:t>
      </w:r>
      <w:r>
        <w:rPr>
          <w:rFonts w:cstheme="minorHAnsi"/>
        </w:rPr>
        <w:t>The POD was the</w:t>
      </w:r>
      <w:r w:rsidRPr="00E44F4A">
        <w:rPr>
          <w:rFonts w:cstheme="minorHAnsi"/>
        </w:rPr>
        <w:t xml:space="preserve"> NOAEL of </w:t>
      </w:r>
      <w:r>
        <w:rPr>
          <w:rFonts w:cstheme="minorHAnsi"/>
        </w:rPr>
        <w:t>0.9</w:t>
      </w:r>
      <w:r w:rsidRPr="00E44F4A">
        <w:rPr>
          <w:rFonts w:cstheme="minorHAnsi"/>
        </w:rPr>
        <w:t xml:space="preserve"> </w:t>
      </w:r>
      <w:r>
        <w:rPr>
          <w:rFonts w:cstheme="minorHAnsi"/>
        </w:rPr>
        <w:t>m</w:t>
      </w:r>
      <w:r w:rsidRPr="00E44F4A">
        <w:rPr>
          <w:rFonts w:cstheme="minorHAnsi"/>
        </w:rPr>
        <w:t xml:space="preserve">g </w:t>
      </w:r>
      <w:r>
        <w:rPr>
          <w:rFonts w:cstheme="minorHAnsi"/>
        </w:rPr>
        <w:t>selenium</w:t>
      </w:r>
      <w:r w:rsidRPr="00E44F4A">
        <w:rPr>
          <w:rFonts w:cstheme="minorHAnsi"/>
        </w:rPr>
        <w:t>/day</w:t>
      </w:r>
      <w:r>
        <w:rPr>
          <w:rFonts w:cstheme="minorHAnsi"/>
        </w:rPr>
        <w:t xml:space="preserve">, </w:t>
      </w:r>
      <w:r w:rsidRPr="00E44F4A">
        <w:rPr>
          <w:rFonts w:cstheme="minorHAnsi"/>
        </w:rPr>
        <w:t xml:space="preserve">identified </w:t>
      </w:r>
      <w:r>
        <w:rPr>
          <w:rFonts w:cstheme="minorHAnsi"/>
        </w:rPr>
        <w:t>by</w:t>
      </w:r>
      <w:r w:rsidRPr="00E44F4A">
        <w:rPr>
          <w:rFonts w:cstheme="minorHAnsi"/>
        </w:rPr>
        <w:t xml:space="preserve"> Yang et al. (1989a</w:t>
      </w:r>
      <w:r>
        <w:rPr>
          <w:rFonts w:cstheme="minorHAnsi"/>
        </w:rPr>
        <w:t xml:space="preserve"> and 1989</w:t>
      </w:r>
      <w:r w:rsidRPr="00E44F4A">
        <w:rPr>
          <w:rFonts w:cstheme="minorHAnsi"/>
        </w:rPr>
        <w:t>b).</w:t>
      </w:r>
      <w:r>
        <w:rPr>
          <w:rFonts w:cstheme="minorHAnsi"/>
        </w:rPr>
        <w:t xml:space="preserve">  </w:t>
      </w:r>
      <w:r w:rsidRPr="00E44F4A">
        <w:rPr>
          <w:rFonts w:cstheme="minorHAnsi"/>
        </w:rPr>
        <w:t>As the Yang et al. stud</w:t>
      </w:r>
      <w:r>
        <w:rPr>
          <w:rFonts w:cstheme="minorHAnsi"/>
        </w:rPr>
        <w:t>ies</w:t>
      </w:r>
      <w:r w:rsidRPr="00E44F4A">
        <w:rPr>
          <w:rFonts w:cstheme="minorHAnsi"/>
        </w:rPr>
        <w:t xml:space="preserve"> utilised biomonitoring data, a total UF of 3 was considered appropriate as the toxicokinetic factor of intraspecies variation had already been accounted for.</w:t>
      </w:r>
      <w:r>
        <w:rPr>
          <w:rFonts w:cstheme="minorHAnsi"/>
        </w:rPr>
        <w:t xml:space="preserve">  This yielded an oral HBGV of 0.3 mg selenium/day, which was converted to an air concentration by assuming a normalised adult body weight of 70 kg and a daily adult inhalation rate of 20 m</w:t>
      </w:r>
      <w:r w:rsidRPr="00AA2B2E">
        <w:rPr>
          <w:rFonts w:cstheme="minorHAnsi"/>
          <w:vertAlign w:val="superscript"/>
        </w:rPr>
        <w:t>3</w:t>
      </w:r>
      <w:r>
        <w:rPr>
          <w:rFonts w:cstheme="minorHAnsi"/>
        </w:rPr>
        <w:t xml:space="preserve"> air, and then </w:t>
      </w:r>
      <w:r>
        <w:t>corrected for the differences in molecular weight for each compound compared with elemental selenium.</w:t>
      </w:r>
    </w:p>
    <w:p w14:paraId="3B267396" w14:textId="77777777" w:rsidR="001D707B" w:rsidRPr="00C04E99" w:rsidRDefault="001D707B" w:rsidP="001D707B">
      <w:pPr>
        <w:jc w:val="both"/>
      </w:pPr>
      <w:r>
        <w:t xml:space="preserve">The recommended DNELs were 0.015 </w:t>
      </w:r>
      <w:r>
        <w:rPr>
          <w:rFonts w:cstheme="minorHAnsi"/>
        </w:rPr>
        <w:t>m</w:t>
      </w:r>
      <w:r>
        <w:t>g/m</w:t>
      </w:r>
      <w:r w:rsidRPr="00B306E4">
        <w:rPr>
          <w:vertAlign w:val="superscript"/>
        </w:rPr>
        <w:t>3</w:t>
      </w:r>
      <w:r>
        <w:t xml:space="preserve"> for selenium (no molecular weight multiplier), </w:t>
      </w:r>
      <w:r w:rsidRPr="00C04E99">
        <w:t xml:space="preserve">0.021 </w:t>
      </w:r>
      <w:r w:rsidRPr="00C04E99">
        <w:rPr>
          <w:rFonts w:cstheme="minorHAnsi"/>
        </w:rPr>
        <w:t>m</w:t>
      </w:r>
      <w:r w:rsidRPr="00C04E99">
        <w:t>g/m</w:t>
      </w:r>
      <w:r w:rsidRPr="00C04E99">
        <w:rPr>
          <w:vertAlign w:val="superscript"/>
        </w:rPr>
        <w:t>3</w:t>
      </w:r>
      <w:r w:rsidRPr="00C04E99">
        <w:t xml:space="preserve"> for selenium dioxide (</w:t>
      </w:r>
      <w:r>
        <w:t xml:space="preserve">molecular </w:t>
      </w:r>
      <w:r w:rsidRPr="00C04E99">
        <w:t xml:space="preserve">weight multiplier of 1.4), 0.036 </w:t>
      </w:r>
      <w:r w:rsidRPr="00C04E99">
        <w:rPr>
          <w:rFonts w:cstheme="minorHAnsi"/>
        </w:rPr>
        <w:t>m</w:t>
      </w:r>
      <w:r w:rsidRPr="00C04E99">
        <w:t>g/m</w:t>
      </w:r>
      <w:r w:rsidRPr="00C04E99">
        <w:rPr>
          <w:vertAlign w:val="superscript"/>
        </w:rPr>
        <w:t>3</w:t>
      </w:r>
      <w:r w:rsidRPr="00C04E99">
        <w:t xml:space="preserve"> for sodium selenate (</w:t>
      </w:r>
      <w:r>
        <w:t xml:space="preserve">molecular </w:t>
      </w:r>
      <w:r w:rsidRPr="00C04E99">
        <w:t xml:space="preserve">weight multiplier of 2.39), and 0.033 </w:t>
      </w:r>
      <w:r w:rsidRPr="00C04E99">
        <w:rPr>
          <w:rFonts w:cstheme="minorHAnsi"/>
        </w:rPr>
        <w:t>m</w:t>
      </w:r>
      <w:r w:rsidRPr="00C04E99">
        <w:t>g/m</w:t>
      </w:r>
      <w:r w:rsidRPr="00C04E99">
        <w:rPr>
          <w:vertAlign w:val="superscript"/>
        </w:rPr>
        <w:t>3</w:t>
      </w:r>
      <w:r w:rsidRPr="00C04E99">
        <w:t xml:space="preserve"> </w:t>
      </w:r>
      <w:r>
        <w:t xml:space="preserve">for sodium selenite </w:t>
      </w:r>
      <w:r w:rsidRPr="00C04E99">
        <w:t>(</w:t>
      </w:r>
      <w:r>
        <w:t xml:space="preserve">molecular </w:t>
      </w:r>
      <w:r w:rsidRPr="00C04E99">
        <w:t>weight multiplier of 2.19).</w:t>
      </w:r>
    </w:p>
    <w:p w14:paraId="4D2D12A4" w14:textId="77777777" w:rsidR="001D707B" w:rsidRDefault="001D707B" w:rsidP="001D707B">
      <w:pPr>
        <w:pStyle w:val="Heading3"/>
      </w:pPr>
      <w:r w:rsidRPr="00C04E99">
        <w:t>Route-to-Route Extrapolation</w:t>
      </w:r>
    </w:p>
    <w:p w14:paraId="5530EC8D" w14:textId="77777777" w:rsidR="001D707B" w:rsidRPr="005F4630" w:rsidRDefault="001D707B" w:rsidP="001D707B">
      <w:pPr>
        <w:jc w:val="both"/>
        <w:rPr>
          <w:rFonts w:cstheme="minorHAnsi"/>
        </w:rPr>
      </w:pPr>
      <w:r>
        <w:rPr>
          <w:rFonts w:cstheme="minorHAnsi"/>
        </w:rPr>
        <w:t xml:space="preserve">Most authoritative reviews have focused on the systemic toxicity of selenium and the symptoms of selenosis as observed via dietary (oral) exposures (ATSDR 2003, EVM 2003, EA 2009, US EPA 1991, SCF 2000, and WHO 2011).  Most oral </w:t>
      </w:r>
      <w:r w:rsidRPr="00E44F4A">
        <w:rPr>
          <w:rFonts w:cstheme="minorHAnsi"/>
        </w:rPr>
        <w:t>HBGVs</w:t>
      </w:r>
      <w:r>
        <w:rPr>
          <w:rFonts w:cstheme="minorHAnsi"/>
        </w:rPr>
        <w:t xml:space="preserve"> are based on the studies of selenosis arising in the Chinese population following excessive dietary intakes (Yang et al. 1989a and 1989b, Yang and Zhou 1994) and are summarised below.  They have been corrected to a 70 kg bodyweight for comparison purposes.  </w:t>
      </w:r>
    </w:p>
    <w:tbl>
      <w:tblPr>
        <w:tblStyle w:val="TableGrid"/>
        <w:tblW w:w="9356" w:type="dxa"/>
        <w:tblLook w:val="04A0" w:firstRow="1" w:lastRow="0" w:firstColumn="1" w:lastColumn="0" w:noHBand="0" w:noVBand="1"/>
      </w:tblPr>
      <w:tblGrid>
        <w:gridCol w:w="3119"/>
        <w:gridCol w:w="1701"/>
        <w:gridCol w:w="1843"/>
        <w:gridCol w:w="1048"/>
        <w:gridCol w:w="1645"/>
      </w:tblGrid>
      <w:tr w:rsidR="001D707B" w14:paraId="19E3D4BE" w14:textId="77777777" w:rsidTr="00D8358E">
        <w:trPr>
          <w:gridAfter w:val="1"/>
          <w:wAfter w:w="1645" w:type="dxa"/>
        </w:trPr>
        <w:tc>
          <w:tcPr>
            <w:tcW w:w="7711" w:type="dxa"/>
            <w:gridSpan w:val="4"/>
            <w:tcBorders>
              <w:top w:val="nil"/>
              <w:left w:val="nil"/>
              <w:right w:val="nil"/>
            </w:tcBorders>
            <w:shd w:val="clear" w:color="auto" w:fill="auto"/>
          </w:tcPr>
          <w:p w14:paraId="50EFC84B" w14:textId="77777777" w:rsidR="001D707B" w:rsidRDefault="001D707B" w:rsidP="00D8358E">
            <w:pPr>
              <w:jc w:val="both"/>
              <w:rPr>
                <w:b/>
              </w:rPr>
            </w:pPr>
            <w:r w:rsidRPr="002508C7">
              <w:rPr>
                <w:b/>
              </w:rPr>
              <w:t xml:space="preserve">Summary of </w:t>
            </w:r>
            <w:r>
              <w:rPr>
                <w:b/>
              </w:rPr>
              <w:t>HBGV for Long</w:t>
            </w:r>
            <w:r w:rsidRPr="002508C7">
              <w:rPr>
                <w:b/>
              </w:rPr>
              <w:t xml:space="preserve">-term </w:t>
            </w:r>
            <w:r>
              <w:rPr>
                <w:b/>
              </w:rPr>
              <w:t xml:space="preserve">Dietary </w:t>
            </w:r>
            <w:r w:rsidRPr="002508C7">
              <w:rPr>
                <w:b/>
              </w:rPr>
              <w:t>Exposures</w:t>
            </w:r>
          </w:p>
        </w:tc>
      </w:tr>
      <w:tr w:rsidR="001D707B" w14:paraId="47ED8C55" w14:textId="77777777" w:rsidTr="00D8358E">
        <w:tc>
          <w:tcPr>
            <w:tcW w:w="3119" w:type="dxa"/>
            <w:shd w:val="pct20" w:color="auto" w:fill="auto"/>
          </w:tcPr>
          <w:p w14:paraId="54653B4A" w14:textId="77777777" w:rsidR="001D707B" w:rsidRPr="002508C7" w:rsidRDefault="001D707B" w:rsidP="00D8358E">
            <w:pPr>
              <w:jc w:val="both"/>
              <w:rPr>
                <w:b/>
              </w:rPr>
            </w:pPr>
            <w:r w:rsidRPr="002508C7">
              <w:rPr>
                <w:b/>
              </w:rPr>
              <w:lastRenderedPageBreak/>
              <w:t>Guideline</w:t>
            </w:r>
          </w:p>
        </w:tc>
        <w:tc>
          <w:tcPr>
            <w:tcW w:w="1701" w:type="dxa"/>
            <w:shd w:val="pct20" w:color="auto" w:fill="auto"/>
          </w:tcPr>
          <w:p w14:paraId="4AA05D8C" w14:textId="77777777" w:rsidR="001D707B" w:rsidRPr="002508C7" w:rsidRDefault="001D707B" w:rsidP="00D8358E">
            <w:pPr>
              <w:jc w:val="both"/>
              <w:rPr>
                <w:b/>
              </w:rPr>
            </w:pPr>
            <w:r>
              <w:rPr>
                <w:b/>
              </w:rPr>
              <w:t>Value (</w:t>
            </w:r>
            <w:r>
              <w:rPr>
                <w:rFonts w:cstheme="minorHAnsi"/>
                <w:b/>
              </w:rPr>
              <w:t>m</w:t>
            </w:r>
            <w:r>
              <w:rPr>
                <w:b/>
              </w:rPr>
              <w:t>g/kg/day)</w:t>
            </w:r>
          </w:p>
        </w:tc>
        <w:tc>
          <w:tcPr>
            <w:tcW w:w="1843" w:type="dxa"/>
            <w:shd w:val="pct20" w:color="auto" w:fill="auto"/>
          </w:tcPr>
          <w:p w14:paraId="0531B1A2" w14:textId="77777777" w:rsidR="001D707B" w:rsidRPr="002508C7" w:rsidRDefault="001D707B" w:rsidP="00D8358E">
            <w:pPr>
              <w:jc w:val="both"/>
              <w:rPr>
                <w:b/>
              </w:rPr>
            </w:pPr>
            <w:r>
              <w:rPr>
                <w:b/>
              </w:rPr>
              <w:t>Critical effect(s)</w:t>
            </w:r>
          </w:p>
        </w:tc>
        <w:tc>
          <w:tcPr>
            <w:tcW w:w="2693" w:type="dxa"/>
            <w:gridSpan w:val="2"/>
            <w:shd w:val="pct20" w:color="auto" w:fill="auto"/>
          </w:tcPr>
          <w:p w14:paraId="5E784B4C" w14:textId="77777777" w:rsidR="001D707B" w:rsidRPr="002508C7" w:rsidRDefault="001D707B" w:rsidP="00D8358E">
            <w:pPr>
              <w:jc w:val="both"/>
              <w:rPr>
                <w:b/>
              </w:rPr>
            </w:pPr>
            <w:r>
              <w:rPr>
                <w:b/>
              </w:rPr>
              <w:t>Pivotal reference(s)</w:t>
            </w:r>
          </w:p>
        </w:tc>
      </w:tr>
      <w:tr w:rsidR="001D707B" w14:paraId="07BC7188" w14:textId="77777777" w:rsidTr="00D8358E">
        <w:tc>
          <w:tcPr>
            <w:tcW w:w="3119" w:type="dxa"/>
          </w:tcPr>
          <w:p w14:paraId="7F2D7E07" w14:textId="77777777" w:rsidR="001D707B" w:rsidRDefault="001D707B" w:rsidP="00D8358E">
            <w:pPr>
              <w:jc w:val="both"/>
            </w:pPr>
            <w:r>
              <w:t>ATSDR chronic MRL</w:t>
            </w:r>
          </w:p>
        </w:tc>
        <w:tc>
          <w:tcPr>
            <w:tcW w:w="1701" w:type="dxa"/>
          </w:tcPr>
          <w:p w14:paraId="0F48DAFE" w14:textId="77777777" w:rsidR="001D707B" w:rsidRDefault="001D707B" w:rsidP="00D8358E">
            <w:pPr>
              <w:jc w:val="both"/>
            </w:pPr>
            <w:r>
              <w:t>0.35</w:t>
            </w:r>
          </w:p>
        </w:tc>
        <w:tc>
          <w:tcPr>
            <w:tcW w:w="1843" w:type="dxa"/>
          </w:tcPr>
          <w:p w14:paraId="7905ECE8" w14:textId="77777777" w:rsidR="001D707B" w:rsidRPr="007D40A9" w:rsidRDefault="001D707B" w:rsidP="00D8358E">
            <w:pPr>
              <w:jc w:val="both"/>
            </w:pPr>
            <w:r>
              <w:t>Selenosis</w:t>
            </w:r>
          </w:p>
        </w:tc>
        <w:tc>
          <w:tcPr>
            <w:tcW w:w="2693" w:type="dxa"/>
            <w:gridSpan w:val="2"/>
          </w:tcPr>
          <w:p w14:paraId="735E67AE" w14:textId="77777777" w:rsidR="001D707B" w:rsidRPr="001E546D" w:rsidRDefault="001D707B" w:rsidP="00D8358E">
            <w:pPr>
              <w:jc w:val="both"/>
            </w:pPr>
            <w:r w:rsidRPr="001E546D">
              <w:t>Yang and Zhou 1994</w:t>
            </w:r>
          </w:p>
        </w:tc>
      </w:tr>
      <w:tr w:rsidR="001D707B" w14:paraId="2BAAB89A" w14:textId="77777777" w:rsidTr="00D8358E">
        <w:tc>
          <w:tcPr>
            <w:tcW w:w="3119" w:type="dxa"/>
          </w:tcPr>
          <w:p w14:paraId="635C107F" w14:textId="77777777" w:rsidR="001D707B" w:rsidRPr="007D40A9" w:rsidRDefault="001D707B" w:rsidP="00D8358E">
            <w:pPr>
              <w:jc w:val="both"/>
            </w:pPr>
            <w:r>
              <w:t>EA TDI</w:t>
            </w:r>
          </w:p>
        </w:tc>
        <w:tc>
          <w:tcPr>
            <w:tcW w:w="1701" w:type="dxa"/>
          </w:tcPr>
          <w:p w14:paraId="5DF1CAC7" w14:textId="77777777" w:rsidR="001D707B" w:rsidRPr="007D40A9" w:rsidRDefault="001D707B" w:rsidP="00D8358E">
            <w:pPr>
              <w:jc w:val="both"/>
            </w:pPr>
            <w:r>
              <w:t>0.44</w:t>
            </w:r>
          </w:p>
        </w:tc>
        <w:tc>
          <w:tcPr>
            <w:tcW w:w="1843" w:type="dxa"/>
          </w:tcPr>
          <w:p w14:paraId="1FFD0AB0" w14:textId="77777777" w:rsidR="001D707B" w:rsidRPr="007D40A9" w:rsidRDefault="001D707B" w:rsidP="00D8358E">
            <w:pPr>
              <w:jc w:val="both"/>
            </w:pPr>
            <w:r>
              <w:t>Selenosis</w:t>
            </w:r>
          </w:p>
        </w:tc>
        <w:tc>
          <w:tcPr>
            <w:tcW w:w="2693" w:type="dxa"/>
            <w:gridSpan w:val="2"/>
          </w:tcPr>
          <w:p w14:paraId="498FC5F9" w14:textId="77777777" w:rsidR="001D707B" w:rsidRPr="001E546D" w:rsidRDefault="001D707B" w:rsidP="00D8358E">
            <w:pPr>
              <w:jc w:val="both"/>
            </w:pPr>
            <w:r w:rsidRPr="001E546D">
              <w:t>EVM 2003</w:t>
            </w:r>
          </w:p>
        </w:tc>
      </w:tr>
      <w:tr w:rsidR="001D707B" w14:paraId="173DC1BC" w14:textId="77777777" w:rsidTr="00D8358E">
        <w:tc>
          <w:tcPr>
            <w:tcW w:w="3119" w:type="dxa"/>
          </w:tcPr>
          <w:p w14:paraId="4F78A8F0" w14:textId="77777777" w:rsidR="001D707B" w:rsidRDefault="001D707B" w:rsidP="00D8358E">
            <w:pPr>
              <w:jc w:val="both"/>
            </w:pPr>
            <w:r>
              <w:t xml:space="preserve">EVM Safe Upper Level </w:t>
            </w:r>
          </w:p>
        </w:tc>
        <w:tc>
          <w:tcPr>
            <w:tcW w:w="1701" w:type="dxa"/>
          </w:tcPr>
          <w:p w14:paraId="62F5D37B" w14:textId="77777777" w:rsidR="001D707B" w:rsidRDefault="001D707B" w:rsidP="00D8358E">
            <w:pPr>
              <w:jc w:val="both"/>
            </w:pPr>
            <w:r>
              <w:t>0.45</w:t>
            </w:r>
          </w:p>
        </w:tc>
        <w:tc>
          <w:tcPr>
            <w:tcW w:w="1843" w:type="dxa"/>
          </w:tcPr>
          <w:p w14:paraId="0BBEFCCA" w14:textId="77777777" w:rsidR="001D707B" w:rsidRDefault="001D707B" w:rsidP="00D8358E">
            <w:pPr>
              <w:jc w:val="both"/>
            </w:pPr>
            <w:r>
              <w:t>Selenosis</w:t>
            </w:r>
          </w:p>
        </w:tc>
        <w:tc>
          <w:tcPr>
            <w:tcW w:w="2693" w:type="dxa"/>
            <w:gridSpan w:val="2"/>
          </w:tcPr>
          <w:p w14:paraId="38F48276" w14:textId="77777777" w:rsidR="001D707B" w:rsidRPr="001E546D" w:rsidRDefault="001D707B" w:rsidP="00D8358E">
            <w:pPr>
              <w:jc w:val="both"/>
            </w:pPr>
            <w:r w:rsidRPr="001E546D">
              <w:t>Yang et al. 1989a and 1989b</w:t>
            </w:r>
          </w:p>
        </w:tc>
      </w:tr>
      <w:tr w:rsidR="001D707B" w14:paraId="5B5ABCC9" w14:textId="77777777" w:rsidTr="00D8358E">
        <w:tc>
          <w:tcPr>
            <w:tcW w:w="3119" w:type="dxa"/>
          </w:tcPr>
          <w:p w14:paraId="373E0D1C" w14:textId="77777777" w:rsidR="001D707B" w:rsidRPr="007D40A9" w:rsidRDefault="001D707B" w:rsidP="00D8358E">
            <w:pPr>
              <w:jc w:val="both"/>
            </w:pPr>
            <w:r>
              <w:t>US EPA RfD ***</w:t>
            </w:r>
          </w:p>
        </w:tc>
        <w:tc>
          <w:tcPr>
            <w:tcW w:w="1701" w:type="dxa"/>
          </w:tcPr>
          <w:p w14:paraId="6289AD68" w14:textId="77777777" w:rsidR="001D707B" w:rsidRPr="007D40A9" w:rsidRDefault="001D707B" w:rsidP="00D8358E">
            <w:pPr>
              <w:jc w:val="both"/>
            </w:pPr>
            <w:r>
              <w:t>0.35</w:t>
            </w:r>
          </w:p>
        </w:tc>
        <w:tc>
          <w:tcPr>
            <w:tcW w:w="1843" w:type="dxa"/>
          </w:tcPr>
          <w:p w14:paraId="56CE5E80" w14:textId="77777777" w:rsidR="001D707B" w:rsidRPr="007D40A9" w:rsidRDefault="001D707B" w:rsidP="00D8358E">
            <w:pPr>
              <w:jc w:val="both"/>
            </w:pPr>
            <w:r>
              <w:t>Selenosis</w:t>
            </w:r>
          </w:p>
        </w:tc>
        <w:tc>
          <w:tcPr>
            <w:tcW w:w="2693" w:type="dxa"/>
            <w:gridSpan w:val="2"/>
          </w:tcPr>
          <w:p w14:paraId="460C27AC" w14:textId="77777777" w:rsidR="001D707B" w:rsidRPr="001E546D" w:rsidRDefault="001D707B" w:rsidP="00D8358E">
            <w:pPr>
              <w:jc w:val="both"/>
            </w:pPr>
            <w:r w:rsidRPr="001E546D">
              <w:t>Yang et al. 1989a and 1989b</w:t>
            </w:r>
          </w:p>
        </w:tc>
      </w:tr>
      <w:tr w:rsidR="001D707B" w14:paraId="05A67100" w14:textId="77777777" w:rsidTr="00D8358E">
        <w:tc>
          <w:tcPr>
            <w:tcW w:w="3119" w:type="dxa"/>
          </w:tcPr>
          <w:p w14:paraId="430959EA" w14:textId="77777777" w:rsidR="001D707B" w:rsidRDefault="001D707B" w:rsidP="00D8358E">
            <w:pPr>
              <w:jc w:val="both"/>
            </w:pPr>
            <w:r>
              <w:t>WHO Drinking water guideline (NOAEL used for derivation)</w:t>
            </w:r>
          </w:p>
        </w:tc>
        <w:tc>
          <w:tcPr>
            <w:tcW w:w="1701" w:type="dxa"/>
          </w:tcPr>
          <w:p w14:paraId="58CB3941" w14:textId="77777777" w:rsidR="001D707B" w:rsidRDefault="001D707B" w:rsidP="00D8358E">
            <w:pPr>
              <w:jc w:val="both"/>
            </w:pPr>
            <w:r>
              <w:t>0.40</w:t>
            </w:r>
          </w:p>
        </w:tc>
        <w:tc>
          <w:tcPr>
            <w:tcW w:w="1843" w:type="dxa"/>
          </w:tcPr>
          <w:p w14:paraId="076044E3" w14:textId="77777777" w:rsidR="001D707B" w:rsidRDefault="001D707B" w:rsidP="00D8358E">
            <w:pPr>
              <w:jc w:val="both"/>
            </w:pPr>
            <w:r>
              <w:t>Selenosis</w:t>
            </w:r>
          </w:p>
        </w:tc>
        <w:tc>
          <w:tcPr>
            <w:tcW w:w="2693" w:type="dxa"/>
            <w:gridSpan w:val="2"/>
          </w:tcPr>
          <w:p w14:paraId="133F7CE1" w14:textId="77777777" w:rsidR="001D707B" w:rsidRPr="001E546D" w:rsidRDefault="001D707B" w:rsidP="00D8358E">
            <w:pPr>
              <w:jc w:val="both"/>
            </w:pPr>
            <w:r>
              <w:t>WHO 2011</w:t>
            </w:r>
          </w:p>
        </w:tc>
      </w:tr>
      <w:tr w:rsidR="001D707B" w14:paraId="5D41E58F" w14:textId="77777777" w:rsidTr="00D8358E">
        <w:tc>
          <w:tcPr>
            <w:tcW w:w="3119" w:type="dxa"/>
          </w:tcPr>
          <w:p w14:paraId="5D49B563" w14:textId="77777777" w:rsidR="001D707B" w:rsidRDefault="001D707B" w:rsidP="00D8358E">
            <w:pPr>
              <w:jc w:val="both"/>
            </w:pPr>
            <w:r>
              <w:t xml:space="preserve">SCF tolerable upper intake level (UL) </w:t>
            </w:r>
          </w:p>
        </w:tc>
        <w:tc>
          <w:tcPr>
            <w:tcW w:w="1701" w:type="dxa"/>
          </w:tcPr>
          <w:p w14:paraId="6FC06D21" w14:textId="77777777" w:rsidR="001D707B" w:rsidRDefault="001D707B" w:rsidP="00D8358E">
            <w:pPr>
              <w:jc w:val="both"/>
            </w:pPr>
            <w:r>
              <w:t>0.30</w:t>
            </w:r>
          </w:p>
        </w:tc>
        <w:tc>
          <w:tcPr>
            <w:tcW w:w="1843" w:type="dxa"/>
          </w:tcPr>
          <w:p w14:paraId="442786D8" w14:textId="77777777" w:rsidR="001D707B" w:rsidRDefault="001D707B" w:rsidP="00D8358E">
            <w:pPr>
              <w:jc w:val="both"/>
            </w:pPr>
            <w:r>
              <w:t>Selenosis</w:t>
            </w:r>
          </w:p>
        </w:tc>
        <w:tc>
          <w:tcPr>
            <w:tcW w:w="2693" w:type="dxa"/>
            <w:gridSpan w:val="2"/>
          </w:tcPr>
          <w:p w14:paraId="3B6CF00D" w14:textId="77777777" w:rsidR="001D707B" w:rsidRDefault="001D707B" w:rsidP="00D8358E">
            <w:pPr>
              <w:jc w:val="both"/>
            </w:pPr>
            <w:r>
              <w:t>SCF 2000; EFSA 2014</w:t>
            </w:r>
          </w:p>
        </w:tc>
      </w:tr>
      <w:tr w:rsidR="001D707B" w14:paraId="102A4A0B" w14:textId="77777777" w:rsidTr="00D8358E">
        <w:tc>
          <w:tcPr>
            <w:tcW w:w="9356" w:type="dxa"/>
            <w:gridSpan w:val="5"/>
          </w:tcPr>
          <w:p w14:paraId="441079B0" w14:textId="77777777" w:rsidR="001D707B" w:rsidRDefault="001D707B" w:rsidP="00D8358E">
            <w:pPr>
              <w:jc w:val="both"/>
            </w:pPr>
            <w:r>
              <w:t>* Converted from chronic Minimal Risk Level (MRL) of 0.005 mg/kg bw/day assuming a 70 kg bodyweight.</w:t>
            </w:r>
          </w:p>
          <w:p w14:paraId="47192D81" w14:textId="77777777" w:rsidR="001D707B" w:rsidRDefault="001D707B" w:rsidP="00D8358E">
            <w:pPr>
              <w:jc w:val="both"/>
            </w:pPr>
            <w:r>
              <w:t>** Converted from tolerable daily intake (TDI) of 0.0064 mg/kg bw/day assuming a 70 kg bodyweight.</w:t>
            </w:r>
          </w:p>
          <w:p w14:paraId="2BF37C2A" w14:textId="77777777" w:rsidR="001D707B" w:rsidRDefault="001D707B" w:rsidP="00D8358E">
            <w:pPr>
              <w:jc w:val="both"/>
            </w:pPr>
            <w:r>
              <w:t>*** Converted from Reference Dose (RfD) of 0.005 mg/kg bw/day assuming a 70 kg bodyweight.</w:t>
            </w:r>
          </w:p>
          <w:p w14:paraId="36EF29FB" w14:textId="77777777" w:rsidR="001D707B" w:rsidRPr="007D40A9" w:rsidRDefault="001D707B" w:rsidP="00D8358E">
            <w:pPr>
              <w:jc w:val="both"/>
            </w:pPr>
          </w:p>
        </w:tc>
      </w:tr>
    </w:tbl>
    <w:p w14:paraId="416742E4" w14:textId="77777777" w:rsidR="001D707B" w:rsidRPr="00005FE4" w:rsidRDefault="001D707B" w:rsidP="001D707B"/>
    <w:p w14:paraId="317DF5D4" w14:textId="77777777" w:rsidR="001D707B" w:rsidRDefault="001D707B" w:rsidP="001D707B">
      <w:pPr>
        <w:pStyle w:val="Heading3"/>
      </w:pPr>
      <w:r>
        <w:t>Summary</w:t>
      </w:r>
    </w:p>
    <w:p w14:paraId="484C870E" w14:textId="77777777" w:rsidR="001D707B" w:rsidRDefault="001D707B" w:rsidP="001D707B">
      <w:pPr>
        <w:jc w:val="both"/>
        <w:rPr>
          <w:rFonts w:cstheme="minorHAnsi"/>
          <w:color w:val="000000"/>
        </w:rPr>
      </w:pPr>
      <w:r>
        <w:rPr>
          <w:rFonts w:cstheme="minorHAnsi"/>
          <w:color w:val="000000"/>
        </w:rPr>
        <w:t xml:space="preserve">Little of the available evidence on health effects via inhalation is suitable for the derivation of an HBGV (ATSDR 2003, IPCS 1987) for local acute or repeat dose toxicity.  </w:t>
      </w:r>
    </w:p>
    <w:p w14:paraId="3AE5F10A" w14:textId="77777777" w:rsidR="001D707B" w:rsidRDefault="001D707B" w:rsidP="001D707B">
      <w:pPr>
        <w:jc w:val="both"/>
      </w:pPr>
      <w:r w:rsidRPr="00B44D3B">
        <w:rPr>
          <w:rFonts w:cstheme="minorHAnsi"/>
        </w:rPr>
        <w:t>In general, IPCS (1987) concluded that industrial inhalation exposures had not been adequately characterised a</w:t>
      </w:r>
      <w:r w:rsidRPr="0089659E">
        <w:rPr>
          <w:rFonts w:cstheme="minorHAnsi"/>
        </w:rPr>
        <w:t>nd there was a need for further studies to be conducted.  They found that exposures were poorly characterised and there was a gener</w:t>
      </w:r>
      <w:r w:rsidRPr="00B44D3B">
        <w:rPr>
          <w:rFonts w:cstheme="minorHAnsi"/>
        </w:rPr>
        <w:t>al lack of any follow-up work or use of a control group.  The physical and chemical form of selenium varied which undoubtedly influenced the findings.</w:t>
      </w:r>
      <w:r>
        <w:rPr>
          <w:rFonts w:cstheme="minorHAnsi"/>
        </w:rPr>
        <w:t xml:space="preserve">  IPCS</w:t>
      </w:r>
      <w:r w:rsidRPr="00B44D3B">
        <w:rPr>
          <w:rFonts w:cstheme="minorHAnsi"/>
        </w:rPr>
        <w:t xml:space="preserve"> also expressed a note of caution in the interpretation of animal studies </w:t>
      </w:r>
      <w:r>
        <w:rPr>
          <w:rFonts w:cstheme="minorHAnsi"/>
        </w:rPr>
        <w:t>to characterise the</w:t>
      </w:r>
      <w:r w:rsidRPr="00B44D3B">
        <w:rPr>
          <w:rFonts w:cstheme="minorHAnsi"/>
        </w:rPr>
        <w:t xml:space="preserve"> toxicity of selenium and its compounds in workers and the general population.</w:t>
      </w:r>
      <w:r>
        <w:rPr>
          <w:rFonts w:cstheme="minorHAnsi"/>
        </w:rPr>
        <w:t xml:space="preserve">  </w:t>
      </w:r>
      <w:r w:rsidRPr="00B44D3B">
        <w:rPr>
          <w:rFonts w:cstheme="minorHAnsi"/>
        </w:rPr>
        <w:t>Firstly, the database was limited.</w:t>
      </w:r>
      <w:r>
        <w:rPr>
          <w:rFonts w:cstheme="minorHAnsi"/>
        </w:rPr>
        <w:t xml:space="preserve">  </w:t>
      </w:r>
      <w:r w:rsidRPr="00B44D3B">
        <w:rPr>
          <w:rFonts w:cstheme="minorHAnsi"/>
        </w:rPr>
        <w:t xml:space="preserve">Secondly, the air concentrations and exposure durations </w:t>
      </w:r>
      <w:r>
        <w:rPr>
          <w:rFonts w:cstheme="minorHAnsi"/>
        </w:rPr>
        <w:t xml:space="preserve">of the general population </w:t>
      </w:r>
      <w:r w:rsidRPr="00B44D3B">
        <w:rPr>
          <w:rFonts w:cstheme="minorHAnsi"/>
        </w:rPr>
        <w:t>(where exposures were lower, but of a much longer duration)</w:t>
      </w:r>
      <w:r>
        <w:rPr>
          <w:rFonts w:cstheme="minorHAnsi"/>
        </w:rPr>
        <w:t xml:space="preserve"> </w:t>
      </w:r>
      <w:r w:rsidRPr="00B44D3B">
        <w:rPr>
          <w:rFonts w:cstheme="minorHAnsi"/>
        </w:rPr>
        <w:t>were often quite different from those found in the workplace.</w:t>
      </w:r>
    </w:p>
    <w:p w14:paraId="225CD504" w14:textId="77777777" w:rsidR="001D707B" w:rsidRDefault="001D707B" w:rsidP="001D707B">
      <w:pPr>
        <w:jc w:val="both"/>
      </w:pPr>
      <w:r>
        <w:t>No short-term HBGV were found for selenium and its compounds to protect public health.</w:t>
      </w:r>
    </w:p>
    <w:p w14:paraId="5E64BFC3" w14:textId="77777777" w:rsidR="001D707B" w:rsidRPr="00DC635F" w:rsidRDefault="001D707B" w:rsidP="001D707B">
      <w:pPr>
        <w:jc w:val="both"/>
      </w:pPr>
      <w:r>
        <w:t xml:space="preserve">Long term HBGV for inhalation exposure were derived in the industry REACH dossiers for selenium, selenium dioxide, selenium selenate, and selenium selenite.  They are all based on an upper limit of total selenium intake of 0.3 </w:t>
      </w:r>
      <w:r>
        <w:rPr>
          <w:rFonts w:cstheme="minorHAnsi"/>
        </w:rPr>
        <w:t>m</w:t>
      </w:r>
      <w:r>
        <w:t>g/day from studies of selenosis from excessive dietary exposures (SCF 2000, Yang and Zhou 1994) by route-to-route extrapolation.  After correction to an air concentration, the individual DNEL values differ only by the relative molecular weight of the different compounds.</w:t>
      </w:r>
    </w:p>
    <w:tbl>
      <w:tblPr>
        <w:tblStyle w:val="TableGrid"/>
        <w:tblW w:w="9639" w:type="dxa"/>
        <w:tblLook w:val="04A0" w:firstRow="1" w:lastRow="0" w:firstColumn="1" w:lastColumn="0" w:noHBand="0" w:noVBand="1"/>
      </w:tblPr>
      <w:tblGrid>
        <w:gridCol w:w="2410"/>
        <w:gridCol w:w="1559"/>
        <w:gridCol w:w="1134"/>
        <w:gridCol w:w="1843"/>
        <w:gridCol w:w="2693"/>
      </w:tblGrid>
      <w:tr w:rsidR="001D707B" w14:paraId="375244B8" w14:textId="77777777" w:rsidTr="00D8358E">
        <w:tc>
          <w:tcPr>
            <w:tcW w:w="9639" w:type="dxa"/>
            <w:gridSpan w:val="5"/>
            <w:tcBorders>
              <w:top w:val="nil"/>
              <w:left w:val="nil"/>
              <w:right w:val="nil"/>
            </w:tcBorders>
            <w:shd w:val="clear" w:color="auto" w:fill="auto"/>
          </w:tcPr>
          <w:p w14:paraId="5A1D765A" w14:textId="77777777" w:rsidR="001D707B" w:rsidRDefault="001D707B" w:rsidP="00D8358E">
            <w:pPr>
              <w:jc w:val="both"/>
              <w:rPr>
                <w:b/>
              </w:rPr>
            </w:pPr>
            <w:r w:rsidRPr="002508C7">
              <w:rPr>
                <w:b/>
              </w:rPr>
              <w:t xml:space="preserve">Summary of </w:t>
            </w:r>
            <w:r>
              <w:rPr>
                <w:b/>
              </w:rPr>
              <w:t>HBGV for Long</w:t>
            </w:r>
            <w:r w:rsidRPr="002508C7">
              <w:rPr>
                <w:b/>
              </w:rPr>
              <w:t xml:space="preserve">-term </w:t>
            </w:r>
            <w:r>
              <w:rPr>
                <w:b/>
              </w:rPr>
              <w:t xml:space="preserve">Inhalation </w:t>
            </w:r>
            <w:r w:rsidRPr="002508C7">
              <w:rPr>
                <w:b/>
              </w:rPr>
              <w:t>Exposures</w:t>
            </w:r>
          </w:p>
        </w:tc>
      </w:tr>
      <w:tr w:rsidR="001D707B" w14:paraId="2E389AFD" w14:textId="77777777" w:rsidTr="00D8358E">
        <w:tc>
          <w:tcPr>
            <w:tcW w:w="2410" w:type="dxa"/>
            <w:shd w:val="pct20" w:color="auto" w:fill="auto"/>
          </w:tcPr>
          <w:p w14:paraId="6A232181" w14:textId="77777777" w:rsidR="001D707B" w:rsidRPr="002508C7" w:rsidRDefault="001D707B" w:rsidP="00D8358E">
            <w:pPr>
              <w:jc w:val="both"/>
              <w:rPr>
                <w:b/>
              </w:rPr>
            </w:pPr>
            <w:r w:rsidRPr="002508C7">
              <w:rPr>
                <w:b/>
              </w:rPr>
              <w:t>Guideline</w:t>
            </w:r>
          </w:p>
        </w:tc>
        <w:tc>
          <w:tcPr>
            <w:tcW w:w="1559" w:type="dxa"/>
            <w:shd w:val="pct20" w:color="auto" w:fill="auto"/>
          </w:tcPr>
          <w:p w14:paraId="60C949D2" w14:textId="77777777" w:rsidR="001D707B" w:rsidRPr="002508C7" w:rsidRDefault="001D707B" w:rsidP="00D8358E">
            <w:pPr>
              <w:jc w:val="both"/>
              <w:rPr>
                <w:b/>
              </w:rPr>
            </w:pPr>
            <w:r>
              <w:rPr>
                <w:b/>
              </w:rPr>
              <w:t>Value (</w:t>
            </w:r>
            <w:r>
              <w:rPr>
                <w:rFonts w:cstheme="minorHAnsi"/>
                <w:b/>
              </w:rPr>
              <w:t>m</w:t>
            </w:r>
            <w:r>
              <w:rPr>
                <w:b/>
              </w:rPr>
              <w:t>g/m</w:t>
            </w:r>
            <w:r w:rsidRPr="002508C7">
              <w:rPr>
                <w:b/>
                <w:vertAlign w:val="superscript"/>
              </w:rPr>
              <w:t>3</w:t>
            </w:r>
            <w:r>
              <w:rPr>
                <w:b/>
              </w:rPr>
              <w:t>)</w:t>
            </w:r>
          </w:p>
        </w:tc>
        <w:tc>
          <w:tcPr>
            <w:tcW w:w="1134" w:type="dxa"/>
            <w:shd w:val="pct20" w:color="auto" w:fill="auto"/>
          </w:tcPr>
          <w:p w14:paraId="2521F613" w14:textId="77777777" w:rsidR="001D707B" w:rsidRPr="002508C7" w:rsidRDefault="001D707B" w:rsidP="00D8358E">
            <w:pPr>
              <w:jc w:val="both"/>
              <w:rPr>
                <w:b/>
              </w:rPr>
            </w:pPr>
            <w:r>
              <w:rPr>
                <w:b/>
              </w:rPr>
              <w:t>Duration</w:t>
            </w:r>
          </w:p>
        </w:tc>
        <w:tc>
          <w:tcPr>
            <w:tcW w:w="1843" w:type="dxa"/>
            <w:shd w:val="pct20" w:color="auto" w:fill="auto"/>
          </w:tcPr>
          <w:p w14:paraId="22EA0940" w14:textId="77777777" w:rsidR="001D707B" w:rsidRPr="002508C7" w:rsidRDefault="001D707B" w:rsidP="00D8358E">
            <w:pPr>
              <w:jc w:val="both"/>
              <w:rPr>
                <w:b/>
              </w:rPr>
            </w:pPr>
            <w:r>
              <w:rPr>
                <w:b/>
              </w:rPr>
              <w:t>Critical effect(s)</w:t>
            </w:r>
          </w:p>
        </w:tc>
        <w:tc>
          <w:tcPr>
            <w:tcW w:w="2693" w:type="dxa"/>
            <w:shd w:val="pct20" w:color="auto" w:fill="auto"/>
          </w:tcPr>
          <w:p w14:paraId="0771A7A2" w14:textId="77777777" w:rsidR="001D707B" w:rsidRPr="002508C7" w:rsidRDefault="001D707B" w:rsidP="00D8358E">
            <w:pPr>
              <w:jc w:val="both"/>
              <w:rPr>
                <w:b/>
              </w:rPr>
            </w:pPr>
            <w:r>
              <w:rPr>
                <w:b/>
              </w:rPr>
              <w:t>Pivotal reference(s)</w:t>
            </w:r>
          </w:p>
        </w:tc>
      </w:tr>
      <w:tr w:rsidR="001D707B" w14:paraId="0DB38BCA" w14:textId="77777777" w:rsidTr="00D8358E">
        <w:tc>
          <w:tcPr>
            <w:tcW w:w="2410" w:type="dxa"/>
          </w:tcPr>
          <w:p w14:paraId="4C9EAB09" w14:textId="77777777" w:rsidR="001D707B" w:rsidRPr="007D40A9" w:rsidRDefault="001D707B" w:rsidP="00D8358E">
            <w:pPr>
              <w:jc w:val="both"/>
            </w:pPr>
            <w:r w:rsidRPr="007D40A9">
              <w:t>Current EAL</w:t>
            </w:r>
          </w:p>
        </w:tc>
        <w:tc>
          <w:tcPr>
            <w:tcW w:w="1559" w:type="dxa"/>
          </w:tcPr>
          <w:p w14:paraId="7E144AE9" w14:textId="77777777" w:rsidR="001D707B" w:rsidRPr="007D40A9" w:rsidRDefault="001D707B" w:rsidP="00D8358E">
            <w:pPr>
              <w:jc w:val="both"/>
            </w:pPr>
            <w:r>
              <w:t>0.001</w:t>
            </w:r>
          </w:p>
        </w:tc>
        <w:tc>
          <w:tcPr>
            <w:tcW w:w="1134" w:type="dxa"/>
          </w:tcPr>
          <w:p w14:paraId="6B8ADA42" w14:textId="77777777" w:rsidR="001D707B" w:rsidRPr="007D40A9" w:rsidRDefault="001D707B" w:rsidP="00D8358E">
            <w:pPr>
              <w:jc w:val="both"/>
            </w:pPr>
            <w:r>
              <w:t>Annual</w:t>
            </w:r>
          </w:p>
        </w:tc>
        <w:tc>
          <w:tcPr>
            <w:tcW w:w="1843" w:type="dxa"/>
          </w:tcPr>
          <w:p w14:paraId="48E3FB81" w14:textId="77777777" w:rsidR="001D707B" w:rsidRPr="007D40A9" w:rsidRDefault="001D707B" w:rsidP="00D8358E">
            <w:pPr>
              <w:jc w:val="both"/>
            </w:pPr>
            <w:r w:rsidRPr="007D40A9">
              <w:t>-</w:t>
            </w:r>
          </w:p>
        </w:tc>
        <w:tc>
          <w:tcPr>
            <w:tcW w:w="2693" w:type="dxa"/>
          </w:tcPr>
          <w:p w14:paraId="6D34627F" w14:textId="77777777" w:rsidR="001D707B" w:rsidRPr="007D40A9" w:rsidRDefault="001D707B" w:rsidP="00D8358E">
            <w:pPr>
              <w:jc w:val="both"/>
            </w:pPr>
            <w:r>
              <w:t>OEL 2011</w:t>
            </w:r>
          </w:p>
        </w:tc>
      </w:tr>
      <w:tr w:rsidR="001D707B" w14:paraId="7ADE2A22" w14:textId="77777777" w:rsidTr="00D8358E">
        <w:tc>
          <w:tcPr>
            <w:tcW w:w="2410" w:type="dxa"/>
          </w:tcPr>
          <w:p w14:paraId="3C067C5B" w14:textId="77777777" w:rsidR="001D707B" w:rsidRPr="007D40A9" w:rsidRDefault="001D707B" w:rsidP="00D8358E">
            <w:pPr>
              <w:jc w:val="both"/>
            </w:pPr>
            <w:r>
              <w:t>DNEL (selenium)</w:t>
            </w:r>
          </w:p>
        </w:tc>
        <w:tc>
          <w:tcPr>
            <w:tcW w:w="1559" w:type="dxa"/>
          </w:tcPr>
          <w:p w14:paraId="5FDD7CD5" w14:textId="77777777" w:rsidR="001D707B" w:rsidRPr="007D40A9" w:rsidRDefault="001D707B" w:rsidP="00D8358E">
            <w:pPr>
              <w:jc w:val="both"/>
            </w:pPr>
            <w:r>
              <w:t>0.015</w:t>
            </w:r>
          </w:p>
        </w:tc>
        <w:tc>
          <w:tcPr>
            <w:tcW w:w="1134" w:type="dxa"/>
          </w:tcPr>
          <w:p w14:paraId="4F0AE60C" w14:textId="77777777" w:rsidR="001D707B" w:rsidRPr="007D40A9" w:rsidRDefault="001D707B" w:rsidP="00D8358E">
            <w:pPr>
              <w:jc w:val="both"/>
            </w:pPr>
            <w:r>
              <w:t>Lifetime</w:t>
            </w:r>
          </w:p>
        </w:tc>
        <w:tc>
          <w:tcPr>
            <w:tcW w:w="1843" w:type="dxa"/>
          </w:tcPr>
          <w:p w14:paraId="70283F0F" w14:textId="77777777" w:rsidR="001D707B" w:rsidRPr="007D40A9" w:rsidRDefault="001D707B" w:rsidP="00D8358E">
            <w:pPr>
              <w:jc w:val="both"/>
            </w:pPr>
            <w:r>
              <w:t>Selenosis</w:t>
            </w:r>
          </w:p>
        </w:tc>
        <w:tc>
          <w:tcPr>
            <w:tcW w:w="2693" w:type="dxa"/>
          </w:tcPr>
          <w:p w14:paraId="53082772" w14:textId="77777777" w:rsidR="001D707B" w:rsidRPr="007D40A9" w:rsidRDefault="001D707B" w:rsidP="00D8358E">
            <w:pPr>
              <w:jc w:val="both"/>
            </w:pPr>
            <w:r>
              <w:t>Yang and Zhou 1994</w:t>
            </w:r>
          </w:p>
        </w:tc>
      </w:tr>
      <w:tr w:rsidR="001D707B" w14:paraId="679B0BDB" w14:textId="77777777" w:rsidTr="00D8358E">
        <w:tc>
          <w:tcPr>
            <w:tcW w:w="2410" w:type="dxa"/>
          </w:tcPr>
          <w:p w14:paraId="380365DE" w14:textId="77777777" w:rsidR="001D707B" w:rsidRDefault="001D707B" w:rsidP="00D8358E">
            <w:pPr>
              <w:jc w:val="both"/>
            </w:pPr>
            <w:r>
              <w:t>DNEL (selenium dioxide)</w:t>
            </w:r>
          </w:p>
        </w:tc>
        <w:tc>
          <w:tcPr>
            <w:tcW w:w="1559" w:type="dxa"/>
          </w:tcPr>
          <w:p w14:paraId="7567D7E0" w14:textId="77777777" w:rsidR="001D707B" w:rsidRDefault="001D707B" w:rsidP="00D8358E">
            <w:pPr>
              <w:jc w:val="both"/>
            </w:pPr>
            <w:r>
              <w:t>0.021</w:t>
            </w:r>
          </w:p>
        </w:tc>
        <w:tc>
          <w:tcPr>
            <w:tcW w:w="1134" w:type="dxa"/>
          </w:tcPr>
          <w:p w14:paraId="2BD1B199" w14:textId="77777777" w:rsidR="001D707B" w:rsidRDefault="001D707B" w:rsidP="00D8358E">
            <w:pPr>
              <w:jc w:val="both"/>
            </w:pPr>
            <w:r>
              <w:t>Lifetime</w:t>
            </w:r>
          </w:p>
        </w:tc>
        <w:tc>
          <w:tcPr>
            <w:tcW w:w="1843" w:type="dxa"/>
          </w:tcPr>
          <w:p w14:paraId="269712ED" w14:textId="77777777" w:rsidR="001D707B" w:rsidRDefault="001D707B" w:rsidP="00D8358E">
            <w:pPr>
              <w:jc w:val="both"/>
            </w:pPr>
            <w:r>
              <w:t>Selenosis</w:t>
            </w:r>
          </w:p>
        </w:tc>
        <w:tc>
          <w:tcPr>
            <w:tcW w:w="2693" w:type="dxa"/>
          </w:tcPr>
          <w:p w14:paraId="0CBDC77F" w14:textId="77777777" w:rsidR="001D707B" w:rsidRDefault="001D707B" w:rsidP="00D8358E">
            <w:pPr>
              <w:jc w:val="both"/>
            </w:pPr>
            <w:r>
              <w:t>Yang and Zhou 1994</w:t>
            </w:r>
          </w:p>
        </w:tc>
      </w:tr>
      <w:tr w:rsidR="001D707B" w14:paraId="7293C863" w14:textId="77777777" w:rsidTr="00D8358E">
        <w:tc>
          <w:tcPr>
            <w:tcW w:w="2410" w:type="dxa"/>
          </w:tcPr>
          <w:p w14:paraId="4222BDA8" w14:textId="77777777" w:rsidR="001D707B" w:rsidRDefault="001D707B" w:rsidP="00D8358E">
            <w:pPr>
              <w:jc w:val="both"/>
            </w:pPr>
            <w:r>
              <w:t>DNEL (sodium selenate)</w:t>
            </w:r>
          </w:p>
        </w:tc>
        <w:tc>
          <w:tcPr>
            <w:tcW w:w="1559" w:type="dxa"/>
          </w:tcPr>
          <w:p w14:paraId="49D29B7D" w14:textId="77777777" w:rsidR="001D707B" w:rsidRDefault="001D707B" w:rsidP="00D8358E">
            <w:pPr>
              <w:jc w:val="both"/>
            </w:pPr>
            <w:r>
              <w:t>0.036</w:t>
            </w:r>
          </w:p>
        </w:tc>
        <w:tc>
          <w:tcPr>
            <w:tcW w:w="1134" w:type="dxa"/>
          </w:tcPr>
          <w:p w14:paraId="2FA3F2DD" w14:textId="77777777" w:rsidR="001D707B" w:rsidRDefault="001D707B" w:rsidP="00D8358E">
            <w:pPr>
              <w:jc w:val="both"/>
            </w:pPr>
            <w:r>
              <w:t>Lifetime</w:t>
            </w:r>
          </w:p>
        </w:tc>
        <w:tc>
          <w:tcPr>
            <w:tcW w:w="1843" w:type="dxa"/>
          </w:tcPr>
          <w:p w14:paraId="3FA8C3B4" w14:textId="77777777" w:rsidR="001D707B" w:rsidRDefault="001D707B" w:rsidP="00D8358E">
            <w:pPr>
              <w:jc w:val="both"/>
            </w:pPr>
            <w:r>
              <w:t>Selenosis</w:t>
            </w:r>
          </w:p>
        </w:tc>
        <w:tc>
          <w:tcPr>
            <w:tcW w:w="2693" w:type="dxa"/>
          </w:tcPr>
          <w:p w14:paraId="4868ABCE" w14:textId="77777777" w:rsidR="001D707B" w:rsidRDefault="001D707B" w:rsidP="00D8358E">
            <w:pPr>
              <w:jc w:val="both"/>
            </w:pPr>
            <w:r>
              <w:t>Yang and Zhou 1994</w:t>
            </w:r>
          </w:p>
        </w:tc>
      </w:tr>
      <w:tr w:rsidR="001D707B" w14:paraId="5D19375E" w14:textId="77777777" w:rsidTr="00D8358E">
        <w:tc>
          <w:tcPr>
            <w:tcW w:w="2410" w:type="dxa"/>
          </w:tcPr>
          <w:p w14:paraId="2A7B73E7" w14:textId="77777777" w:rsidR="001D707B" w:rsidRDefault="001D707B" w:rsidP="00D8358E">
            <w:pPr>
              <w:jc w:val="both"/>
            </w:pPr>
            <w:r>
              <w:t>DNEL (sodium selenite)</w:t>
            </w:r>
          </w:p>
        </w:tc>
        <w:tc>
          <w:tcPr>
            <w:tcW w:w="1559" w:type="dxa"/>
          </w:tcPr>
          <w:p w14:paraId="5D1A3B29" w14:textId="77777777" w:rsidR="001D707B" w:rsidRDefault="001D707B" w:rsidP="00D8358E">
            <w:pPr>
              <w:jc w:val="both"/>
            </w:pPr>
            <w:r>
              <w:t>0.033</w:t>
            </w:r>
          </w:p>
        </w:tc>
        <w:tc>
          <w:tcPr>
            <w:tcW w:w="1134" w:type="dxa"/>
          </w:tcPr>
          <w:p w14:paraId="525C705B" w14:textId="77777777" w:rsidR="001D707B" w:rsidRDefault="001D707B" w:rsidP="00D8358E">
            <w:pPr>
              <w:jc w:val="both"/>
            </w:pPr>
            <w:r>
              <w:t>Lifetime</w:t>
            </w:r>
          </w:p>
        </w:tc>
        <w:tc>
          <w:tcPr>
            <w:tcW w:w="1843" w:type="dxa"/>
          </w:tcPr>
          <w:p w14:paraId="3F4F3271" w14:textId="77777777" w:rsidR="001D707B" w:rsidRDefault="001D707B" w:rsidP="00D8358E">
            <w:pPr>
              <w:jc w:val="both"/>
            </w:pPr>
            <w:r>
              <w:t>Selenosis</w:t>
            </w:r>
          </w:p>
        </w:tc>
        <w:tc>
          <w:tcPr>
            <w:tcW w:w="2693" w:type="dxa"/>
          </w:tcPr>
          <w:p w14:paraId="5C4EFBA8" w14:textId="77777777" w:rsidR="001D707B" w:rsidRDefault="001D707B" w:rsidP="00D8358E">
            <w:pPr>
              <w:jc w:val="both"/>
            </w:pPr>
            <w:r>
              <w:t>Yang and Zhou 1994</w:t>
            </w:r>
          </w:p>
        </w:tc>
      </w:tr>
      <w:tr w:rsidR="001D707B" w14:paraId="3546C1C7" w14:textId="77777777" w:rsidTr="00D8358E">
        <w:tc>
          <w:tcPr>
            <w:tcW w:w="9639" w:type="dxa"/>
            <w:gridSpan w:val="5"/>
            <w:tcBorders>
              <w:top w:val="single" w:sz="4" w:space="0" w:color="auto"/>
              <w:left w:val="nil"/>
              <w:bottom w:val="nil"/>
              <w:right w:val="nil"/>
            </w:tcBorders>
          </w:tcPr>
          <w:p w14:paraId="2B6DFB19" w14:textId="77777777" w:rsidR="001D707B" w:rsidRPr="0052130D" w:rsidRDefault="001D707B" w:rsidP="00D8358E">
            <w:pPr>
              <w:jc w:val="both"/>
              <w:rPr>
                <w:vertAlign w:val="superscript"/>
              </w:rPr>
            </w:pPr>
          </w:p>
        </w:tc>
      </w:tr>
    </w:tbl>
    <w:p w14:paraId="7684C502" w14:textId="77777777" w:rsidR="001D707B" w:rsidRDefault="001D707B" w:rsidP="001D707B">
      <w:pPr>
        <w:jc w:val="both"/>
      </w:pPr>
    </w:p>
    <w:p w14:paraId="5E86D623" w14:textId="77777777" w:rsidR="001D707B" w:rsidRDefault="001D707B" w:rsidP="001D707B">
      <w:pPr>
        <w:pStyle w:val="Heading3"/>
      </w:pPr>
      <w:r>
        <w:t>Recommendations</w:t>
      </w:r>
    </w:p>
    <w:p w14:paraId="75D1D2A8" w14:textId="77777777" w:rsidR="001D707B" w:rsidRDefault="001D707B" w:rsidP="001D707B">
      <w:pPr>
        <w:pStyle w:val="Heading4"/>
      </w:pPr>
      <w:r>
        <w:t>Short-term EAL</w:t>
      </w:r>
    </w:p>
    <w:p w14:paraId="0D8B5DFC" w14:textId="77777777" w:rsidR="001D707B" w:rsidRDefault="001D707B" w:rsidP="001D707B">
      <w:pPr>
        <w:jc w:val="both"/>
      </w:pPr>
      <w:r>
        <w:t>It is not proposed to establish a short-term EAL for selenium and its compounds because of insufficient evidence.</w:t>
      </w:r>
    </w:p>
    <w:p w14:paraId="36A15634" w14:textId="77777777" w:rsidR="001D707B" w:rsidRDefault="001D707B" w:rsidP="001D707B">
      <w:pPr>
        <w:pStyle w:val="Heading4"/>
      </w:pPr>
      <w:r>
        <w:t>Long-term EAL</w:t>
      </w:r>
    </w:p>
    <w:p w14:paraId="6674D192" w14:textId="77777777" w:rsidR="001D707B" w:rsidRDefault="001D707B" w:rsidP="001D707B">
      <w:pPr>
        <w:jc w:val="both"/>
      </w:pPr>
      <w:r>
        <w:t>A long-term EAL of 0.002 mg/m</w:t>
      </w:r>
      <w:r>
        <w:rPr>
          <w:vertAlign w:val="superscript"/>
        </w:rPr>
        <w:t>3</w:t>
      </w:r>
      <w:r>
        <w:t xml:space="preserve"> </w:t>
      </w:r>
      <w:r>
        <w:rPr>
          <w:rFonts w:cstheme="minorHAnsi"/>
        </w:rPr>
        <w:t>as a 24-hour mean is recommended to protect the public</w:t>
      </w:r>
      <w:r w:rsidRPr="0076386E">
        <w:rPr>
          <w:rFonts w:cstheme="minorHAnsi"/>
        </w:rPr>
        <w:t>.</w:t>
      </w:r>
      <w:r>
        <w:rPr>
          <w:rFonts w:cstheme="minorHAnsi"/>
        </w:rPr>
        <w:t xml:space="preserve">  It is based on route-to-route extrapolation from the systemic effect of selenosis via excessive dietary exposure.  Several authoritative bodies (ATSDR 2003, EVM 2003, SCF 2000, US EPA 1991, WHO 2011) have derived oral HBGV for the protection of the public in the range 0.3 – 0.45 mg/day, which corresponds to an air concentration between 0.015 – 0.023 mg/m</w:t>
      </w:r>
      <w:r w:rsidRPr="005F4630">
        <w:rPr>
          <w:rFonts w:cstheme="minorHAnsi"/>
          <w:vertAlign w:val="superscript"/>
        </w:rPr>
        <w:t>3</w:t>
      </w:r>
      <w:r>
        <w:rPr>
          <w:rFonts w:cstheme="minorHAnsi"/>
        </w:rPr>
        <w:t xml:space="preserve"> (assuming an adult inhalation rate of 20 m</w:t>
      </w:r>
      <w:r w:rsidRPr="0074671F">
        <w:rPr>
          <w:rFonts w:cstheme="minorHAnsi"/>
          <w:vertAlign w:val="superscript"/>
        </w:rPr>
        <w:t>3</w:t>
      </w:r>
      <w:r>
        <w:rPr>
          <w:rFonts w:cstheme="minorHAnsi"/>
        </w:rPr>
        <w:t>/day).  Rounding the values in this range to one significant figure yields an inhalation HBGV of 0.02 mg/m</w:t>
      </w:r>
      <w:r w:rsidRPr="0074671F">
        <w:rPr>
          <w:rFonts w:cstheme="minorHAnsi"/>
          <w:vertAlign w:val="superscript"/>
        </w:rPr>
        <w:t>3</w:t>
      </w:r>
      <w:r>
        <w:rPr>
          <w:rFonts w:cstheme="minorHAnsi"/>
        </w:rPr>
        <w:t xml:space="preserve">.  </w:t>
      </w:r>
      <w:r>
        <w:t>In deriving the long-term EAL, i</w:t>
      </w:r>
      <w:r w:rsidRPr="00A803A3">
        <w:t xml:space="preserve">t is </w:t>
      </w:r>
      <w:r>
        <w:t xml:space="preserve">also </w:t>
      </w:r>
      <w:r w:rsidRPr="00A803A3">
        <w:t xml:space="preserve">appropriate to allocate a significant proportion of the </w:t>
      </w:r>
      <w:r>
        <w:t>HBGV</w:t>
      </w:r>
      <w:r w:rsidRPr="00A803A3">
        <w:t xml:space="preserve"> to the diet, which is the predominant route of exposure.  </w:t>
      </w:r>
      <w:r>
        <w:t>The long-term EAL assumes an allocation of 10</w:t>
      </w:r>
      <w:r w:rsidRPr="00A803A3">
        <w:t xml:space="preserve">% </w:t>
      </w:r>
      <w:r>
        <w:t xml:space="preserve">of the HBGV to air, </w:t>
      </w:r>
      <w:r w:rsidRPr="00A803A3">
        <w:t>which is similar to the allocation</w:t>
      </w:r>
      <w:r>
        <w:t xml:space="preserve"> for</w:t>
      </w:r>
      <w:r w:rsidRPr="00A803A3">
        <w:t xml:space="preserve"> drinking water by WHO (2011)</w:t>
      </w:r>
      <w:r>
        <w:t>.  No additional UF is required.</w:t>
      </w:r>
    </w:p>
    <w:p w14:paraId="2A98AF39" w14:textId="77777777" w:rsidR="001D707B" w:rsidRDefault="001D707B" w:rsidP="001D707B">
      <w:pPr>
        <w:jc w:val="both"/>
      </w:pPr>
      <w:r>
        <w:t>The long-term EAL provides a margin of safety (from approximately 3 to &gt;1,000) for local respiratory and irritant effects observed in acute and chronic occupational and animal studies after inhalation of selenium and its compounds (see earlier summary of the evidence for effects by inhalation).</w:t>
      </w:r>
    </w:p>
    <w:p w14:paraId="3E86E7BD" w14:textId="77777777" w:rsidR="001D707B" w:rsidRPr="008C66EE" w:rsidRDefault="001D707B" w:rsidP="001D707B">
      <w:pPr>
        <w:pStyle w:val="Heading3"/>
      </w:pPr>
      <w:r w:rsidRPr="008C66EE">
        <w:lastRenderedPageBreak/>
        <w:t>Abbreviations and 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6840"/>
      </w:tblGrid>
      <w:tr w:rsidR="001D707B" w14:paraId="60B3568D" w14:textId="77777777" w:rsidTr="00D8358E">
        <w:tc>
          <w:tcPr>
            <w:tcW w:w="1535" w:type="dxa"/>
            <w:tcMar>
              <w:top w:w="57" w:type="dxa"/>
              <w:bottom w:w="57" w:type="dxa"/>
            </w:tcMar>
          </w:tcPr>
          <w:p w14:paraId="587502D1" w14:textId="77777777" w:rsidR="001D707B" w:rsidRDefault="001D707B" w:rsidP="00D8358E">
            <w:r>
              <w:t>ATSDR</w:t>
            </w:r>
          </w:p>
        </w:tc>
        <w:tc>
          <w:tcPr>
            <w:tcW w:w="7491" w:type="dxa"/>
            <w:tcMar>
              <w:top w:w="57" w:type="dxa"/>
              <w:bottom w:w="57" w:type="dxa"/>
            </w:tcMar>
          </w:tcPr>
          <w:p w14:paraId="1BF9FEDE" w14:textId="77777777" w:rsidR="001D707B" w:rsidRDefault="001D707B" w:rsidP="00D8358E">
            <w:r>
              <w:t>Agency for Toxic Substances and Disease Registry</w:t>
            </w:r>
          </w:p>
        </w:tc>
      </w:tr>
      <w:tr w:rsidR="001D707B" w14:paraId="29C49454" w14:textId="77777777" w:rsidTr="00D8358E">
        <w:tc>
          <w:tcPr>
            <w:tcW w:w="1535" w:type="dxa"/>
            <w:tcMar>
              <w:top w:w="57" w:type="dxa"/>
              <w:bottom w:w="57" w:type="dxa"/>
            </w:tcMar>
          </w:tcPr>
          <w:p w14:paraId="5B0C3923" w14:textId="77777777" w:rsidR="001D707B" w:rsidRDefault="001D707B" w:rsidP="00D8358E">
            <w:r>
              <w:t>DNEL</w:t>
            </w:r>
          </w:p>
        </w:tc>
        <w:tc>
          <w:tcPr>
            <w:tcW w:w="7491" w:type="dxa"/>
            <w:tcMar>
              <w:top w:w="57" w:type="dxa"/>
              <w:bottom w:w="57" w:type="dxa"/>
            </w:tcMar>
          </w:tcPr>
          <w:p w14:paraId="7EF8CC5A" w14:textId="77777777" w:rsidR="001D707B" w:rsidRDefault="001D707B" w:rsidP="00D8358E">
            <w:r>
              <w:t>Derived No-Effect Level is defined as the level of exposure to a substance above which humans should not be exposed.  DNEL apply to health effects with a threshold.</w:t>
            </w:r>
          </w:p>
        </w:tc>
      </w:tr>
      <w:tr w:rsidR="001D707B" w14:paraId="1F679FA8" w14:textId="77777777" w:rsidTr="00D8358E">
        <w:tc>
          <w:tcPr>
            <w:tcW w:w="1535" w:type="dxa"/>
            <w:tcMar>
              <w:top w:w="57" w:type="dxa"/>
              <w:bottom w:w="57" w:type="dxa"/>
            </w:tcMar>
          </w:tcPr>
          <w:p w14:paraId="757B2943" w14:textId="77777777" w:rsidR="001D707B" w:rsidRDefault="001D707B" w:rsidP="00D8358E">
            <w:r>
              <w:t>EA</w:t>
            </w:r>
          </w:p>
        </w:tc>
        <w:tc>
          <w:tcPr>
            <w:tcW w:w="7491" w:type="dxa"/>
            <w:tcMar>
              <w:top w:w="57" w:type="dxa"/>
              <w:bottom w:w="57" w:type="dxa"/>
            </w:tcMar>
          </w:tcPr>
          <w:p w14:paraId="10EAEBE0" w14:textId="77777777" w:rsidR="001D707B" w:rsidRDefault="001D707B" w:rsidP="00D8358E">
            <w:r>
              <w:t>Environment Agency</w:t>
            </w:r>
          </w:p>
        </w:tc>
      </w:tr>
      <w:tr w:rsidR="001D707B" w14:paraId="77323380" w14:textId="77777777" w:rsidTr="00D8358E">
        <w:tc>
          <w:tcPr>
            <w:tcW w:w="1535" w:type="dxa"/>
            <w:tcMar>
              <w:top w:w="57" w:type="dxa"/>
              <w:bottom w:w="57" w:type="dxa"/>
            </w:tcMar>
          </w:tcPr>
          <w:p w14:paraId="6564BB1C" w14:textId="77777777" w:rsidR="001D707B" w:rsidRDefault="001D707B" w:rsidP="00D8358E">
            <w:r>
              <w:t>EAL</w:t>
            </w:r>
          </w:p>
        </w:tc>
        <w:tc>
          <w:tcPr>
            <w:tcW w:w="7491" w:type="dxa"/>
            <w:tcMar>
              <w:top w:w="57" w:type="dxa"/>
              <w:bottom w:w="57" w:type="dxa"/>
            </w:tcMar>
          </w:tcPr>
          <w:p w14:paraId="646AFB29" w14:textId="77777777" w:rsidR="001D707B" w:rsidRDefault="001D707B" w:rsidP="00D8358E">
            <w:r>
              <w:t>Environmental Assessment Level</w:t>
            </w:r>
          </w:p>
        </w:tc>
      </w:tr>
      <w:tr w:rsidR="001D707B" w14:paraId="5DCDFFC1" w14:textId="77777777" w:rsidTr="00D8358E">
        <w:tc>
          <w:tcPr>
            <w:tcW w:w="1535" w:type="dxa"/>
            <w:tcMar>
              <w:top w:w="57" w:type="dxa"/>
              <w:bottom w:w="57" w:type="dxa"/>
            </w:tcMar>
          </w:tcPr>
          <w:p w14:paraId="5BEEAD02" w14:textId="77777777" w:rsidR="001D707B" w:rsidRDefault="001D707B" w:rsidP="00D8358E">
            <w:r>
              <w:t>ECHA</w:t>
            </w:r>
          </w:p>
        </w:tc>
        <w:tc>
          <w:tcPr>
            <w:tcW w:w="7491" w:type="dxa"/>
            <w:tcMar>
              <w:top w:w="57" w:type="dxa"/>
              <w:bottom w:w="57" w:type="dxa"/>
            </w:tcMar>
          </w:tcPr>
          <w:p w14:paraId="6E701B23" w14:textId="77777777" w:rsidR="001D707B" w:rsidRDefault="001D707B" w:rsidP="00D8358E">
            <w:r>
              <w:t>European Chemicals Agency</w:t>
            </w:r>
          </w:p>
        </w:tc>
      </w:tr>
      <w:tr w:rsidR="001D707B" w14:paraId="0FF9B6A7" w14:textId="77777777" w:rsidTr="00D8358E">
        <w:tc>
          <w:tcPr>
            <w:tcW w:w="1535" w:type="dxa"/>
            <w:tcMar>
              <w:top w:w="57" w:type="dxa"/>
              <w:bottom w:w="57" w:type="dxa"/>
            </w:tcMar>
          </w:tcPr>
          <w:p w14:paraId="42D97AA3" w14:textId="77777777" w:rsidR="001D707B" w:rsidRDefault="001D707B" w:rsidP="00D8358E">
            <w:r>
              <w:t>EFSA</w:t>
            </w:r>
          </w:p>
        </w:tc>
        <w:tc>
          <w:tcPr>
            <w:tcW w:w="7491" w:type="dxa"/>
            <w:tcMar>
              <w:top w:w="57" w:type="dxa"/>
              <w:bottom w:w="57" w:type="dxa"/>
            </w:tcMar>
          </w:tcPr>
          <w:p w14:paraId="2C428BCB" w14:textId="77777777" w:rsidR="001D707B" w:rsidRDefault="001D707B" w:rsidP="00D8358E">
            <w:r>
              <w:t>European Food Safety Authority</w:t>
            </w:r>
          </w:p>
        </w:tc>
      </w:tr>
      <w:tr w:rsidR="001D707B" w14:paraId="71D2FCE3" w14:textId="77777777" w:rsidTr="00D8358E">
        <w:tc>
          <w:tcPr>
            <w:tcW w:w="1535" w:type="dxa"/>
            <w:tcMar>
              <w:top w:w="57" w:type="dxa"/>
              <w:bottom w:w="57" w:type="dxa"/>
            </w:tcMar>
          </w:tcPr>
          <w:p w14:paraId="79E0D837" w14:textId="77777777" w:rsidR="001D707B" w:rsidRDefault="001D707B" w:rsidP="00D8358E">
            <w:r>
              <w:t>EVM</w:t>
            </w:r>
          </w:p>
        </w:tc>
        <w:tc>
          <w:tcPr>
            <w:tcW w:w="7491" w:type="dxa"/>
            <w:tcMar>
              <w:top w:w="57" w:type="dxa"/>
              <w:bottom w:w="57" w:type="dxa"/>
            </w:tcMar>
          </w:tcPr>
          <w:p w14:paraId="41D3B4FC" w14:textId="77777777" w:rsidR="001D707B" w:rsidRDefault="001D707B" w:rsidP="00D8358E">
            <w:r>
              <w:t>Expert Group on Vitamins and Minerals</w:t>
            </w:r>
          </w:p>
        </w:tc>
      </w:tr>
      <w:tr w:rsidR="001D707B" w14:paraId="6B1D8E1B" w14:textId="77777777" w:rsidTr="00D8358E">
        <w:tc>
          <w:tcPr>
            <w:tcW w:w="1535" w:type="dxa"/>
            <w:tcMar>
              <w:top w:w="57" w:type="dxa"/>
              <w:bottom w:w="57" w:type="dxa"/>
            </w:tcMar>
          </w:tcPr>
          <w:p w14:paraId="463C8C65" w14:textId="77777777" w:rsidR="001D707B" w:rsidRDefault="001D707B" w:rsidP="00D8358E">
            <w:r>
              <w:t>HBGV</w:t>
            </w:r>
          </w:p>
        </w:tc>
        <w:tc>
          <w:tcPr>
            <w:tcW w:w="7491" w:type="dxa"/>
            <w:tcMar>
              <w:top w:w="57" w:type="dxa"/>
              <w:bottom w:w="57" w:type="dxa"/>
            </w:tcMar>
          </w:tcPr>
          <w:p w14:paraId="1BE2E951" w14:textId="77777777" w:rsidR="001D707B" w:rsidRDefault="001D707B" w:rsidP="00D8358E">
            <w:r>
              <w:t>Health-Based Guidance Value</w:t>
            </w:r>
          </w:p>
        </w:tc>
      </w:tr>
      <w:tr w:rsidR="001D707B" w14:paraId="0B652042" w14:textId="77777777" w:rsidTr="00D8358E">
        <w:tc>
          <w:tcPr>
            <w:tcW w:w="1535" w:type="dxa"/>
            <w:tcMar>
              <w:top w:w="57" w:type="dxa"/>
              <w:bottom w:w="57" w:type="dxa"/>
            </w:tcMar>
          </w:tcPr>
          <w:p w14:paraId="67E19F29" w14:textId="77777777" w:rsidR="001D707B" w:rsidRDefault="001D707B" w:rsidP="00D8358E">
            <w:r>
              <w:t>IPCS</w:t>
            </w:r>
          </w:p>
        </w:tc>
        <w:tc>
          <w:tcPr>
            <w:tcW w:w="7491" w:type="dxa"/>
            <w:tcMar>
              <w:top w:w="57" w:type="dxa"/>
              <w:bottom w:w="57" w:type="dxa"/>
            </w:tcMar>
          </w:tcPr>
          <w:p w14:paraId="55A3E3C0" w14:textId="77777777" w:rsidR="001D707B" w:rsidRDefault="001D707B" w:rsidP="00D8358E">
            <w:r>
              <w:t>International Programme on Chemical Safety, World Health Organization</w:t>
            </w:r>
          </w:p>
        </w:tc>
      </w:tr>
      <w:tr w:rsidR="001D707B" w14:paraId="64B60EB4" w14:textId="77777777" w:rsidTr="00D8358E">
        <w:tc>
          <w:tcPr>
            <w:tcW w:w="1535" w:type="dxa"/>
            <w:tcMar>
              <w:top w:w="57" w:type="dxa"/>
              <w:bottom w:w="57" w:type="dxa"/>
            </w:tcMar>
          </w:tcPr>
          <w:p w14:paraId="41933FD8" w14:textId="77777777" w:rsidR="001D707B" w:rsidRDefault="001D707B" w:rsidP="00D8358E">
            <w:r>
              <w:t>MRL</w:t>
            </w:r>
          </w:p>
        </w:tc>
        <w:tc>
          <w:tcPr>
            <w:tcW w:w="7491" w:type="dxa"/>
            <w:tcMar>
              <w:top w:w="57" w:type="dxa"/>
              <w:bottom w:w="57" w:type="dxa"/>
            </w:tcMar>
          </w:tcPr>
          <w:p w14:paraId="49052054" w14:textId="77777777" w:rsidR="001D707B" w:rsidRPr="00801D6E" w:rsidRDefault="001D707B" w:rsidP="00D8358E">
            <w:pPr>
              <w:rPr>
                <w:rFonts w:cstheme="minorHAnsi"/>
              </w:rPr>
            </w:pPr>
            <w:r w:rsidRPr="00EF78C3">
              <w:t>Minimal Risk Level is defined as an estimate of the amount of a chemical a person can eat, drink, or breathe each day without a detectable risk to health.  MRL values are developed for health effects other than cancer.</w:t>
            </w:r>
          </w:p>
        </w:tc>
      </w:tr>
      <w:tr w:rsidR="001D707B" w14:paraId="00F4C0EC" w14:textId="77777777" w:rsidTr="00D8358E">
        <w:tc>
          <w:tcPr>
            <w:tcW w:w="1535" w:type="dxa"/>
            <w:tcMar>
              <w:top w:w="57" w:type="dxa"/>
              <w:bottom w:w="57" w:type="dxa"/>
            </w:tcMar>
          </w:tcPr>
          <w:p w14:paraId="375F0794" w14:textId="77777777" w:rsidR="001D707B" w:rsidRDefault="001D707B" w:rsidP="00D8358E">
            <w:r>
              <w:t>NOAEL</w:t>
            </w:r>
          </w:p>
        </w:tc>
        <w:tc>
          <w:tcPr>
            <w:tcW w:w="7491" w:type="dxa"/>
            <w:tcMar>
              <w:top w:w="57" w:type="dxa"/>
              <w:bottom w:w="57" w:type="dxa"/>
            </w:tcMar>
          </w:tcPr>
          <w:p w14:paraId="53B279BA" w14:textId="77777777" w:rsidR="001D707B" w:rsidRDefault="001D707B" w:rsidP="00D8358E">
            <w:pPr>
              <w:autoSpaceDE w:val="0"/>
              <w:autoSpaceDN w:val="0"/>
              <w:adjustRightInd w:val="0"/>
              <w:rPr>
                <w:rFonts w:cstheme="minorHAnsi"/>
                <w:color w:val="000000"/>
              </w:rPr>
            </w:pPr>
            <w:r>
              <w:rPr>
                <w:rFonts w:cstheme="minorHAnsi"/>
                <w:color w:val="000000"/>
              </w:rPr>
              <w:t>No Observed Adverse Effect Level</w:t>
            </w:r>
          </w:p>
        </w:tc>
      </w:tr>
      <w:tr w:rsidR="001D707B" w14:paraId="5E631932" w14:textId="77777777" w:rsidTr="00D8358E">
        <w:tc>
          <w:tcPr>
            <w:tcW w:w="1535" w:type="dxa"/>
            <w:tcMar>
              <w:top w:w="57" w:type="dxa"/>
              <w:bottom w:w="57" w:type="dxa"/>
            </w:tcMar>
          </w:tcPr>
          <w:p w14:paraId="4899C3DF" w14:textId="77777777" w:rsidR="001D707B" w:rsidRDefault="001D707B" w:rsidP="00D8358E">
            <w:r>
              <w:t>OEL</w:t>
            </w:r>
          </w:p>
        </w:tc>
        <w:tc>
          <w:tcPr>
            <w:tcW w:w="7491" w:type="dxa"/>
            <w:tcMar>
              <w:top w:w="57" w:type="dxa"/>
              <w:bottom w:w="57" w:type="dxa"/>
            </w:tcMar>
          </w:tcPr>
          <w:p w14:paraId="4DFC2D4F" w14:textId="77777777" w:rsidR="001D707B" w:rsidRDefault="001D707B" w:rsidP="00D8358E">
            <w:pPr>
              <w:autoSpaceDE w:val="0"/>
              <w:autoSpaceDN w:val="0"/>
              <w:adjustRightInd w:val="0"/>
              <w:rPr>
                <w:rFonts w:cstheme="minorHAnsi"/>
                <w:color w:val="000000"/>
              </w:rPr>
            </w:pPr>
            <w:r>
              <w:rPr>
                <w:rFonts w:cstheme="minorHAnsi"/>
                <w:color w:val="000000"/>
              </w:rPr>
              <w:t>Occupational Exposure Limit</w:t>
            </w:r>
          </w:p>
        </w:tc>
      </w:tr>
      <w:tr w:rsidR="001D707B" w14:paraId="139BB5AD" w14:textId="77777777" w:rsidTr="00D8358E">
        <w:tc>
          <w:tcPr>
            <w:tcW w:w="1535" w:type="dxa"/>
            <w:tcMar>
              <w:top w:w="57" w:type="dxa"/>
              <w:bottom w:w="57" w:type="dxa"/>
            </w:tcMar>
          </w:tcPr>
          <w:p w14:paraId="1ACA89C7" w14:textId="77777777" w:rsidR="001D707B" w:rsidRDefault="001D707B" w:rsidP="00D8358E">
            <w:r>
              <w:t>POD</w:t>
            </w:r>
          </w:p>
        </w:tc>
        <w:tc>
          <w:tcPr>
            <w:tcW w:w="7491" w:type="dxa"/>
            <w:tcMar>
              <w:top w:w="57" w:type="dxa"/>
              <w:bottom w:w="57" w:type="dxa"/>
            </w:tcMar>
          </w:tcPr>
          <w:p w14:paraId="67145F5F" w14:textId="77777777" w:rsidR="001D707B" w:rsidRDefault="001D707B" w:rsidP="00D8358E">
            <w:r>
              <w:t>Point of Departure</w:t>
            </w:r>
          </w:p>
        </w:tc>
      </w:tr>
      <w:tr w:rsidR="001D707B" w14:paraId="43E1F701" w14:textId="77777777" w:rsidTr="00D8358E">
        <w:tc>
          <w:tcPr>
            <w:tcW w:w="1535" w:type="dxa"/>
            <w:tcMar>
              <w:top w:w="57" w:type="dxa"/>
              <w:bottom w:w="57" w:type="dxa"/>
            </w:tcMar>
          </w:tcPr>
          <w:p w14:paraId="5795727B" w14:textId="77777777" w:rsidR="001D707B" w:rsidRDefault="001D707B" w:rsidP="00D8358E">
            <w:r>
              <w:t>RfC</w:t>
            </w:r>
          </w:p>
        </w:tc>
        <w:tc>
          <w:tcPr>
            <w:tcW w:w="7491" w:type="dxa"/>
            <w:tcMar>
              <w:top w:w="57" w:type="dxa"/>
              <w:bottom w:w="57" w:type="dxa"/>
            </w:tcMar>
          </w:tcPr>
          <w:p w14:paraId="1B55C136" w14:textId="77777777" w:rsidR="001D707B" w:rsidRDefault="001D707B" w:rsidP="00D8358E">
            <w:pPr>
              <w:rPr>
                <w:rFonts w:cstheme="minorHAnsi"/>
                <w:color w:val="202124"/>
                <w:shd w:val="clear" w:color="auto" w:fill="FFFFFF"/>
              </w:rPr>
            </w:pPr>
            <w:r>
              <w:rPr>
                <w:rFonts w:cstheme="minorHAnsi"/>
                <w:color w:val="202124"/>
                <w:shd w:val="clear" w:color="auto" w:fill="FFFFFF"/>
              </w:rPr>
              <w:t>Reference Concentration in air</w:t>
            </w:r>
          </w:p>
        </w:tc>
      </w:tr>
      <w:tr w:rsidR="001D707B" w14:paraId="2303DC6C" w14:textId="77777777" w:rsidTr="00D8358E">
        <w:tc>
          <w:tcPr>
            <w:tcW w:w="1535" w:type="dxa"/>
            <w:tcMar>
              <w:top w:w="57" w:type="dxa"/>
              <w:bottom w:w="57" w:type="dxa"/>
            </w:tcMar>
          </w:tcPr>
          <w:p w14:paraId="4ECDB8A7" w14:textId="77777777" w:rsidR="001D707B" w:rsidRDefault="001D707B" w:rsidP="00D8358E">
            <w:r>
              <w:t>SCF</w:t>
            </w:r>
          </w:p>
        </w:tc>
        <w:tc>
          <w:tcPr>
            <w:tcW w:w="7491" w:type="dxa"/>
            <w:tcMar>
              <w:top w:w="57" w:type="dxa"/>
              <w:bottom w:w="57" w:type="dxa"/>
            </w:tcMar>
          </w:tcPr>
          <w:p w14:paraId="4531CFF6" w14:textId="77777777" w:rsidR="001D707B" w:rsidRDefault="001D707B" w:rsidP="00D8358E">
            <w:pPr>
              <w:rPr>
                <w:rFonts w:cstheme="minorHAnsi"/>
                <w:color w:val="202124"/>
                <w:shd w:val="clear" w:color="auto" w:fill="FFFFFF"/>
              </w:rPr>
            </w:pPr>
            <w:r>
              <w:rPr>
                <w:rFonts w:cstheme="minorHAnsi"/>
                <w:color w:val="202124"/>
                <w:shd w:val="clear" w:color="auto" w:fill="FFFFFF"/>
              </w:rPr>
              <w:t>Scientific Committee on Food (now disbanded and replaced by EFSA)</w:t>
            </w:r>
          </w:p>
        </w:tc>
      </w:tr>
      <w:tr w:rsidR="001D707B" w14:paraId="3B0F9154" w14:textId="77777777" w:rsidTr="00D8358E">
        <w:tc>
          <w:tcPr>
            <w:tcW w:w="1535" w:type="dxa"/>
            <w:tcMar>
              <w:top w:w="57" w:type="dxa"/>
              <w:bottom w:w="57" w:type="dxa"/>
            </w:tcMar>
          </w:tcPr>
          <w:p w14:paraId="662BDCB8" w14:textId="77777777" w:rsidR="001D707B" w:rsidRDefault="001D707B" w:rsidP="00D8358E">
            <w:r>
              <w:t>SEPP1</w:t>
            </w:r>
          </w:p>
        </w:tc>
        <w:tc>
          <w:tcPr>
            <w:tcW w:w="7491" w:type="dxa"/>
            <w:tcMar>
              <w:top w:w="57" w:type="dxa"/>
              <w:bottom w:w="57" w:type="dxa"/>
            </w:tcMar>
          </w:tcPr>
          <w:p w14:paraId="3BBF759B" w14:textId="77777777" w:rsidR="001D707B" w:rsidRDefault="001D707B" w:rsidP="00D8358E">
            <w:pPr>
              <w:rPr>
                <w:rFonts w:cstheme="minorHAnsi"/>
                <w:color w:val="202124"/>
                <w:shd w:val="clear" w:color="auto" w:fill="FFFFFF"/>
              </w:rPr>
            </w:pPr>
            <w:r>
              <w:rPr>
                <w:rFonts w:cstheme="minorHAnsi"/>
                <w:color w:val="202124"/>
                <w:shd w:val="clear" w:color="auto" w:fill="FFFFFF"/>
              </w:rPr>
              <w:t>Selenoprotein P (SEPP1), encoded by the SEPP1 gene, is the main mechanism for transportation of selenium from the liver to other parts of the human body</w:t>
            </w:r>
          </w:p>
        </w:tc>
      </w:tr>
      <w:tr w:rsidR="001D707B" w14:paraId="381EDB01" w14:textId="77777777" w:rsidTr="00D8358E">
        <w:tc>
          <w:tcPr>
            <w:tcW w:w="1535" w:type="dxa"/>
            <w:tcMar>
              <w:top w:w="57" w:type="dxa"/>
              <w:bottom w:w="57" w:type="dxa"/>
            </w:tcMar>
          </w:tcPr>
          <w:p w14:paraId="5F470B12" w14:textId="77777777" w:rsidR="001D707B" w:rsidRDefault="001D707B" w:rsidP="00D8358E">
            <w:r>
              <w:t>UF</w:t>
            </w:r>
          </w:p>
        </w:tc>
        <w:tc>
          <w:tcPr>
            <w:tcW w:w="7491" w:type="dxa"/>
            <w:tcMar>
              <w:top w:w="57" w:type="dxa"/>
              <w:bottom w:w="57" w:type="dxa"/>
            </w:tcMar>
          </w:tcPr>
          <w:p w14:paraId="43809D49" w14:textId="77777777" w:rsidR="001D707B" w:rsidRDefault="001D707B" w:rsidP="00D8358E">
            <w:r>
              <w:t>Uncertainty Factor</w:t>
            </w:r>
          </w:p>
        </w:tc>
      </w:tr>
      <w:tr w:rsidR="001D707B" w14:paraId="59233114" w14:textId="77777777" w:rsidTr="00D8358E">
        <w:tc>
          <w:tcPr>
            <w:tcW w:w="1535" w:type="dxa"/>
            <w:tcMar>
              <w:top w:w="57" w:type="dxa"/>
              <w:bottom w:w="57" w:type="dxa"/>
            </w:tcMar>
          </w:tcPr>
          <w:p w14:paraId="12C474E8" w14:textId="77777777" w:rsidR="001D707B" w:rsidRDefault="001D707B" w:rsidP="00D8358E">
            <w:r>
              <w:t>US EPA</w:t>
            </w:r>
          </w:p>
        </w:tc>
        <w:tc>
          <w:tcPr>
            <w:tcW w:w="7491" w:type="dxa"/>
            <w:tcMar>
              <w:top w:w="57" w:type="dxa"/>
              <w:bottom w:w="57" w:type="dxa"/>
            </w:tcMar>
          </w:tcPr>
          <w:p w14:paraId="15C59CF5" w14:textId="77777777" w:rsidR="001D707B" w:rsidRDefault="001D707B" w:rsidP="00D8358E">
            <w:r>
              <w:t>United States Environmental Protection Agency</w:t>
            </w:r>
          </w:p>
        </w:tc>
      </w:tr>
      <w:tr w:rsidR="001D707B" w14:paraId="5BA0FBFC" w14:textId="77777777" w:rsidTr="00D8358E">
        <w:tc>
          <w:tcPr>
            <w:tcW w:w="1535" w:type="dxa"/>
            <w:tcMar>
              <w:top w:w="57" w:type="dxa"/>
              <w:bottom w:w="57" w:type="dxa"/>
            </w:tcMar>
          </w:tcPr>
          <w:p w14:paraId="361EB072" w14:textId="77777777" w:rsidR="001D707B" w:rsidRDefault="001D707B" w:rsidP="00D8358E">
            <w:r>
              <w:t>WHO</w:t>
            </w:r>
          </w:p>
        </w:tc>
        <w:tc>
          <w:tcPr>
            <w:tcW w:w="7491" w:type="dxa"/>
            <w:tcMar>
              <w:top w:w="57" w:type="dxa"/>
              <w:bottom w:w="57" w:type="dxa"/>
            </w:tcMar>
          </w:tcPr>
          <w:p w14:paraId="5263D9A2" w14:textId="77777777" w:rsidR="001D707B" w:rsidRDefault="001D707B" w:rsidP="00D8358E">
            <w:r>
              <w:t>World Health Organization</w:t>
            </w:r>
          </w:p>
        </w:tc>
      </w:tr>
    </w:tbl>
    <w:p w14:paraId="49EFCE1C" w14:textId="77777777" w:rsidR="001D707B" w:rsidRPr="00D65892" w:rsidRDefault="001D707B" w:rsidP="001D707B">
      <w:pPr>
        <w:jc w:val="both"/>
        <w:rPr>
          <w:rFonts w:cstheme="minorHAnsi"/>
        </w:rPr>
      </w:pPr>
    </w:p>
    <w:p w14:paraId="0FC2E0AA" w14:textId="77777777" w:rsidR="001D707B" w:rsidRDefault="001D707B" w:rsidP="001D707B">
      <w:pPr>
        <w:pStyle w:val="Heading3"/>
        <w:spacing w:after="120"/>
      </w:pPr>
      <w:r>
        <w:t>References</w:t>
      </w:r>
    </w:p>
    <w:p w14:paraId="4231A117" w14:textId="77777777" w:rsidR="001D707B" w:rsidRPr="005860C0" w:rsidRDefault="001D707B" w:rsidP="001D707B">
      <w:pPr>
        <w:rPr>
          <w:rFonts w:cstheme="minorHAnsi"/>
        </w:rPr>
      </w:pPr>
      <w:hyperlink r:id="rId27" w:history="1">
        <w:r w:rsidRPr="005860C0">
          <w:rPr>
            <w:rStyle w:val="Hyperlink"/>
            <w:rFonts w:cstheme="minorHAnsi"/>
          </w:rPr>
          <w:t>ATSDR, 2003. Toxicological Profile for Selenium. TP 92.</w:t>
        </w:r>
      </w:hyperlink>
    </w:p>
    <w:p w14:paraId="04FDC634" w14:textId="77777777" w:rsidR="001D707B" w:rsidRPr="0004183E" w:rsidRDefault="001D707B" w:rsidP="001D707B">
      <w:pPr>
        <w:rPr>
          <w:rFonts w:cstheme="minorHAnsi"/>
        </w:rPr>
      </w:pPr>
      <w:hyperlink r:id="rId28" w:history="1">
        <w:r w:rsidRPr="0004183E">
          <w:rPr>
            <w:rStyle w:val="Hyperlink"/>
            <w:rFonts w:cstheme="minorHAnsi"/>
          </w:rPr>
          <w:t xml:space="preserve">DE GROOT P.A., 2009.  Handbook of Stable Isotope Analytical Techniques. Volume 2. Elsevier Science.  ISBN </w:t>
        </w:r>
        <w:r w:rsidRPr="0004183E">
          <w:rPr>
            <w:rStyle w:val="Hyperlink"/>
            <w:rFonts w:cstheme="minorHAnsi"/>
            <w:lang w:val="en"/>
          </w:rPr>
          <w:t>978-0-444-51115-7.</w:t>
        </w:r>
      </w:hyperlink>
    </w:p>
    <w:p w14:paraId="16A95A03" w14:textId="77777777" w:rsidR="001D707B" w:rsidRDefault="001D707B" w:rsidP="001D707B">
      <w:hyperlink r:id="rId29" w:history="1">
        <w:r w:rsidRPr="001534E7">
          <w:rPr>
            <w:rStyle w:val="Hyperlink"/>
          </w:rPr>
          <w:t>DUDLEY H.C., MILLER J.W., 1941. Toxicology of selenium. VI. Effects of subacute exposure to hydrogen selenide. JOURNAL OF INDUSTRIAL HYGIENE AND TOXICOLOGY, 23, 470 – 477.</w:t>
        </w:r>
      </w:hyperlink>
      <w:r>
        <w:t xml:space="preserve"> </w:t>
      </w:r>
    </w:p>
    <w:p w14:paraId="79EEE380" w14:textId="77777777" w:rsidR="001D707B" w:rsidRDefault="001D707B" w:rsidP="001D707B">
      <w:pPr>
        <w:rPr>
          <w:rFonts w:cstheme="minorHAnsi"/>
        </w:rPr>
      </w:pPr>
      <w:r>
        <w:t>ECHA, 2012. Guidance on information requirements and chemical safety assessment Chapter R.8: Characterisation of dose [concentration]-response for human health Reference: ECHA-2010-G-19-EN Publ.date: November 2012 Language: EN © European Chemicals Agency, 2012.</w:t>
      </w:r>
    </w:p>
    <w:p w14:paraId="5C9AB177" w14:textId="77777777" w:rsidR="001D707B" w:rsidRPr="0004183E" w:rsidRDefault="001D707B" w:rsidP="001D707B">
      <w:pPr>
        <w:rPr>
          <w:rFonts w:cstheme="minorHAnsi"/>
        </w:rPr>
      </w:pPr>
      <w:hyperlink r:id="rId30" w:history="1">
        <w:r w:rsidRPr="00D34479">
          <w:rPr>
            <w:rStyle w:val="Hyperlink"/>
            <w:rFonts w:cstheme="minorHAnsi"/>
          </w:rPr>
          <w:t>EFSA, 2014. Scientific Opinion on the Dietary Reference Value for Selenium. EFSA JOURNAL, 12(10) 3846.</w:t>
        </w:r>
      </w:hyperlink>
    </w:p>
    <w:p w14:paraId="359707C2" w14:textId="77777777" w:rsidR="001D707B" w:rsidRPr="0004183E" w:rsidRDefault="001D707B" w:rsidP="001D707B">
      <w:pPr>
        <w:rPr>
          <w:rFonts w:cstheme="minorHAnsi"/>
        </w:rPr>
      </w:pPr>
      <w:hyperlink r:id="rId31" w:history="1">
        <w:r w:rsidRPr="00D34479">
          <w:rPr>
            <w:rStyle w:val="Hyperlink"/>
            <w:rFonts w:cstheme="minorHAnsi"/>
          </w:rPr>
          <w:t xml:space="preserve">ENVIRONMENT AGENCY, 2009.  </w:t>
        </w:r>
        <w:r w:rsidRPr="00D34479">
          <w:rPr>
            <w:rStyle w:val="Hyperlink"/>
            <w:rFonts w:cstheme="minorHAnsi"/>
            <w:bCs/>
          </w:rPr>
          <w:t>Contaminants in soil: updated collation of</w:t>
        </w:r>
        <w:r w:rsidRPr="00D34479">
          <w:rPr>
            <w:rStyle w:val="Hyperlink"/>
            <w:rFonts w:cstheme="minorHAnsi"/>
          </w:rPr>
          <w:t xml:space="preserve"> </w:t>
        </w:r>
        <w:r w:rsidRPr="00D34479">
          <w:rPr>
            <w:rStyle w:val="Hyperlink"/>
            <w:rFonts w:cstheme="minorHAnsi"/>
            <w:bCs/>
          </w:rPr>
          <w:t>toxicological data and intake values for humans</w:t>
        </w:r>
        <w:r w:rsidRPr="00D34479">
          <w:rPr>
            <w:rStyle w:val="Hyperlink"/>
            <w:rFonts w:cstheme="minorHAnsi"/>
          </w:rPr>
          <w:t xml:space="preserve">. </w:t>
        </w:r>
        <w:r w:rsidRPr="00D34479">
          <w:rPr>
            <w:rStyle w:val="Hyperlink"/>
            <w:rFonts w:cstheme="minorHAnsi"/>
            <w:bCs/>
          </w:rPr>
          <w:t>Selenium</w:t>
        </w:r>
        <w:r w:rsidRPr="00D34479">
          <w:rPr>
            <w:rStyle w:val="Hyperlink"/>
            <w:rFonts w:cstheme="minorHAnsi"/>
          </w:rPr>
          <w:t>. Science report SC050021.  Bristol: Environment Agency.</w:t>
        </w:r>
      </w:hyperlink>
    </w:p>
    <w:p w14:paraId="7E117C08" w14:textId="77777777" w:rsidR="001D707B" w:rsidRDefault="001D707B" w:rsidP="001D707B">
      <w:pPr>
        <w:rPr>
          <w:rStyle w:val="Hyperlink"/>
          <w:rFonts w:cstheme="minorHAnsi"/>
        </w:rPr>
      </w:pPr>
      <w:hyperlink r:id="rId32" w:history="1">
        <w:r w:rsidRPr="0094459B">
          <w:rPr>
            <w:rStyle w:val="Hyperlink"/>
            <w:rFonts w:cstheme="minorHAnsi"/>
          </w:rPr>
          <w:t xml:space="preserve">EVM, 2003.  </w:t>
        </w:r>
        <w:r w:rsidRPr="0094459B">
          <w:rPr>
            <w:rStyle w:val="Hyperlink"/>
            <w:rFonts w:cstheme="minorHAnsi"/>
            <w:iCs/>
          </w:rPr>
          <w:t>Safe Upper Levels for Vitamins and Minerals</w:t>
        </w:r>
        <w:r w:rsidRPr="0094459B">
          <w:rPr>
            <w:rStyle w:val="Hyperlink"/>
            <w:rFonts w:cstheme="minorHAnsi"/>
          </w:rPr>
          <w:t>. Expert Group on Vitamins and Minerals. London: Food Standards Agency.</w:t>
        </w:r>
      </w:hyperlink>
    </w:p>
    <w:p w14:paraId="7FD047F2" w14:textId="77777777" w:rsidR="001D707B" w:rsidRPr="00AA618B" w:rsidRDefault="001D707B" w:rsidP="001D707B">
      <w:pPr>
        <w:rPr>
          <w:rStyle w:val="Hyperlink"/>
          <w:rFonts w:cstheme="minorHAnsi"/>
        </w:rPr>
      </w:pPr>
      <w:r w:rsidRPr="008F6376">
        <w:rPr>
          <w:rFonts w:cstheme="minorHAnsi"/>
          <w:caps/>
          <w:color w:val="333333"/>
          <w:shd w:val="clear" w:color="auto" w:fill="FCFCFC"/>
        </w:rPr>
        <w:t>Freitas, M., Farinha, M., Pacheco, A. et al.</w:t>
      </w:r>
      <w:r w:rsidRPr="00AA618B">
        <w:rPr>
          <w:rFonts w:cstheme="minorHAnsi"/>
          <w:color w:val="333333"/>
          <w:shd w:val="clear" w:color="auto" w:fill="FCFCFC"/>
        </w:rPr>
        <w:t> </w:t>
      </w:r>
      <w:r>
        <w:rPr>
          <w:rFonts w:cstheme="minorHAnsi"/>
          <w:color w:val="333333"/>
          <w:shd w:val="clear" w:color="auto" w:fill="FCFCFC"/>
        </w:rPr>
        <w:t xml:space="preserve">2005. </w:t>
      </w:r>
      <w:r w:rsidRPr="00AA618B">
        <w:rPr>
          <w:rFonts w:cstheme="minorHAnsi"/>
          <w:color w:val="333333"/>
          <w:shd w:val="clear" w:color="auto" w:fill="FCFCFC"/>
        </w:rPr>
        <w:t>Atmospheric selenium in an industrialized area of Portugal. </w:t>
      </w:r>
      <w:r w:rsidRPr="008F6376">
        <w:rPr>
          <w:rFonts w:cstheme="minorHAnsi"/>
          <w:caps/>
          <w:color w:val="333333"/>
          <w:shd w:val="clear" w:color="auto" w:fill="FCFCFC"/>
        </w:rPr>
        <w:t>J Radioanal Nucl Chem,</w:t>
      </w:r>
      <w:r w:rsidRPr="00AA618B">
        <w:rPr>
          <w:rFonts w:cstheme="minorHAnsi"/>
          <w:color w:val="333333"/>
          <w:shd w:val="clear" w:color="auto" w:fill="FCFCFC"/>
        </w:rPr>
        <w:t> </w:t>
      </w:r>
      <w:r w:rsidRPr="008F6376">
        <w:rPr>
          <w:rFonts w:cstheme="minorHAnsi"/>
          <w:color w:val="333333"/>
          <w:shd w:val="clear" w:color="auto" w:fill="FCFCFC"/>
        </w:rPr>
        <w:t>263,</w:t>
      </w:r>
      <w:r w:rsidRPr="00AA618B">
        <w:rPr>
          <w:rFonts w:cstheme="minorHAnsi"/>
          <w:b/>
          <w:bCs/>
          <w:color w:val="333333"/>
          <w:shd w:val="clear" w:color="auto" w:fill="FCFCFC"/>
        </w:rPr>
        <w:t> </w:t>
      </w:r>
      <w:r w:rsidRPr="00AA618B">
        <w:rPr>
          <w:rFonts w:cstheme="minorHAnsi"/>
          <w:color w:val="333333"/>
          <w:shd w:val="clear" w:color="auto" w:fill="FCFCFC"/>
        </w:rPr>
        <w:t>710–720</w:t>
      </w:r>
      <w:r>
        <w:rPr>
          <w:rFonts w:cstheme="minorHAnsi"/>
          <w:color w:val="333333"/>
          <w:shd w:val="clear" w:color="auto" w:fill="FCFCFC"/>
        </w:rPr>
        <w:t>.</w:t>
      </w:r>
    </w:p>
    <w:p w14:paraId="746517A8" w14:textId="77777777" w:rsidR="001D707B" w:rsidRPr="0094459B" w:rsidRDefault="001D707B" w:rsidP="001D707B">
      <w:pPr>
        <w:rPr>
          <w:rFonts w:cstheme="minorHAnsi"/>
        </w:rPr>
      </w:pPr>
      <w:hyperlink r:id="rId33" w:history="1">
        <w:r w:rsidRPr="00D34479">
          <w:rPr>
            <w:rStyle w:val="Hyperlink"/>
            <w:rFonts w:cstheme="minorHAnsi"/>
          </w:rPr>
          <w:t xml:space="preserve">GLOVER J.R., 1967.  Selenium in human urine: a tentative maximum allowable concentration for industrial and rural populations. </w:t>
        </w:r>
        <w:r w:rsidRPr="00D34479">
          <w:rPr>
            <w:rStyle w:val="Hyperlink"/>
            <w:rFonts w:cstheme="minorHAnsi"/>
            <w:i/>
            <w:iCs/>
          </w:rPr>
          <w:t xml:space="preserve"> </w:t>
        </w:r>
        <w:r w:rsidRPr="00D34479">
          <w:rPr>
            <w:rStyle w:val="Hyperlink"/>
            <w:rFonts w:cstheme="minorHAnsi"/>
            <w:iCs/>
          </w:rPr>
          <w:t>ANN. OCCUP. HYG., 10, 3 – 14.</w:t>
        </w:r>
      </w:hyperlink>
    </w:p>
    <w:p w14:paraId="654974E6" w14:textId="77777777" w:rsidR="001D707B" w:rsidRPr="0094459B" w:rsidRDefault="001D707B" w:rsidP="001D707B">
      <w:pPr>
        <w:rPr>
          <w:rFonts w:cstheme="minorHAnsi"/>
        </w:rPr>
      </w:pPr>
      <w:hyperlink r:id="rId34" w:history="1">
        <w:r w:rsidRPr="0094459B">
          <w:rPr>
            <w:rStyle w:val="Hyperlink"/>
            <w:rFonts w:cstheme="minorHAnsi"/>
          </w:rPr>
          <w:t>GLOVER J.R., 1970. Selenium and its industrial toxicology. INDUST. MED., 39(1), 50 – 53.</w:t>
        </w:r>
      </w:hyperlink>
    </w:p>
    <w:p w14:paraId="4E1698E9" w14:textId="77777777" w:rsidR="001D707B" w:rsidRPr="0094459B" w:rsidRDefault="001D707B" w:rsidP="001D707B">
      <w:pPr>
        <w:rPr>
          <w:rFonts w:cstheme="minorHAnsi"/>
        </w:rPr>
      </w:pPr>
      <w:r w:rsidRPr="0094459B">
        <w:rPr>
          <w:rFonts w:cstheme="minorHAnsi"/>
        </w:rPr>
        <w:t xml:space="preserve">GLOVER J.R., 1976.  Environmental health aspects of selenium and tellurium. In: </w:t>
      </w:r>
      <w:r w:rsidRPr="0094459B">
        <w:rPr>
          <w:rFonts w:cstheme="minorHAnsi"/>
          <w:i/>
          <w:iCs/>
        </w:rPr>
        <w:t xml:space="preserve"> Proceedings of the Symposium on Selenium-Tellurium in the Environment, </w:t>
      </w:r>
      <w:r w:rsidRPr="0094459B">
        <w:rPr>
          <w:rFonts w:cstheme="minorHAnsi"/>
        </w:rPr>
        <w:t>Pittsburgh, Penn., Industrial Health Foundation, pp. 279-292.</w:t>
      </w:r>
    </w:p>
    <w:p w14:paraId="53F4F810" w14:textId="77777777" w:rsidR="001D707B" w:rsidRDefault="001D707B" w:rsidP="001D707B">
      <w:hyperlink r:id="rId35" w:history="1">
        <w:r w:rsidRPr="001534E7">
          <w:rPr>
            <w:rStyle w:val="Hyperlink"/>
          </w:rPr>
          <w:t>HALL R.H., LASKIN S., FRANK P., MAYNARD E.A., HODGE H.C., 1951.  Preliminary observations on toxicity of elemental selenium. AMA ARCH. IND. HYG. ASSOC., 4, 458 – 464.</w:t>
        </w:r>
      </w:hyperlink>
    </w:p>
    <w:p w14:paraId="77DD5A59" w14:textId="77777777" w:rsidR="001D707B" w:rsidRPr="000C554B" w:rsidRDefault="001D707B" w:rsidP="001D707B">
      <w:pPr>
        <w:rPr>
          <w:rFonts w:cstheme="minorHAnsi"/>
          <w:color w:val="323232"/>
          <w:lang w:val="en"/>
        </w:rPr>
      </w:pPr>
      <w:hyperlink r:id="rId36" w:history="1">
        <w:r w:rsidRPr="001534E7">
          <w:rPr>
            <w:rStyle w:val="Hyperlink"/>
            <w:rFonts w:cstheme="minorHAnsi"/>
          </w:rPr>
          <w:t>IPCS, 1987.  Selenium. Environmental Health Criteria Monograph 58.  International Programme on Chemical Safety.</w:t>
        </w:r>
      </w:hyperlink>
    </w:p>
    <w:p w14:paraId="01DFEEB0" w14:textId="77777777" w:rsidR="001D707B" w:rsidRDefault="001D707B" w:rsidP="001D707B">
      <w:pPr>
        <w:rPr>
          <w:rFonts w:cstheme="minorHAnsi"/>
        </w:rPr>
      </w:pPr>
      <w:r w:rsidRPr="00C02C58">
        <w:rPr>
          <w:rFonts w:cstheme="minorHAnsi"/>
        </w:rPr>
        <w:t>SCF, 2000. Opinion on the Scientific Committee on Food on the tolerable upper intake level of selenium. SCF/CS/NUT/UPPLEV/25 Final. 18 pp.</w:t>
      </w:r>
      <w:r>
        <w:rPr>
          <w:rFonts w:cstheme="minorHAnsi"/>
        </w:rPr>
        <w:t xml:space="preserve">  Scientific Committee on Food.</w:t>
      </w:r>
    </w:p>
    <w:p w14:paraId="06D48E36" w14:textId="77777777" w:rsidR="001D707B" w:rsidRDefault="001D707B" w:rsidP="001D707B">
      <w:pPr>
        <w:rPr>
          <w:rFonts w:cstheme="minorHAnsi"/>
        </w:rPr>
      </w:pPr>
      <w:r w:rsidRPr="001E546D">
        <w:rPr>
          <w:rFonts w:cstheme="minorHAnsi"/>
        </w:rPr>
        <w:t>SCOEL, 1992. Recommendation from the Scientific Committee on Occupational Exposure Limits for Hydrogen Selenide. SEG/SUM/22C.</w:t>
      </w:r>
    </w:p>
    <w:p w14:paraId="236070E8" w14:textId="77777777" w:rsidR="001D707B" w:rsidRPr="001D3606" w:rsidRDefault="001D707B" w:rsidP="001D707B">
      <w:pPr>
        <w:rPr>
          <w:rStyle w:val="Hyperlink"/>
          <w:rFonts w:cstheme="minorHAnsi"/>
        </w:rPr>
      </w:pPr>
      <w:hyperlink r:id="rId37" w:history="1">
        <w:r w:rsidRPr="001D3606">
          <w:rPr>
            <w:rStyle w:val="Hyperlink"/>
            <w:rFonts w:cstheme="minorHAnsi"/>
          </w:rPr>
          <w:t>US EPA, 1991.  Chemical Assessment Summary for Selenium and Compounds, CASRN 7782-49-2.</w:t>
        </w:r>
      </w:hyperlink>
    </w:p>
    <w:p w14:paraId="45D84319" w14:textId="77777777" w:rsidR="001D707B" w:rsidRPr="00946F9C" w:rsidRDefault="001D707B" w:rsidP="001D707B">
      <w:pPr>
        <w:rPr>
          <w:rStyle w:val="Hyperlink"/>
          <w:rFonts w:cstheme="minorHAnsi"/>
        </w:rPr>
      </w:pPr>
      <w:hyperlink r:id="rId38" w:history="1">
        <w:r w:rsidRPr="00825670">
          <w:rPr>
            <w:rStyle w:val="Hyperlink"/>
            <w:rFonts w:cstheme="minorHAnsi"/>
          </w:rPr>
          <w:t>WEN H., CARIGNAN, J., 2007.  Reviews on atmospheric selenium: Emissions, speciation, and fate. ATMOSPHERIC ENVIRONMENT, 41 (34), 7151 – 7165.</w:t>
        </w:r>
      </w:hyperlink>
      <w:r>
        <w:rPr>
          <w:rFonts w:cstheme="minorHAnsi"/>
        </w:rPr>
        <w:t xml:space="preserve"> </w:t>
      </w:r>
    </w:p>
    <w:p w14:paraId="1492E3F9" w14:textId="77777777" w:rsidR="001D707B" w:rsidRDefault="001D707B" w:rsidP="001D707B">
      <w:pPr>
        <w:rPr>
          <w:rFonts w:cstheme="minorHAnsi"/>
          <w:color w:val="000000"/>
        </w:rPr>
      </w:pPr>
      <w:hyperlink r:id="rId39" w:history="1">
        <w:r w:rsidRPr="001D3606">
          <w:rPr>
            <w:rStyle w:val="Hyperlink"/>
            <w:rFonts w:cstheme="minorHAnsi"/>
          </w:rPr>
          <w:t>WHITING F.F., WEI L., STICH H.F., 1980. Unscheduled DNA synthesis and chromosome aberrations induced by organic selenium compounds in the presence of glutathione. MUTAT. RES., 78, 159 – 169.</w:t>
        </w:r>
      </w:hyperlink>
    </w:p>
    <w:p w14:paraId="624086FF" w14:textId="77777777" w:rsidR="001D707B" w:rsidRPr="001D3606" w:rsidRDefault="001D707B" w:rsidP="001D707B">
      <w:pPr>
        <w:rPr>
          <w:rFonts w:cstheme="minorHAnsi"/>
        </w:rPr>
      </w:pPr>
      <w:hyperlink r:id="rId40" w:history="1">
        <w:r w:rsidRPr="001D3606">
          <w:rPr>
            <w:rStyle w:val="Hyperlink"/>
            <w:rFonts w:cstheme="minorHAnsi"/>
          </w:rPr>
          <w:t>WHO, 2011. Guidelines for drinking-water quality, fourth edition.</w:t>
        </w:r>
      </w:hyperlink>
    </w:p>
    <w:p w14:paraId="6087BFAC" w14:textId="77777777" w:rsidR="001D707B" w:rsidRPr="001E546D" w:rsidRDefault="001D707B" w:rsidP="001D707B">
      <w:pPr>
        <w:rPr>
          <w:rFonts w:cstheme="minorHAnsi"/>
        </w:rPr>
      </w:pPr>
      <w:hyperlink r:id="rId41" w:history="1">
        <w:r w:rsidRPr="001534E7">
          <w:rPr>
            <w:rStyle w:val="Hyperlink"/>
            <w:rFonts w:cstheme="minorHAnsi"/>
          </w:rPr>
          <w:t xml:space="preserve">YANG G., ZHOU R., YIN S., GU L., YAN B., LIU Y., LIU Y., LI X., 1989a.  Studies of safe maximal daily selenium intake in a seleniferous area in China. I. Selenium intake and tissue selenium levels of the inhabitants.  </w:t>
        </w:r>
        <w:r w:rsidRPr="001534E7">
          <w:rPr>
            <w:rStyle w:val="Hyperlink"/>
            <w:rFonts w:cstheme="minorHAnsi"/>
            <w:iCs/>
          </w:rPr>
          <w:t>JOURNAL OF TRACE ELEMENTS AND ELECTROLYTES IN HEALTH AND DISEASE,</w:t>
        </w:r>
        <w:r w:rsidRPr="001534E7">
          <w:rPr>
            <w:rStyle w:val="Hyperlink"/>
            <w:rFonts w:cstheme="minorHAnsi"/>
            <w:i/>
            <w:iCs/>
          </w:rPr>
          <w:t xml:space="preserve"> </w:t>
        </w:r>
        <w:r w:rsidRPr="001534E7">
          <w:rPr>
            <w:rStyle w:val="Hyperlink"/>
            <w:rFonts w:cstheme="minorHAnsi"/>
          </w:rPr>
          <w:t>3, 77 – 87.</w:t>
        </w:r>
      </w:hyperlink>
    </w:p>
    <w:p w14:paraId="52D11DEC" w14:textId="77777777" w:rsidR="001D707B" w:rsidRPr="002D3C2A" w:rsidRDefault="001D707B" w:rsidP="001D707B">
      <w:pPr>
        <w:rPr>
          <w:rFonts w:cstheme="minorHAnsi"/>
        </w:rPr>
      </w:pPr>
      <w:hyperlink r:id="rId42" w:history="1">
        <w:r w:rsidRPr="001534E7">
          <w:rPr>
            <w:rStyle w:val="Hyperlink"/>
            <w:rFonts w:cstheme="minorHAnsi"/>
          </w:rPr>
          <w:t xml:space="preserve">YANG G., YIN S., ZHOU R., GU L., YAN B., LIU Y., LIU Y., 1989b.  Studies of safe maximal daily selenium intake in a seleniferous area in China. II. Relation between selenium intake and the manifestation of clinical signs and certain biochemical alterations in blood and urine. </w:t>
        </w:r>
        <w:r w:rsidRPr="001534E7">
          <w:rPr>
            <w:rStyle w:val="Hyperlink"/>
            <w:rFonts w:cstheme="minorHAnsi"/>
            <w:iCs/>
          </w:rPr>
          <w:t>JOURNAL OF TRACE ELEMENTS AND</w:t>
        </w:r>
        <w:r w:rsidRPr="001534E7">
          <w:rPr>
            <w:rStyle w:val="Hyperlink"/>
            <w:rFonts w:cstheme="minorHAnsi"/>
          </w:rPr>
          <w:t xml:space="preserve"> </w:t>
        </w:r>
        <w:r w:rsidRPr="001534E7">
          <w:rPr>
            <w:rStyle w:val="Hyperlink"/>
            <w:rFonts w:cstheme="minorHAnsi"/>
            <w:iCs/>
          </w:rPr>
          <w:t>ELECTROLYTES IN HEALTH AND DISEASE,</w:t>
        </w:r>
        <w:r w:rsidRPr="001534E7">
          <w:rPr>
            <w:rStyle w:val="Hyperlink"/>
            <w:rFonts w:cstheme="minorHAnsi"/>
            <w:i/>
            <w:iCs/>
          </w:rPr>
          <w:t xml:space="preserve"> </w:t>
        </w:r>
        <w:r w:rsidRPr="001534E7">
          <w:rPr>
            <w:rStyle w:val="Hyperlink"/>
            <w:rFonts w:cstheme="minorHAnsi"/>
          </w:rPr>
          <w:t>3, 123 – 130.</w:t>
        </w:r>
      </w:hyperlink>
    </w:p>
    <w:p w14:paraId="3B75CAEA" w14:textId="77777777" w:rsidR="001D707B" w:rsidRDefault="001D707B" w:rsidP="001D707B">
      <w:pPr>
        <w:rPr>
          <w:rStyle w:val="Hyperlink"/>
          <w:rFonts w:cstheme="minorHAnsi"/>
        </w:rPr>
      </w:pPr>
      <w:hyperlink r:id="rId43" w:history="1">
        <w:r w:rsidRPr="001534E7">
          <w:rPr>
            <w:rStyle w:val="Hyperlink"/>
            <w:rFonts w:cstheme="minorHAnsi"/>
          </w:rPr>
          <w:t>YANG G., ZHOU R., 1994. Further observations on the human maximum safe dietary selenium intake in a seleniferous area of China. J. TRACE ELEM. ELECTROLYTES HEALTH DIS. 8, 159 – 165.</w:t>
        </w:r>
      </w:hyperlink>
    </w:p>
    <w:p w14:paraId="38C464F6" w14:textId="77777777" w:rsidR="00D94ACD" w:rsidRDefault="00D94ACD" w:rsidP="008002CC">
      <w:pPr>
        <w:jc w:val="both"/>
        <w:rPr>
          <w:rFonts w:ascii="Arial" w:hAnsi="Arial" w:cs="Arial"/>
        </w:rPr>
      </w:pPr>
    </w:p>
    <w:p w14:paraId="64099B69" w14:textId="77777777" w:rsidR="00515AD5" w:rsidRDefault="00515AD5" w:rsidP="008002CC">
      <w:pPr>
        <w:jc w:val="both"/>
        <w:rPr>
          <w:rFonts w:ascii="Arial" w:hAnsi="Arial" w:cs="Arial"/>
        </w:rPr>
      </w:pPr>
    </w:p>
    <w:p w14:paraId="7AE5E6A1" w14:textId="77777777" w:rsidR="00515AD5" w:rsidRDefault="00515AD5" w:rsidP="008002CC">
      <w:pPr>
        <w:jc w:val="both"/>
        <w:rPr>
          <w:rFonts w:ascii="Arial" w:hAnsi="Arial" w:cs="Arial"/>
        </w:rPr>
      </w:pPr>
    </w:p>
    <w:p w14:paraId="6F313370" w14:textId="77777777" w:rsidR="008002CC" w:rsidRPr="00EE6D3F" w:rsidRDefault="008002CC" w:rsidP="008002CC">
      <w:pPr>
        <w:jc w:val="both"/>
        <w:rPr>
          <w:rFonts w:ascii="Arial" w:hAnsi="Arial" w:cs="Arial"/>
        </w:rPr>
      </w:pPr>
    </w:p>
    <w:p w14:paraId="4D8F319E" w14:textId="77777777" w:rsidR="008002CC" w:rsidRPr="00EE6D3F" w:rsidRDefault="008002CC" w:rsidP="008002CC">
      <w:pPr>
        <w:pStyle w:val="Heading3"/>
        <w:rPr>
          <w:rFonts w:ascii="Arial" w:hAnsi="Arial" w:cs="Arial"/>
        </w:rPr>
      </w:pPr>
      <w:r w:rsidRPr="00EE6D3F">
        <w:rPr>
          <w:rFonts w:ascii="Arial" w:hAnsi="Arial" w:cs="Arial"/>
        </w:rPr>
        <w:t>Abbreviations and 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6741"/>
        <w:gridCol w:w="93"/>
      </w:tblGrid>
      <w:tr w:rsidR="00EE6D3F" w:rsidRPr="00EE6D3F" w14:paraId="1327C308" w14:textId="77777777" w:rsidTr="00113A8F">
        <w:trPr>
          <w:gridAfter w:val="1"/>
          <w:wAfter w:w="108" w:type="dxa"/>
        </w:trPr>
        <w:tc>
          <w:tcPr>
            <w:tcW w:w="1535" w:type="dxa"/>
            <w:tcMar>
              <w:top w:w="57" w:type="dxa"/>
              <w:bottom w:w="57" w:type="dxa"/>
            </w:tcMar>
          </w:tcPr>
          <w:p w14:paraId="096F63D4" w14:textId="77777777" w:rsidR="008002CC" w:rsidRPr="00EE6D3F" w:rsidRDefault="008002CC" w:rsidP="00113A8F">
            <w:pPr>
              <w:rPr>
                <w:rFonts w:ascii="Arial" w:hAnsi="Arial" w:cs="Arial"/>
              </w:rPr>
            </w:pPr>
            <w:r w:rsidRPr="00EE6D3F">
              <w:rPr>
                <w:rFonts w:ascii="Arial" w:hAnsi="Arial" w:cs="Arial"/>
              </w:rPr>
              <w:t>ADI</w:t>
            </w:r>
          </w:p>
        </w:tc>
        <w:tc>
          <w:tcPr>
            <w:tcW w:w="7491" w:type="dxa"/>
            <w:tcMar>
              <w:top w:w="57" w:type="dxa"/>
              <w:bottom w:w="57" w:type="dxa"/>
            </w:tcMar>
          </w:tcPr>
          <w:p w14:paraId="11555EEF" w14:textId="77777777" w:rsidR="008002CC" w:rsidRPr="00EE6D3F" w:rsidRDefault="008002CC" w:rsidP="00113A8F">
            <w:pPr>
              <w:rPr>
                <w:rFonts w:ascii="Arial" w:hAnsi="Arial" w:cs="Arial"/>
              </w:rPr>
            </w:pPr>
            <w:r w:rsidRPr="00EE6D3F">
              <w:rPr>
                <w:rFonts w:ascii="Arial" w:hAnsi="Arial" w:cs="Arial"/>
              </w:rPr>
              <w:t>Acceptable Daily Intake</w:t>
            </w:r>
          </w:p>
        </w:tc>
      </w:tr>
      <w:tr w:rsidR="00EE6D3F" w:rsidRPr="00EE6D3F" w14:paraId="6CD61A17" w14:textId="77777777" w:rsidTr="00113A8F">
        <w:trPr>
          <w:gridAfter w:val="1"/>
          <w:wAfter w:w="108" w:type="dxa"/>
        </w:trPr>
        <w:tc>
          <w:tcPr>
            <w:tcW w:w="1535" w:type="dxa"/>
            <w:tcMar>
              <w:top w:w="57" w:type="dxa"/>
              <w:bottom w:w="57" w:type="dxa"/>
            </w:tcMar>
          </w:tcPr>
          <w:p w14:paraId="7771B2F7" w14:textId="77777777" w:rsidR="008002CC" w:rsidRPr="00EE6D3F" w:rsidRDefault="008002CC" w:rsidP="00113A8F">
            <w:pPr>
              <w:rPr>
                <w:rFonts w:ascii="Arial" w:hAnsi="Arial" w:cs="Arial"/>
              </w:rPr>
            </w:pPr>
            <w:r w:rsidRPr="00EE6D3F">
              <w:rPr>
                <w:rFonts w:ascii="Arial" w:hAnsi="Arial" w:cs="Arial"/>
              </w:rPr>
              <w:t>AICIS</w:t>
            </w:r>
          </w:p>
        </w:tc>
        <w:tc>
          <w:tcPr>
            <w:tcW w:w="7491" w:type="dxa"/>
            <w:tcMar>
              <w:top w:w="57" w:type="dxa"/>
              <w:bottom w:w="57" w:type="dxa"/>
            </w:tcMar>
          </w:tcPr>
          <w:p w14:paraId="5FEB9C40" w14:textId="77777777" w:rsidR="008002CC" w:rsidRPr="00EE6D3F" w:rsidRDefault="008002CC" w:rsidP="00113A8F">
            <w:pPr>
              <w:rPr>
                <w:rFonts w:ascii="Arial" w:hAnsi="Arial" w:cs="Arial"/>
              </w:rPr>
            </w:pPr>
            <w:r w:rsidRPr="00EE6D3F">
              <w:rPr>
                <w:rFonts w:ascii="Arial" w:hAnsi="Arial" w:cs="Arial"/>
              </w:rPr>
              <w:t>Australian Industrial Chemicals Introduction Scheme</w:t>
            </w:r>
          </w:p>
        </w:tc>
      </w:tr>
      <w:tr w:rsidR="00EE6D3F" w:rsidRPr="00EE6D3F" w14:paraId="4723FCC1" w14:textId="77777777" w:rsidTr="00113A8F">
        <w:trPr>
          <w:gridAfter w:val="1"/>
          <w:wAfter w:w="108" w:type="dxa"/>
        </w:trPr>
        <w:tc>
          <w:tcPr>
            <w:tcW w:w="1535" w:type="dxa"/>
            <w:tcMar>
              <w:top w:w="57" w:type="dxa"/>
              <w:bottom w:w="57" w:type="dxa"/>
            </w:tcMar>
          </w:tcPr>
          <w:p w14:paraId="6CB3D233" w14:textId="77777777" w:rsidR="008002CC" w:rsidRPr="00EE6D3F" w:rsidRDefault="008002CC" w:rsidP="00113A8F">
            <w:pPr>
              <w:rPr>
                <w:rFonts w:ascii="Arial" w:hAnsi="Arial" w:cs="Arial"/>
              </w:rPr>
            </w:pPr>
            <w:r w:rsidRPr="00EE6D3F">
              <w:rPr>
                <w:rFonts w:ascii="Arial" w:hAnsi="Arial" w:cs="Arial"/>
              </w:rPr>
              <w:t>CAS</w:t>
            </w:r>
          </w:p>
        </w:tc>
        <w:tc>
          <w:tcPr>
            <w:tcW w:w="7491" w:type="dxa"/>
            <w:tcMar>
              <w:top w:w="57" w:type="dxa"/>
              <w:bottom w:w="57" w:type="dxa"/>
            </w:tcMar>
          </w:tcPr>
          <w:p w14:paraId="4993D375" w14:textId="77777777" w:rsidR="008002CC" w:rsidRPr="00EE6D3F" w:rsidRDefault="008002CC" w:rsidP="00113A8F">
            <w:pPr>
              <w:rPr>
                <w:rFonts w:ascii="Arial" w:hAnsi="Arial" w:cs="Arial"/>
              </w:rPr>
            </w:pPr>
            <w:r w:rsidRPr="00EE6D3F">
              <w:rPr>
                <w:rFonts w:ascii="Arial" w:hAnsi="Arial" w:cs="Arial"/>
              </w:rPr>
              <w:t xml:space="preserve">Chemical Abstract Service </w:t>
            </w:r>
          </w:p>
        </w:tc>
      </w:tr>
      <w:tr w:rsidR="00EE6D3F" w:rsidRPr="00EE6D3F" w14:paraId="0AA18842" w14:textId="77777777" w:rsidTr="00113A8F">
        <w:trPr>
          <w:gridAfter w:val="1"/>
          <w:wAfter w:w="108" w:type="dxa"/>
        </w:trPr>
        <w:tc>
          <w:tcPr>
            <w:tcW w:w="1535" w:type="dxa"/>
            <w:tcMar>
              <w:top w:w="57" w:type="dxa"/>
              <w:bottom w:w="57" w:type="dxa"/>
            </w:tcMar>
          </w:tcPr>
          <w:p w14:paraId="4AA45C5E" w14:textId="77777777" w:rsidR="008002CC" w:rsidRPr="00EE6D3F" w:rsidRDefault="008002CC" w:rsidP="00113A8F">
            <w:pPr>
              <w:rPr>
                <w:rFonts w:ascii="Arial" w:hAnsi="Arial" w:cs="Arial"/>
              </w:rPr>
            </w:pPr>
            <w:r w:rsidRPr="00EE6D3F">
              <w:rPr>
                <w:rFonts w:ascii="Arial" w:hAnsi="Arial" w:cs="Arial"/>
              </w:rPr>
              <w:t>CLP</w:t>
            </w:r>
          </w:p>
        </w:tc>
        <w:tc>
          <w:tcPr>
            <w:tcW w:w="7491" w:type="dxa"/>
            <w:tcMar>
              <w:top w:w="57" w:type="dxa"/>
              <w:bottom w:w="57" w:type="dxa"/>
            </w:tcMar>
          </w:tcPr>
          <w:p w14:paraId="1E785D57" w14:textId="77777777" w:rsidR="008002CC" w:rsidRPr="00EE6D3F" w:rsidRDefault="008002CC" w:rsidP="00113A8F">
            <w:pPr>
              <w:rPr>
                <w:rFonts w:ascii="Arial" w:hAnsi="Arial" w:cs="Arial"/>
              </w:rPr>
            </w:pPr>
            <w:r w:rsidRPr="00EE6D3F">
              <w:rPr>
                <w:rFonts w:ascii="Arial" w:hAnsi="Arial" w:cs="Arial"/>
              </w:rPr>
              <w:t>Classification, Labelling and Packaging</w:t>
            </w:r>
          </w:p>
        </w:tc>
      </w:tr>
      <w:tr w:rsidR="00EE6D3F" w:rsidRPr="00EE6D3F" w14:paraId="1B09580B" w14:textId="77777777" w:rsidTr="00113A8F">
        <w:trPr>
          <w:gridAfter w:val="1"/>
          <w:wAfter w:w="108" w:type="dxa"/>
        </w:trPr>
        <w:tc>
          <w:tcPr>
            <w:tcW w:w="1535" w:type="dxa"/>
            <w:tcMar>
              <w:top w:w="57" w:type="dxa"/>
              <w:bottom w:w="57" w:type="dxa"/>
            </w:tcMar>
          </w:tcPr>
          <w:p w14:paraId="71F5018C" w14:textId="77777777" w:rsidR="008002CC" w:rsidRPr="00EE6D3F" w:rsidRDefault="008002CC" w:rsidP="00113A8F">
            <w:pPr>
              <w:rPr>
                <w:rFonts w:ascii="Arial" w:hAnsi="Arial" w:cs="Arial"/>
              </w:rPr>
            </w:pPr>
            <w:r w:rsidRPr="00EE6D3F">
              <w:rPr>
                <w:rFonts w:ascii="Arial" w:hAnsi="Arial" w:cs="Arial"/>
              </w:rPr>
              <w:t>CVMP</w:t>
            </w:r>
          </w:p>
        </w:tc>
        <w:tc>
          <w:tcPr>
            <w:tcW w:w="7491" w:type="dxa"/>
            <w:tcMar>
              <w:top w:w="57" w:type="dxa"/>
              <w:bottom w:w="57" w:type="dxa"/>
            </w:tcMar>
          </w:tcPr>
          <w:p w14:paraId="5F495331" w14:textId="77777777" w:rsidR="008002CC" w:rsidRPr="00EE6D3F" w:rsidRDefault="008002CC" w:rsidP="00113A8F">
            <w:pPr>
              <w:rPr>
                <w:rFonts w:ascii="Arial" w:hAnsi="Arial" w:cs="Arial"/>
              </w:rPr>
            </w:pPr>
            <w:r w:rsidRPr="00EE6D3F">
              <w:rPr>
                <w:rFonts w:ascii="Arial" w:hAnsi="Arial" w:cs="Arial"/>
              </w:rPr>
              <w:t>EU Committee for Veterinary Medicinal Products</w:t>
            </w:r>
          </w:p>
        </w:tc>
      </w:tr>
      <w:tr w:rsidR="00EE6D3F" w:rsidRPr="00EE6D3F" w14:paraId="4F65952E" w14:textId="77777777" w:rsidTr="00113A8F">
        <w:trPr>
          <w:gridAfter w:val="1"/>
          <w:wAfter w:w="108" w:type="dxa"/>
        </w:trPr>
        <w:tc>
          <w:tcPr>
            <w:tcW w:w="1535" w:type="dxa"/>
            <w:tcMar>
              <w:top w:w="57" w:type="dxa"/>
              <w:bottom w:w="57" w:type="dxa"/>
            </w:tcMar>
          </w:tcPr>
          <w:p w14:paraId="50835E49" w14:textId="77777777" w:rsidR="008002CC" w:rsidRPr="00EE6D3F" w:rsidRDefault="008002CC" w:rsidP="00113A8F">
            <w:pPr>
              <w:rPr>
                <w:rFonts w:ascii="Arial" w:hAnsi="Arial" w:cs="Arial"/>
              </w:rPr>
            </w:pPr>
            <w:r w:rsidRPr="00EE6D3F">
              <w:rPr>
                <w:rFonts w:ascii="Arial" w:hAnsi="Arial" w:cs="Arial"/>
              </w:rPr>
              <w:t>DNEL</w:t>
            </w:r>
          </w:p>
        </w:tc>
        <w:tc>
          <w:tcPr>
            <w:tcW w:w="7491" w:type="dxa"/>
            <w:tcMar>
              <w:top w:w="57" w:type="dxa"/>
              <w:bottom w:w="57" w:type="dxa"/>
            </w:tcMar>
          </w:tcPr>
          <w:p w14:paraId="5AC4EA83" w14:textId="77777777" w:rsidR="008002CC" w:rsidRPr="00EE6D3F" w:rsidRDefault="008002CC" w:rsidP="00113A8F">
            <w:pPr>
              <w:rPr>
                <w:rFonts w:ascii="Arial" w:hAnsi="Arial" w:cs="Arial"/>
              </w:rPr>
            </w:pPr>
            <w:r w:rsidRPr="00EE6D3F">
              <w:rPr>
                <w:rFonts w:ascii="Arial" w:hAnsi="Arial" w:cs="Arial"/>
              </w:rPr>
              <w:t>Derived No Effect Level is defined as the level of exposure to a substance above which humans should not be exposed.  DNEL apply to health effects with a threshold.</w:t>
            </w:r>
          </w:p>
        </w:tc>
      </w:tr>
      <w:tr w:rsidR="00EE6D3F" w:rsidRPr="00EE6D3F" w14:paraId="4C4FEF06" w14:textId="77777777" w:rsidTr="00113A8F">
        <w:trPr>
          <w:gridAfter w:val="1"/>
          <w:wAfter w:w="108" w:type="dxa"/>
        </w:trPr>
        <w:tc>
          <w:tcPr>
            <w:tcW w:w="1535" w:type="dxa"/>
            <w:tcMar>
              <w:top w:w="57" w:type="dxa"/>
              <w:bottom w:w="57" w:type="dxa"/>
            </w:tcMar>
          </w:tcPr>
          <w:p w14:paraId="0718EDA4" w14:textId="77777777" w:rsidR="008002CC" w:rsidRPr="00EE6D3F" w:rsidRDefault="008002CC" w:rsidP="00113A8F">
            <w:pPr>
              <w:rPr>
                <w:rFonts w:ascii="Arial" w:hAnsi="Arial" w:cs="Arial"/>
              </w:rPr>
            </w:pPr>
            <w:r w:rsidRPr="00EE6D3F">
              <w:rPr>
                <w:rFonts w:ascii="Arial" w:hAnsi="Arial" w:cs="Arial"/>
              </w:rPr>
              <w:t>DNP</w:t>
            </w:r>
          </w:p>
        </w:tc>
        <w:tc>
          <w:tcPr>
            <w:tcW w:w="7491" w:type="dxa"/>
            <w:tcMar>
              <w:top w:w="57" w:type="dxa"/>
              <w:bottom w:w="57" w:type="dxa"/>
            </w:tcMar>
          </w:tcPr>
          <w:p w14:paraId="62615D94" w14:textId="77777777" w:rsidR="008002CC" w:rsidRPr="00EE6D3F" w:rsidRDefault="008002CC" w:rsidP="00113A8F">
            <w:pPr>
              <w:rPr>
                <w:rFonts w:ascii="Arial" w:hAnsi="Arial" w:cs="Arial"/>
              </w:rPr>
            </w:pPr>
            <w:r w:rsidRPr="00EE6D3F">
              <w:rPr>
                <w:rFonts w:ascii="Arial" w:hAnsi="Arial" w:cs="Arial"/>
              </w:rPr>
              <w:t>Di-nitroso derivative N,N'-dinitrosopiperazine</w:t>
            </w:r>
          </w:p>
        </w:tc>
      </w:tr>
      <w:tr w:rsidR="00EE6D3F" w:rsidRPr="00EE6D3F" w14:paraId="1D7D98F4" w14:textId="77777777" w:rsidTr="00113A8F">
        <w:trPr>
          <w:gridAfter w:val="1"/>
          <w:wAfter w:w="108" w:type="dxa"/>
        </w:trPr>
        <w:tc>
          <w:tcPr>
            <w:tcW w:w="1535" w:type="dxa"/>
            <w:tcMar>
              <w:top w:w="57" w:type="dxa"/>
              <w:bottom w:w="57" w:type="dxa"/>
            </w:tcMar>
          </w:tcPr>
          <w:p w14:paraId="3191A77A" w14:textId="77777777" w:rsidR="008002CC" w:rsidRPr="00EE6D3F" w:rsidRDefault="008002CC" w:rsidP="00113A8F">
            <w:pPr>
              <w:rPr>
                <w:rFonts w:ascii="Arial" w:hAnsi="Arial" w:cs="Arial"/>
              </w:rPr>
            </w:pPr>
            <w:r w:rsidRPr="00EE6D3F">
              <w:rPr>
                <w:rFonts w:ascii="Arial" w:hAnsi="Arial" w:cs="Arial"/>
              </w:rPr>
              <w:t>DNZP</w:t>
            </w:r>
          </w:p>
        </w:tc>
        <w:tc>
          <w:tcPr>
            <w:tcW w:w="7491" w:type="dxa"/>
            <w:tcMar>
              <w:top w:w="57" w:type="dxa"/>
              <w:bottom w:w="57" w:type="dxa"/>
            </w:tcMar>
          </w:tcPr>
          <w:p w14:paraId="3BD2B52F" w14:textId="77777777" w:rsidR="008002CC" w:rsidRPr="00EE6D3F" w:rsidRDefault="008002CC" w:rsidP="00113A8F">
            <w:pPr>
              <w:rPr>
                <w:rFonts w:ascii="Arial" w:hAnsi="Arial" w:cs="Arial"/>
              </w:rPr>
            </w:pPr>
            <w:r w:rsidRPr="00EE6D3F">
              <w:rPr>
                <w:rFonts w:ascii="Arial" w:hAnsi="Arial" w:cs="Arial"/>
              </w:rPr>
              <w:t>N,N'-dinitrosopiperazine</w:t>
            </w:r>
          </w:p>
        </w:tc>
      </w:tr>
      <w:tr w:rsidR="00EE6D3F" w:rsidRPr="00EE6D3F" w14:paraId="108C1618" w14:textId="77777777" w:rsidTr="00113A8F">
        <w:trPr>
          <w:gridAfter w:val="1"/>
          <w:wAfter w:w="108" w:type="dxa"/>
        </w:trPr>
        <w:tc>
          <w:tcPr>
            <w:tcW w:w="1535" w:type="dxa"/>
            <w:tcMar>
              <w:top w:w="57" w:type="dxa"/>
              <w:bottom w:w="57" w:type="dxa"/>
            </w:tcMar>
          </w:tcPr>
          <w:p w14:paraId="76618A0D" w14:textId="77777777" w:rsidR="008002CC" w:rsidRPr="00EE6D3F" w:rsidRDefault="008002CC" w:rsidP="00113A8F">
            <w:pPr>
              <w:rPr>
                <w:rFonts w:ascii="Arial" w:hAnsi="Arial" w:cs="Arial"/>
              </w:rPr>
            </w:pPr>
            <w:r w:rsidRPr="00EE6D3F">
              <w:rPr>
                <w:rFonts w:ascii="Arial" w:hAnsi="Arial" w:cs="Arial"/>
              </w:rPr>
              <w:t>EAL</w:t>
            </w:r>
          </w:p>
        </w:tc>
        <w:tc>
          <w:tcPr>
            <w:tcW w:w="7491" w:type="dxa"/>
            <w:tcMar>
              <w:top w:w="57" w:type="dxa"/>
              <w:bottom w:w="57" w:type="dxa"/>
            </w:tcMar>
          </w:tcPr>
          <w:p w14:paraId="16FA0485" w14:textId="77777777" w:rsidR="008002CC" w:rsidRPr="00EE6D3F" w:rsidRDefault="008002CC" w:rsidP="00113A8F">
            <w:pPr>
              <w:rPr>
                <w:rFonts w:ascii="Arial" w:hAnsi="Arial" w:cs="Arial"/>
              </w:rPr>
            </w:pPr>
            <w:r w:rsidRPr="00EE6D3F">
              <w:rPr>
                <w:rFonts w:ascii="Arial" w:hAnsi="Arial" w:cs="Arial"/>
              </w:rPr>
              <w:t>Environmental Assessment Level</w:t>
            </w:r>
          </w:p>
        </w:tc>
      </w:tr>
      <w:tr w:rsidR="00EE6D3F" w:rsidRPr="00EE6D3F" w14:paraId="21728161" w14:textId="77777777" w:rsidTr="00113A8F">
        <w:trPr>
          <w:gridAfter w:val="1"/>
          <w:wAfter w:w="108" w:type="dxa"/>
        </w:trPr>
        <w:tc>
          <w:tcPr>
            <w:tcW w:w="1535" w:type="dxa"/>
            <w:tcMar>
              <w:top w:w="57" w:type="dxa"/>
              <w:bottom w:w="57" w:type="dxa"/>
            </w:tcMar>
          </w:tcPr>
          <w:p w14:paraId="69385DE6" w14:textId="77777777" w:rsidR="008002CC" w:rsidRPr="00EE6D3F" w:rsidRDefault="008002CC" w:rsidP="00113A8F">
            <w:pPr>
              <w:rPr>
                <w:rFonts w:ascii="Arial" w:hAnsi="Arial" w:cs="Arial"/>
              </w:rPr>
            </w:pPr>
            <w:r w:rsidRPr="00EE6D3F">
              <w:rPr>
                <w:rFonts w:ascii="Arial" w:hAnsi="Arial" w:cs="Arial"/>
              </w:rPr>
              <w:t>ECB</w:t>
            </w:r>
          </w:p>
        </w:tc>
        <w:tc>
          <w:tcPr>
            <w:tcW w:w="7491" w:type="dxa"/>
            <w:tcMar>
              <w:top w:w="57" w:type="dxa"/>
              <w:bottom w:w="57" w:type="dxa"/>
            </w:tcMar>
          </w:tcPr>
          <w:p w14:paraId="32772FD3" w14:textId="77777777" w:rsidR="008002CC" w:rsidRPr="00EE6D3F" w:rsidRDefault="008002CC" w:rsidP="00113A8F">
            <w:pPr>
              <w:rPr>
                <w:rFonts w:ascii="Arial" w:hAnsi="Arial" w:cs="Arial"/>
              </w:rPr>
            </w:pPr>
            <w:r w:rsidRPr="00EE6D3F">
              <w:rPr>
                <w:rFonts w:ascii="Arial" w:hAnsi="Arial" w:cs="Arial"/>
              </w:rPr>
              <w:t>European Chemical Bureau</w:t>
            </w:r>
          </w:p>
        </w:tc>
      </w:tr>
      <w:tr w:rsidR="00EE6D3F" w:rsidRPr="00EE6D3F" w14:paraId="1E0019B1" w14:textId="77777777" w:rsidTr="00113A8F">
        <w:trPr>
          <w:gridAfter w:val="1"/>
          <w:wAfter w:w="108" w:type="dxa"/>
        </w:trPr>
        <w:tc>
          <w:tcPr>
            <w:tcW w:w="1535" w:type="dxa"/>
            <w:tcMar>
              <w:top w:w="57" w:type="dxa"/>
              <w:bottom w:w="57" w:type="dxa"/>
            </w:tcMar>
          </w:tcPr>
          <w:p w14:paraId="40DA23E8" w14:textId="77777777" w:rsidR="008002CC" w:rsidRPr="00EE6D3F" w:rsidRDefault="008002CC" w:rsidP="00113A8F">
            <w:pPr>
              <w:rPr>
                <w:rFonts w:ascii="Arial" w:hAnsi="Arial" w:cs="Arial"/>
              </w:rPr>
            </w:pPr>
            <w:r w:rsidRPr="00EE6D3F">
              <w:rPr>
                <w:rFonts w:ascii="Arial" w:hAnsi="Arial" w:cs="Arial"/>
              </w:rPr>
              <w:t>ECHA</w:t>
            </w:r>
          </w:p>
        </w:tc>
        <w:tc>
          <w:tcPr>
            <w:tcW w:w="7491" w:type="dxa"/>
            <w:tcMar>
              <w:top w:w="57" w:type="dxa"/>
              <w:bottom w:w="57" w:type="dxa"/>
            </w:tcMar>
          </w:tcPr>
          <w:p w14:paraId="0BA04191" w14:textId="77777777" w:rsidR="008002CC" w:rsidRPr="00EE6D3F" w:rsidRDefault="008002CC" w:rsidP="00113A8F">
            <w:pPr>
              <w:rPr>
                <w:rFonts w:ascii="Arial" w:hAnsi="Arial" w:cs="Arial"/>
              </w:rPr>
            </w:pPr>
            <w:r w:rsidRPr="00EE6D3F">
              <w:rPr>
                <w:rFonts w:ascii="Arial" w:hAnsi="Arial" w:cs="Arial"/>
              </w:rPr>
              <w:t>European Chemicals Agency</w:t>
            </w:r>
          </w:p>
        </w:tc>
      </w:tr>
      <w:tr w:rsidR="00EE6D3F" w:rsidRPr="00EE6D3F" w14:paraId="79DDB2B2" w14:textId="77777777" w:rsidTr="00113A8F">
        <w:tc>
          <w:tcPr>
            <w:tcW w:w="1535" w:type="dxa"/>
            <w:tcMar>
              <w:top w:w="57" w:type="dxa"/>
              <w:bottom w:w="57" w:type="dxa"/>
            </w:tcMar>
          </w:tcPr>
          <w:p w14:paraId="04E64FC1" w14:textId="77777777" w:rsidR="008002CC" w:rsidRPr="00EE6D3F" w:rsidRDefault="008002CC" w:rsidP="00113A8F">
            <w:pPr>
              <w:rPr>
                <w:rFonts w:ascii="Arial" w:hAnsi="Arial" w:cs="Arial"/>
              </w:rPr>
            </w:pPr>
            <w:r w:rsidRPr="00EE6D3F">
              <w:rPr>
                <w:rFonts w:ascii="Arial" w:hAnsi="Arial" w:cs="Arial"/>
              </w:rPr>
              <w:t>EFSA</w:t>
            </w:r>
          </w:p>
        </w:tc>
        <w:tc>
          <w:tcPr>
            <w:tcW w:w="7491" w:type="dxa"/>
            <w:gridSpan w:val="2"/>
            <w:tcMar>
              <w:top w:w="57" w:type="dxa"/>
              <w:bottom w:w="57" w:type="dxa"/>
            </w:tcMar>
          </w:tcPr>
          <w:p w14:paraId="128E5849" w14:textId="77777777" w:rsidR="008002CC" w:rsidRPr="00EE6D3F" w:rsidRDefault="008002CC" w:rsidP="00113A8F">
            <w:pPr>
              <w:rPr>
                <w:rFonts w:ascii="Arial" w:hAnsi="Arial" w:cs="Arial"/>
              </w:rPr>
            </w:pPr>
            <w:r w:rsidRPr="00EE6D3F">
              <w:rPr>
                <w:rFonts w:ascii="Arial" w:hAnsi="Arial" w:cs="Arial"/>
              </w:rPr>
              <w:t>European Food Safety Authority</w:t>
            </w:r>
          </w:p>
        </w:tc>
      </w:tr>
      <w:tr w:rsidR="00EE6D3F" w:rsidRPr="00EE6D3F" w14:paraId="47E34CE4" w14:textId="77777777" w:rsidTr="00113A8F">
        <w:trPr>
          <w:gridAfter w:val="1"/>
          <w:wAfter w:w="108" w:type="dxa"/>
        </w:trPr>
        <w:tc>
          <w:tcPr>
            <w:tcW w:w="1535" w:type="dxa"/>
            <w:tcMar>
              <w:top w:w="57" w:type="dxa"/>
              <w:bottom w:w="57" w:type="dxa"/>
            </w:tcMar>
          </w:tcPr>
          <w:p w14:paraId="491D501F" w14:textId="77777777" w:rsidR="008002CC" w:rsidRPr="00EE6D3F" w:rsidRDefault="008002CC" w:rsidP="00113A8F">
            <w:pPr>
              <w:rPr>
                <w:rFonts w:ascii="Arial" w:hAnsi="Arial" w:cs="Arial"/>
              </w:rPr>
            </w:pPr>
            <w:r w:rsidRPr="00EE6D3F">
              <w:rPr>
                <w:rFonts w:ascii="Arial" w:hAnsi="Arial" w:cs="Arial"/>
              </w:rPr>
              <w:t>EMEA</w:t>
            </w:r>
          </w:p>
        </w:tc>
        <w:tc>
          <w:tcPr>
            <w:tcW w:w="7491" w:type="dxa"/>
            <w:tcMar>
              <w:top w:w="57" w:type="dxa"/>
              <w:bottom w:w="57" w:type="dxa"/>
            </w:tcMar>
          </w:tcPr>
          <w:p w14:paraId="0497A00A" w14:textId="77777777" w:rsidR="008002CC" w:rsidRPr="00EE6D3F" w:rsidRDefault="008002CC" w:rsidP="00113A8F">
            <w:pPr>
              <w:rPr>
                <w:rFonts w:ascii="Arial" w:hAnsi="Arial" w:cs="Arial"/>
              </w:rPr>
            </w:pPr>
            <w:r w:rsidRPr="00EE6D3F">
              <w:rPr>
                <w:rFonts w:ascii="Arial" w:hAnsi="Arial" w:cs="Arial"/>
              </w:rPr>
              <w:t>European Agency for the Evaluation of Medical products</w:t>
            </w:r>
          </w:p>
        </w:tc>
      </w:tr>
      <w:tr w:rsidR="00EE6D3F" w:rsidRPr="00EE6D3F" w14:paraId="14E1BA78" w14:textId="77777777" w:rsidTr="00113A8F">
        <w:trPr>
          <w:gridAfter w:val="1"/>
          <w:wAfter w:w="108" w:type="dxa"/>
        </w:trPr>
        <w:tc>
          <w:tcPr>
            <w:tcW w:w="1535" w:type="dxa"/>
            <w:tcMar>
              <w:top w:w="57" w:type="dxa"/>
              <w:bottom w:w="57" w:type="dxa"/>
            </w:tcMar>
          </w:tcPr>
          <w:p w14:paraId="76099593" w14:textId="77777777" w:rsidR="008002CC" w:rsidRPr="00EE6D3F" w:rsidRDefault="008002CC" w:rsidP="00113A8F">
            <w:pPr>
              <w:rPr>
                <w:rFonts w:ascii="Arial" w:hAnsi="Arial" w:cs="Arial"/>
              </w:rPr>
            </w:pPr>
            <w:r w:rsidRPr="00EE6D3F">
              <w:rPr>
                <w:rFonts w:ascii="Arial" w:hAnsi="Arial" w:cs="Arial"/>
              </w:rPr>
              <w:t>EU</w:t>
            </w:r>
          </w:p>
        </w:tc>
        <w:tc>
          <w:tcPr>
            <w:tcW w:w="7491" w:type="dxa"/>
            <w:tcMar>
              <w:top w:w="57" w:type="dxa"/>
              <w:bottom w:w="57" w:type="dxa"/>
            </w:tcMar>
          </w:tcPr>
          <w:p w14:paraId="68BC24EE" w14:textId="77777777" w:rsidR="008002CC" w:rsidRPr="00EE6D3F" w:rsidRDefault="008002CC" w:rsidP="00113A8F">
            <w:pPr>
              <w:rPr>
                <w:rFonts w:ascii="Arial" w:hAnsi="Arial" w:cs="Arial"/>
              </w:rPr>
            </w:pPr>
            <w:r w:rsidRPr="00EE6D3F">
              <w:rPr>
                <w:rFonts w:ascii="Arial" w:hAnsi="Arial" w:cs="Arial"/>
              </w:rPr>
              <w:t>European Union</w:t>
            </w:r>
          </w:p>
        </w:tc>
      </w:tr>
      <w:tr w:rsidR="008002CC" w:rsidRPr="005561DC" w14:paraId="00F73992" w14:textId="77777777" w:rsidTr="00113A8F">
        <w:trPr>
          <w:gridAfter w:val="1"/>
          <w:wAfter w:w="108" w:type="dxa"/>
        </w:trPr>
        <w:tc>
          <w:tcPr>
            <w:tcW w:w="1535" w:type="dxa"/>
            <w:tcMar>
              <w:top w:w="57" w:type="dxa"/>
              <w:bottom w:w="57" w:type="dxa"/>
            </w:tcMar>
          </w:tcPr>
          <w:p w14:paraId="32BB58AC" w14:textId="77777777" w:rsidR="008002CC" w:rsidRPr="005561DC" w:rsidRDefault="008002CC" w:rsidP="00113A8F">
            <w:pPr>
              <w:rPr>
                <w:rFonts w:ascii="Arial" w:hAnsi="Arial" w:cs="Arial"/>
              </w:rPr>
            </w:pPr>
            <w:r w:rsidRPr="005561DC">
              <w:rPr>
                <w:rFonts w:ascii="Arial" w:hAnsi="Arial" w:cs="Arial"/>
              </w:rPr>
              <w:t>GD</w:t>
            </w:r>
          </w:p>
        </w:tc>
        <w:tc>
          <w:tcPr>
            <w:tcW w:w="7491" w:type="dxa"/>
            <w:tcMar>
              <w:top w:w="57" w:type="dxa"/>
              <w:bottom w:w="57" w:type="dxa"/>
            </w:tcMar>
          </w:tcPr>
          <w:p w14:paraId="58459879" w14:textId="77777777" w:rsidR="008002CC" w:rsidRPr="005561DC" w:rsidRDefault="008002CC" w:rsidP="00113A8F">
            <w:pPr>
              <w:rPr>
                <w:rFonts w:ascii="Arial" w:hAnsi="Arial" w:cs="Arial"/>
              </w:rPr>
            </w:pPr>
            <w:r w:rsidRPr="005561DC">
              <w:rPr>
                <w:rFonts w:ascii="Arial" w:hAnsi="Arial" w:cs="Arial"/>
              </w:rPr>
              <w:t>Gestation day</w:t>
            </w:r>
          </w:p>
        </w:tc>
      </w:tr>
      <w:tr w:rsidR="008002CC" w:rsidRPr="005561DC" w14:paraId="3A90C9B3" w14:textId="77777777" w:rsidTr="00113A8F">
        <w:trPr>
          <w:gridAfter w:val="1"/>
          <w:wAfter w:w="108" w:type="dxa"/>
        </w:trPr>
        <w:tc>
          <w:tcPr>
            <w:tcW w:w="1535" w:type="dxa"/>
            <w:tcMar>
              <w:top w:w="57" w:type="dxa"/>
              <w:bottom w:w="57" w:type="dxa"/>
            </w:tcMar>
          </w:tcPr>
          <w:p w14:paraId="276840D3" w14:textId="77777777" w:rsidR="008002CC" w:rsidRPr="005561DC" w:rsidRDefault="008002CC" w:rsidP="00113A8F">
            <w:pPr>
              <w:rPr>
                <w:rFonts w:ascii="Arial" w:hAnsi="Arial" w:cs="Arial"/>
              </w:rPr>
            </w:pPr>
            <w:r w:rsidRPr="005561DC">
              <w:rPr>
                <w:rFonts w:ascii="Arial" w:hAnsi="Arial" w:cs="Arial"/>
              </w:rPr>
              <w:t>HSDB</w:t>
            </w:r>
          </w:p>
        </w:tc>
        <w:tc>
          <w:tcPr>
            <w:tcW w:w="7491" w:type="dxa"/>
            <w:tcMar>
              <w:top w:w="57" w:type="dxa"/>
              <w:bottom w:w="57" w:type="dxa"/>
            </w:tcMar>
          </w:tcPr>
          <w:p w14:paraId="658BADA0" w14:textId="77777777" w:rsidR="008002CC" w:rsidRPr="005561DC" w:rsidRDefault="008002CC" w:rsidP="00113A8F">
            <w:pPr>
              <w:rPr>
                <w:rFonts w:ascii="Arial" w:hAnsi="Arial" w:cs="Arial"/>
              </w:rPr>
            </w:pPr>
            <w:r w:rsidRPr="005561DC">
              <w:rPr>
                <w:rFonts w:ascii="Arial" w:hAnsi="Arial" w:cs="Arial"/>
              </w:rPr>
              <w:t xml:space="preserve">Hazardous Substances Data Bank </w:t>
            </w:r>
          </w:p>
        </w:tc>
      </w:tr>
      <w:tr w:rsidR="008002CC" w:rsidRPr="005561DC" w14:paraId="0DABEF22" w14:textId="77777777" w:rsidTr="00113A8F">
        <w:trPr>
          <w:gridAfter w:val="1"/>
          <w:wAfter w:w="108" w:type="dxa"/>
        </w:trPr>
        <w:tc>
          <w:tcPr>
            <w:tcW w:w="1535" w:type="dxa"/>
            <w:tcMar>
              <w:top w:w="57" w:type="dxa"/>
              <w:bottom w:w="57" w:type="dxa"/>
            </w:tcMar>
          </w:tcPr>
          <w:p w14:paraId="5F96AFD7" w14:textId="77777777" w:rsidR="008002CC" w:rsidRPr="005561DC" w:rsidRDefault="008002CC" w:rsidP="00113A8F">
            <w:pPr>
              <w:rPr>
                <w:rFonts w:ascii="Arial" w:hAnsi="Arial" w:cs="Arial"/>
              </w:rPr>
            </w:pPr>
            <w:r w:rsidRPr="005561DC">
              <w:rPr>
                <w:rFonts w:ascii="Arial" w:hAnsi="Arial" w:cs="Arial"/>
              </w:rPr>
              <w:t>HSE</w:t>
            </w:r>
          </w:p>
        </w:tc>
        <w:tc>
          <w:tcPr>
            <w:tcW w:w="7491" w:type="dxa"/>
            <w:tcMar>
              <w:top w:w="57" w:type="dxa"/>
              <w:bottom w:w="57" w:type="dxa"/>
            </w:tcMar>
          </w:tcPr>
          <w:p w14:paraId="32E4C6D0" w14:textId="77777777" w:rsidR="008002CC" w:rsidRPr="005561DC" w:rsidRDefault="008002CC" w:rsidP="00113A8F">
            <w:pPr>
              <w:rPr>
                <w:rFonts w:ascii="Arial" w:hAnsi="Arial" w:cs="Arial"/>
              </w:rPr>
            </w:pPr>
            <w:r w:rsidRPr="005561DC">
              <w:rPr>
                <w:rFonts w:ascii="Arial" w:hAnsi="Arial" w:cs="Arial"/>
              </w:rPr>
              <w:t>Health and Safety Executive</w:t>
            </w:r>
          </w:p>
        </w:tc>
      </w:tr>
      <w:tr w:rsidR="008002CC" w:rsidRPr="005561DC" w14:paraId="2698990E" w14:textId="77777777" w:rsidTr="00113A8F">
        <w:trPr>
          <w:gridAfter w:val="1"/>
          <w:wAfter w:w="108" w:type="dxa"/>
        </w:trPr>
        <w:tc>
          <w:tcPr>
            <w:tcW w:w="1535" w:type="dxa"/>
            <w:tcMar>
              <w:top w:w="57" w:type="dxa"/>
              <w:bottom w:w="57" w:type="dxa"/>
            </w:tcMar>
          </w:tcPr>
          <w:p w14:paraId="1801AF77" w14:textId="77777777" w:rsidR="008002CC" w:rsidRPr="005561DC" w:rsidRDefault="008002CC" w:rsidP="00113A8F">
            <w:pPr>
              <w:rPr>
                <w:rFonts w:ascii="Arial" w:hAnsi="Arial" w:cs="Arial"/>
              </w:rPr>
            </w:pPr>
            <w:r w:rsidRPr="005561DC">
              <w:rPr>
                <w:rFonts w:ascii="Arial" w:hAnsi="Arial" w:cs="Arial"/>
              </w:rPr>
              <w:t>HBGV</w:t>
            </w:r>
          </w:p>
        </w:tc>
        <w:tc>
          <w:tcPr>
            <w:tcW w:w="7491" w:type="dxa"/>
            <w:tcMar>
              <w:top w:w="57" w:type="dxa"/>
              <w:bottom w:w="57" w:type="dxa"/>
            </w:tcMar>
          </w:tcPr>
          <w:p w14:paraId="13B51FFB" w14:textId="77777777" w:rsidR="008002CC" w:rsidRPr="005561DC" w:rsidRDefault="008002CC" w:rsidP="00113A8F">
            <w:pPr>
              <w:rPr>
                <w:rFonts w:ascii="Arial" w:hAnsi="Arial" w:cs="Arial"/>
              </w:rPr>
            </w:pPr>
            <w:r w:rsidRPr="005561DC">
              <w:rPr>
                <w:rFonts w:ascii="Arial" w:hAnsi="Arial" w:cs="Arial"/>
              </w:rPr>
              <w:t>Health-Based Guidance Value</w:t>
            </w:r>
          </w:p>
        </w:tc>
      </w:tr>
      <w:tr w:rsidR="008002CC" w:rsidRPr="005561DC" w14:paraId="5845B480" w14:textId="77777777" w:rsidTr="00113A8F">
        <w:trPr>
          <w:gridAfter w:val="1"/>
          <w:wAfter w:w="108" w:type="dxa"/>
        </w:trPr>
        <w:tc>
          <w:tcPr>
            <w:tcW w:w="1535" w:type="dxa"/>
            <w:tcMar>
              <w:top w:w="57" w:type="dxa"/>
              <w:bottom w:w="57" w:type="dxa"/>
            </w:tcMar>
          </w:tcPr>
          <w:p w14:paraId="473482C1" w14:textId="77777777" w:rsidR="008002CC" w:rsidRPr="005561DC" w:rsidRDefault="008002CC" w:rsidP="00113A8F">
            <w:pPr>
              <w:rPr>
                <w:rFonts w:ascii="Arial" w:hAnsi="Arial" w:cs="Arial"/>
              </w:rPr>
            </w:pPr>
            <w:r w:rsidRPr="005561DC">
              <w:rPr>
                <w:rFonts w:ascii="Arial" w:hAnsi="Arial" w:cs="Arial"/>
              </w:rPr>
              <w:t>IARC</w:t>
            </w:r>
          </w:p>
        </w:tc>
        <w:tc>
          <w:tcPr>
            <w:tcW w:w="7491" w:type="dxa"/>
            <w:tcMar>
              <w:top w:w="57" w:type="dxa"/>
              <w:bottom w:w="57" w:type="dxa"/>
            </w:tcMar>
          </w:tcPr>
          <w:p w14:paraId="448909B1" w14:textId="77777777" w:rsidR="008002CC" w:rsidRPr="005561DC" w:rsidRDefault="008002CC" w:rsidP="00113A8F">
            <w:pPr>
              <w:rPr>
                <w:rFonts w:ascii="Arial" w:hAnsi="Arial" w:cs="Arial"/>
              </w:rPr>
            </w:pPr>
            <w:r w:rsidRPr="005561DC">
              <w:rPr>
                <w:rFonts w:ascii="Arial" w:hAnsi="Arial" w:cs="Arial"/>
              </w:rPr>
              <w:t>International Agency for Research on Cancer</w:t>
            </w:r>
          </w:p>
        </w:tc>
      </w:tr>
      <w:tr w:rsidR="008002CC" w:rsidRPr="005561DC" w14:paraId="6955CEDE" w14:textId="77777777" w:rsidTr="00113A8F">
        <w:trPr>
          <w:gridAfter w:val="1"/>
          <w:wAfter w:w="108" w:type="dxa"/>
        </w:trPr>
        <w:tc>
          <w:tcPr>
            <w:tcW w:w="1535" w:type="dxa"/>
            <w:tcMar>
              <w:top w:w="57" w:type="dxa"/>
              <w:bottom w:w="57" w:type="dxa"/>
            </w:tcMar>
          </w:tcPr>
          <w:p w14:paraId="052A6D3E" w14:textId="77777777" w:rsidR="008002CC" w:rsidRPr="005561DC" w:rsidRDefault="008002CC" w:rsidP="00113A8F">
            <w:pPr>
              <w:rPr>
                <w:rFonts w:ascii="Arial" w:hAnsi="Arial" w:cs="Arial"/>
              </w:rPr>
            </w:pPr>
            <w:r w:rsidRPr="005561DC">
              <w:rPr>
                <w:rFonts w:ascii="Arial" w:hAnsi="Arial" w:cs="Arial"/>
              </w:rPr>
              <w:lastRenderedPageBreak/>
              <w:t>LC</w:t>
            </w:r>
            <w:r w:rsidRPr="005561DC">
              <w:rPr>
                <w:rFonts w:ascii="Arial" w:hAnsi="Arial" w:cs="Arial"/>
                <w:vertAlign w:val="subscript"/>
              </w:rPr>
              <w:t>50</w:t>
            </w:r>
          </w:p>
        </w:tc>
        <w:tc>
          <w:tcPr>
            <w:tcW w:w="7491" w:type="dxa"/>
            <w:tcMar>
              <w:top w:w="57" w:type="dxa"/>
              <w:bottom w:w="57" w:type="dxa"/>
            </w:tcMar>
          </w:tcPr>
          <w:p w14:paraId="47AD95BA" w14:textId="77777777" w:rsidR="008002CC" w:rsidRPr="005561DC" w:rsidRDefault="008002CC" w:rsidP="00113A8F">
            <w:pPr>
              <w:rPr>
                <w:rFonts w:ascii="Arial" w:hAnsi="Arial" w:cs="Arial"/>
              </w:rPr>
            </w:pPr>
            <w:r w:rsidRPr="005561DC">
              <w:rPr>
                <w:rFonts w:ascii="Arial" w:hAnsi="Arial" w:cs="Arial"/>
              </w:rPr>
              <w:t>Lethal Concentration that kills 50 % of exposed animals in a study</w:t>
            </w:r>
          </w:p>
        </w:tc>
      </w:tr>
      <w:tr w:rsidR="008002CC" w:rsidRPr="005561DC" w14:paraId="6C1F486C" w14:textId="77777777" w:rsidTr="00113A8F">
        <w:trPr>
          <w:gridAfter w:val="1"/>
          <w:wAfter w:w="108" w:type="dxa"/>
        </w:trPr>
        <w:tc>
          <w:tcPr>
            <w:tcW w:w="1535" w:type="dxa"/>
            <w:tcMar>
              <w:top w:w="57" w:type="dxa"/>
              <w:bottom w:w="57" w:type="dxa"/>
            </w:tcMar>
          </w:tcPr>
          <w:p w14:paraId="1BEE13BC" w14:textId="77777777" w:rsidR="008002CC" w:rsidRPr="005561DC" w:rsidRDefault="008002CC" w:rsidP="00113A8F">
            <w:pPr>
              <w:rPr>
                <w:rFonts w:ascii="Arial" w:hAnsi="Arial" w:cs="Arial"/>
              </w:rPr>
            </w:pPr>
            <w:r w:rsidRPr="005561DC">
              <w:rPr>
                <w:rFonts w:ascii="Arial" w:hAnsi="Arial" w:cs="Arial"/>
              </w:rPr>
              <w:t>LOAEC/L</w:t>
            </w:r>
          </w:p>
        </w:tc>
        <w:tc>
          <w:tcPr>
            <w:tcW w:w="7491" w:type="dxa"/>
            <w:tcMar>
              <w:top w:w="57" w:type="dxa"/>
              <w:bottom w:w="57" w:type="dxa"/>
            </w:tcMar>
          </w:tcPr>
          <w:p w14:paraId="1777DB28" w14:textId="77777777" w:rsidR="008002CC" w:rsidRPr="005561DC" w:rsidRDefault="008002CC" w:rsidP="00113A8F">
            <w:pPr>
              <w:rPr>
                <w:rFonts w:ascii="Arial" w:hAnsi="Arial" w:cs="Arial"/>
              </w:rPr>
            </w:pPr>
            <w:r w:rsidRPr="005561DC">
              <w:rPr>
                <w:rFonts w:ascii="Arial" w:hAnsi="Arial" w:cs="Arial"/>
              </w:rPr>
              <w:t>Lowest Observable Adverse Effect Concentration or Level</w:t>
            </w:r>
          </w:p>
        </w:tc>
      </w:tr>
      <w:tr w:rsidR="008002CC" w:rsidRPr="005561DC" w14:paraId="50BEF495" w14:textId="77777777" w:rsidTr="00113A8F">
        <w:trPr>
          <w:gridAfter w:val="1"/>
          <w:wAfter w:w="108" w:type="dxa"/>
        </w:trPr>
        <w:tc>
          <w:tcPr>
            <w:tcW w:w="1535" w:type="dxa"/>
            <w:tcMar>
              <w:top w:w="57" w:type="dxa"/>
              <w:bottom w:w="57" w:type="dxa"/>
            </w:tcMar>
          </w:tcPr>
          <w:p w14:paraId="072A4E99" w14:textId="77777777" w:rsidR="008002CC" w:rsidRPr="005561DC" w:rsidRDefault="008002CC" w:rsidP="00113A8F">
            <w:pPr>
              <w:rPr>
                <w:rFonts w:ascii="Arial" w:hAnsi="Arial" w:cs="Arial"/>
              </w:rPr>
            </w:pPr>
            <w:r w:rsidRPr="005561DC">
              <w:rPr>
                <w:rFonts w:ascii="Arial" w:hAnsi="Arial" w:cs="Arial"/>
              </w:rPr>
              <w:t>LOEL</w:t>
            </w:r>
          </w:p>
        </w:tc>
        <w:tc>
          <w:tcPr>
            <w:tcW w:w="7491" w:type="dxa"/>
            <w:tcMar>
              <w:top w:w="57" w:type="dxa"/>
              <w:bottom w:w="57" w:type="dxa"/>
            </w:tcMar>
          </w:tcPr>
          <w:p w14:paraId="7D1604B1" w14:textId="77777777" w:rsidR="008002CC" w:rsidRPr="005561DC" w:rsidRDefault="008002CC" w:rsidP="00113A8F">
            <w:pPr>
              <w:rPr>
                <w:rFonts w:ascii="Arial" w:hAnsi="Arial" w:cs="Arial"/>
              </w:rPr>
            </w:pPr>
            <w:r w:rsidRPr="005561DC">
              <w:rPr>
                <w:rFonts w:ascii="Arial" w:hAnsi="Arial" w:cs="Arial"/>
              </w:rPr>
              <w:t>Lowest Observable Effect Level</w:t>
            </w:r>
          </w:p>
        </w:tc>
      </w:tr>
      <w:tr w:rsidR="008002CC" w:rsidRPr="005561DC" w14:paraId="1D63281B" w14:textId="77777777" w:rsidTr="00113A8F">
        <w:trPr>
          <w:gridAfter w:val="1"/>
          <w:wAfter w:w="108" w:type="dxa"/>
        </w:trPr>
        <w:tc>
          <w:tcPr>
            <w:tcW w:w="1535" w:type="dxa"/>
            <w:tcMar>
              <w:top w:w="57" w:type="dxa"/>
              <w:bottom w:w="57" w:type="dxa"/>
            </w:tcMar>
          </w:tcPr>
          <w:p w14:paraId="48B9E2C0" w14:textId="77777777" w:rsidR="008002CC" w:rsidRPr="005561DC" w:rsidRDefault="008002CC" w:rsidP="00113A8F">
            <w:pPr>
              <w:rPr>
                <w:rFonts w:ascii="Arial" w:hAnsi="Arial" w:cs="Arial"/>
              </w:rPr>
            </w:pPr>
            <w:r w:rsidRPr="005561DC">
              <w:rPr>
                <w:rFonts w:ascii="Arial" w:hAnsi="Arial" w:cs="Arial"/>
              </w:rPr>
              <w:t>NOAEC/L</w:t>
            </w:r>
          </w:p>
        </w:tc>
        <w:tc>
          <w:tcPr>
            <w:tcW w:w="7491" w:type="dxa"/>
            <w:tcMar>
              <w:top w:w="57" w:type="dxa"/>
              <w:bottom w:w="57" w:type="dxa"/>
            </w:tcMar>
          </w:tcPr>
          <w:p w14:paraId="1E3CCBCD" w14:textId="77777777" w:rsidR="008002CC" w:rsidRPr="005561DC" w:rsidRDefault="008002CC" w:rsidP="00113A8F">
            <w:pPr>
              <w:rPr>
                <w:rFonts w:ascii="Arial" w:hAnsi="Arial" w:cs="Arial"/>
              </w:rPr>
            </w:pPr>
            <w:r w:rsidRPr="005561DC">
              <w:rPr>
                <w:rFonts w:ascii="Arial" w:hAnsi="Arial" w:cs="Arial"/>
              </w:rPr>
              <w:t>No Observed Adverse Effect Concentration or Level</w:t>
            </w:r>
          </w:p>
        </w:tc>
      </w:tr>
      <w:tr w:rsidR="008002CC" w:rsidRPr="005561DC" w14:paraId="2FA002A5" w14:textId="77777777" w:rsidTr="00113A8F">
        <w:trPr>
          <w:gridAfter w:val="1"/>
          <w:wAfter w:w="108" w:type="dxa"/>
        </w:trPr>
        <w:tc>
          <w:tcPr>
            <w:tcW w:w="1535" w:type="dxa"/>
            <w:tcMar>
              <w:top w:w="57" w:type="dxa"/>
              <w:bottom w:w="57" w:type="dxa"/>
            </w:tcMar>
          </w:tcPr>
          <w:p w14:paraId="000642DE" w14:textId="77777777" w:rsidR="008002CC" w:rsidRPr="005561DC" w:rsidRDefault="008002CC" w:rsidP="00113A8F">
            <w:pPr>
              <w:rPr>
                <w:rFonts w:ascii="Arial" w:hAnsi="Arial" w:cs="Arial"/>
              </w:rPr>
            </w:pPr>
            <w:r w:rsidRPr="005561DC">
              <w:rPr>
                <w:rFonts w:ascii="Arial" w:hAnsi="Arial" w:cs="Arial"/>
              </w:rPr>
              <w:t>NOEL</w:t>
            </w:r>
          </w:p>
        </w:tc>
        <w:tc>
          <w:tcPr>
            <w:tcW w:w="7491" w:type="dxa"/>
            <w:tcMar>
              <w:top w:w="57" w:type="dxa"/>
              <w:bottom w:w="57" w:type="dxa"/>
            </w:tcMar>
          </w:tcPr>
          <w:p w14:paraId="0B3FF4D3" w14:textId="77777777" w:rsidR="008002CC" w:rsidRPr="005561DC" w:rsidRDefault="008002CC" w:rsidP="00113A8F">
            <w:pPr>
              <w:rPr>
                <w:rFonts w:ascii="Arial" w:hAnsi="Arial" w:cs="Arial"/>
              </w:rPr>
            </w:pPr>
            <w:r w:rsidRPr="005561DC">
              <w:rPr>
                <w:rFonts w:ascii="Arial" w:hAnsi="Arial" w:cs="Arial"/>
              </w:rPr>
              <w:t>No Observed Effect Level</w:t>
            </w:r>
          </w:p>
        </w:tc>
      </w:tr>
      <w:tr w:rsidR="008002CC" w:rsidRPr="005561DC" w14:paraId="4E324EB6" w14:textId="77777777" w:rsidTr="00113A8F">
        <w:tc>
          <w:tcPr>
            <w:tcW w:w="1535" w:type="dxa"/>
            <w:tcMar>
              <w:top w:w="57" w:type="dxa"/>
              <w:bottom w:w="57" w:type="dxa"/>
            </w:tcMar>
          </w:tcPr>
          <w:p w14:paraId="289239B8" w14:textId="77777777" w:rsidR="008002CC" w:rsidRPr="005561DC" w:rsidRDefault="008002CC" w:rsidP="00113A8F">
            <w:pPr>
              <w:rPr>
                <w:rFonts w:ascii="Arial" w:hAnsi="Arial" w:cs="Arial"/>
              </w:rPr>
            </w:pPr>
            <w:r w:rsidRPr="005561DC">
              <w:rPr>
                <w:rFonts w:ascii="Arial" w:hAnsi="Arial" w:cs="Arial"/>
              </w:rPr>
              <w:t>NDMA</w:t>
            </w:r>
          </w:p>
        </w:tc>
        <w:tc>
          <w:tcPr>
            <w:tcW w:w="7491" w:type="dxa"/>
            <w:gridSpan w:val="2"/>
            <w:tcMar>
              <w:top w:w="57" w:type="dxa"/>
              <w:bottom w:w="57" w:type="dxa"/>
            </w:tcMar>
          </w:tcPr>
          <w:p w14:paraId="0CBD1DF1" w14:textId="77777777" w:rsidR="008002CC" w:rsidRPr="005561DC" w:rsidRDefault="008002CC" w:rsidP="00113A8F">
            <w:pPr>
              <w:rPr>
                <w:rFonts w:ascii="Arial" w:hAnsi="Arial" w:cs="Arial"/>
              </w:rPr>
            </w:pPr>
            <w:r w:rsidRPr="005561DC">
              <w:rPr>
                <w:rFonts w:ascii="Arial" w:hAnsi="Arial" w:cs="Arial"/>
              </w:rPr>
              <w:t>N-nitrosodimethylamine</w:t>
            </w:r>
          </w:p>
        </w:tc>
      </w:tr>
      <w:tr w:rsidR="008002CC" w:rsidRPr="005561DC" w14:paraId="49402745" w14:textId="77777777" w:rsidTr="00113A8F">
        <w:tc>
          <w:tcPr>
            <w:tcW w:w="1535" w:type="dxa"/>
            <w:tcMar>
              <w:top w:w="57" w:type="dxa"/>
              <w:bottom w:w="57" w:type="dxa"/>
            </w:tcMar>
          </w:tcPr>
          <w:p w14:paraId="7B0283BD" w14:textId="77777777" w:rsidR="008002CC" w:rsidRPr="005561DC" w:rsidRDefault="008002CC" w:rsidP="00113A8F">
            <w:pPr>
              <w:rPr>
                <w:rFonts w:ascii="Arial" w:hAnsi="Arial" w:cs="Arial"/>
              </w:rPr>
            </w:pPr>
            <w:r w:rsidRPr="005561DC">
              <w:rPr>
                <w:rFonts w:ascii="Arial" w:hAnsi="Arial" w:cs="Arial"/>
              </w:rPr>
              <w:t>NPIP</w:t>
            </w:r>
          </w:p>
        </w:tc>
        <w:tc>
          <w:tcPr>
            <w:tcW w:w="7491" w:type="dxa"/>
            <w:gridSpan w:val="2"/>
            <w:tcMar>
              <w:top w:w="57" w:type="dxa"/>
              <w:bottom w:w="57" w:type="dxa"/>
            </w:tcMar>
          </w:tcPr>
          <w:p w14:paraId="2A84F1E2" w14:textId="77777777" w:rsidR="008002CC" w:rsidRPr="005561DC" w:rsidRDefault="008002CC" w:rsidP="00113A8F">
            <w:pPr>
              <w:rPr>
                <w:rFonts w:ascii="Arial" w:hAnsi="Arial" w:cs="Arial"/>
              </w:rPr>
            </w:pPr>
            <w:r w:rsidRPr="005561DC">
              <w:rPr>
                <w:rFonts w:ascii="Arial" w:hAnsi="Arial" w:cs="Arial"/>
              </w:rPr>
              <w:t>N-nitrosopiperidine</w:t>
            </w:r>
          </w:p>
        </w:tc>
      </w:tr>
      <w:tr w:rsidR="008002CC" w:rsidRPr="005561DC" w14:paraId="7EE1CC02" w14:textId="77777777" w:rsidTr="00113A8F">
        <w:trPr>
          <w:gridAfter w:val="1"/>
          <w:wAfter w:w="108" w:type="dxa"/>
        </w:trPr>
        <w:tc>
          <w:tcPr>
            <w:tcW w:w="1535" w:type="dxa"/>
            <w:tcMar>
              <w:top w:w="57" w:type="dxa"/>
              <w:bottom w:w="57" w:type="dxa"/>
            </w:tcMar>
          </w:tcPr>
          <w:p w14:paraId="3D2F5670" w14:textId="77777777" w:rsidR="008002CC" w:rsidRPr="005561DC" w:rsidRDefault="008002CC" w:rsidP="00113A8F">
            <w:pPr>
              <w:rPr>
                <w:rFonts w:ascii="Arial" w:hAnsi="Arial" w:cs="Arial"/>
              </w:rPr>
            </w:pPr>
            <w:r w:rsidRPr="005561DC">
              <w:rPr>
                <w:rFonts w:ascii="Arial" w:hAnsi="Arial" w:cs="Arial"/>
              </w:rPr>
              <w:t>NPZ</w:t>
            </w:r>
          </w:p>
        </w:tc>
        <w:tc>
          <w:tcPr>
            <w:tcW w:w="7491" w:type="dxa"/>
            <w:tcMar>
              <w:top w:w="57" w:type="dxa"/>
              <w:bottom w:w="57" w:type="dxa"/>
            </w:tcMar>
          </w:tcPr>
          <w:p w14:paraId="5C13CE64" w14:textId="77777777" w:rsidR="008002CC" w:rsidRPr="005561DC" w:rsidRDefault="008002CC" w:rsidP="00113A8F">
            <w:pPr>
              <w:rPr>
                <w:rFonts w:ascii="Arial" w:hAnsi="Arial" w:cs="Arial"/>
              </w:rPr>
            </w:pPr>
            <w:r w:rsidRPr="005561DC">
              <w:rPr>
                <w:rFonts w:ascii="Arial" w:hAnsi="Arial" w:cs="Arial"/>
              </w:rPr>
              <w:t>N-mononitrosopiperazine</w:t>
            </w:r>
          </w:p>
        </w:tc>
      </w:tr>
      <w:tr w:rsidR="008002CC" w:rsidRPr="005561DC" w14:paraId="043C367E" w14:textId="77777777" w:rsidTr="00113A8F">
        <w:trPr>
          <w:gridAfter w:val="1"/>
          <w:wAfter w:w="108" w:type="dxa"/>
        </w:trPr>
        <w:tc>
          <w:tcPr>
            <w:tcW w:w="1535" w:type="dxa"/>
            <w:tcMar>
              <w:top w:w="57" w:type="dxa"/>
              <w:bottom w:w="57" w:type="dxa"/>
            </w:tcMar>
          </w:tcPr>
          <w:p w14:paraId="375C6855" w14:textId="77777777" w:rsidR="008002CC" w:rsidRPr="005561DC" w:rsidRDefault="008002CC" w:rsidP="00113A8F">
            <w:pPr>
              <w:rPr>
                <w:rFonts w:ascii="Arial" w:hAnsi="Arial" w:cs="Arial"/>
              </w:rPr>
            </w:pPr>
            <w:r w:rsidRPr="005561DC">
              <w:rPr>
                <w:rFonts w:ascii="Arial" w:hAnsi="Arial" w:cs="Arial"/>
              </w:rPr>
              <w:t>OECD</w:t>
            </w:r>
          </w:p>
        </w:tc>
        <w:tc>
          <w:tcPr>
            <w:tcW w:w="7491" w:type="dxa"/>
            <w:tcMar>
              <w:top w:w="57" w:type="dxa"/>
              <w:bottom w:w="57" w:type="dxa"/>
            </w:tcMar>
          </w:tcPr>
          <w:p w14:paraId="6F1B453D" w14:textId="77777777" w:rsidR="008002CC" w:rsidRPr="005561DC" w:rsidRDefault="008002CC" w:rsidP="00113A8F">
            <w:pPr>
              <w:rPr>
                <w:rFonts w:ascii="Arial" w:hAnsi="Arial" w:cs="Arial"/>
              </w:rPr>
            </w:pPr>
            <w:r w:rsidRPr="005561DC">
              <w:rPr>
                <w:rFonts w:ascii="Arial" w:hAnsi="Arial" w:cs="Arial"/>
              </w:rPr>
              <w:t>Organisation for Economic Co-operation and Development</w:t>
            </w:r>
          </w:p>
        </w:tc>
      </w:tr>
      <w:tr w:rsidR="008002CC" w:rsidRPr="005561DC" w14:paraId="5AB7753D" w14:textId="77777777" w:rsidTr="00113A8F">
        <w:trPr>
          <w:gridAfter w:val="1"/>
          <w:wAfter w:w="108" w:type="dxa"/>
        </w:trPr>
        <w:tc>
          <w:tcPr>
            <w:tcW w:w="1535" w:type="dxa"/>
            <w:tcMar>
              <w:top w:w="57" w:type="dxa"/>
              <w:bottom w:w="57" w:type="dxa"/>
            </w:tcMar>
          </w:tcPr>
          <w:p w14:paraId="150320AB" w14:textId="77777777" w:rsidR="008002CC" w:rsidRPr="005561DC" w:rsidRDefault="008002CC" w:rsidP="00113A8F">
            <w:pPr>
              <w:rPr>
                <w:rFonts w:ascii="Arial" w:hAnsi="Arial" w:cs="Arial"/>
              </w:rPr>
            </w:pPr>
            <w:r w:rsidRPr="005561DC">
              <w:rPr>
                <w:rFonts w:ascii="Arial" w:hAnsi="Arial" w:cs="Arial"/>
              </w:rPr>
              <w:t>OEL</w:t>
            </w:r>
          </w:p>
        </w:tc>
        <w:tc>
          <w:tcPr>
            <w:tcW w:w="7491" w:type="dxa"/>
            <w:tcMar>
              <w:top w:w="57" w:type="dxa"/>
              <w:bottom w:w="57" w:type="dxa"/>
            </w:tcMar>
          </w:tcPr>
          <w:p w14:paraId="34090FFF" w14:textId="77777777" w:rsidR="008002CC" w:rsidRPr="005561DC" w:rsidRDefault="008002CC" w:rsidP="00113A8F">
            <w:pPr>
              <w:rPr>
                <w:rFonts w:ascii="Arial" w:hAnsi="Arial" w:cs="Arial"/>
              </w:rPr>
            </w:pPr>
            <w:r w:rsidRPr="005561DC">
              <w:rPr>
                <w:rFonts w:ascii="Arial" w:hAnsi="Arial" w:cs="Arial"/>
              </w:rPr>
              <w:t>Occupational Exposure Level are broadly defined as a measurable concentration of a substance in air that represents a point of reference for the development of workplace strategies to protect workers from health risks associated with inhalation of chemical substances.</w:t>
            </w:r>
          </w:p>
        </w:tc>
      </w:tr>
      <w:tr w:rsidR="008002CC" w:rsidRPr="005561DC" w14:paraId="1D649676" w14:textId="77777777" w:rsidTr="00113A8F">
        <w:trPr>
          <w:gridAfter w:val="1"/>
          <w:wAfter w:w="108" w:type="dxa"/>
        </w:trPr>
        <w:tc>
          <w:tcPr>
            <w:tcW w:w="1535" w:type="dxa"/>
            <w:tcMar>
              <w:top w:w="57" w:type="dxa"/>
              <w:bottom w:w="57" w:type="dxa"/>
            </w:tcMar>
          </w:tcPr>
          <w:p w14:paraId="4B198990" w14:textId="77777777" w:rsidR="008002CC" w:rsidRPr="005561DC" w:rsidRDefault="008002CC" w:rsidP="00113A8F">
            <w:pPr>
              <w:rPr>
                <w:rFonts w:ascii="Arial" w:hAnsi="Arial" w:cs="Arial"/>
              </w:rPr>
            </w:pPr>
            <w:r w:rsidRPr="005561DC">
              <w:rPr>
                <w:rFonts w:ascii="Arial" w:hAnsi="Arial" w:cs="Arial"/>
              </w:rPr>
              <w:t>POD</w:t>
            </w:r>
          </w:p>
        </w:tc>
        <w:tc>
          <w:tcPr>
            <w:tcW w:w="7491" w:type="dxa"/>
            <w:tcMar>
              <w:top w:w="57" w:type="dxa"/>
              <w:bottom w:w="57" w:type="dxa"/>
            </w:tcMar>
          </w:tcPr>
          <w:p w14:paraId="2DBF4270" w14:textId="77777777" w:rsidR="008002CC" w:rsidRPr="005561DC" w:rsidRDefault="008002CC" w:rsidP="00113A8F">
            <w:pPr>
              <w:rPr>
                <w:rFonts w:ascii="Arial" w:hAnsi="Arial" w:cs="Arial"/>
              </w:rPr>
            </w:pPr>
            <w:r w:rsidRPr="005561DC">
              <w:rPr>
                <w:rFonts w:ascii="Arial" w:hAnsi="Arial" w:cs="Arial"/>
              </w:rPr>
              <w:t>Point of Departure</w:t>
            </w:r>
          </w:p>
        </w:tc>
      </w:tr>
      <w:tr w:rsidR="008002CC" w:rsidRPr="005561DC" w14:paraId="4F8D61D0" w14:textId="77777777" w:rsidTr="00113A8F">
        <w:trPr>
          <w:gridAfter w:val="1"/>
          <w:wAfter w:w="108" w:type="dxa"/>
        </w:trPr>
        <w:tc>
          <w:tcPr>
            <w:tcW w:w="1535" w:type="dxa"/>
            <w:tcMar>
              <w:top w:w="57" w:type="dxa"/>
              <w:bottom w:w="57" w:type="dxa"/>
            </w:tcMar>
          </w:tcPr>
          <w:p w14:paraId="36ECE331" w14:textId="77777777" w:rsidR="008002CC" w:rsidRPr="005561DC" w:rsidRDefault="008002CC" w:rsidP="00113A8F">
            <w:pPr>
              <w:rPr>
                <w:rFonts w:ascii="Arial" w:hAnsi="Arial" w:cs="Arial"/>
              </w:rPr>
            </w:pPr>
            <w:r w:rsidRPr="005561DC">
              <w:rPr>
                <w:rFonts w:ascii="Arial" w:hAnsi="Arial" w:cs="Arial"/>
              </w:rPr>
              <w:t>ppm</w:t>
            </w:r>
          </w:p>
        </w:tc>
        <w:tc>
          <w:tcPr>
            <w:tcW w:w="7491" w:type="dxa"/>
            <w:tcMar>
              <w:top w:w="57" w:type="dxa"/>
              <w:bottom w:w="57" w:type="dxa"/>
            </w:tcMar>
          </w:tcPr>
          <w:p w14:paraId="38D49CBA" w14:textId="77777777" w:rsidR="008002CC" w:rsidRPr="005561DC" w:rsidRDefault="008002CC" w:rsidP="00113A8F">
            <w:pPr>
              <w:rPr>
                <w:rFonts w:ascii="Arial" w:hAnsi="Arial" w:cs="Arial"/>
              </w:rPr>
            </w:pPr>
            <w:r w:rsidRPr="005561DC">
              <w:rPr>
                <w:rFonts w:ascii="Arial" w:hAnsi="Arial" w:cs="Arial"/>
              </w:rPr>
              <w:t>Parts Per Million</w:t>
            </w:r>
          </w:p>
        </w:tc>
      </w:tr>
      <w:tr w:rsidR="008002CC" w:rsidRPr="005561DC" w14:paraId="3E6634FE" w14:textId="77777777" w:rsidTr="00113A8F">
        <w:trPr>
          <w:gridAfter w:val="1"/>
          <w:wAfter w:w="108" w:type="dxa"/>
        </w:trPr>
        <w:tc>
          <w:tcPr>
            <w:tcW w:w="1535" w:type="dxa"/>
            <w:tcMar>
              <w:top w:w="57" w:type="dxa"/>
              <w:bottom w:w="57" w:type="dxa"/>
            </w:tcMar>
          </w:tcPr>
          <w:p w14:paraId="7DEE4505" w14:textId="77777777" w:rsidR="008002CC" w:rsidRPr="005561DC" w:rsidRDefault="008002CC" w:rsidP="00113A8F">
            <w:pPr>
              <w:rPr>
                <w:rFonts w:ascii="Arial" w:hAnsi="Arial" w:cs="Arial"/>
              </w:rPr>
            </w:pPr>
            <w:r w:rsidRPr="005561DC">
              <w:rPr>
                <w:rFonts w:ascii="Arial" w:hAnsi="Arial" w:cs="Arial"/>
              </w:rPr>
              <w:t>EU REACH</w:t>
            </w:r>
          </w:p>
        </w:tc>
        <w:tc>
          <w:tcPr>
            <w:tcW w:w="7491" w:type="dxa"/>
            <w:tcMar>
              <w:top w:w="57" w:type="dxa"/>
              <w:bottom w:w="57" w:type="dxa"/>
            </w:tcMar>
          </w:tcPr>
          <w:p w14:paraId="38DAD690" w14:textId="77777777" w:rsidR="008002CC" w:rsidRPr="005561DC" w:rsidRDefault="008002CC" w:rsidP="00113A8F">
            <w:pPr>
              <w:rPr>
                <w:rFonts w:ascii="Arial" w:hAnsi="Arial" w:cs="Arial"/>
              </w:rPr>
            </w:pPr>
            <w:r w:rsidRPr="005561DC">
              <w:rPr>
                <w:rFonts w:ascii="Arial" w:hAnsi="Arial" w:cs="Arial"/>
              </w:rPr>
              <w:t>Registration, Evaluation, Authorisation and Restriction of Chemicals</w:t>
            </w:r>
          </w:p>
        </w:tc>
      </w:tr>
      <w:tr w:rsidR="008002CC" w:rsidRPr="005561DC" w14:paraId="1DFC885E" w14:textId="77777777" w:rsidTr="00113A8F">
        <w:trPr>
          <w:gridAfter w:val="1"/>
          <w:wAfter w:w="108" w:type="dxa"/>
        </w:trPr>
        <w:tc>
          <w:tcPr>
            <w:tcW w:w="1535" w:type="dxa"/>
            <w:tcMar>
              <w:top w:w="57" w:type="dxa"/>
              <w:bottom w:w="57" w:type="dxa"/>
            </w:tcMar>
          </w:tcPr>
          <w:p w14:paraId="720BD694" w14:textId="77777777" w:rsidR="008002CC" w:rsidRPr="005561DC" w:rsidRDefault="008002CC" w:rsidP="00113A8F">
            <w:pPr>
              <w:rPr>
                <w:rFonts w:ascii="Arial" w:hAnsi="Arial" w:cs="Arial"/>
              </w:rPr>
            </w:pPr>
            <w:r w:rsidRPr="005561DC">
              <w:rPr>
                <w:rFonts w:ascii="Arial" w:hAnsi="Arial" w:cs="Arial"/>
              </w:rPr>
              <w:t>SCCS</w:t>
            </w:r>
          </w:p>
        </w:tc>
        <w:tc>
          <w:tcPr>
            <w:tcW w:w="7491" w:type="dxa"/>
            <w:tcMar>
              <w:top w:w="57" w:type="dxa"/>
              <w:bottom w:w="57" w:type="dxa"/>
            </w:tcMar>
          </w:tcPr>
          <w:p w14:paraId="4B33D198" w14:textId="77777777" w:rsidR="008002CC" w:rsidRPr="005561DC" w:rsidRDefault="008002CC" w:rsidP="00113A8F">
            <w:pPr>
              <w:rPr>
                <w:rFonts w:ascii="Arial" w:hAnsi="Arial" w:cs="Arial"/>
              </w:rPr>
            </w:pPr>
            <w:r w:rsidRPr="005561DC">
              <w:rPr>
                <w:rFonts w:ascii="Arial" w:hAnsi="Arial" w:cs="Arial"/>
              </w:rPr>
              <w:t>Scientific Committee on Consumer Safety – European Commission</w:t>
            </w:r>
          </w:p>
        </w:tc>
      </w:tr>
      <w:tr w:rsidR="008002CC" w:rsidRPr="005561DC" w14:paraId="0ACCEA90" w14:textId="77777777" w:rsidTr="00113A8F">
        <w:tc>
          <w:tcPr>
            <w:tcW w:w="1535" w:type="dxa"/>
            <w:tcMar>
              <w:top w:w="57" w:type="dxa"/>
              <w:bottom w:w="57" w:type="dxa"/>
            </w:tcMar>
          </w:tcPr>
          <w:p w14:paraId="7C0830F2" w14:textId="77777777" w:rsidR="008002CC" w:rsidRPr="005561DC" w:rsidRDefault="008002CC" w:rsidP="00113A8F">
            <w:pPr>
              <w:rPr>
                <w:rFonts w:ascii="Arial" w:hAnsi="Arial" w:cs="Arial"/>
              </w:rPr>
            </w:pPr>
            <w:r w:rsidRPr="005561DC">
              <w:rPr>
                <w:rFonts w:ascii="Arial" w:hAnsi="Arial" w:cs="Arial"/>
              </w:rPr>
              <w:t>SECO</w:t>
            </w:r>
          </w:p>
        </w:tc>
        <w:tc>
          <w:tcPr>
            <w:tcW w:w="7491" w:type="dxa"/>
            <w:gridSpan w:val="2"/>
            <w:tcMar>
              <w:top w:w="57" w:type="dxa"/>
              <w:bottom w:w="57" w:type="dxa"/>
            </w:tcMar>
          </w:tcPr>
          <w:p w14:paraId="614AB9F6" w14:textId="77777777" w:rsidR="008002CC" w:rsidRPr="005561DC" w:rsidRDefault="008002CC" w:rsidP="00113A8F">
            <w:pPr>
              <w:rPr>
                <w:rFonts w:ascii="Arial" w:hAnsi="Arial" w:cs="Arial"/>
              </w:rPr>
            </w:pPr>
            <w:r w:rsidRPr="005561DC">
              <w:rPr>
                <w:rFonts w:ascii="Arial" w:hAnsi="Arial" w:cs="Arial"/>
              </w:rPr>
              <w:t>Simple European Calculator</w:t>
            </w:r>
          </w:p>
        </w:tc>
      </w:tr>
      <w:tr w:rsidR="008002CC" w:rsidRPr="005561DC" w14:paraId="07D75C41" w14:textId="77777777" w:rsidTr="00113A8F">
        <w:tc>
          <w:tcPr>
            <w:tcW w:w="1535" w:type="dxa"/>
            <w:tcMar>
              <w:top w:w="57" w:type="dxa"/>
              <w:bottom w:w="57" w:type="dxa"/>
            </w:tcMar>
          </w:tcPr>
          <w:p w14:paraId="724F41C5" w14:textId="77777777" w:rsidR="008002CC" w:rsidRPr="005561DC" w:rsidRDefault="008002CC" w:rsidP="00113A8F">
            <w:pPr>
              <w:rPr>
                <w:rFonts w:ascii="Arial" w:hAnsi="Arial" w:cs="Arial"/>
              </w:rPr>
            </w:pPr>
            <w:r w:rsidRPr="005561DC">
              <w:rPr>
                <w:rFonts w:ascii="Arial" w:hAnsi="Arial" w:cs="Arial"/>
              </w:rPr>
              <w:t>sRV</w:t>
            </w:r>
          </w:p>
        </w:tc>
        <w:tc>
          <w:tcPr>
            <w:tcW w:w="7491" w:type="dxa"/>
            <w:gridSpan w:val="2"/>
            <w:tcMar>
              <w:top w:w="57" w:type="dxa"/>
              <w:bottom w:w="57" w:type="dxa"/>
            </w:tcMar>
          </w:tcPr>
          <w:p w14:paraId="659B09E4" w14:textId="77777777" w:rsidR="008002CC" w:rsidRPr="005561DC" w:rsidRDefault="008002CC" w:rsidP="00113A8F">
            <w:pPr>
              <w:rPr>
                <w:rFonts w:ascii="Arial" w:hAnsi="Arial" w:cs="Arial"/>
              </w:rPr>
            </w:pPr>
            <w:r w:rsidRPr="005561DC">
              <w:rPr>
                <w:rFonts w:ascii="Arial" w:hAnsi="Arial" w:cs="Arial"/>
              </w:rPr>
              <w:t>Standard respiratory volume</w:t>
            </w:r>
          </w:p>
        </w:tc>
      </w:tr>
      <w:tr w:rsidR="008002CC" w:rsidRPr="005561DC" w14:paraId="1CCDF64E" w14:textId="77777777" w:rsidTr="00113A8F">
        <w:tc>
          <w:tcPr>
            <w:tcW w:w="1535" w:type="dxa"/>
            <w:tcMar>
              <w:top w:w="57" w:type="dxa"/>
              <w:bottom w:w="57" w:type="dxa"/>
            </w:tcMar>
          </w:tcPr>
          <w:p w14:paraId="6BFAD6B8" w14:textId="77777777" w:rsidR="008002CC" w:rsidRPr="005561DC" w:rsidRDefault="008002CC" w:rsidP="00113A8F">
            <w:pPr>
              <w:rPr>
                <w:rFonts w:ascii="Arial" w:hAnsi="Arial" w:cs="Arial"/>
              </w:rPr>
            </w:pPr>
            <w:r w:rsidRPr="005561DC">
              <w:rPr>
                <w:rFonts w:ascii="Arial" w:hAnsi="Arial" w:cs="Arial"/>
              </w:rPr>
              <w:t xml:space="preserve"> TD</w:t>
            </w:r>
            <w:r w:rsidRPr="005561DC">
              <w:rPr>
                <w:rFonts w:ascii="Arial" w:hAnsi="Arial" w:cs="Arial"/>
                <w:vertAlign w:val="subscript"/>
              </w:rPr>
              <w:t>50</w:t>
            </w:r>
          </w:p>
        </w:tc>
        <w:tc>
          <w:tcPr>
            <w:tcW w:w="7491" w:type="dxa"/>
            <w:gridSpan w:val="2"/>
            <w:tcMar>
              <w:top w:w="57" w:type="dxa"/>
              <w:bottom w:w="57" w:type="dxa"/>
            </w:tcMar>
          </w:tcPr>
          <w:p w14:paraId="110C3806" w14:textId="77777777" w:rsidR="008002CC" w:rsidRPr="005561DC" w:rsidRDefault="008002CC" w:rsidP="00113A8F">
            <w:pPr>
              <w:rPr>
                <w:rFonts w:ascii="Arial" w:hAnsi="Arial" w:cs="Arial"/>
              </w:rPr>
            </w:pPr>
            <w:r w:rsidRPr="005561DC">
              <w:rPr>
                <w:rFonts w:ascii="Arial" w:hAnsi="Arial" w:cs="Arial"/>
              </w:rPr>
              <w:t>Dose resulting in a 50% tumour incidence over background</w:t>
            </w:r>
          </w:p>
        </w:tc>
      </w:tr>
      <w:tr w:rsidR="008002CC" w:rsidRPr="005561DC" w14:paraId="24F1A074" w14:textId="77777777" w:rsidTr="00113A8F">
        <w:trPr>
          <w:gridAfter w:val="1"/>
          <w:wAfter w:w="108" w:type="dxa"/>
        </w:trPr>
        <w:tc>
          <w:tcPr>
            <w:tcW w:w="1535" w:type="dxa"/>
            <w:tcMar>
              <w:top w:w="57" w:type="dxa"/>
              <w:bottom w:w="57" w:type="dxa"/>
            </w:tcMar>
          </w:tcPr>
          <w:p w14:paraId="246EC3B0" w14:textId="77777777" w:rsidR="008002CC" w:rsidRPr="005561DC" w:rsidRDefault="008002CC" w:rsidP="00113A8F">
            <w:pPr>
              <w:rPr>
                <w:rFonts w:ascii="Arial" w:hAnsi="Arial" w:cs="Arial"/>
              </w:rPr>
            </w:pPr>
            <w:r w:rsidRPr="005561DC">
              <w:rPr>
                <w:rFonts w:ascii="Arial" w:hAnsi="Arial" w:cs="Arial"/>
              </w:rPr>
              <w:t>WEL</w:t>
            </w:r>
          </w:p>
        </w:tc>
        <w:tc>
          <w:tcPr>
            <w:tcW w:w="7491" w:type="dxa"/>
            <w:tcMar>
              <w:top w:w="57" w:type="dxa"/>
              <w:bottom w:w="57" w:type="dxa"/>
            </w:tcMar>
          </w:tcPr>
          <w:p w14:paraId="4855F700" w14:textId="77777777" w:rsidR="008002CC" w:rsidRPr="005561DC" w:rsidRDefault="008002CC" w:rsidP="00113A8F">
            <w:pPr>
              <w:rPr>
                <w:rFonts w:ascii="Arial" w:hAnsi="Arial" w:cs="Arial"/>
              </w:rPr>
            </w:pPr>
            <w:r w:rsidRPr="005561DC">
              <w:rPr>
                <w:rFonts w:ascii="Arial" w:hAnsi="Arial" w:cs="Arial"/>
              </w:rPr>
              <w:t>Workplace exposure limit</w:t>
            </w:r>
          </w:p>
        </w:tc>
      </w:tr>
    </w:tbl>
    <w:p w14:paraId="64A559BB" w14:textId="77777777" w:rsidR="008002CC" w:rsidRPr="005561DC" w:rsidRDefault="008002CC" w:rsidP="008002CC">
      <w:pPr>
        <w:rPr>
          <w:rFonts w:ascii="Arial" w:hAnsi="Arial" w:cs="Arial"/>
        </w:rPr>
      </w:pPr>
    </w:p>
    <w:p w14:paraId="367041BC" w14:textId="77777777" w:rsidR="008002CC" w:rsidRPr="005561DC" w:rsidRDefault="008002CC" w:rsidP="008002CC">
      <w:pPr>
        <w:pStyle w:val="Heading3"/>
        <w:rPr>
          <w:rFonts w:ascii="Arial" w:hAnsi="Arial" w:cs="Arial"/>
        </w:rPr>
      </w:pPr>
      <w:r w:rsidRPr="005561DC">
        <w:rPr>
          <w:rFonts w:ascii="Arial" w:hAnsi="Arial" w:cs="Arial"/>
        </w:rPr>
        <w:t>References</w:t>
      </w:r>
    </w:p>
    <w:p w14:paraId="0B96AB3B" w14:textId="77777777" w:rsidR="008002CC" w:rsidRPr="005561DC" w:rsidRDefault="008002CC" w:rsidP="008002CC">
      <w:pPr>
        <w:jc w:val="both"/>
        <w:rPr>
          <w:rStyle w:val="Hyperlink"/>
          <w:rFonts w:ascii="Arial" w:hAnsi="Arial" w:cs="Arial"/>
        </w:rPr>
      </w:pPr>
      <w:hyperlink r:id="rId44" w:history="1">
        <w:r w:rsidRPr="005561DC">
          <w:rPr>
            <w:rStyle w:val="Hyperlink"/>
            <w:rFonts w:ascii="Arial" w:hAnsi="Arial" w:cs="Arial"/>
          </w:rPr>
          <w:t>AICIS, 2019.  Piperazine: Human health tier II assessment. CAS Number 110-85-0.</w:t>
        </w:r>
      </w:hyperlink>
    </w:p>
    <w:p w14:paraId="2E33B96C" w14:textId="77777777" w:rsidR="008002CC" w:rsidRPr="005561DC" w:rsidRDefault="008002CC" w:rsidP="008002CC">
      <w:pPr>
        <w:jc w:val="both"/>
        <w:rPr>
          <w:rFonts w:ascii="Arial" w:hAnsi="Arial" w:cs="Arial"/>
        </w:rPr>
      </w:pPr>
      <w:r w:rsidRPr="005561DC">
        <w:rPr>
          <w:rFonts w:ascii="Arial" w:hAnsi="Arial" w:cs="Arial"/>
        </w:rPr>
        <w:t>BELLANDER T., OSTERDAHL B., HAGMAR L., SKERFVING S., 1988a.  Excretion of N-mononitrosopiperazine in urine in workers manufacturing piperazine. INTERNATIONAL ARCHIVES OF OCCUPATIONAL AND ENVIRONMENTAL HEALTH, 60, 25 – 29.</w:t>
      </w:r>
    </w:p>
    <w:p w14:paraId="115D268D" w14:textId="77777777" w:rsidR="008002CC" w:rsidRPr="005561DC" w:rsidRDefault="008002CC" w:rsidP="008002CC">
      <w:pPr>
        <w:jc w:val="both"/>
        <w:rPr>
          <w:rFonts w:ascii="Arial" w:hAnsi="Arial" w:cs="Arial"/>
        </w:rPr>
      </w:pPr>
      <w:r w:rsidRPr="005561DC">
        <w:rPr>
          <w:rFonts w:ascii="Arial" w:hAnsi="Arial" w:cs="Arial"/>
        </w:rPr>
        <w:t>BELLANDER T., OSTERDAHL B., HAGMAR L., 1988b.  Excretion of N-mononitrosopiperazine after low level exposure to piperazine in air: Effects of dietary nitrate and ascorbate.  TOXICOLOGY AND APPLIED PHARMACOLOGY 93, 281 – 287.</w:t>
      </w:r>
    </w:p>
    <w:p w14:paraId="3D9C992F" w14:textId="77777777" w:rsidR="008002CC" w:rsidRPr="005561DC" w:rsidRDefault="008002CC" w:rsidP="008002CC">
      <w:pPr>
        <w:jc w:val="both"/>
        <w:rPr>
          <w:rFonts w:ascii="Arial" w:hAnsi="Arial" w:cs="Arial"/>
        </w:rPr>
      </w:pPr>
      <w:r w:rsidRPr="005561DC">
        <w:rPr>
          <w:rFonts w:ascii="Arial" w:hAnsi="Arial" w:cs="Arial"/>
        </w:rPr>
        <w:t xml:space="preserve">BERCU J.P., MASUDA-HERRERA M., TREJO-MARTIN A., SURA P., JOLLY R., KENYON M., THOMAS R., PONTING D.J., SNODIN D., TUSCHL G., SIMON S., DE VLIEGER K., HUTCHINSON R., CZICH A., GLOWIENKE S., REDDY M.V., JOHANSSEN S., VOCK E., CLAUDE N., WEAVER R.J., 2023. Acceptable intakes (Ais) for 11 small molecule N-nitrosamines (NAs).  REGULATORY TOXICOLOGY AND PHARMACOLOGY, 142, art. no. 105415. </w:t>
      </w:r>
    </w:p>
    <w:p w14:paraId="3BAD6F20" w14:textId="77777777" w:rsidR="008002CC" w:rsidRPr="005561DC" w:rsidRDefault="008002CC" w:rsidP="008002CC">
      <w:pPr>
        <w:rPr>
          <w:rFonts w:ascii="Arial" w:hAnsi="Arial" w:cs="Arial"/>
        </w:rPr>
      </w:pPr>
      <w:hyperlink r:id="rId45" w:history="1">
        <w:r w:rsidRPr="005561DC">
          <w:rPr>
            <w:rStyle w:val="Hyperlink"/>
            <w:rFonts w:ascii="Arial" w:hAnsi="Arial" w:cs="Arial"/>
          </w:rPr>
          <w:t>EA. 2012.  Derivation of new Environmental Assessment Levels (EALs) to air.  Consultation.   Bristol: Environment Agency.</w:t>
        </w:r>
      </w:hyperlink>
    </w:p>
    <w:p w14:paraId="078CEA4E" w14:textId="77777777" w:rsidR="008002CC" w:rsidRPr="005561DC" w:rsidRDefault="008002CC" w:rsidP="008002CC">
      <w:pPr>
        <w:jc w:val="both"/>
        <w:rPr>
          <w:rFonts w:ascii="Arial" w:hAnsi="Arial" w:cs="Arial"/>
        </w:rPr>
      </w:pPr>
      <w:hyperlink r:id="rId46" w:history="1">
        <w:r w:rsidRPr="005561DC">
          <w:rPr>
            <w:rStyle w:val="Hyperlink"/>
            <w:rFonts w:ascii="Arial" w:hAnsi="Arial" w:cs="Arial"/>
          </w:rPr>
          <w:t>ECB, 2005. European Union Risk Assessment Report. Piperazine. CAS No. 110-85-0.</w:t>
        </w:r>
      </w:hyperlink>
      <w:r w:rsidRPr="005561DC">
        <w:rPr>
          <w:rFonts w:ascii="Arial" w:hAnsi="Arial" w:cs="Arial"/>
        </w:rPr>
        <w:t xml:space="preserve"> </w:t>
      </w:r>
    </w:p>
    <w:p w14:paraId="44057758" w14:textId="77777777" w:rsidR="008002CC" w:rsidRPr="005561DC" w:rsidRDefault="008002CC" w:rsidP="008002CC">
      <w:pPr>
        <w:jc w:val="both"/>
        <w:rPr>
          <w:rStyle w:val="Hyperlink"/>
          <w:rFonts w:ascii="Arial" w:hAnsi="Arial" w:cs="Arial"/>
        </w:rPr>
      </w:pPr>
      <w:hyperlink r:id="rId47" w:history="1">
        <w:r w:rsidRPr="005561DC">
          <w:rPr>
            <w:rStyle w:val="Hyperlink"/>
            <w:rFonts w:ascii="Arial" w:hAnsi="Arial" w:cs="Arial"/>
          </w:rPr>
          <w:t>ECHA, 2023. Piperazine. CAS No. 110-85-0. EC No. 203-808-3.</w:t>
        </w:r>
      </w:hyperlink>
      <w:r w:rsidRPr="005561DC">
        <w:rPr>
          <w:rStyle w:val="Hyperlink"/>
          <w:rFonts w:ascii="Arial" w:hAnsi="Arial" w:cs="Arial"/>
        </w:rPr>
        <w:t xml:space="preserve"> [Accessed March 2023]</w:t>
      </w:r>
    </w:p>
    <w:p w14:paraId="20C04FF9" w14:textId="77777777" w:rsidR="008002CC" w:rsidRPr="005561DC" w:rsidRDefault="008002CC" w:rsidP="008002CC">
      <w:pPr>
        <w:jc w:val="both"/>
        <w:rPr>
          <w:rStyle w:val="Hyperlink"/>
          <w:rFonts w:ascii="Arial" w:hAnsi="Arial" w:cs="Arial"/>
        </w:rPr>
      </w:pPr>
      <w:hyperlink r:id="rId48" w:history="1">
        <w:r w:rsidRPr="005561DC">
          <w:rPr>
            <w:rStyle w:val="Hyperlink"/>
            <w:rFonts w:ascii="Arial" w:hAnsi="Arial" w:cs="Arial"/>
          </w:rPr>
          <w:t>ECHA, 2012. Guidance on information requirements and chemical safety assessment Chapter R.8: Characterisation of dose [concentration]-response for human health. Version 2.1. November 2012.</w:t>
        </w:r>
      </w:hyperlink>
    </w:p>
    <w:p w14:paraId="0CC8D79B" w14:textId="77777777" w:rsidR="008002CC" w:rsidRPr="005561DC" w:rsidRDefault="008002CC" w:rsidP="008002CC">
      <w:pPr>
        <w:jc w:val="both"/>
        <w:rPr>
          <w:rFonts w:ascii="Arial" w:hAnsi="Arial" w:cs="Arial"/>
        </w:rPr>
      </w:pPr>
      <w:hyperlink r:id="rId49" w:history="1">
        <w:r w:rsidRPr="005561DC">
          <w:rPr>
            <w:rStyle w:val="Hyperlink"/>
            <w:rFonts w:ascii="Arial" w:hAnsi="Arial" w:cs="Arial"/>
          </w:rPr>
          <w:t>EFSA, 2017a. Scientific Opinion on the Re-evaluation of potassium nitrite (E 249) and sodium nitrite (E 250) as food additives.  EFSA Journal.</w:t>
        </w:r>
      </w:hyperlink>
    </w:p>
    <w:p w14:paraId="1004081D" w14:textId="77777777" w:rsidR="008002CC" w:rsidRPr="005561DC" w:rsidRDefault="008002CC" w:rsidP="008002CC">
      <w:pPr>
        <w:jc w:val="both"/>
        <w:rPr>
          <w:rFonts w:ascii="Arial" w:hAnsi="Arial" w:cs="Arial"/>
        </w:rPr>
      </w:pPr>
      <w:r w:rsidRPr="005561DC">
        <w:rPr>
          <w:rFonts w:ascii="Arial" w:hAnsi="Arial" w:cs="Arial"/>
        </w:rPr>
        <w:t>EFSA, 2017b. Scientific Opinion on  the Re-evaluation of sodium nitrate (E 251) and potassium nitrate (E 252) as food additives. EFSA Journal.  European Food Safety Authority.</w:t>
      </w:r>
    </w:p>
    <w:p w14:paraId="05B7F9DC" w14:textId="77777777" w:rsidR="008002CC" w:rsidRPr="005561DC" w:rsidRDefault="008002CC" w:rsidP="008002CC">
      <w:pPr>
        <w:jc w:val="both"/>
        <w:rPr>
          <w:rFonts w:ascii="Arial" w:hAnsi="Arial" w:cs="Arial"/>
        </w:rPr>
      </w:pPr>
      <w:hyperlink r:id="rId50" w:history="1">
        <w:r w:rsidRPr="005561DC">
          <w:rPr>
            <w:rStyle w:val="Hyperlink"/>
            <w:rFonts w:ascii="Arial" w:hAnsi="Arial" w:cs="Arial"/>
          </w:rPr>
          <w:t>EME, 2001. Committee for veterinary medicinal products. Piperazine. Summary Report (2). EMEA/MRL/771/00-FINAL. January 2001.</w:t>
        </w:r>
      </w:hyperlink>
    </w:p>
    <w:p w14:paraId="7DF91EAC" w14:textId="77777777" w:rsidR="008002CC" w:rsidRPr="005561DC" w:rsidRDefault="008002CC" w:rsidP="008002CC">
      <w:pPr>
        <w:jc w:val="both"/>
        <w:rPr>
          <w:rFonts w:ascii="Arial" w:hAnsi="Arial" w:cs="Arial"/>
        </w:rPr>
      </w:pPr>
      <w:hyperlink r:id="rId51" w:history="1">
        <w:r w:rsidRPr="005561DC">
          <w:rPr>
            <w:rStyle w:val="Hyperlink"/>
            <w:rFonts w:ascii="Arial" w:hAnsi="Arial" w:cs="Arial"/>
          </w:rPr>
          <w:t>HSE, 2020. EH40/2005 Workplace exposure limits (Fourth Edition).</w:t>
        </w:r>
      </w:hyperlink>
      <w:r w:rsidRPr="005561DC">
        <w:rPr>
          <w:rFonts w:ascii="Arial" w:hAnsi="Arial" w:cs="Arial"/>
        </w:rPr>
        <w:t xml:space="preserve"> </w:t>
      </w:r>
    </w:p>
    <w:p w14:paraId="591A9DB3" w14:textId="77777777" w:rsidR="008002CC" w:rsidRPr="005561DC" w:rsidRDefault="008002CC" w:rsidP="008002CC">
      <w:pPr>
        <w:jc w:val="both"/>
        <w:rPr>
          <w:rFonts w:ascii="Arial" w:hAnsi="Arial" w:cs="Arial"/>
        </w:rPr>
      </w:pPr>
      <w:hyperlink r:id="rId52" w:history="1">
        <w:r w:rsidRPr="005561DC">
          <w:rPr>
            <w:rStyle w:val="Hyperlink"/>
            <w:rFonts w:ascii="Arial" w:hAnsi="Arial" w:cs="Arial"/>
          </w:rPr>
          <w:t>IGHRC, 2006. Guidelines on route-to-route extrapolation of toxicity data when assessing health risks of chemicals.</w:t>
        </w:r>
      </w:hyperlink>
      <w:r w:rsidRPr="005561DC">
        <w:rPr>
          <w:rFonts w:ascii="Arial" w:hAnsi="Arial" w:cs="Arial"/>
        </w:rPr>
        <w:t xml:space="preserve"> </w:t>
      </w:r>
    </w:p>
    <w:p w14:paraId="6D20C78C" w14:textId="77777777" w:rsidR="008002CC" w:rsidRPr="005561DC" w:rsidRDefault="008002CC" w:rsidP="008002CC">
      <w:pPr>
        <w:jc w:val="both"/>
        <w:rPr>
          <w:rFonts w:ascii="Arial" w:hAnsi="Arial" w:cs="Arial"/>
        </w:rPr>
      </w:pPr>
      <w:hyperlink r:id="rId53" w:history="1">
        <w:r w:rsidRPr="005561DC">
          <w:rPr>
            <w:rStyle w:val="Hyperlink"/>
            <w:rFonts w:ascii="Arial" w:hAnsi="Arial" w:cs="Arial"/>
          </w:rPr>
          <w:t>KHALILI F., HENNI A., EAST A.L.L., 2009. pKa Values of Some Piperazines at (298, 303, 313, and 323) K. JOURNAL OF CHEMICAL ENGINEERING DATA, 54, 2914-2017.</w:t>
        </w:r>
      </w:hyperlink>
    </w:p>
    <w:p w14:paraId="1D9438CD" w14:textId="77777777" w:rsidR="008002CC" w:rsidRPr="005561DC" w:rsidRDefault="008002CC" w:rsidP="008002CC">
      <w:pPr>
        <w:jc w:val="both"/>
        <w:rPr>
          <w:rFonts w:ascii="Arial" w:hAnsi="Arial" w:cs="Arial"/>
        </w:rPr>
      </w:pPr>
      <w:hyperlink r:id="rId54" w:history="1">
        <w:r w:rsidRPr="005561DC">
          <w:rPr>
            <w:rStyle w:val="Hyperlink"/>
            <w:rFonts w:ascii="Arial" w:hAnsi="Arial" w:cs="Arial"/>
          </w:rPr>
          <w:t xml:space="preserve">LAG, M., LINDEMAN, B., </w:t>
        </w:r>
        <w:bookmarkStart w:id="9" w:name="_Hlk140071654"/>
        <w:r w:rsidRPr="005561DC">
          <w:rPr>
            <w:rStyle w:val="Hyperlink"/>
            <w:rFonts w:ascii="Arial" w:hAnsi="Arial" w:cs="Arial"/>
          </w:rPr>
          <w:t>INSTANES, C.,</w:t>
        </w:r>
        <w:bookmarkEnd w:id="9"/>
        <w:r w:rsidRPr="005561DC">
          <w:rPr>
            <w:rStyle w:val="Hyperlink"/>
            <w:rFonts w:ascii="Arial" w:hAnsi="Arial" w:cs="Arial"/>
          </w:rPr>
          <w:t xml:space="preserve"> BRUNBORN, G., SCHWARZE, P., 2011. Health Effects of Amines and Derivatives Associated with CO</w:t>
        </w:r>
        <w:r w:rsidRPr="005561DC">
          <w:rPr>
            <w:rStyle w:val="Hyperlink"/>
            <w:rFonts w:ascii="Arial" w:hAnsi="Arial" w:cs="Arial"/>
            <w:vertAlign w:val="subscript"/>
          </w:rPr>
          <w:t>2</w:t>
        </w:r>
        <w:r w:rsidRPr="005561DC">
          <w:rPr>
            <w:rStyle w:val="Hyperlink"/>
            <w:rFonts w:ascii="Arial" w:hAnsi="Arial" w:cs="Arial"/>
          </w:rPr>
          <w:t xml:space="preserve"> Capture: Nitrosamines and Nitramines. Norwegian Institute of Public Health: Oslo.</w:t>
        </w:r>
      </w:hyperlink>
    </w:p>
    <w:p w14:paraId="5A53DC86" w14:textId="77777777" w:rsidR="008002CC" w:rsidRPr="005561DC" w:rsidRDefault="008002CC" w:rsidP="008002CC">
      <w:pPr>
        <w:rPr>
          <w:rFonts w:ascii="Arial" w:hAnsi="Arial" w:cs="Arial"/>
        </w:rPr>
      </w:pPr>
      <w:hyperlink r:id="rId55" w:history="1">
        <w:r w:rsidRPr="005561DC">
          <w:rPr>
            <w:rStyle w:val="Hyperlink"/>
            <w:rFonts w:ascii="Arial" w:hAnsi="Arial" w:cs="Arial"/>
          </w:rPr>
          <w:t>LAG, M., INSTANES, C., LINDEMAN, B., ANDREASSEN, A., 2009. Health effects of possible degradation products of different amines relevant for the CO2 capture. Norwegian Institute of Public Health: Oslo.</w:t>
        </w:r>
      </w:hyperlink>
    </w:p>
    <w:p w14:paraId="5E3FE887" w14:textId="77777777" w:rsidR="008002CC" w:rsidRPr="005561DC" w:rsidRDefault="008002CC" w:rsidP="008002CC">
      <w:pPr>
        <w:rPr>
          <w:rFonts w:ascii="Arial" w:hAnsi="Arial" w:cs="Arial"/>
          <w:kern w:val="2"/>
        </w:rPr>
      </w:pPr>
      <w:hyperlink r:id="rId56" w:history="1">
        <w:r w:rsidRPr="005561DC">
          <w:rPr>
            <w:rFonts w:ascii="Arial" w:hAnsi="Arial" w:cs="Arial"/>
            <w:color w:val="0563C1" w:themeColor="hyperlink"/>
            <w:kern w:val="2"/>
            <w:u w:val="single"/>
          </w:rPr>
          <w:t>LATHOURI, M., KORRE, A., DUSINSKA, M., AND DURUCAN, S., 2022. Sustainable Operation of post-combustion Capture plants (SCOPE). Human Health hazard assessment strategy for amine emissions around PCC facilities. Deliverable D3.3.</w:t>
        </w:r>
      </w:hyperlink>
      <w:r w:rsidRPr="005561DC">
        <w:rPr>
          <w:rFonts w:ascii="Arial" w:hAnsi="Arial" w:cs="Arial"/>
          <w:kern w:val="2"/>
        </w:rPr>
        <w:t xml:space="preserve"> </w:t>
      </w:r>
    </w:p>
    <w:p w14:paraId="54C879CE" w14:textId="77777777" w:rsidR="008002CC" w:rsidRPr="005561DC" w:rsidRDefault="008002CC" w:rsidP="008002CC">
      <w:pPr>
        <w:rPr>
          <w:rStyle w:val="Hyperlink"/>
          <w:rFonts w:ascii="Arial" w:hAnsi="Arial" w:cs="Arial"/>
        </w:rPr>
      </w:pPr>
      <w:hyperlink r:id="rId57" w:history="1">
        <w:r w:rsidRPr="005561DC">
          <w:rPr>
            <w:rStyle w:val="Hyperlink"/>
            <w:rFonts w:ascii="Arial" w:hAnsi="Arial" w:cs="Arial"/>
          </w:rPr>
          <w:t xml:space="preserve">OECD, 2004. SIDS Initial Assessment Profile, CoCAM 20-23 April 2004. </w:t>
        </w:r>
      </w:hyperlink>
    </w:p>
    <w:bookmarkStart w:id="10" w:name="_Hlk139961641"/>
    <w:p w14:paraId="29F5A9DB" w14:textId="77777777" w:rsidR="008002CC" w:rsidRPr="005561DC" w:rsidRDefault="008002CC" w:rsidP="008002CC">
      <w:pPr>
        <w:rPr>
          <w:rStyle w:val="Hyperlink"/>
          <w:rFonts w:ascii="Arial" w:hAnsi="Arial" w:cs="Arial"/>
        </w:rPr>
      </w:pPr>
      <w:r w:rsidRPr="005561DC">
        <w:fldChar w:fldCharType="begin"/>
      </w:r>
      <w:r w:rsidRPr="005561DC">
        <w:rPr>
          <w:rFonts w:ascii="Arial" w:hAnsi="Arial" w:cs="Arial"/>
        </w:rPr>
        <w:instrText>HYPERLINK "https://www.gov.uk/government/consultations/environmental-assessment-levels-eals-used-in-air-emissions-risk-assessments/public-feedback/appendix-c-summary-of-toxicological-evidence-for-mea-and-ndma" \l ":~:text=RAVNUM%20S.%2C%20RUNDEN%2DPRAN%20E.%2C%20FJELLSB%C3%98%20L.M.%2C%20DUSINSKA%20M.%2C%202014.%20Human%20health%20risk%20assessment%20of%20nitrosamines%20and%20nitramines%20for%20potential%20application%20in%20CO2%20capture.%20REGULATORY%20TOXICOLOGY%20AND%20PHARMACOLOGY%2C%2069%2C%20250%20%E2%80%93%20255."</w:instrText>
      </w:r>
      <w:r w:rsidRPr="005561DC">
        <w:fldChar w:fldCharType="separate"/>
      </w:r>
      <w:r w:rsidRPr="005561DC">
        <w:rPr>
          <w:rStyle w:val="Hyperlink"/>
          <w:rFonts w:ascii="Arial" w:hAnsi="Arial" w:cs="Arial"/>
        </w:rPr>
        <w:t>RAVNUM S., RUNDEN-PRAN E., FJELLSBO L.M., DUSINSKA M., 2014. Human health risk assessment of nitrosamines and nitramines for potential application in CO2 capture. REGULATORY TOXICOLOGY AND PHARMACOLOGY, 69, 250 – 255.</w:t>
      </w:r>
      <w:r w:rsidRPr="005561DC">
        <w:rPr>
          <w:rStyle w:val="Hyperlink"/>
          <w:rFonts w:ascii="Arial" w:hAnsi="Arial" w:cs="Arial"/>
        </w:rPr>
        <w:fldChar w:fldCharType="end"/>
      </w:r>
    </w:p>
    <w:p w14:paraId="5081FE1D" w14:textId="77777777" w:rsidR="008002CC" w:rsidRPr="005561DC" w:rsidRDefault="008002CC" w:rsidP="008002CC">
      <w:pPr>
        <w:rPr>
          <w:rStyle w:val="Hyperlink"/>
          <w:rFonts w:ascii="Arial" w:hAnsi="Arial" w:cs="Arial"/>
        </w:rPr>
      </w:pPr>
      <w:hyperlink r:id="rId58" w:history="1">
        <w:r w:rsidRPr="005561DC">
          <w:rPr>
            <w:rStyle w:val="Hyperlink"/>
            <w:rFonts w:ascii="Arial" w:hAnsi="Arial" w:cs="Arial"/>
          </w:rPr>
          <w:t>ROCHELLE G., CHEN E., FREEMAN S., VAN WAGENER D., XU Q., VOICE A., 2011. Aqueous piperazine as the new standard for CO2 capture technology.  CHEMICAL ENGINEERING JOURNAL, 171, 725 - 733.</w:t>
        </w:r>
      </w:hyperlink>
    </w:p>
    <w:bookmarkStart w:id="11" w:name="_Hlk139961652"/>
    <w:bookmarkEnd w:id="10"/>
    <w:p w14:paraId="25FE8A49" w14:textId="77777777" w:rsidR="008002CC" w:rsidRPr="005561DC" w:rsidRDefault="008002CC" w:rsidP="008002CC">
      <w:pPr>
        <w:rPr>
          <w:rFonts w:ascii="Arial" w:hAnsi="Arial" w:cs="Arial"/>
        </w:rPr>
      </w:pPr>
      <w:r w:rsidRPr="005561DC">
        <w:fldChar w:fldCharType="begin"/>
      </w:r>
      <w:r w:rsidRPr="005561DC">
        <w:rPr>
          <w:rFonts w:ascii="Arial" w:hAnsi="Arial" w:cs="Arial"/>
        </w:rPr>
        <w:instrText>HYPERLINK "https://ec.europa.eu/health/scientific_committees/consumer_safety/docs/sccs_o_090.pdf"</w:instrText>
      </w:r>
      <w:r w:rsidRPr="005561DC">
        <w:fldChar w:fldCharType="separate"/>
      </w:r>
      <w:r w:rsidRPr="005561DC">
        <w:rPr>
          <w:rStyle w:val="Hyperlink"/>
          <w:rFonts w:ascii="Arial" w:hAnsi="Arial" w:cs="Arial"/>
        </w:rPr>
        <w:t>SCCS, 2011. Opinion on Nitrosamines and Secondary Amines in Cosmetic Products. SCCS/1458/11. Brussels: European Union Scientific Committee on Consumer Safety.</w:t>
      </w:r>
      <w:r w:rsidRPr="005561DC">
        <w:rPr>
          <w:rStyle w:val="Hyperlink"/>
          <w:rFonts w:ascii="Arial" w:hAnsi="Arial" w:cs="Arial"/>
        </w:rPr>
        <w:fldChar w:fldCharType="end"/>
      </w:r>
    </w:p>
    <w:bookmarkEnd w:id="11"/>
    <w:p w14:paraId="310BCDA4" w14:textId="77777777" w:rsidR="008002CC" w:rsidRPr="005561DC" w:rsidRDefault="008002CC" w:rsidP="008002CC">
      <w:pPr>
        <w:spacing w:after="120"/>
        <w:jc w:val="both"/>
        <w:rPr>
          <w:rFonts w:ascii="Arial" w:eastAsia="Arial" w:hAnsi="Arial" w:cs="Arial"/>
          <w:color w:val="242828"/>
        </w:rPr>
      </w:pPr>
      <w:r w:rsidRPr="005561DC">
        <w:rPr>
          <w:rFonts w:ascii="Arial" w:eastAsia="Arial" w:hAnsi="Arial" w:cs="Arial"/>
          <w:color w:val="242828"/>
        </w:rPr>
        <w:fldChar w:fldCharType="begin"/>
      </w:r>
      <w:r w:rsidRPr="005561DC">
        <w:rPr>
          <w:rFonts w:ascii="Arial" w:eastAsia="Arial" w:hAnsi="Arial" w:cs="Arial"/>
          <w:color w:val="242828"/>
        </w:rPr>
        <w:instrText>HYPERLINK "https://www.sepa.org.uk/media/155585/review-of-amine-emissions-from-carbon-capture-systems.pdf"</w:instrText>
      </w:r>
      <w:r w:rsidRPr="005561DC">
        <w:rPr>
          <w:rFonts w:ascii="Arial" w:eastAsia="Arial" w:hAnsi="Arial" w:cs="Arial"/>
          <w:color w:val="242828"/>
        </w:rPr>
      </w:r>
      <w:r w:rsidRPr="005561DC">
        <w:rPr>
          <w:rFonts w:ascii="Arial" w:eastAsia="Arial" w:hAnsi="Arial" w:cs="Arial"/>
          <w:color w:val="242828"/>
        </w:rPr>
        <w:fldChar w:fldCharType="separate"/>
      </w:r>
      <w:r w:rsidRPr="005561DC">
        <w:rPr>
          <w:rFonts w:ascii="Arial" w:eastAsia="Arial" w:hAnsi="Arial" w:cs="Arial"/>
          <w:color w:val="003CA7"/>
          <w:u w:val="single"/>
        </w:rPr>
        <w:t>SEPA, 2015. Review of amine emissions from carbon capture systems. Version 2.01. August 2015.</w:t>
      </w:r>
      <w:r w:rsidRPr="005561DC">
        <w:rPr>
          <w:rFonts w:ascii="Arial" w:eastAsia="Arial" w:hAnsi="Arial" w:cs="Arial"/>
          <w:color w:val="242828"/>
        </w:rPr>
        <w:fldChar w:fldCharType="end"/>
      </w:r>
      <w:r w:rsidRPr="005561DC">
        <w:rPr>
          <w:rFonts w:ascii="Arial" w:eastAsia="Arial" w:hAnsi="Arial" w:cs="Arial"/>
          <w:color w:val="242828"/>
        </w:rPr>
        <w:t xml:space="preserve"> </w:t>
      </w:r>
    </w:p>
    <w:p w14:paraId="2CDCCC1E" w14:textId="77777777" w:rsidR="008002CC" w:rsidRPr="005561DC" w:rsidRDefault="008002CC" w:rsidP="008002CC">
      <w:pPr>
        <w:rPr>
          <w:rFonts w:ascii="Arial" w:hAnsi="Arial" w:cs="Arial"/>
        </w:rPr>
      </w:pPr>
      <w:hyperlink r:id="rId59" w:history="1">
        <w:r w:rsidRPr="005561DC">
          <w:rPr>
            <w:rStyle w:val="Hyperlink"/>
            <w:rFonts w:ascii="Arial" w:hAnsi="Arial" w:cs="Arial"/>
          </w:rPr>
          <w:t>SWISS FEDERAL ADMINISTRATION, 2016. Manual for the Simple European Calculator of DNEL</w:t>
        </w:r>
      </w:hyperlink>
      <w:r w:rsidRPr="005561DC">
        <w:rPr>
          <w:rStyle w:val="Hyperlink"/>
          <w:rFonts w:ascii="Arial" w:hAnsi="Arial" w:cs="Arial"/>
        </w:rPr>
        <w:t>. [Accessed November 2023]</w:t>
      </w:r>
    </w:p>
    <w:p w14:paraId="2D8F75F0" w14:textId="77777777" w:rsidR="008002CC" w:rsidRPr="005561DC" w:rsidRDefault="008002CC" w:rsidP="008002CC">
      <w:pPr>
        <w:rPr>
          <w:rStyle w:val="Hyperlink"/>
          <w:rFonts w:ascii="Arial" w:hAnsi="Arial" w:cs="Arial"/>
        </w:rPr>
      </w:pPr>
      <w:hyperlink r:id="rId60" w:history="1">
        <w:r w:rsidRPr="005561DC">
          <w:rPr>
            <w:rStyle w:val="Hyperlink"/>
            <w:rFonts w:ascii="Arial" w:hAnsi="Arial" w:cs="Arial"/>
          </w:rPr>
          <w:t>WHO, 2009. Safety evaluation of certain food additives / prepared by the sixty-ninth meeting of the Joint FAO/WHO Expert Committee on Food Additives (JECFA).</w:t>
        </w:r>
      </w:hyperlink>
    </w:p>
    <w:p w14:paraId="3331D9C4" w14:textId="77777777" w:rsidR="0046775A" w:rsidRDefault="0046775A" w:rsidP="002005FC">
      <w:pPr>
        <w:pStyle w:val="Heading3"/>
        <w:numPr>
          <w:ilvl w:val="0"/>
          <w:numId w:val="0"/>
        </w:numPr>
        <w:rPr>
          <w:rFonts w:ascii="Arial" w:hAnsi="Arial" w:cs="Arial"/>
          <w:szCs w:val="24"/>
        </w:rPr>
      </w:pPr>
    </w:p>
    <w:p w14:paraId="21A70B07" w14:textId="77777777" w:rsidR="0046775A" w:rsidRDefault="0046775A" w:rsidP="002005FC">
      <w:pPr>
        <w:pStyle w:val="Heading3"/>
        <w:numPr>
          <w:ilvl w:val="0"/>
          <w:numId w:val="0"/>
        </w:numPr>
        <w:rPr>
          <w:rFonts w:ascii="Arial" w:hAnsi="Arial" w:cs="Arial"/>
          <w:szCs w:val="24"/>
        </w:rPr>
      </w:pPr>
    </w:p>
    <w:p w14:paraId="40893F7C" w14:textId="77777777" w:rsidR="00DA0A9A" w:rsidRPr="0032556C" w:rsidRDefault="00DA0A9A" w:rsidP="00DA0A9A">
      <w:pPr>
        <w:autoSpaceDE w:val="0"/>
        <w:autoSpaceDN w:val="0"/>
        <w:adjustRightInd w:val="0"/>
        <w:rPr>
          <w:rStyle w:val="Hyperlink"/>
          <w:rFonts w:ascii="Arial" w:hAnsi="Arial" w:cs="Arial"/>
          <w:color w:val="auto"/>
        </w:rPr>
      </w:pPr>
    </w:p>
    <w:p w14:paraId="6C554A77" w14:textId="77777777" w:rsidR="00DA0A9A" w:rsidRPr="0032556C" w:rsidRDefault="00DA0A9A" w:rsidP="00DA0A9A">
      <w:pPr>
        <w:autoSpaceDE w:val="0"/>
        <w:autoSpaceDN w:val="0"/>
        <w:adjustRightInd w:val="0"/>
        <w:rPr>
          <w:rStyle w:val="Hyperlink"/>
          <w:color w:val="auto"/>
        </w:rPr>
      </w:pPr>
    </w:p>
    <w:p w14:paraId="1F16AFF1" w14:textId="77777777" w:rsidR="00DA0A9A" w:rsidRDefault="00DA0A9A" w:rsidP="00E65F5D">
      <w:pPr>
        <w:rPr>
          <w:rFonts w:ascii="Arial" w:hAnsi="Arial" w:cs="Arial"/>
          <w:b/>
          <w:szCs w:val="22"/>
        </w:rPr>
      </w:pPr>
    </w:p>
    <w:sectPr w:rsidR="00DA0A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9DFCC" w14:textId="77777777" w:rsidR="008840B2" w:rsidRDefault="008840B2" w:rsidP="00DA0A9A">
      <w:r>
        <w:separator/>
      </w:r>
    </w:p>
  </w:endnote>
  <w:endnote w:type="continuationSeparator" w:id="0">
    <w:p w14:paraId="6739F3D0" w14:textId="77777777" w:rsidR="008840B2" w:rsidRDefault="008840B2" w:rsidP="00DA0A9A">
      <w:r>
        <w:continuationSeparator/>
      </w:r>
    </w:p>
  </w:endnote>
  <w:endnote w:type="continuationNotice" w:id="1">
    <w:p w14:paraId="2A423D98" w14:textId="77777777" w:rsidR="008840B2" w:rsidRDefault="00884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BA03E" w14:textId="77777777" w:rsidR="008840B2" w:rsidRDefault="008840B2" w:rsidP="00DA0A9A">
      <w:r>
        <w:separator/>
      </w:r>
    </w:p>
  </w:footnote>
  <w:footnote w:type="continuationSeparator" w:id="0">
    <w:p w14:paraId="1FC725A0" w14:textId="77777777" w:rsidR="008840B2" w:rsidRDefault="008840B2" w:rsidP="00DA0A9A">
      <w:r>
        <w:continuationSeparator/>
      </w:r>
    </w:p>
  </w:footnote>
  <w:footnote w:type="continuationNotice" w:id="1">
    <w:p w14:paraId="00361013" w14:textId="77777777" w:rsidR="008840B2" w:rsidRDefault="008840B2"/>
  </w:footnote>
  <w:footnote w:id="2">
    <w:p w14:paraId="73AC4643" w14:textId="77777777" w:rsidR="008002CC" w:rsidRDefault="008002CC" w:rsidP="008002CC">
      <w:pPr>
        <w:jc w:val="both"/>
      </w:pPr>
      <w:r w:rsidRPr="000E3D2B">
        <w:rPr>
          <w:rStyle w:val="FootnoteReference"/>
          <w:rFonts w:ascii="Arial" w:hAnsi="Arial" w:cs="Arial"/>
          <w:sz w:val="18"/>
          <w:szCs w:val="18"/>
        </w:rPr>
        <w:footnoteRef/>
      </w:r>
      <w:r w:rsidRPr="000E3D2B">
        <w:rPr>
          <w:rFonts w:ascii="Arial" w:hAnsi="Arial" w:cs="Arial"/>
          <w:sz w:val="18"/>
          <w:szCs w:val="18"/>
        </w:rPr>
        <w:t xml:space="preserve"> PZ was used as an active ingredient in human medicines, although has been disused in most developed countries.  This was primarily because of concerns about possible carcinogenicity and electroencephalographic changes (ECB 2005).</w:t>
      </w:r>
    </w:p>
  </w:footnote>
  <w:footnote w:id="3">
    <w:p w14:paraId="33105C85" w14:textId="77777777" w:rsidR="008002CC" w:rsidRPr="00F536BD" w:rsidRDefault="008002CC" w:rsidP="008002CC">
      <w:pPr>
        <w:pStyle w:val="FootnoteText"/>
        <w:jc w:val="both"/>
        <w:rPr>
          <w:sz w:val="18"/>
          <w:szCs w:val="18"/>
        </w:rPr>
      </w:pPr>
      <w:r w:rsidRPr="00F536BD">
        <w:rPr>
          <w:rStyle w:val="FootnoteReference"/>
          <w:sz w:val="18"/>
          <w:szCs w:val="18"/>
        </w:rPr>
        <w:footnoteRef/>
      </w:r>
      <w:r w:rsidRPr="00F536BD">
        <w:rPr>
          <w:sz w:val="18"/>
          <w:szCs w:val="18"/>
        </w:rPr>
        <w:t xml:space="preserve"> Bellander et al. (1987) cited by ECB (2005) reported PZ levels in urine as ranging from 70 to 4,700 µg per person per 24-hour period, which differs slightly from the later figures </w:t>
      </w:r>
      <w:r>
        <w:rPr>
          <w:sz w:val="18"/>
          <w:szCs w:val="18"/>
        </w:rPr>
        <w:t xml:space="preserve">reported </w:t>
      </w:r>
      <w:r w:rsidRPr="00F536BD">
        <w:rPr>
          <w:sz w:val="18"/>
          <w:szCs w:val="18"/>
        </w:rPr>
        <w:t>by Bellander et al. (1988</w:t>
      </w:r>
      <w:r>
        <w:rPr>
          <w:sz w:val="18"/>
          <w:szCs w:val="18"/>
        </w:rPr>
        <w:t>a</w:t>
      </w:r>
      <w:r w:rsidRPr="00F536BD">
        <w:rPr>
          <w:sz w:val="18"/>
          <w:szCs w:val="18"/>
        </w:rPr>
        <w:t xml:space="preserve">). </w:t>
      </w:r>
    </w:p>
  </w:footnote>
  <w:footnote w:id="4">
    <w:p w14:paraId="15BA2E9D" w14:textId="77777777" w:rsidR="008002CC" w:rsidRPr="000E5E02" w:rsidRDefault="008002CC" w:rsidP="008002CC">
      <w:pPr>
        <w:pStyle w:val="FootnoteText"/>
        <w:jc w:val="both"/>
        <w:rPr>
          <w:sz w:val="18"/>
          <w:szCs w:val="18"/>
        </w:rPr>
      </w:pPr>
      <w:r w:rsidRPr="000E5E02">
        <w:rPr>
          <w:rStyle w:val="FootnoteReference"/>
          <w:sz w:val="18"/>
          <w:szCs w:val="18"/>
        </w:rPr>
        <w:footnoteRef/>
      </w:r>
      <w:r w:rsidRPr="000E5E02">
        <w:rPr>
          <w:sz w:val="18"/>
          <w:szCs w:val="18"/>
        </w:rPr>
        <w:t xml:space="preserve"> ECB (2005) were not explicit about the reason for the estimate of 1% or why they considered it conservative.  One possible reason may have been the lower estimated conversion rate of 0.01%, which had been estimated from the earlier study by Bellander et al. (1985 cited by ECB 2005).  However, they concluded that using this estimate resulted in a reasonable agreement with the results reported by Bellander et al. (1988a).</w:t>
      </w:r>
    </w:p>
  </w:footnote>
  <w:footnote w:id="5">
    <w:p w14:paraId="229AFDC6" w14:textId="77777777" w:rsidR="008002CC" w:rsidRPr="00FD24C8" w:rsidRDefault="008002CC" w:rsidP="008002CC">
      <w:pPr>
        <w:pStyle w:val="FootnoteText"/>
        <w:jc w:val="both"/>
        <w:rPr>
          <w:sz w:val="18"/>
          <w:szCs w:val="18"/>
        </w:rPr>
      </w:pPr>
      <w:r w:rsidRPr="00FD24C8">
        <w:rPr>
          <w:rStyle w:val="FootnoteReference"/>
          <w:sz w:val="18"/>
          <w:szCs w:val="18"/>
        </w:rPr>
        <w:footnoteRef/>
      </w:r>
      <w:r w:rsidRPr="00FD24C8">
        <w:rPr>
          <w:sz w:val="18"/>
          <w:szCs w:val="18"/>
        </w:rPr>
        <w:t xml:space="preserve"> Bellander et al. (1988b) did not provide a reference for the relationship between the urinary level of NPZ and the total amount of NPZ formed by the body.  ECB (2005) cited the later work of Tricker et al. (1991 cited by ECB 2005), which reported the observed excretion rate was about 10% (that is, 10% of the total amount of NPZ formed was excreted in urine).  Using the inferred relationship between the highest excreted amount (1.7 µg MNPZ per person) and the total amount formed in the body (50 µg MNPZ per person) by Bellander et al. (1988b), an assumed excretion rate of 3.4% (1.7/50 x 100) can be estimated, which was about one third of the rate reported by Tricker et al. (1991 cited by ECB 2005).  Applying an excretion rate of 10% (as proposed by ECB 2005), results in a total amount of 17 µg NPZ/person at the maximum excreted concentration of 1.7 µg NPZ/person as observed in Bellander et al. (1988b).  This corresponds to a PZ to NPZ conversion rate of 1.5% [(17 µg NPZ/1100 µg PZ) * 100]. </w:t>
      </w:r>
    </w:p>
  </w:footnote>
  <w:footnote w:id="6">
    <w:p w14:paraId="2F066C5F" w14:textId="77777777" w:rsidR="008002CC" w:rsidRPr="00D457F4" w:rsidRDefault="008002CC" w:rsidP="008002CC">
      <w:pPr>
        <w:pStyle w:val="FootnoteText"/>
        <w:rPr>
          <w:sz w:val="18"/>
          <w:szCs w:val="18"/>
        </w:rPr>
      </w:pPr>
      <w:r w:rsidRPr="00D457F4">
        <w:rPr>
          <w:rStyle w:val="FootnoteReference"/>
          <w:sz w:val="18"/>
          <w:szCs w:val="18"/>
        </w:rPr>
        <w:footnoteRef/>
      </w:r>
      <w:r w:rsidRPr="00D457F4">
        <w:rPr>
          <w:sz w:val="18"/>
          <w:szCs w:val="18"/>
        </w:rPr>
        <w:t xml:space="preserve"> AICIS cited an unnamed study (1987) from the EU REACH dossier (ECHA 2023). However, the chemical name and CAS No. stated in AICIS (2020) is PZ dihydrogen phosphate 14538-56-8 whereas the chemical name and CAS No. stated in the EU REACH dossier is PZ phosphate CAS 1951-97-9.</w:t>
      </w:r>
    </w:p>
  </w:footnote>
  <w:footnote w:id="7">
    <w:p w14:paraId="24785161" w14:textId="77777777" w:rsidR="008002CC" w:rsidRPr="00B554C7" w:rsidRDefault="008002CC" w:rsidP="008002CC">
      <w:pPr>
        <w:pStyle w:val="FootnoteText"/>
      </w:pPr>
      <w:r>
        <w:rPr>
          <w:rStyle w:val="FootnoteReference"/>
        </w:rPr>
        <w:footnoteRef/>
      </w:r>
      <w:r>
        <w:t xml:space="preserve"> Using US EPA BMDS, 2.7 mg/kg bw/day is the Bayesian model average BMDL</w:t>
      </w:r>
      <w:r>
        <w:rPr>
          <w:vertAlign w:val="subscript"/>
        </w:rPr>
        <w:t>10</w:t>
      </w:r>
      <w:r w:rsidRPr="00B554C7">
        <w:t>.</w:t>
      </w:r>
      <w:r>
        <w:t xml:space="preserve"> </w:t>
      </w:r>
    </w:p>
  </w:footnote>
  <w:footnote w:id="8">
    <w:p w14:paraId="36D6BA0D" w14:textId="77777777" w:rsidR="008002CC" w:rsidRDefault="008002CC" w:rsidP="008002CC">
      <w:pPr>
        <w:pStyle w:val="FootnoteText"/>
      </w:pPr>
      <w:r>
        <w:rPr>
          <w:rStyle w:val="FootnoteReference"/>
        </w:rPr>
        <w:footnoteRef/>
      </w:r>
      <w:r>
        <w:t xml:space="preserve"> </w:t>
      </w:r>
      <w:hyperlink r:id="rId1" w:history="1">
        <w:r w:rsidRPr="00923C33">
          <w:rPr>
            <w:rStyle w:val="Hyperlink"/>
          </w:rPr>
          <w:t>https://echa.europa.eu/registration-dossier/-/registered-dossier/15182</w:t>
        </w:r>
      </w:hyperlink>
      <w:r>
        <w:t xml:space="preserve"> </w:t>
      </w:r>
    </w:p>
  </w:footnote>
  <w:footnote w:id="9">
    <w:p w14:paraId="66AC46F5" w14:textId="77777777" w:rsidR="008002CC" w:rsidRDefault="008002CC" w:rsidP="008002CC">
      <w:pPr>
        <w:pStyle w:val="FootnoteText"/>
      </w:pPr>
      <w:r>
        <w:rPr>
          <w:rStyle w:val="FootnoteReference"/>
        </w:rPr>
        <w:footnoteRef/>
      </w:r>
      <w:r>
        <w:t xml:space="preserve"> The short-term (15-minute reference period) Workplace exposure limit (WEL) published by HSE (2020) is 0.3 mg/m</w:t>
      </w:r>
      <w:r w:rsidRPr="00223129">
        <w:rPr>
          <w:vertAlign w:val="superscript"/>
        </w:rPr>
        <w:t>3</w:t>
      </w:r>
      <w:r>
        <w:t>. WELs are GB occupational exposure limits (OELs) approved by the Health and Safety Executive.</w:t>
      </w:r>
    </w:p>
  </w:footnote>
  <w:footnote w:id="10">
    <w:p w14:paraId="30F6473A" w14:textId="77777777" w:rsidR="001D707B" w:rsidRPr="00A8404E" w:rsidRDefault="001D707B" w:rsidP="001D707B">
      <w:pPr>
        <w:pStyle w:val="FootnoteText"/>
        <w:rPr>
          <w:sz w:val="18"/>
          <w:szCs w:val="18"/>
        </w:rPr>
      </w:pPr>
      <w:r w:rsidRPr="00A8404E">
        <w:rPr>
          <w:rStyle w:val="FootnoteReference"/>
          <w:sz w:val="18"/>
          <w:szCs w:val="18"/>
        </w:rPr>
        <w:footnoteRef/>
      </w:r>
      <w:r w:rsidRPr="00A8404E">
        <w:rPr>
          <w:sz w:val="18"/>
          <w:szCs w:val="18"/>
        </w:rPr>
        <w:t xml:space="preserve"> In this case, excessive dietary exposure is approximately 0.02 mg/kg/day, or 10–20 times higher than normal daily intake.</w:t>
      </w:r>
    </w:p>
  </w:footnote>
  <w:footnote w:id="11">
    <w:p w14:paraId="73175C33" w14:textId="77777777" w:rsidR="001D707B" w:rsidRPr="00133F09" w:rsidRDefault="001D707B" w:rsidP="001D707B">
      <w:pPr>
        <w:pStyle w:val="FootnoteText"/>
        <w:rPr>
          <w:sz w:val="18"/>
          <w:szCs w:val="18"/>
        </w:rPr>
      </w:pPr>
      <w:r w:rsidRPr="00133F09">
        <w:rPr>
          <w:rStyle w:val="FootnoteReference"/>
          <w:sz w:val="18"/>
          <w:szCs w:val="18"/>
        </w:rPr>
        <w:footnoteRef/>
      </w:r>
      <w:r w:rsidRPr="00133F09">
        <w:rPr>
          <w:sz w:val="18"/>
          <w:szCs w:val="18"/>
        </w:rPr>
        <w:t xml:space="preserve"> </w:t>
      </w:r>
      <w:hyperlink r:id="rId2" w:history="1">
        <w:r w:rsidRPr="00D373A7">
          <w:rPr>
            <w:rStyle w:val="Hyperlink"/>
            <w:sz w:val="18"/>
            <w:szCs w:val="18"/>
          </w:rPr>
          <w:t>https://echa.europa.eu/registration-dossier/-/registered-dossier/15204/7/1</w:t>
        </w:r>
      </w:hyperlink>
      <w:r>
        <w:rPr>
          <w:sz w:val="18"/>
          <w:szCs w:val="18"/>
        </w:rPr>
        <w:t xml:space="preserve"> </w:t>
      </w:r>
    </w:p>
  </w:footnote>
  <w:footnote w:id="12">
    <w:p w14:paraId="62391274" w14:textId="77777777" w:rsidR="001D707B" w:rsidRPr="00F536F4" w:rsidRDefault="001D707B" w:rsidP="001D707B">
      <w:pPr>
        <w:pStyle w:val="FootnoteText"/>
        <w:rPr>
          <w:sz w:val="18"/>
          <w:szCs w:val="18"/>
        </w:rPr>
      </w:pPr>
      <w:r w:rsidRPr="00F536F4">
        <w:rPr>
          <w:rStyle w:val="FootnoteReference"/>
          <w:sz w:val="18"/>
          <w:szCs w:val="18"/>
        </w:rPr>
        <w:footnoteRef/>
      </w:r>
      <w:r w:rsidRPr="00F536F4">
        <w:rPr>
          <w:sz w:val="18"/>
          <w:szCs w:val="18"/>
        </w:rPr>
        <w:t xml:space="preserve"> </w:t>
      </w:r>
      <w:hyperlink r:id="rId3" w:history="1">
        <w:r w:rsidRPr="00937B43">
          <w:rPr>
            <w:rStyle w:val="Hyperlink"/>
            <w:sz w:val="18"/>
            <w:szCs w:val="18"/>
          </w:rPr>
          <w:t>https://echa.europa.eu/registration-dossier/-/registered-dossier/11470/7/1</w:t>
        </w:r>
      </w:hyperlink>
      <w:r w:rsidRPr="00F536F4">
        <w:rPr>
          <w:sz w:val="18"/>
          <w:szCs w:val="18"/>
        </w:rPr>
        <w:t xml:space="preserve"> </w:t>
      </w:r>
    </w:p>
  </w:footnote>
  <w:footnote w:id="13">
    <w:p w14:paraId="4285C4C8" w14:textId="77777777" w:rsidR="001D707B" w:rsidRPr="00FC784B" w:rsidRDefault="001D707B" w:rsidP="001D707B">
      <w:pPr>
        <w:pStyle w:val="FootnoteText"/>
        <w:rPr>
          <w:sz w:val="18"/>
          <w:szCs w:val="18"/>
        </w:rPr>
      </w:pPr>
      <w:r w:rsidRPr="00FC784B">
        <w:rPr>
          <w:rStyle w:val="FootnoteReference"/>
          <w:sz w:val="18"/>
          <w:szCs w:val="18"/>
        </w:rPr>
        <w:footnoteRef/>
      </w:r>
      <w:r w:rsidRPr="00FC784B">
        <w:rPr>
          <w:sz w:val="18"/>
          <w:szCs w:val="18"/>
        </w:rPr>
        <w:t xml:space="preserve"> </w:t>
      </w:r>
      <w:hyperlink r:id="rId4" w:history="1">
        <w:r w:rsidRPr="009C1D85">
          <w:rPr>
            <w:rStyle w:val="Hyperlink"/>
            <w:sz w:val="18"/>
            <w:szCs w:val="18"/>
          </w:rPr>
          <w:t>https://echa.europa.eu/registration-dossier/-/registered-dossier/25874/7/1</w:t>
        </w:r>
      </w:hyperlink>
      <w:r>
        <w:rPr>
          <w:sz w:val="18"/>
          <w:szCs w:val="18"/>
        </w:rPr>
        <w:t xml:space="preserve"> </w:t>
      </w:r>
    </w:p>
  </w:footnote>
  <w:footnote w:id="14">
    <w:p w14:paraId="20DB01ED" w14:textId="77777777" w:rsidR="001D707B" w:rsidRPr="00FC784B" w:rsidRDefault="001D707B" w:rsidP="001D707B">
      <w:pPr>
        <w:pStyle w:val="FootnoteText"/>
        <w:rPr>
          <w:sz w:val="18"/>
          <w:szCs w:val="18"/>
        </w:rPr>
      </w:pPr>
      <w:r w:rsidRPr="00FC784B">
        <w:rPr>
          <w:rStyle w:val="FootnoteReference"/>
          <w:sz w:val="18"/>
          <w:szCs w:val="18"/>
        </w:rPr>
        <w:footnoteRef/>
      </w:r>
      <w:r w:rsidRPr="00FC784B">
        <w:rPr>
          <w:sz w:val="18"/>
          <w:szCs w:val="18"/>
        </w:rPr>
        <w:t xml:space="preserve"> </w:t>
      </w:r>
      <w:hyperlink r:id="rId5" w:history="1">
        <w:r w:rsidRPr="009C1D85">
          <w:rPr>
            <w:rStyle w:val="Hyperlink"/>
            <w:sz w:val="18"/>
            <w:szCs w:val="18"/>
          </w:rPr>
          <w:t>https://echa.europa.eu/registration-dossier/-/registered-dossier/11204/7/1</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4F0270B"/>
    <w:multiLevelType w:val="multilevel"/>
    <w:tmpl w:val="0CEE6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B23D03"/>
    <w:multiLevelType w:val="multilevel"/>
    <w:tmpl w:val="CAC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304CD"/>
    <w:multiLevelType w:val="hybridMultilevel"/>
    <w:tmpl w:val="B12C6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8F5D07"/>
    <w:multiLevelType w:val="multilevel"/>
    <w:tmpl w:val="1E5C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117E6"/>
    <w:multiLevelType w:val="hybridMultilevel"/>
    <w:tmpl w:val="FC34E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97CB2"/>
    <w:multiLevelType w:val="multilevel"/>
    <w:tmpl w:val="05F84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C960212"/>
    <w:multiLevelType w:val="multilevel"/>
    <w:tmpl w:val="280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A69E2"/>
    <w:multiLevelType w:val="hybridMultilevel"/>
    <w:tmpl w:val="AED0E2A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0159D"/>
    <w:multiLevelType w:val="multilevel"/>
    <w:tmpl w:val="DC7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4"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C07D2"/>
    <w:multiLevelType w:val="hybridMultilevel"/>
    <w:tmpl w:val="6A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10D4B"/>
    <w:multiLevelType w:val="multilevel"/>
    <w:tmpl w:val="89FAD394"/>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rPr>
        <w:color w:val="auto"/>
      </w:r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7F57D47"/>
    <w:multiLevelType w:val="hybridMultilevel"/>
    <w:tmpl w:val="B74EAD34"/>
    <w:lvl w:ilvl="0" w:tplc="3C68BA20">
      <w:start w:val="1"/>
      <w:numFmt w:val="decimal"/>
      <w:lvlText w:val="%1)"/>
      <w:lvlJc w:val="left"/>
      <w:pPr>
        <w:ind w:left="1020" w:hanging="360"/>
      </w:pPr>
    </w:lvl>
    <w:lvl w:ilvl="1" w:tplc="D5468F56">
      <w:start w:val="1"/>
      <w:numFmt w:val="decimal"/>
      <w:lvlText w:val="%2)"/>
      <w:lvlJc w:val="left"/>
      <w:pPr>
        <w:ind w:left="1020" w:hanging="360"/>
      </w:pPr>
    </w:lvl>
    <w:lvl w:ilvl="2" w:tplc="4F70D304">
      <w:start w:val="1"/>
      <w:numFmt w:val="decimal"/>
      <w:lvlText w:val="%3)"/>
      <w:lvlJc w:val="left"/>
      <w:pPr>
        <w:ind w:left="1020" w:hanging="360"/>
      </w:pPr>
    </w:lvl>
    <w:lvl w:ilvl="3" w:tplc="BB0677CA">
      <w:start w:val="1"/>
      <w:numFmt w:val="decimal"/>
      <w:lvlText w:val="%4)"/>
      <w:lvlJc w:val="left"/>
      <w:pPr>
        <w:ind w:left="1020" w:hanging="360"/>
      </w:pPr>
    </w:lvl>
    <w:lvl w:ilvl="4" w:tplc="108A0008">
      <w:start w:val="1"/>
      <w:numFmt w:val="decimal"/>
      <w:lvlText w:val="%5)"/>
      <w:lvlJc w:val="left"/>
      <w:pPr>
        <w:ind w:left="1020" w:hanging="360"/>
      </w:pPr>
    </w:lvl>
    <w:lvl w:ilvl="5" w:tplc="A15E2842">
      <w:start w:val="1"/>
      <w:numFmt w:val="decimal"/>
      <w:lvlText w:val="%6)"/>
      <w:lvlJc w:val="left"/>
      <w:pPr>
        <w:ind w:left="1020" w:hanging="360"/>
      </w:pPr>
    </w:lvl>
    <w:lvl w:ilvl="6" w:tplc="B6D0FC0C">
      <w:start w:val="1"/>
      <w:numFmt w:val="decimal"/>
      <w:lvlText w:val="%7)"/>
      <w:lvlJc w:val="left"/>
      <w:pPr>
        <w:ind w:left="1020" w:hanging="360"/>
      </w:pPr>
    </w:lvl>
    <w:lvl w:ilvl="7" w:tplc="167E3136">
      <w:start w:val="1"/>
      <w:numFmt w:val="decimal"/>
      <w:lvlText w:val="%8)"/>
      <w:lvlJc w:val="left"/>
      <w:pPr>
        <w:ind w:left="1020" w:hanging="360"/>
      </w:pPr>
    </w:lvl>
    <w:lvl w:ilvl="8" w:tplc="3E9AFA14">
      <w:start w:val="1"/>
      <w:numFmt w:val="decimal"/>
      <w:lvlText w:val="%9)"/>
      <w:lvlJc w:val="left"/>
      <w:pPr>
        <w:ind w:left="1020" w:hanging="360"/>
      </w:pPr>
    </w:lvl>
  </w:abstractNum>
  <w:abstractNum w:abstractNumId="31"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7E726E5"/>
    <w:multiLevelType w:val="multilevel"/>
    <w:tmpl w:val="B7FA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340040">
    <w:abstractNumId w:val="3"/>
  </w:num>
  <w:num w:numId="2" w16cid:durableId="1762800076">
    <w:abstractNumId w:val="27"/>
  </w:num>
  <w:num w:numId="3" w16cid:durableId="704065429">
    <w:abstractNumId w:val="4"/>
  </w:num>
  <w:num w:numId="4" w16cid:durableId="476535633">
    <w:abstractNumId w:val="32"/>
  </w:num>
  <w:num w:numId="5" w16cid:durableId="1282607927">
    <w:abstractNumId w:val="12"/>
  </w:num>
  <w:num w:numId="6" w16cid:durableId="1534460650">
    <w:abstractNumId w:val="28"/>
  </w:num>
  <w:num w:numId="7" w16cid:durableId="424116179">
    <w:abstractNumId w:val="21"/>
  </w:num>
  <w:num w:numId="8" w16cid:durableId="193428450">
    <w:abstractNumId w:val="20"/>
  </w:num>
  <w:num w:numId="9" w16cid:durableId="1802072533">
    <w:abstractNumId w:val="29"/>
  </w:num>
  <w:num w:numId="10" w16cid:durableId="167117825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709789">
    <w:abstractNumId w:val="24"/>
  </w:num>
  <w:num w:numId="12" w16cid:durableId="1291743812">
    <w:abstractNumId w:val="7"/>
  </w:num>
  <w:num w:numId="13" w16cid:durableId="1296909992">
    <w:abstractNumId w:val="5"/>
  </w:num>
  <w:num w:numId="14" w16cid:durableId="1354112692">
    <w:abstractNumId w:val="23"/>
  </w:num>
  <w:num w:numId="15" w16cid:durableId="851142819">
    <w:abstractNumId w:val="6"/>
  </w:num>
  <w:num w:numId="16" w16cid:durableId="1177884354">
    <w:abstractNumId w:val="17"/>
  </w:num>
  <w:num w:numId="17" w16cid:durableId="216284753">
    <w:abstractNumId w:val="34"/>
  </w:num>
  <w:num w:numId="18" w16cid:durableId="843016863">
    <w:abstractNumId w:val="13"/>
  </w:num>
  <w:num w:numId="19" w16cid:durableId="136801108">
    <w:abstractNumId w:val="0"/>
  </w:num>
  <w:num w:numId="20" w16cid:durableId="830487779">
    <w:abstractNumId w:val="16"/>
  </w:num>
  <w:num w:numId="21" w16cid:durableId="750390975">
    <w:abstractNumId w:val="33"/>
  </w:num>
  <w:num w:numId="22" w16cid:durableId="59984007">
    <w:abstractNumId w:val="31"/>
  </w:num>
  <w:num w:numId="23" w16cid:durableId="1758478909">
    <w:abstractNumId w:val="14"/>
  </w:num>
  <w:num w:numId="24" w16cid:durableId="1133598765">
    <w:abstractNumId w:val="25"/>
  </w:num>
  <w:num w:numId="25" w16cid:durableId="975183800">
    <w:abstractNumId w:val="1"/>
  </w:num>
  <w:num w:numId="26" w16cid:durableId="26687937">
    <w:abstractNumId w:val="22"/>
  </w:num>
  <w:num w:numId="27" w16cid:durableId="2040281326">
    <w:abstractNumId w:val="27"/>
    <w:lvlOverride w:ilvl="0"/>
    <w:lvlOverride w:ilvl="1">
      <w:startOverride w:val="4"/>
    </w:lvlOverride>
  </w:num>
  <w:num w:numId="28" w16cid:durableId="355158826">
    <w:abstractNumId w:val="19"/>
  </w:num>
  <w:num w:numId="29" w16cid:durableId="346519657">
    <w:abstractNumId w:val="26"/>
  </w:num>
  <w:num w:numId="30" w16cid:durableId="1382485262">
    <w:abstractNumId w:val="35"/>
  </w:num>
  <w:num w:numId="31" w16cid:durableId="1651254005">
    <w:abstractNumId w:val="10"/>
  </w:num>
  <w:num w:numId="32" w16cid:durableId="1915973362">
    <w:abstractNumId w:val="15"/>
  </w:num>
  <w:num w:numId="33" w16cid:durableId="359746841">
    <w:abstractNumId w:val="2"/>
  </w:num>
  <w:num w:numId="34" w16cid:durableId="1851796879">
    <w:abstractNumId w:val="9"/>
  </w:num>
  <w:num w:numId="35" w16cid:durableId="1217400169">
    <w:abstractNumId w:val="30"/>
  </w:num>
  <w:num w:numId="36" w16cid:durableId="1942954318">
    <w:abstractNumId w:val="18"/>
  </w:num>
  <w:num w:numId="37" w16cid:durableId="203175432">
    <w:abstractNumId w:val="8"/>
  </w:num>
  <w:num w:numId="38" w16cid:durableId="188914854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4D29"/>
    <w:rsid w:val="00017715"/>
    <w:rsid w:val="00021959"/>
    <w:rsid w:val="00022EE2"/>
    <w:rsid w:val="0002389D"/>
    <w:rsid w:val="0002460A"/>
    <w:rsid w:val="00031189"/>
    <w:rsid w:val="000356FE"/>
    <w:rsid w:val="00040881"/>
    <w:rsid w:val="00041036"/>
    <w:rsid w:val="00044F35"/>
    <w:rsid w:val="00050B8F"/>
    <w:rsid w:val="00050E06"/>
    <w:rsid w:val="0005481C"/>
    <w:rsid w:val="00057C2C"/>
    <w:rsid w:val="000623EE"/>
    <w:rsid w:val="00065A58"/>
    <w:rsid w:val="00067D99"/>
    <w:rsid w:val="00072799"/>
    <w:rsid w:val="00075276"/>
    <w:rsid w:val="0008558D"/>
    <w:rsid w:val="000878DD"/>
    <w:rsid w:val="00091CA7"/>
    <w:rsid w:val="00094C8A"/>
    <w:rsid w:val="00097CC0"/>
    <w:rsid w:val="000A352F"/>
    <w:rsid w:val="000A3B0D"/>
    <w:rsid w:val="000A42A2"/>
    <w:rsid w:val="000A5693"/>
    <w:rsid w:val="000A6311"/>
    <w:rsid w:val="000B5C91"/>
    <w:rsid w:val="000B7038"/>
    <w:rsid w:val="000C3952"/>
    <w:rsid w:val="000C5321"/>
    <w:rsid w:val="000C73B0"/>
    <w:rsid w:val="000C775B"/>
    <w:rsid w:val="000D1CA8"/>
    <w:rsid w:val="000D2F4D"/>
    <w:rsid w:val="000E0909"/>
    <w:rsid w:val="000E117B"/>
    <w:rsid w:val="000E249A"/>
    <w:rsid w:val="000E2DE0"/>
    <w:rsid w:val="000E5347"/>
    <w:rsid w:val="000E6B62"/>
    <w:rsid w:val="00100B6D"/>
    <w:rsid w:val="00103932"/>
    <w:rsid w:val="00103EFC"/>
    <w:rsid w:val="00110822"/>
    <w:rsid w:val="00122B02"/>
    <w:rsid w:val="00137C20"/>
    <w:rsid w:val="00137E82"/>
    <w:rsid w:val="00141F71"/>
    <w:rsid w:val="00151348"/>
    <w:rsid w:val="00172A2E"/>
    <w:rsid w:val="00176B18"/>
    <w:rsid w:val="00180764"/>
    <w:rsid w:val="001827E9"/>
    <w:rsid w:val="001839AA"/>
    <w:rsid w:val="00184E43"/>
    <w:rsid w:val="00192FBE"/>
    <w:rsid w:val="001930FD"/>
    <w:rsid w:val="001948DB"/>
    <w:rsid w:val="0019750C"/>
    <w:rsid w:val="00197AAB"/>
    <w:rsid w:val="001A3679"/>
    <w:rsid w:val="001A553D"/>
    <w:rsid w:val="001A6164"/>
    <w:rsid w:val="001C06FA"/>
    <w:rsid w:val="001C271F"/>
    <w:rsid w:val="001C31F6"/>
    <w:rsid w:val="001C5BD0"/>
    <w:rsid w:val="001C6020"/>
    <w:rsid w:val="001D707B"/>
    <w:rsid w:val="001E2BE6"/>
    <w:rsid w:val="001E2E5C"/>
    <w:rsid w:val="001E6E2C"/>
    <w:rsid w:val="001F1DD5"/>
    <w:rsid w:val="001F2201"/>
    <w:rsid w:val="001F22CB"/>
    <w:rsid w:val="002005FC"/>
    <w:rsid w:val="002058D7"/>
    <w:rsid w:val="00206A79"/>
    <w:rsid w:val="00206B5B"/>
    <w:rsid w:val="002070F2"/>
    <w:rsid w:val="0021258B"/>
    <w:rsid w:val="002128B9"/>
    <w:rsid w:val="002170E6"/>
    <w:rsid w:val="00222854"/>
    <w:rsid w:val="00222DA0"/>
    <w:rsid w:val="00230768"/>
    <w:rsid w:val="002309C9"/>
    <w:rsid w:val="002331F2"/>
    <w:rsid w:val="002343F5"/>
    <w:rsid w:val="0023711F"/>
    <w:rsid w:val="002411AD"/>
    <w:rsid w:val="00242637"/>
    <w:rsid w:val="002515D2"/>
    <w:rsid w:val="002527BE"/>
    <w:rsid w:val="002606C4"/>
    <w:rsid w:val="00261379"/>
    <w:rsid w:val="002649CF"/>
    <w:rsid w:val="00264B69"/>
    <w:rsid w:val="002650B4"/>
    <w:rsid w:val="0027403D"/>
    <w:rsid w:val="002740DF"/>
    <w:rsid w:val="002747EC"/>
    <w:rsid w:val="002877CB"/>
    <w:rsid w:val="00291FEF"/>
    <w:rsid w:val="00295611"/>
    <w:rsid w:val="00296D92"/>
    <w:rsid w:val="00296DDE"/>
    <w:rsid w:val="002A69DB"/>
    <w:rsid w:val="002B4CC9"/>
    <w:rsid w:val="002D4250"/>
    <w:rsid w:val="002E0298"/>
    <w:rsid w:val="002E5FCC"/>
    <w:rsid w:val="002F05D5"/>
    <w:rsid w:val="002F4C87"/>
    <w:rsid w:val="002F5AC6"/>
    <w:rsid w:val="002F7873"/>
    <w:rsid w:val="00300B3D"/>
    <w:rsid w:val="003014F2"/>
    <w:rsid w:val="00305BB2"/>
    <w:rsid w:val="00306D83"/>
    <w:rsid w:val="003159C3"/>
    <w:rsid w:val="0032556C"/>
    <w:rsid w:val="003318A9"/>
    <w:rsid w:val="00334A8C"/>
    <w:rsid w:val="0034416E"/>
    <w:rsid w:val="0034663F"/>
    <w:rsid w:val="003511BF"/>
    <w:rsid w:val="00363C7B"/>
    <w:rsid w:val="00367915"/>
    <w:rsid w:val="00373DDA"/>
    <w:rsid w:val="00375CE2"/>
    <w:rsid w:val="0038340B"/>
    <w:rsid w:val="003867A9"/>
    <w:rsid w:val="00391F74"/>
    <w:rsid w:val="00394089"/>
    <w:rsid w:val="00395856"/>
    <w:rsid w:val="00396127"/>
    <w:rsid w:val="003A10E1"/>
    <w:rsid w:val="003A6912"/>
    <w:rsid w:val="003B2D83"/>
    <w:rsid w:val="003B578A"/>
    <w:rsid w:val="003B7515"/>
    <w:rsid w:val="003C1C3E"/>
    <w:rsid w:val="003C74EF"/>
    <w:rsid w:val="003E26AB"/>
    <w:rsid w:val="003E71C8"/>
    <w:rsid w:val="003F04E3"/>
    <w:rsid w:val="003F2A23"/>
    <w:rsid w:val="003F2A7F"/>
    <w:rsid w:val="004004BF"/>
    <w:rsid w:val="00407B3F"/>
    <w:rsid w:val="00411E0E"/>
    <w:rsid w:val="004138BD"/>
    <w:rsid w:val="004168AD"/>
    <w:rsid w:val="00423B64"/>
    <w:rsid w:val="00426B85"/>
    <w:rsid w:val="00434DC9"/>
    <w:rsid w:val="00443776"/>
    <w:rsid w:val="0044471C"/>
    <w:rsid w:val="0045484A"/>
    <w:rsid w:val="00457083"/>
    <w:rsid w:val="00466BF9"/>
    <w:rsid w:val="00467724"/>
    <w:rsid w:val="0046775A"/>
    <w:rsid w:val="00474783"/>
    <w:rsid w:val="004762F3"/>
    <w:rsid w:val="00477E8A"/>
    <w:rsid w:val="00477F6F"/>
    <w:rsid w:val="00491B79"/>
    <w:rsid w:val="00494DB0"/>
    <w:rsid w:val="00495207"/>
    <w:rsid w:val="004979D1"/>
    <w:rsid w:val="00497D70"/>
    <w:rsid w:val="004B5712"/>
    <w:rsid w:val="004B5F4F"/>
    <w:rsid w:val="004B7452"/>
    <w:rsid w:val="004C13AC"/>
    <w:rsid w:val="004C7BCE"/>
    <w:rsid w:val="004C7FC4"/>
    <w:rsid w:val="004D4608"/>
    <w:rsid w:val="004D5CDF"/>
    <w:rsid w:val="004D7C63"/>
    <w:rsid w:val="004F2DDC"/>
    <w:rsid w:val="004F3BAE"/>
    <w:rsid w:val="004F51A0"/>
    <w:rsid w:val="004F5E11"/>
    <w:rsid w:val="005029DB"/>
    <w:rsid w:val="00502E9B"/>
    <w:rsid w:val="005141BA"/>
    <w:rsid w:val="00515AD5"/>
    <w:rsid w:val="005165EA"/>
    <w:rsid w:val="00517AA3"/>
    <w:rsid w:val="00522F03"/>
    <w:rsid w:val="005250C5"/>
    <w:rsid w:val="00536906"/>
    <w:rsid w:val="00542125"/>
    <w:rsid w:val="00544F4A"/>
    <w:rsid w:val="00546AE2"/>
    <w:rsid w:val="00550B00"/>
    <w:rsid w:val="005561DC"/>
    <w:rsid w:val="0056177D"/>
    <w:rsid w:val="005628EA"/>
    <w:rsid w:val="00563CB9"/>
    <w:rsid w:val="00567108"/>
    <w:rsid w:val="005700D8"/>
    <w:rsid w:val="00570131"/>
    <w:rsid w:val="00575D5D"/>
    <w:rsid w:val="00582130"/>
    <w:rsid w:val="00585D85"/>
    <w:rsid w:val="00590543"/>
    <w:rsid w:val="00590BE4"/>
    <w:rsid w:val="00592975"/>
    <w:rsid w:val="005A2873"/>
    <w:rsid w:val="005A4B57"/>
    <w:rsid w:val="005A7015"/>
    <w:rsid w:val="005B0AE8"/>
    <w:rsid w:val="005B1763"/>
    <w:rsid w:val="005B3F6A"/>
    <w:rsid w:val="005C4E30"/>
    <w:rsid w:val="005D0586"/>
    <w:rsid w:val="005D63B0"/>
    <w:rsid w:val="005E1951"/>
    <w:rsid w:val="005E2DC4"/>
    <w:rsid w:val="005F15B4"/>
    <w:rsid w:val="005F183C"/>
    <w:rsid w:val="005F4C38"/>
    <w:rsid w:val="005F5BD2"/>
    <w:rsid w:val="0061427E"/>
    <w:rsid w:val="006148A1"/>
    <w:rsid w:val="00616830"/>
    <w:rsid w:val="00616B56"/>
    <w:rsid w:val="006201E0"/>
    <w:rsid w:val="00623CE2"/>
    <w:rsid w:val="006244A0"/>
    <w:rsid w:val="00627561"/>
    <w:rsid w:val="006277E6"/>
    <w:rsid w:val="006301B8"/>
    <w:rsid w:val="00630C5A"/>
    <w:rsid w:val="00632587"/>
    <w:rsid w:val="00634961"/>
    <w:rsid w:val="00635094"/>
    <w:rsid w:val="00636884"/>
    <w:rsid w:val="006378A0"/>
    <w:rsid w:val="00646663"/>
    <w:rsid w:val="006515A9"/>
    <w:rsid w:val="00656289"/>
    <w:rsid w:val="006577FF"/>
    <w:rsid w:val="00664FF6"/>
    <w:rsid w:val="0066653B"/>
    <w:rsid w:val="00672A53"/>
    <w:rsid w:val="006739AF"/>
    <w:rsid w:val="00676FCC"/>
    <w:rsid w:val="00680D18"/>
    <w:rsid w:val="006A3118"/>
    <w:rsid w:val="006B131A"/>
    <w:rsid w:val="006B274B"/>
    <w:rsid w:val="006B2A00"/>
    <w:rsid w:val="006C3EEF"/>
    <w:rsid w:val="006C4938"/>
    <w:rsid w:val="006D0805"/>
    <w:rsid w:val="006D2AAF"/>
    <w:rsid w:val="006D38D0"/>
    <w:rsid w:val="006D6FE0"/>
    <w:rsid w:val="006E3669"/>
    <w:rsid w:val="006E4951"/>
    <w:rsid w:val="006E7422"/>
    <w:rsid w:val="006F55B8"/>
    <w:rsid w:val="00702558"/>
    <w:rsid w:val="00702E7E"/>
    <w:rsid w:val="00710211"/>
    <w:rsid w:val="00710F4A"/>
    <w:rsid w:val="00717BB0"/>
    <w:rsid w:val="0072131E"/>
    <w:rsid w:val="00725725"/>
    <w:rsid w:val="00725859"/>
    <w:rsid w:val="007273B2"/>
    <w:rsid w:val="00732DAC"/>
    <w:rsid w:val="00734DA1"/>
    <w:rsid w:val="00736ECE"/>
    <w:rsid w:val="00740CC2"/>
    <w:rsid w:val="00743C58"/>
    <w:rsid w:val="0074406A"/>
    <w:rsid w:val="0074419B"/>
    <w:rsid w:val="00750582"/>
    <w:rsid w:val="00751216"/>
    <w:rsid w:val="00760EEF"/>
    <w:rsid w:val="0076219C"/>
    <w:rsid w:val="0076257C"/>
    <w:rsid w:val="00762A94"/>
    <w:rsid w:val="007652CF"/>
    <w:rsid w:val="00766C82"/>
    <w:rsid w:val="0077327A"/>
    <w:rsid w:val="00775063"/>
    <w:rsid w:val="00777EF1"/>
    <w:rsid w:val="007848AE"/>
    <w:rsid w:val="00785E51"/>
    <w:rsid w:val="007931F6"/>
    <w:rsid w:val="007B6D84"/>
    <w:rsid w:val="007C058A"/>
    <w:rsid w:val="007C1F18"/>
    <w:rsid w:val="007C5BBB"/>
    <w:rsid w:val="007D26AD"/>
    <w:rsid w:val="007D26D8"/>
    <w:rsid w:val="007D696B"/>
    <w:rsid w:val="007E2921"/>
    <w:rsid w:val="007E3780"/>
    <w:rsid w:val="007E5F85"/>
    <w:rsid w:val="007E6FB2"/>
    <w:rsid w:val="008002CC"/>
    <w:rsid w:val="00801D1C"/>
    <w:rsid w:val="00810644"/>
    <w:rsid w:val="008113C3"/>
    <w:rsid w:val="00814EDD"/>
    <w:rsid w:val="008206E2"/>
    <w:rsid w:val="00825B21"/>
    <w:rsid w:val="00831244"/>
    <w:rsid w:val="00831388"/>
    <w:rsid w:val="00837491"/>
    <w:rsid w:val="00841632"/>
    <w:rsid w:val="0084394F"/>
    <w:rsid w:val="008516DA"/>
    <w:rsid w:val="00854B3E"/>
    <w:rsid w:val="00876ABE"/>
    <w:rsid w:val="008811D3"/>
    <w:rsid w:val="008812BE"/>
    <w:rsid w:val="008819FB"/>
    <w:rsid w:val="008840B2"/>
    <w:rsid w:val="008948C1"/>
    <w:rsid w:val="00895C87"/>
    <w:rsid w:val="008A4FCB"/>
    <w:rsid w:val="008A668C"/>
    <w:rsid w:val="008B0E04"/>
    <w:rsid w:val="008B1989"/>
    <w:rsid w:val="008C4BA6"/>
    <w:rsid w:val="008C62CA"/>
    <w:rsid w:val="008D44C2"/>
    <w:rsid w:val="008D7A7D"/>
    <w:rsid w:val="008F155C"/>
    <w:rsid w:val="008F71D6"/>
    <w:rsid w:val="00901CF9"/>
    <w:rsid w:val="009165BD"/>
    <w:rsid w:val="0092036F"/>
    <w:rsid w:val="00921556"/>
    <w:rsid w:val="0093252F"/>
    <w:rsid w:val="00932EA0"/>
    <w:rsid w:val="0093723A"/>
    <w:rsid w:val="0093758F"/>
    <w:rsid w:val="00941D4B"/>
    <w:rsid w:val="0095100D"/>
    <w:rsid w:val="0095254E"/>
    <w:rsid w:val="0095797C"/>
    <w:rsid w:val="009638D9"/>
    <w:rsid w:val="009670B4"/>
    <w:rsid w:val="00967E16"/>
    <w:rsid w:val="009715FD"/>
    <w:rsid w:val="0098516F"/>
    <w:rsid w:val="00996F23"/>
    <w:rsid w:val="009A0033"/>
    <w:rsid w:val="009A2B10"/>
    <w:rsid w:val="009B0F85"/>
    <w:rsid w:val="009B4EC1"/>
    <w:rsid w:val="009B6269"/>
    <w:rsid w:val="009C0CF9"/>
    <w:rsid w:val="009C1C28"/>
    <w:rsid w:val="009C2291"/>
    <w:rsid w:val="009E08E6"/>
    <w:rsid w:val="009E0923"/>
    <w:rsid w:val="009E5ECA"/>
    <w:rsid w:val="009E79DE"/>
    <w:rsid w:val="009E7B02"/>
    <w:rsid w:val="009F257C"/>
    <w:rsid w:val="009F4746"/>
    <w:rsid w:val="009F5493"/>
    <w:rsid w:val="00A00056"/>
    <w:rsid w:val="00A02D27"/>
    <w:rsid w:val="00A2138D"/>
    <w:rsid w:val="00A213BC"/>
    <w:rsid w:val="00A23DE0"/>
    <w:rsid w:val="00A323E2"/>
    <w:rsid w:val="00A34865"/>
    <w:rsid w:val="00A412E9"/>
    <w:rsid w:val="00A5269C"/>
    <w:rsid w:val="00A53D8C"/>
    <w:rsid w:val="00A61C4E"/>
    <w:rsid w:val="00A6391B"/>
    <w:rsid w:val="00A67558"/>
    <w:rsid w:val="00A73AF8"/>
    <w:rsid w:val="00A83D9B"/>
    <w:rsid w:val="00A84F75"/>
    <w:rsid w:val="00A946D1"/>
    <w:rsid w:val="00A9792E"/>
    <w:rsid w:val="00AA18E7"/>
    <w:rsid w:val="00AB0B44"/>
    <w:rsid w:val="00AB120C"/>
    <w:rsid w:val="00AB1EF2"/>
    <w:rsid w:val="00AB346F"/>
    <w:rsid w:val="00AB3714"/>
    <w:rsid w:val="00AB6556"/>
    <w:rsid w:val="00AC670A"/>
    <w:rsid w:val="00AD6F35"/>
    <w:rsid w:val="00AD730C"/>
    <w:rsid w:val="00AE2331"/>
    <w:rsid w:val="00AE5D01"/>
    <w:rsid w:val="00AF06DF"/>
    <w:rsid w:val="00AF2CED"/>
    <w:rsid w:val="00AF5E8F"/>
    <w:rsid w:val="00AF6CA3"/>
    <w:rsid w:val="00AF74B3"/>
    <w:rsid w:val="00B02BD7"/>
    <w:rsid w:val="00B11E3A"/>
    <w:rsid w:val="00B131B6"/>
    <w:rsid w:val="00B151D0"/>
    <w:rsid w:val="00B162C8"/>
    <w:rsid w:val="00B30644"/>
    <w:rsid w:val="00B326B6"/>
    <w:rsid w:val="00B329FF"/>
    <w:rsid w:val="00B3399F"/>
    <w:rsid w:val="00B37FF2"/>
    <w:rsid w:val="00B411CA"/>
    <w:rsid w:val="00B458F9"/>
    <w:rsid w:val="00B46DBF"/>
    <w:rsid w:val="00B46DFC"/>
    <w:rsid w:val="00B46E08"/>
    <w:rsid w:val="00B507DB"/>
    <w:rsid w:val="00B50DD7"/>
    <w:rsid w:val="00B52604"/>
    <w:rsid w:val="00B5351A"/>
    <w:rsid w:val="00B54C10"/>
    <w:rsid w:val="00B66B70"/>
    <w:rsid w:val="00B724B8"/>
    <w:rsid w:val="00B74C0E"/>
    <w:rsid w:val="00B82EEA"/>
    <w:rsid w:val="00B86D78"/>
    <w:rsid w:val="00B94CDD"/>
    <w:rsid w:val="00BA028E"/>
    <w:rsid w:val="00BA5F17"/>
    <w:rsid w:val="00BA73FA"/>
    <w:rsid w:val="00BB3775"/>
    <w:rsid w:val="00BC26AA"/>
    <w:rsid w:val="00BC2742"/>
    <w:rsid w:val="00BD54A7"/>
    <w:rsid w:val="00BD6C1E"/>
    <w:rsid w:val="00BD6C51"/>
    <w:rsid w:val="00BD7EFF"/>
    <w:rsid w:val="00BE0BBE"/>
    <w:rsid w:val="00BE204A"/>
    <w:rsid w:val="00BE3CF5"/>
    <w:rsid w:val="00BF2021"/>
    <w:rsid w:val="00BF3654"/>
    <w:rsid w:val="00BF4D4F"/>
    <w:rsid w:val="00C11EBA"/>
    <w:rsid w:val="00C21A0A"/>
    <w:rsid w:val="00C24614"/>
    <w:rsid w:val="00C25626"/>
    <w:rsid w:val="00C2768F"/>
    <w:rsid w:val="00C32B2A"/>
    <w:rsid w:val="00C33467"/>
    <w:rsid w:val="00C33F87"/>
    <w:rsid w:val="00C401D9"/>
    <w:rsid w:val="00C40F42"/>
    <w:rsid w:val="00C511E4"/>
    <w:rsid w:val="00C54193"/>
    <w:rsid w:val="00C56BE7"/>
    <w:rsid w:val="00C57A0D"/>
    <w:rsid w:val="00C64B1D"/>
    <w:rsid w:val="00C66BF4"/>
    <w:rsid w:val="00C74D89"/>
    <w:rsid w:val="00C82830"/>
    <w:rsid w:val="00C8710D"/>
    <w:rsid w:val="00C87218"/>
    <w:rsid w:val="00C87B46"/>
    <w:rsid w:val="00C9003D"/>
    <w:rsid w:val="00CA56CF"/>
    <w:rsid w:val="00CA7693"/>
    <w:rsid w:val="00CB1946"/>
    <w:rsid w:val="00CC5F1C"/>
    <w:rsid w:val="00CC6FEF"/>
    <w:rsid w:val="00CD2CCF"/>
    <w:rsid w:val="00CE58E7"/>
    <w:rsid w:val="00CE58EF"/>
    <w:rsid w:val="00CE79BB"/>
    <w:rsid w:val="00CF1AE6"/>
    <w:rsid w:val="00CF1D97"/>
    <w:rsid w:val="00CF2991"/>
    <w:rsid w:val="00CF52F4"/>
    <w:rsid w:val="00CF7FF3"/>
    <w:rsid w:val="00D0210B"/>
    <w:rsid w:val="00D2044C"/>
    <w:rsid w:val="00D23858"/>
    <w:rsid w:val="00D27CF6"/>
    <w:rsid w:val="00D333F1"/>
    <w:rsid w:val="00D50E43"/>
    <w:rsid w:val="00D51CC6"/>
    <w:rsid w:val="00D557F7"/>
    <w:rsid w:val="00D75420"/>
    <w:rsid w:val="00D768C4"/>
    <w:rsid w:val="00D777EF"/>
    <w:rsid w:val="00D849F2"/>
    <w:rsid w:val="00D84A27"/>
    <w:rsid w:val="00D85F07"/>
    <w:rsid w:val="00D9064D"/>
    <w:rsid w:val="00D92EC1"/>
    <w:rsid w:val="00D939FF"/>
    <w:rsid w:val="00D94015"/>
    <w:rsid w:val="00D9422E"/>
    <w:rsid w:val="00D94ACD"/>
    <w:rsid w:val="00D97BC5"/>
    <w:rsid w:val="00DA0A9A"/>
    <w:rsid w:val="00DA352E"/>
    <w:rsid w:val="00DB1132"/>
    <w:rsid w:val="00DB50BC"/>
    <w:rsid w:val="00DC6C71"/>
    <w:rsid w:val="00DC7AB9"/>
    <w:rsid w:val="00DD286B"/>
    <w:rsid w:val="00DD3075"/>
    <w:rsid w:val="00DE24F7"/>
    <w:rsid w:val="00DE4041"/>
    <w:rsid w:val="00DF2EDC"/>
    <w:rsid w:val="00DF4957"/>
    <w:rsid w:val="00E00656"/>
    <w:rsid w:val="00E007A7"/>
    <w:rsid w:val="00E04161"/>
    <w:rsid w:val="00E06F31"/>
    <w:rsid w:val="00E10753"/>
    <w:rsid w:val="00E21861"/>
    <w:rsid w:val="00E23797"/>
    <w:rsid w:val="00E310CD"/>
    <w:rsid w:val="00E57E06"/>
    <w:rsid w:val="00E60F04"/>
    <w:rsid w:val="00E62879"/>
    <w:rsid w:val="00E62EE7"/>
    <w:rsid w:val="00E63565"/>
    <w:rsid w:val="00E65F5D"/>
    <w:rsid w:val="00E71837"/>
    <w:rsid w:val="00E71F9F"/>
    <w:rsid w:val="00E74ADF"/>
    <w:rsid w:val="00E77F8B"/>
    <w:rsid w:val="00E80562"/>
    <w:rsid w:val="00E828AF"/>
    <w:rsid w:val="00E84703"/>
    <w:rsid w:val="00E84EE9"/>
    <w:rsid w:val="00E918DC"/>
    <w:rsid w:val="00E960E7"/>
    <w:rsid w:val="00EA220E"/>
    <w:rsid w:val="00EA269B"/>
    <w:rsid w:val="00EA5312"/>
    <w:rsid w:val="00EA6FE1"/>
    <w:rsid w:val="00EB12FD"/>
    <w:rsid w:val="00EB7546"/>
    <w:rsid w:val="00EC4B23"/>
    <w:rsid w:val="00ED50E7"/>
    <w:rsid w:val="00ED52EC"/>
    <w:rsid w:val="00ED68F5"/>
    <w:rsid w:val="00ED7E51"/>
    <w:rsid w:val="00EE4C72"/>
    <w:rsid w:val="00EE4FDF"/>
    <w:rsid w:val="00EE5343"/>
    <w:rsid w:val="00EE6D3F"/>
    <w:rsid w:val="00EF1705"/>
    <w:rsid w:val="00F0213F"/>
    <w:rsid w:val="00F1537C"/>
    <w:rsid w:val="00F175BF"/>
    <w:rsid w:val="00F213B0"/>
    <w:rsid w:val="00F309D1"/>
    <w:rsid w:val="00F32849"/>
    <w:rsid w:val="00F33E64"/>
    <w:rsid w:val="00F35228"/>
    <w:rsid w:val="00F419F5"/>
    <w:rsid w:val="00F521B5"/>
    <w:rsid w:val="00F525F2"/>
    <w:rsid w:val="00F60126"/>
    <w:rsid w:val="00F603F8"/>
    <w:rsid w:val="00F605DB"/>
    <w:rsid w:val="00F641AD"/>
    <w:rsid w:val="00F64B2F"/>
    <w:rsid w:val="00F7147C"/>
    <w:rsid w:val="00F73696"/>
    <w:rsid w:val="00F75124"/>
    <w:rsid w:val="00F7576D"/>
    <w:rsid w:val="00F7725D"/>
    <w:rsid w:val="00F77C98"/>
    <w:rsid w:val="00F822E5"/>
    <w:rsid w:val="00F90369"/>
    <w:rsid w:val="00F91D05"/>
    <w:rsid w:val="00F91F7C"/>
    <w:rsid w:val="00FA1F8B"/>
    <w:rsid w:val="00FA500A"/>
    <w:rsid w:val="00FA61F6"/>
    <w:rsid w:val="00FA62BB"/>
    <w:rsid w:val="00FB1B17"/>
    <w:rsid w:val="00FB55C7"/>
    <w:rsid w:val="00FB707C"/>
    <w:rsid w:val="00FB77D0"/>
    <w:rsid w:val="00FC1C3E"/>
    <w:rsid w:val="00FC3543"/>
    <w:rsid w:val="00FC5A2D"/>
    <w:rsid w:val="00FD6518"/>
    <w:rsid w:val="00FE42D1"/>
    <w:rsid w:val="00FF086D"/>
    <w:rsid w:val="00FF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73538"/>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link w:val="Heading2Char"/>
    <w:uiPriority w:val="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uiPriority w:val="9"/>
    <w:qFormat/>
    <w:rsid w:val="005700D8"/>
    <w:pPr>
      <w:keepNext/>
      <w:numPr>
        <w:ilvl w:val="2"/>
        <w:numId w:val="2"/>
      </w:numPr>
      <w:outlineLvl w:val="2"/>
    </w:pPr>
    <w:rPr>
      <w:b/>
      <w:sz w:val="24"/>
    </w:rPr>
  </w:style>
  <w:style w:type="paragraph" w:styleId="Heading4">
    <w:name w:val="heading 4"/>
    <w:basedOn w:val="Normal"/>
    <w:next w:val="Normal"/>
    <w:link w:val="Heading4Char"/>
    <w:uiPriority w:val="9"/>
    <w:qFormat/>
    <w:rsid w:val="005700D8"/>
    <w:pPr>
      <w:keepNext/>
      <w:numPr>
        <w:ilvl w:val="3"/>
        <w:numId w:val="2"/>
      </w:numPr>
      <w:outlineLvl w:val="3"/>
    </w:pPr>
    <w:rPr>
      <w:i/>
      <w:color w:val="FF0000"/>
    </w:rPr>
  </w:style>
  <w:style w:type="paragraph" w:styleId="Heading5">
    <w:name w:val="heading 5"/>
    <w:basedOn w:val="Normal"/>
    <w:next w:val="Normal"/>
    <w:link w:val="Heading5Char"/>
    <w:uiPriority w:val="9"/>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uiPriority w:val="99"/>
    <w:rsid w:val="00AD6F35"/>
    <w:rPr>
      <w:b/>
      <w:bCs/>
    </w:rPr>
  </w:style>
  <w:style w:type="character" w:customStyle="1" w:styleId="CommentSubjectChar">
    <w:name w:val="Comment Subject Char"/>
    <w:link w:val="CommentSubject"/>
    <w:uiPriority w:val="99"/>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uiPriority w:val="99"/>
    <w:unhideWhenUsed/>
    <w:rsid w:val="00DA0A9A"/>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A0A9A"/>
    <w:rPr>
      <w:rFonts w:ascii="Arial" w:eastAsiaTheme="minorHAnsi" w:hAnsi="Arial" w:cs="Arial"/>
      <w:lang w:eastAsia="en-US"/>
    </w:rPr>
  </w:style>
  <w:style w:type="character" w:styleId="FootnoteReference">
    <w:name w:val="footnote reference"/>
    <w:basedOn w:val="DefaultParagraphFont"/>
    <w:uiPriority w:val="99"/>
    <w:unhideWhenUsed/>
    <w:rsid w:val="00DA0A9A"/>
    <w:rPr>
      <w:vertAlign w:val="superscript"/>
    </w:rPr>
  </w:style>
  <w:style w:type="paragraph" w:styleId="Footer">
    <w:name w:val="footer"/>
    <w:basedOn w:val="Normal"/>
    <w:link w:val="FooterChar"/>
    <w:uiPriority w:val="99"/>
    <w:rsid w:val="00592975"/>
    <w:pPr>
      <w:tabs>
        <w:tab w:val="center" w:pos="4513"/>
        <w:tab w:val="right" w:pos="9026"/>
      </w:tabs>
    </w:pPr>
  </w:style>
  <w:style w:type="character" w:customStyle="1" w:styleId="FooterChar">
    <w:name w:val="Footer Char"/>
    <w:basedOn w:val="DefaultParagraphFont"/>
    <w:link w:val="Footer"/>
    <w:uiPriority w:val="99"/>
    <w:rsid w:val="00592975"/>
  </w:style>
  <w:style w:type="character" w:styleId="UnresolvedMention">
    <w:name w:val="Unresolved Mention"/>
    <w:basedOn w:val="DefaultParagraphFont"/>
    <w:uiPriority w:val="99"/>
    <w:semiHidden/>
    <w:unhideWhenUsed/>
    <w:rsid w:val="00434DC9"/>
    <w:rPr>
      <w:color w:val="605E5C"/>
      <w:shd w:val="clear" w:color="auto" w:fill="E1DFDD"/>
    </w:rPr>
  </w:style>
  <w:style w:type="character" w:styleId="FollowedHyperlink">
    <w:name w:val="FollowedHyperlink"/>
    <w:basedOn w:val="DefaultParagraphFont"/>
    <w:uiPriority w:val="99"/>
    <w:rsid w:val="00BB3775"/>
    <w:rPr>
      <w:color w:val="954F72" w:themeColor="followedHyperlink"/>
      <w:u w:val="single"/>
    </w:rPr>
  </w:style>
  <w:style w:type="character" w:customStyle="1" w:styleId="GuidancebodytextChar">
    <w:name w:val="Guidance body text Char"/>
    <w:link w:val="Guidancebodytext"/>
    <w:rsid w:val="00407B3F"/>
    <w:rPr>
      <w:color w:val="0000FF"/>
      <w:sz w:val="22"/>
    </w:rPr>
  </w:style>
  <w:style w:type="paragraph" w:customStyle="1" w:styleId="Guidancebodytext">
    <w:name w:val="Guidance body text"/>
    <w:basedOn w:val="Normal"/>
    <w:link w:val="GuidancebodytextChar"/>
    <w:rsid w:val="00407B3F"/>
    <w:pPr>
      <w:spacing w:before="60" w:after="60"/>
    </w:pPr>
    <w:rPr>
      <w:color w:val="0000FF"/>
      <w:sz w:val="22"/>
    </w:rPr>
  </w:style>
  <w:style w:type="character" w:customStyle="1" w:styleId="Heading2Char">
    <w:name w:val="Heading 2 Char"/>
    <w:basedOn w:val="DefaultParagraphFont"/>
    <w:link w:val="Heading2"/>
    <w:uiPriority w:val="9"/>
    <w:rsid w:val="008002CC"/>
    <w:rPr>
      <w:rFonts w:ascii="Arial" w:hAnsi="Arial"/>
      <w:b/>
      <w:sz w:val="24"/>
      <w:u w:val="single"/>
    </w:rPr>
  </w:style>
  <w:style w:type="character" w:customStyle="1" w:styleId="Heading3Char">
    <w:name w:val="Heading 3 Char"/>
    <w:basedOn w:val="DefaultParagraphFont"/>
    <w:link w:val="Heading3"/>
    <w:uiPriority w:val="9"/>
    <w:rsid w:val="008002CC"/>
    <w:rPr>
      <w:b/>
      <w:sz w:val="24"/>
    </w:rPr>
  </w:style>
  <w:style w:type="character" w:customStyle="1" w:styleId="Heading4Char">
    <w:name w:val="Heading 4 Char"/>
    <w:basedOn w:val="DefaultParagraphFont"/>
    <w:link w:val="Heading4"/>
    <w:uiPriority w:val="9"/>
    <w:rsid w:val="008002CC"/>
    <w:rPr>
      <w:i/>
      <w:color w:val="FF0000"/>
    </w:rPr>
  </w:style>
  <w:style w:type="character" w:customStyle="1" w:styleId="HeaderChar">
    <w:name w:val="Header Char"/>
    <w:basedOn w:val="DefaultParagraphFont"/>
    <w:link w:val="Header"/>
    <w:uiPriority w:val="99"/>
    <w:rsid w:val="008002CC"/>
  </w:style>
  <w:style w:type="character" w:customStyle="1" w:styleId="Heading5Char">
    <w:name w:val="Heading 5 Char"/>
    <w:basedOn w:val="DefaultParagraphFont"/>
    <w:link w:val="Heading5"/>
    <w:uiPriority w:val="9"/>
    <w:rsid w:val="008002CC"/>
    <w:rPr>
      <w:i/>
    </w:rPr>
  </w:style>
  <w:style w:type="paragraph" w:styleId="Caption">
    <w:name w:val="caption"/>
    <w:basedOn w:val="Normal"/>
    <w:next w:val="Normal"/>
    <w:uiPriority w:val="35"/>
    <w:unhideWhenUsed/>
    <w:qFormat/>
    <w:rsid w:val="008002CC"/>
    <w:pPr>
      <w:spacing w:after="200"/>
    </w:pPr>
    <w:rPr>
      <w:rFonts w:asciiTheme="minorHAnsi" w:eastAsiaTheme="minorHAnsi" w:hAnsiTheme="minorHAnsi" w:cstheme="minorBidi"/>
      <w:i/>
      <w:iCs/>
      <w:color w:val="44546A" w:themeColor="text2"/>
      <w:sz w:val="18"/>
      <w:szCs w:val="18"/>
      <w:lang w:eastAsia="en-US"/>
    </w:rPr>
  </w:style>
  <w:style w:type="character" w:customStyle="1" w:styleId="cf01">
    <w:name w:val="cf01"/>
    <w:basedOn w:val="DefaultParagraphFont"/>
    <w:rsid w:val="00A412E9"/>
    <w:rPr>
      <w:rFonts w:ascii="Segoe UI" w:hAnsi="Segoe UI" w:cs="Segoe UI" w:hint="default"/>
      <w:sz w:val="18"/>
      <w:szCs w:val="18"/>
    </w:rPr>
  </w:style>
  <w:style w:type="character" w:customStyle="1" w:styleId="indexed-hide">
    <w:name w:val="indexed-hide"/>
    <w:basedOn w:val="DefaultParagraphFont"/>
    <w:rsid w:val="001D707B"/>
  </w:style>
  <w:style w:type="character" w:customStyle="1" w:styleId="tip-content3">
    <w:name w:val="tip-content3"/>
    <w:basedOn w:val="DefaultParagraphFont"/>
    <w:rsid w:val="001D707B"/>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35196131">
      <w:bodyDiv w:val="1"/>
      <w:marLeft w:val="0"/>
      <w:marRight w:val="0"/>
      <w:marTop w:val="0"/>
      <w:marBottom w:val="0"/>
      <w:divBdr>
        <w:top w:val="none" w:sz="0" w:space="0" w:color="auto"/>
        <w:left w:val="none" w:sz="0" w:space="0" w:color="auto"/>
        <w:bottom w:val="none" w:sz="0" w:space="0" w:color="auto"/>
        <w:right w:val="none" w:sz="0" w:space="0" w:color="auto"/>
      </w:divBdr>
    </w:div>
    <w:div w:id="695738203">
      <w:bodyDiv w:val="1"/>
      <w:marLeft w:val="0"/>
      <w:marRight w:val="0"/>
      <w:marTop w:val="0"/>
      <w:marBottom w:val="0"/>
      <w:divBdr>
        <w:top w:val="none" w:sz="0" w:space="0" w:color="auto"/>
        <w:left w:val="none" w:sz="0" w:space="0" w:color="auto"/>
        <w:bottom w:val="none" w:sz="0" w:space="0" w:color="auto"/>
        <w:right w:val="none" w:sz="0" w:space="0" w:color="auto"/>
      </w:divBdr>
      <w:divsChild>
        <w:div w:id="1294019364">
          <w:marLeft w:val="0"/>
          <w:marRight w:val="0"/>
          <w:marTop w:val="0"/>
          <w:marBottom w:val="0"/>
          <w:divBdr>
            <w:top w:val="none" w:sz="0" w:space="0" w:color="auto"/>
            <w:left w:val="none" w:sz="0" w:space="0" w:color="auto"/>
            <w:bottom w:val="none" w:sz="0" w:space="0" w:color="auto"/>
            <w:right w:val="none" w:sz="0" w:space="0" w:color="auto"/>
          </w:divBdr>
          <w:divsChild>
            <w:div w:id="1961917491">
              <w:marLeft w:val="0"/>
              <w:marRight w:val="0"/>
              <w:marTop w:val="0"/>
              <w:marBottom w:val="0"/>
              <w:divBdr>
                <w:top w:val="none" w:sz="0" w:space="0" w:color="auto"/>
                <w:left w:val="none" w:sz="0" w:space="0" w:color="auto"/>
                <w:bottom w:val="none" w:sz="0" w:space="0" w:color="auto"/>
                <w:right w:val="none" w:sz="0" w:space="0" w:color="auto"/>
              </w:divBdr>
            </w:div>
          </w:divsChild>
        </w:div>
        <w:div w:id="666249193">
          <w:marLeft w:val="0"/>
          <w:marRight w:val="0"/>
          <w:marTop w:val="0"/>
          <w:marBottom w:val="0"/>
          <w:divBdr>
            <w:top w:val="none" w:sz="0" w:space="0" w:color="auto"/>
            <w:left w:val="none" w:sz="0" w:space="0" w:color="auto"/>
            <w:bottom w:val="none" w:sz="0" w:space="0" w:color="auto"/>
            <w:right w:val="none" w:sz="0" w:space="0" w:color="auto"/>
          </w:divBdr>
        </w:div>
        <w:div w:id="802842599">
          <w:marLeft w:val="0"/>
          <w:marRight w:val="0"/>
          <w:marTop w:val="0"/>
          <w:marBottom w:val="0"/>
          <w:divBdr>
            <w:top w:val="none" w:sz="0" w:space="0" w:color="auto"/>
            <w:left w:val="none" w:sz="0" w:space="0" w:color="auto"/>
            <w:bottom w:val="none" w:sz="0" w:space="0" w:color="auto"/>
            <w:right w:val="none" w:sz="0" w:space="0" w:color="auto"/>
          </w:divBdr>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61227032">
      <w:bodyDiv w:val="1"/>
      <w:marLeft w:val="0"/>
      <w:marRight w:val="0"/>
      <w:marTop w:val="0"/>
      <w:marBottom w:val="0"/>
      <w:divBdr>
        <w:top w:val="none" w:sz="0" w:space="0" w:color="auto"/>
        <w:left w:val="none" w:sz="0" w:space="0" w:color="auto"/>
        <w:bottom w:val="none" w:sz="0" w:space="0" w:color="auto"/>
        <w:right w:val="none" w:sz="0" w:space="0" w:color="auto"/>
      </w:divBdr>
    </w:div>
    <w:div w:id="983705790">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46126989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62683090">
      <w:bodyDiv w:val="1"/>
      <w:marLeft w:val="0"/>
      <w:marRight w:val="0"/>
      <w:marTop w:val="0"/>
      <w:marBottom w:val="0"/>
      <w:divBdr>
        <w:top w:val="none" w:sz="0" w:space="0" w:color="auto"/>
        <w:left w:val="none" w:sz="0" w:space="0" w:color="auto"/>
        <w:bottom w:val="none" w:sz="0" w:space="0" w:color="auto"/>
        <w:right w:val="none" w:sz="0" w:space="0" w:color="auto"/>
      </w:divBdr>
      <w:divsChild>
        <w:div w:id="149713017">
          <w:marLeft w:val="0"/>
          <w:marRight w:val="0"/>
          <w:marTop w:val="0"/>
          <w:marBottom w:val="0"/>
          <w:divBdr>
            <w:top w:val="none" w:sz="0" w:space="0" w:color="auto"/>
            <w:left w:val="none" w:sz="0" w:space="0" w:color="auto"/>
            <w:bottom w:val="none" w:sz="0" w:space="0" w:color="auto"/>
            <w:right w:val="none" w:sz="0" w:space="0" w:color="auto"/>
          </w:divBdr>
          <w:divsChild>
            <w:div w:id="330253480">
              <w:marLeft w:val="0"/>
              <w:marRight w:val="0"/>
              <w:marTop w:val="0"/>
              <w:marBottom w:val="0"/>
              <w:divBdr>
                <w:top w:val="none" w:sz="0" w:space="0" w:color="auto"/>
                <w:left w:val="none" w:sz="0" w:space="0" w:color="auto"/>
                <w:bottom w:val="none" w:sz="0" w:space="0" w:color="auto"/>
                <w:right w:val="none" w:sz="0" w:space="0" w:color="auto"/>
              </w:divBdr>
            </w:div>
          </w:divsChild>
        </w:div>
        <w:div w:id="42025920">
          <w:marLeft w:val="0"/>
          <w:marRight w:val="0"/>
          <w:marTop w:val="0"/>
          <w:marBottom w:val="0"/>
          <w:divBdr>
            <w:top w:val="none" w:sz="0" w:space="0" w:color="auto"/>
            <w:left w:val="none" w:sz="0" w:space="0" w:color="auto"/>
            <w:bottom w:val="none" w:sz="0" w:space="0" w:color="auto"/>
            <w:right w:val="none" w:sz="0" w:space="0" w:color="auto"/>
          </w:divBdr>
        </w:div>
        <w:div w:id="967396243">
          <w:marLeft w:val="0"/>
          <w:marRight w:val="0"/>
          <w:marTop w:val="0"/>
          <w:marBottom w:val="0"/>
          <w:divBdr>
            <w:top w:val="none" w:sz="0" w:space="0" w:color="auto"/>
            <w:left w:val="none" w:sz="0" w:space="0" w:color="auto"/>
            <w:bottom w:val="none" w:sz="0" w:space="0" w:color="auto"/>
            <w:right w:val="none" w:sz="0" w:space="0" w:color="auto"/>
          </w:divBdr>
        </w:div>
      </w:divsChild>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33376986">
      <w:bodyDiv w:val="1"/>
      <w:marLeft w:val="0"/>
      <w:marRight w:val="0"/>
      <w:marTop w:val="0"/>
      <w:marBottom w:val="0"/>
      <w:divBdr>
        <w:top w:val="none" w:sz="0" w:space="0" w:color="auto"/>
        <w:left w:val="none" w:sz="0" w:space="0" w:color="auto"/>
        <w:bottom w:val="none" w:sz="0" w:space="0" w:color="auto"/>
        <w:right w:val="none" w:sz="0" w:space="0" w:color="auto"/>
      </w:divBdr>
      <w:divsChild>
        <w:div w:id="815296786">
          <w:marLeft w:val="0"/>
          <w:marRight w:val="0"/>
          <w:marTop w:val="0"/>
          <w:marBottom w:val="0"/>
          <w:divBdr>
            <w:top w:val="none" w:sz="0" w:space="0" w:color="auto"/>
            <w:left w:val="none" w:sz="0" w:space="0" w:color="auto"/>
            <w:bottom w:val="none" w:sz="0" w:space="0" w:color="auto"/>
            <w:right w:val="none" w:sz="0" w:space="0" w:color="auto"/>
          </w:divBdr>
        </w:div>
      </w:divsChild>
    </w:div>
    <w:div w:id="1877157390">
      <w:bodyDiv w:val="1"/>
      <w:marLeft w:val="0"/>
      <w:marRight w:val="0"/>
      <w:marTop w:val="0"/>
      <w:marBottom w:val="0"/>
      <w:divBdr>
        <w:top w:val="none" w:sz="0" w:space="0" w:color="auto"/>
        <w:left w:val="none" w:sz="0" w:space="0" w:color="auto"/>
        <w:bottom w:val="none" w:sz="0" w:space="0" w:color="auto"/>
        <w:right w:val="none" w:sz="0" w:space="0" w:color="auto"/>
      </w:divBdr>
    </w:div>
    <w:div w:id="1920211868">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hyperlink" Target="https://www.gov.uk/government/organisations/environment-agency/about/equality-and-diversity" TargetMode="External"/><Relationship Id="rId39" Type="http://schemas.openxmlformats.org/officeDocument/2006/relationships/hyperlink" Target="https://www.ncbi.nlm.nih.gov/pubmed/7393243" TargetMode="External"/><Relationship Id="rId21" Type="http://schemas.openxmlformats.org/officeDocument/2006/relationships/hyperlink" Target="https://www.gov.uk/guidance/air-emissions-risk-assessment-for-your-environmental-permit" TargetMode="External"/><Relationship Id="rId34" Type="http://schemas.openxmlformats.org/officeDocument/2006/relationships/hyperlink" Target="https://www.ncbi.nlm.nih.gov/pubmed/5263054" TargetMode="External"/><Relationship Id="rId42" Type="http://schemas.openxmlformats.org/officeDocument/2006/relationships/hyperlink" Target="https://www.ncbi.nlm.nih.gov/pubmed/2535331" TargetMode="External"/><Relationship Id="rId47" Type="http://schemas.openxmlformats.org/officeDocument/2006/relationships/hyperlink" Target="https://echa.europa.eu/registration-dossier/-/registered-dossier/14941/7/7/3" TargetMode="External"/><Relationship Id="rId50" Type="http://schemas.openxmlformats.org/officeDocument/2006/relationships/hyperlink" Target="https://www.ema.europa.eu/en/documents/mrl-report/piperazine-summary-report-2-committee-veterinary-medicinal-products_en.pdf" TargetMode="External"/><Relationship Id="rId55" Type="http://schemas.openxmlformats.org/officeDocument/2006/relationships/hyperlink" Target="https://www.nilu.no/wp-content/uploads/dnn/07-2009-FHI-co2-capture2.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9" Type="http://schemas.openxmlformats.org/officeDocument/2006/relationships/hyperlink" Target="https://www.cabdirect.org/cabdirect/abstract/19422700656" TargetMode="External"/><Relationship Id="rId11" Type="http://schemas.openxmlformats.org/officeDocument/2006/relationships/endnotes" Target="endnotes.xml"/><Relationship Id="rId24" Type="http://schemas.openxmlformats.org/officeDocument/2006/relationships/hyperlink" Target="https://www.gov.uk/government/consultations/derivation-of-new-environmental-assessment-levels-to-air" TargetMode="External"/><Relationship Id="rId32" Type="http://schemas.openxmlformats.org/officeDocument/2006/relationships/hyperlink" Target="https://cot.food.gov.uk/sites/default/files/vitmin2003.pdf" TargetMode="External"/><Relationship Id="rId37" Type="http://schemas.openxmlformats.org/officeDocument/2006/relationships/hyperlink" Target="https://www.epa.gov/iris" TargetMode="External"/><Relationship Id="rId40" Type="http://schemas.openxmlformats.org/officeDocument/2006/relationships/hyperlink" Target="https://www.who.int/water_sanitation_health/publications/drinking-water-quality-guidelines-4-including-1st-addendum/en/" TargetMode="External"/><Relationship Id="rId45" Type="http://schemas.openxmlformats.org/officeDocument/2006/relationships/hyperlink" Target="https://www.gov.uk/government/consultations/derivation-of-new-environmental-assessment-levels-to-air" TargetMode="External"/><Relationship Id="rId53" Type="http://schemas.openxmlformats.org/officeDocument/2006/relationships/hyperlink" Target="https://uregina.ca/~eastalla/pkaexpt.pdf" TargetMode="External"/><Relationship Id="rId58" Type="http://schemas.openxmlformats.org/officeDocument/2006/relationships/hyperlink" Target="https://www.sciencedirect.com/science/article/pii/S1385894711001793"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Hannah"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https://www.gov.uk/government/consultations/derivation-of-new-environmental-assessment-levels-to-air" TargetMode="External"/><Relationship Id="rId27" Type="http://schemas.openxmlformats.org/officeDocument/2006/relationships/hyperlink" Target="https://www.atsdr.cdc.gov/ToxProfiles/tp92.pdf" TargetMode="External"/><Relationship Id="rId30" Type="http://schemas.openxmlformats.org/officeDocument/2006/relationships/hyperlink" Target="https://www.efsa.europa.eu/en/efsajournal/pub/3846" TargetMode="External"/><Relationship Id="rId35" Type="http://schemas.openxmlformats.org/officeDocument/2006/relationships/hyperlink" Target="https://www.cabdirect.org/cabdirect/abstract/19522701751" TargetMode="External"/><Relationship Id="rId43" Type="http://schemas.openxmlformats.org/officeDocument/2006/relationships/hyperlink" Target="https://www.ncbi.nlm.nih.gov/pubmed/7599506" TargetMode="External"/><Relationship Id="rId48" Type="http://schemas.openxmlformats.org/officeDocument/2006/relationships/hyperlink" Target="https://echa.europa.eu/documents/10162/17224/information_requirements_r8_en.pdf/e153243a-03f0-44c5-8808-88af66223258?t=1353935239897" TargetMode="External"/><Relationship Id="rId56" Type="http://schemas.openxmlformats.org/officeDocument/2006/relationships/hyperlink" Target="https://static1.squarespace.com/static/61a4d2a041902b6d99f6407d/t/6398474ee4765d458f4237a4/1670924112327/SCOPE+D3.3+Human+Health+hazard+assessment+strategy.pdf" TargetMode="External"/><Relationship Id="rId8" Type="http://schemas.openxmlformats.org/officeDocument/2006/relationships/settings" Target="settings.xml"/><Relationship Id="rId51" Type="http://schemas.openxmlformats.org/officeDocument/2006/relationships/hyperlink" Target="https://www.hse.gov.uk/pubns/books/eh40.htm"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uk/browse/business/waste-environment" TargetMode="External"/><Relationship Id="rId25" Type="http://schemas.openxmlformats.org/officeDocument/2006/relationships/hyperlink" Target="mailto:Hannah" TargetMode="External"/><Relationship Id="rId33" Type="http://schemas.openxmlformats.org/officeDocument/2006/relationships/hyperlink" Target="https://academic.oup.com/annweh/article-abstract/10/1/3/159170?redirectedFrom=fulltext" TargetMode="External"/><Relationship Id="rId38" Type="http://schemas.openxmlformats.org/officeDocument/2006/relationships/hyperlink" Target="https://www.sciencedirect.com/science/article/pii/S1352231007006711" TargetMode="External"/><Relationship Id="rId46" Type="http://schemas.openxmlformats.org/officeDocument/2006/relationships/hyperlink" Target="https://echa.europa.eu/documents/10162/35f9602c-cb84-448f-9383-250e1a5ad350" TargetMode="External"/><Relationship Id="rId59" Type="http://schemas.openxmlformats.org/officeDocument/2006/relationships/hyperlink" Target="https://www.seco.admin.ch/seco/en/home/Arbeit/Arbeitsbedingungen/Chemikalien-und-Arbeit/Grenzwerte-am-Arbeitsplatz-DNEL.html" TargetMode="External"/><Relationship Id="rId20" Type="http://schemas.openxmlformats.org/officeDocument/2006/relationships/hyperlink" Target="https://www.gov.uk/guidance/air-emissions-risk-assessment-for-your-environmental-permit?msclkid=f8a8695cac2211ecb0599a845ea17d8e" TargetMode="External"/><Relationship Id="rId41" Type="http://schemas.openxmlformats.org/officeDocument/2006/relationships/hyperlink" Target="https://www.ncbi.nlm.nih.gov/pubmed/2535327" TargetMode="External"/><Relationship Id="rId54" Type="http://schemas.openxmlformats.org/officeDocument/2006/relationships/hyperlink" Target="https://www.fhi.no/globalassets/dokumenterfiler/rapporter/2011/health-effects-of-amines-and-derivatives-associated-with-co2-capture.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naturalresources.wales/splash?orig=/" TargetMode="External"/><Relationship Id="rId23" Type="http://schemas.openxmlformats.org/officeDocument/2006/relationships/hyperlink" Target="https://consult.environment-agency.gov.uk/environment-and-business/new-air-environmental-assessment-levels/" TargetMode="External"/><Relationship Id="rId28" Type="http://schemas.openxmlformats.org/officeDocument/2006/relationships/hyperlink" Target="https://www.sciencedirect.com/topics/earth-and-planetary-sciences/selenium" TargetMode="External"/><Relationship Id="rId36" Type="http://schemas.openxmlformats.org/officeDocument/2006/relationships/hyperlink" Target="http://www.inchem.org/documents/ehc/ehc/ehc58.htm" TargetMode="External"/><Relationship Id="rId49" Type="http://schemas.openxmlformats.org/officeDocument/2006/relationships/hyperlink" Target="https://efsa.onlinelibrary.wiley.com/doi/epdf/10.2903/j.efsa.2017.4786" TargetMode="External"/><Relationship Id="rId57" Type="http://schemas.openxmlformats.org/officeDocument/2006/relationships/hyperlink" Target="https://hpvchemicals.oecd.org/UI/handler.axd?id=fab0c5dd-0473-446e-9c90-a839404aa31f" TargetMode="External"/><Relationship Id="rId10" Type="http://schemas.openxmlformats.org/officeDocument/2006/relationships/footnotes" Target="footnotes.xml"/><Relationship Id="rId31" Type="http://schemas.openxmlformats.org/officeDocument/2006/relationships/hyperlink" Target="https://webarchive.nationalarchives.gov.uk/20140328111046/http:/www.environment-agency.gov.uk/research/planning/64002.aspx" TargetMode="External"/><Relationship Id="rId44" Type="http://schemas.openxmlformats.org/officeDocument/2006/relationships/hyperlink" Target="https://www.industrialchemicals.gov.au/sites/default/files/Piperazine_Human%20health%20tier%20II%20assessment.pdf" TargetMode="External"/><Relationship Id="rId52" Type="http://schemas.openxmlformats.org/officeDocument/2006/relationships/hyperlink" Target="http://www.iehconsulting.co.uk/IEH_Consulting/IEHCPubs/IGHRC/cr12.pdf" TargetMode="External"/><Relationship Id="rId60" Type="http://schemas.openxmlformats.org/officeDocument/2006/relationships/hyperlink" Target="https://apps.who.int/food-additives-contaminants-jecfa-database/Home/Chemical/4515"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registration-dossier/-/registered-dossier/11470/7/1" TargetMode="External"/><Relationship Id="rId2" Type="http://schemas.openxmlformats.org/officeDocument/2006/relationships/hyperlink" Target="https://echa.europa.eu/registration-dossier/-/registered-dossier/15204/7/1" TargetMode="External"/><Relationship Id="rId1" Type="http://schemas.openxmlformats.org/officeDocument/2006/relationships/hyperlink" Target="https://echa.europa.eu/registration-dossier/-/registered-dossier/15182" TargetMode="External"/><Relationship Id="rId5" Type="http://schemas.openxmlformats.org/officeDocument/2006/relationships/hyperlink" Target="https://echa.europa.eu/registration-dossier/-/registered-dossier/11204/7/1" TargetMode="External"/><Relationship Id="rId4" Type="http://schemas.openxmlformats.org/officeDocument/2006/relationships/hyperlink" Target="https://echa.europa.eu/registration-dossier/-/registered-dossier/2587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Dispersion modelling screening tools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4</Value>
      <Value>10</Value>
      <Value>2</Value>
      <Value>1</Value>
      <Value>3</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Air Quality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0C2E76EDBD50A438BCD0BA78411C115" ma:contentTypeVersion="30" ma:contentTypeDescription="Create a new document." ma:contentTypeScope="" ma:versionID="776899797d359cb41149a2183305281f">
  <xsd:schema xmlns:xsd="http://www.w3.org/2001/XMLSchema" xmlns:xs="http://www.w3.org/2001/XMLSchema" xmlns:p="http://schemas.microsoft.com/office/2006/metadata/properties" xmlns:ns2="662745e8-e224-48e8-a2e3-254862b8c2f5" xmlns:ns3="def9fa07-0895-4e53-9ee3-bb0f27456afb" xmlns:ns4="bcf0c4a2-bdb8-4817-92bc-a56b87adadb7" targetNamespace="http://schemas.microsoft.com/office/2006/metadata/properties" ma:root="true" ma:fieldsID="1b21b779f917da26b25b7d813b3f1105" ns2:_="" ns3:_="" ns4:_="">
    <xsd:import namespace="662745e8-e224-48e8-a2e3-254862b8c2f5"/>
    <xsd:import namespace="def9fa07-0895-4e53-9ee3-bb0f27456afb"/>
    <xsd:import namespace="bcf0c4a2-bdb8-4817-92bc-a56b87adadb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fc7800f-ff9a-41b3-9978-dab3ee3ecb2f}" ma:internalName="TaxCatchAll" ma:showField="CatchAllData" ma:web="bcf0c4a2-bdb8-4817-92bc-a56b87adad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7800f-ff9a-41b3-9978-dab3ee3ecb2f}" ma:internalName="TaxCatchAllLabel" ma:readOnly="true" ma:showField="CatchAllDataLabel" ma:web="bcf0c4a2-bdb8-4817-92bc-a56b87adadb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Air Quality" ma:internalName="Team">
      <xsd:simpleType>
        <xsd:restriction base="dms:Text"/>
      </xsd:simpleType>
    </xsd:element>
    <xsd:element name="Topic" ma:index="20" nillable="true" ma:displayName="Topic" ma:default="Environmental Assessment Levels (EAL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4;#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9fa07-0895-4e53-9ee3-bb0f27456af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0c4a2-bdb8-4817-92bc-a56b87adadb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8D4F8F3C-4B5E-484D-A3F5-037AD2E49E72}">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2FEEC804-E018-449F-B1F6-0DCDA7C5AAD9}">
  <ds:schemaRefs>
    <ds:schemaRef ds:uri="http://schemas.openxmlformats.org/officeDocument/2006/bibliography"/>
  </ds:schemaRefs>
</ds:datastoreItem>
</file>

<file path=customXml/itemProps3.xml><?xml version="1.0" encoding="utf-8"?>
<ds:datastoreItem xmlns:ds="http://schemas.openxmlformats.org/officeDocument/2006/customXml" ds:itemID="{F970AE50-8C45-4257-841C-2742956E281C}">
  <ds:schemaRefs>
    <ds:schemaRef ds:uri="http://schemas.microsoft.com/sharepoint/v3/contenttype/forms"/>
  </ds:schemaRefs>
</ds:datastoreItem>
</file>

<file path=customXml/itemProps4.xml><?xml version="1.0" encoding="utf-8"?>
<ds:datastoreItem xmlns:ds="http://schemas.openxmlformats.org/officeDocument/2006/customXml" ds:itemID="{8C38327D-F2AE-435F-8B29-8E077A9F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9fa07-0895-4e53-9ee3-bb0f27456afb"/>
    <ds:schemaRef ds:uri="bcf0c4a2-bdb8-4817-92bc-a56b87ada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54BC62-FB89-4B3D-8787-F3F51DBAFD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34</Pages>
  <Words>17356</Words>
  <Characters>101666</Characters>
  <Application>Microsoft Office Word</Application>
  <DocSecurity>0</DocSecurity>
  <Lines>847</Lines>
  <Paragraphs>237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118785</CharactersWithSpaces>
  <SharedDoc>false</SharedDoc>
  <HLinks>
    <vt:vector size="84" baseType="variant">
      <vt:variant>
        <vt:i4>4128865</vt:i4>
      </vt:variant>
      <vt:variant>
        <vt:i4>30</vt:i4>
      </vt:variant>
      <vt:variant>
        <vt:i4>0</vt:i4>
      </vt:variant>
      <vt:variant>
        <vt:i4>5</vt:i4>
      </vt:variant>
      <vt:variant>
        <vt:lpwstr>https://www.gov.uk/government/organisations/environment-agency/about/equality-and-diversity</vt:lpwstr>
      </vt:variant>
      <vt:variant>
        <vt:lpwstr/>
      </vt:variant>
      <vt:variant>
        <vt:i4>7929888</vt:i4>
      </vt:variant>
      <vt:variant>
        <vt:i4>27</vt:i4>
      </vt:variant>
      <vt:variant>
        <vt:i4>0</vt:i4>
      </vt:variant>
      <vt:variant>
        <vt:i4>5</vt:i4>
      </vt:variant>
      <vt:variant>
        <vt:lpwstr>https://consult.environment-agency.gov.uk/environment-and-business/new-air-environmental-assessment-levels/</vt:lpwstr>
      </vt:variant>
      <vt:variant>
        <vt:lpwstr/>
      </vt:variant>
      <vt:variant>
        <vt:i4>77</vt:i4>
      </vt:variant>
      <vt:variant>
        <vt:i4>24</vt:i4>
      </vt:variant>
      <vt:variant>
        <vt:i4>0</vt:i4>
      </vt:variant>
      <vt:variant>
        <vt:i4>5</vt:i4>
      </vt:variant>
      <vt:variant>
        <vt:lpwstr>https://www.gov.uk/government/consultations/derivation-of-new-environmental-assessment-levels-to-air</vt:lpwstr>
      </vt:variant>
      <vt:variant>
        <vt:lpwstr/>
      </vt:variant>
      <vt:variant>
        <vt:i4>3145777</vt:i4>
      </vt:variant>
      <vt:variant>
        <vt:i4>21</vt:i4>
      </vt:variant>
      <vt:variant>
        <vt:i4>0</vt:i4>
      </vt:variant>
      <vt:variant>
        <vt:i4>5</vt:i4>
      </vt:variant>
      <vt:variant>
        <vt:lpwstr>https://www.gov.uk/guidance/air-emissions-risk-assessment-for-your-environmental-permit</vt:lpwstr>
      </vt:variant>
      <vt:variant>
        <vt:lpwstr>environmental-standards-for-air-emissions</vt:lpwstr>
      </vt:variant>
      <vt:variant>
        <vt:i4>327749</vt:i4>
      </vt:variant>
      <vt:variant>
        <vt:i4>18</vt:i4>
      </vt:variant>
      <vt:variant>
        <vt:i4>0</vt:i4>
      </vt:variant>
      <vt:variant>
        <vt:i4>5</vt:i4>
      </vt:variant>
      <vt:variant>
        <vt:lpwstr>mailto:Hannah</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ariant>
        <vt:i4>2162805</vt:i4>
      </vt:variant>
      <vt:variant>
        <vt:i4>6</vt:i4>
      </vt:variant>
      <vt:variant>
        <vt:i4>0</vt:i4>
      </vt:variant>
      <vt:variant>
        <vt:i4>5</vt:i4>
      </vt:variant>
      <vt:variant>
        <vt:lpwstr>https://echa.europa.eu/registration-dossier/-/registered-dossier/15808/7/1</vt:lpwstr>
      </vt:variant>
      <vt:variant>
        <vt:lpwstr/>
      </vt:variant>
      <vt:variant>
        <vt:i4>2162805</vt:i4>
      </vt:variant>
      <vt:variant>
        <vt:i4>3</vt:i4>
      </vt:variant>
      <vt:variant>
        <vt:i4>0</vt:i4>
      </vt:variant>
      <vt:variant>
        <vt:i4>5</vt:i4>
      </vt:variant>
      <vt:variant>
        <vt:lpwstr>https://echa.europa.eu/registration-dossier/-/registered-dossier/15808/7/1</vt:lpwstr>
      </vt:variant>
      <vt:variant>
        <vt:lpwstr/>
      </vt:variant>
      <vt:variant>
        <vt:i4>2162805</vt:i4>
      </vt:variant>
      <vt:variant>
        <vt:i4>0</vt:i4>
      </vt:variant>
      <vt:variant>
        <vt:i4>0</vt:i4>
      </vt:variant>
      <vt:variant>
        <vt:i4>5</vt:i4>
      </vt:variant>
      <vt:variant>
        <vt:lpwstr>https://echa.europa.eu/registration-dossier/-/registered-dossier/15808/7/1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Hodson-Jeffery, Hannah</cp:lastModifiedBy>
  <cp:revision>112</cp:revision>
  <cp:lastPrinted>2016-03-18T08:32:00Z</cp:lastPrinted>
  <dcterms:created xsi:type="dcterms:W3CDTF">2024-10-07T08:46:00Z</dcterms:created>
  <dcterms:modified xsi:type="dcterms:W3CDTF">2024-11-05T11:25:00Z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0x010100A5BF1C78D9F64B679A5EBDE1C6598EBC010070C2E76EDBD50A438BCD0BA78411C115</vt:lpwstr>
  </property>
  <property fmtid="{D5CDD505-2E9C-101B-9397-08002B2CF9AE}" pid="4" name="InformationType">
    <vt:lpwstr/>
  </property>
  <property fmtid="{D5CDD505-2E9C-101B-9397-08002B2CF9AE}" pid="5" name="Distribution">
    <vt:lpwstr>4;#Internal EA|b77da37e-7166-4741-8c12-4679faab22d9</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10;#Community|144ac7d7-0b9a-42f9-9385-2935294b6de3</vt:lpwstr>
  </property>
  <property fmtid="{D5CDD505-2E9C-101B-9397-08002B2CF9AE}" pid="9" name="OrganisationalUnit">
    <vt:lpwstr>3;#EA|d5f78ddb-b1b6-4328-9877-d7e3ed06fdac</vt:lpwstr>
  </property>
</Properties>
</file>