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CDEE2" w14:textId="77777777" w:rsidR="00C643B5" w:rsidRPr="00916542" w:rsidRDefault="00C643B5" w:rsidP="00C643B5">
      <w:pPr>
        <w:pStyle w:val="Default"/>
        <w:rPr>
          <w:rFonts w:ascii="Arial" w:hAnsi="Arial" w:cs="Arial"/>
          <w:b/>
          <w:sz w:val="22"/>
          <w:szCs w:val="22"/>
        </w:rPr>
      </w:pPr>
      <w:r w:rsidRPr="00916542">
        <w:rPr>
          <w:rFonts w:ascii="Arial" w:hAnsi="Arial" w:cs="Arial"/>
          <w:b/>
          <w:sz w:val="22"/>
          <w:szCs w:val="22"/>
        </w:rPr>
        <w:t xml:space="preserve">Cranfield </w:t>
      </w:r>
      <w:r w:rsidR="00097E55" w:rsidRPr="00916542">
        <w:rPr>
          <w:rFonts w:ascii="Arial" w:hAnsi="Arial" w:cs="Arial"/>
          <w:b/>
          <w:sz w:val="22"/>
          <w:szCs w:val="22"/>
        </w:rPr>
        <w:t xml:space="preserve">University (CERF) </w:t>
      </w:r>
      <w:r w:rsidRPr="00916542">
        <w:rPr>
          <w:rFonts w:ascii="Arial" w:hAnsi="Arial" w:cs="Arial"/>
          <w:b/>
          <w:sz w:val="22"/>
          <w:szCs w:val="22"/>
        </w:rPr>
        <w:t>risk assessment method for horizon scanning outputs</w:t>
      </w:r>
    </w:p>
    <w:p w14:paraId="364F310F" w14:textId="77777777" w:rsidR="00C643B5" w:rsidRPr="00916542" w:rsidRDefault="00C643B5" w:rsidP="00C643B5">
      <w:pPr>
        <w:pStyle w:val="Default"/>
        <w:rPr>
          <w:rFonts w:ascii="Arial" w:hAnsi="Arial" w:cs="Arial"/>
          <w:sz w:val="22"/>
          <w:szCs w:val="22"/>
        </w:rPr>
      </w:pPr>
    </w:p>
    <w:p w14:paraId="1719E5B1" w14:textId="77777777" w:rsidR="00097E55" w:rsidRPr="00916542" w:rsidRDefault="00097E55" w:rsidP="00C643B5">
      <w:pPr>
        <w:pStyle w:val="Default"/>
        <w:rPr>
          <w:rFonts w:ascii="Arial" w:hAnsi="Arial" w:cs="Arial"/>
          <w:sz w:val="22"/>
          <w:szCs w:val="22"/>
        </w:rPr>
      </w:pPr>
      <w:r w:rsidRPr="00916542">
        <w:rPr>
          <w:rFonts w:ascii="Arial" w:hAnsi="Arial" w:cs="Arial"/>
          <w:sz w:val="22"/>
          <w:szCs w:val="22"/>
        </w:rPr>
        <w:t>This was done in 2 ways:</w:t>
      </w:r>
    </w:p>
    <w:p w14:paraId="578D7797" w14:textId="77777777" w:rsidR="00097E55" w:rsidRDefault="00097E55" w:rsidP="00C643B5">
      <w:pPr>
        <w:pStyle w:val="Default"/>
        <w:rPr>
          <w:sz w:val="22"/>
          <w:szCs w:val="22"/>
        </w:rPr>
      </w:pPr>
    </w:p>
    <w:p w14:paraId="6931AFD9" w14:textId="77777777" w:rsidR="00C643B5" w:rsidRPr="00C643B5" w:rsidRDefault="00C643B5" w:rsidP="00C643B5">
      <w:pPr>
        <w:pStyle w:val="Default"/>
        <w:rPr>
          <w:rFonts w:ascii="Arial" w:hAnsi="Arial" w:cs="Arial"/>
          <w:b/>
          <w:sz w:val="22"/>
          <w:szCs w:val="22"/>
        </w:rPr>
      </w:pPr>
      <w:r w:rsidRPr="00C643B5">
        <w:rPr>
          <w:rFonts w:ascii="Arial" w:hAnsi="Arial" w:cs="Arial"/>
          <w:b/>
          <w:sz w:val="22"/>
          <w:szCs w:val="22"/>
        </w:rPr>
        <w:t>Importance of trends – Annual Key Factors report 2013</w:t>
      </w:r>
    </w:p>
    <w:p w14:paraId="3234096D" w14:textId="77777777" w:rsidR="00C643B5" w:rsidRDefault="00C643B5" w:rsidP="00C643B5">
      <w:pPr>
        <w:pStyle w:val="Default"/>
        <w:rPr>
          <w:rFonts w:ascii="Arial" w:hAnsi="Arial" w:cs="Arial"/>
          <w:sz w:val="22"/>
          <w:szCs w:val="22"/>
        </w:rPr>
      </w:pPr>
    </w:p>
    <w:p w14:paraId="115A5C2A" w14:textId="77777777" w:rsidR="009F384D" w:rsidRDefault="00C643B5" w:rsidP="00C643B5">
      <w:pPr>
        <w:pStyle w:val="Default"/>
        <w:jc w:val="both"/>
        <w:rPr>
          <w:rFonts w:ascii="Arial" w:hAnsi="Arial" w:cs="Arial"/>
          <w:color w:val="auto"/>
          <w:sz w:val="22"/>
          <w:szCs w:val="22"/>
        </w:rPr>
      </w:pPr>
      <w:r w:rsidRPr="00C643B5">
        <w:rPr>
          <w:rFonts w:ascii="Arial" w:hAnsi="Arial" w:cs="Arial"/>
          <w:sz w:val="22"/>
          <w:szCs w:val="22"/>
        </w:rPr>
        <w:t xml:space="preserve">Expert elicitation is used to give trends under each key factor an importance score. This serves as an indicator of the likely level of risk and/or opportunity associated with each. A semi-quantitative assessment (adapted from the World Economic Forum ‘Global </w:t>
      </w:r>
      <w:r w:rsidRPr="00C643B5">
        <w:rPr>
          <w:rFonts w:ascii="Arial" w:hAnsi="Arial" w:cs="Arial"/>
          <w:color w:val="auto"/>
          <w:sz w:val="22"/>
          <w:szCs w:val="22"/>
        </w:rPr>
        <w:t>Risks 2013’) was conducted by a range of experts, strategists and analysts from government and academia. Each participant assigned the trend a nominal score between one and five to indicate importance for the UK environment, including marine, terrestrial and food systems (5 high importance, 1 low importance). The importance score considered both negative and positive impacts (</w:t>
      </w:r>
      <w:proofErr w:type="gramStart"/>
      <w:r w:rsidRPr="00C643B5">
        <w:rPr>
          <w:rFonts w:ascii="Arial" w:hAnsi="Arial" w:cs="Arial"/>
          <w:color w:val="auto"/>
          <w:sz w:val="22"/>
          <w:szCs w:val="22"/>
        </w:rPr>
        <w:t>i.e.</w:t>
      </w:r>
      <w:proofErr w:type="gramEnd"/>
      <w:r w:rsidRPr="00C643B5">
        <w:rPr>
          <w:rFonts w:ascii="Arial" w:hAnsi="Arial" w:cs="Arial"/>
          <w:color w:val="auto"/>
          <w:sz w:val="22"/>
          <w:szCs w:val="22"/>
        </w:rPr>
        <w:t xml:space="preserve"> the trend could have presented a risk or opportunity or elements of both). Participants were also asked to select the time horizon in which they felt the main impacts of the trend will be felt in the UK (1-3 years, 4-10 </w:t>
      </w:r>
      <w:proofErr w:type="gramStart"/>
      <w:r w:rsidRPr="00C643B5">
        <w:rPr>
          <w:rFonts w:ascii="Arial" w:hAnsi="Arial" w:cs="Arial"/>
          <w:color w:val="auto"/>
          <w:sz w:val="22"/>
          <w:szCs w:val="22"/>
        </w:rPr>
        <w:t>years</w:t>
      </w:r>
      <w:proofErr w:type="gramEnd"/>
      <w:r w:rsidRPr="00C643B5">
        <w:rPr>
          <w:rFonts w:ascii="Arial" w:hAnsi="Arial" w:cs="Arial"/>
          <w:color w:val="auto"/>
          <w:sz w:val="22"/>
          <w:szCs w:val="22"/>
        </w:rPr>
        <w:t xml:space="preserve"> or 10+ years). These scores are subjective and intended only to distinguish between issues identified in a relative sense.</w:t>
      </w:r>
    </w:p>
    <w:p w14:paraId="528E6843" w14:textId="77777777" w:rsidR="00C643B5" w:rsidRDefault="00C643B5" w:rsidP="00C643B5">
      <w:pPr>
        <w:pStyle w:val="Default"/>
        <w:jc w:val="both"/>
        <w:rPr>
          <w:rFonts w:ascii="Arial" w:hAnsi="Arial" w:cs="Arial"/>
          <w:color w:val="auto"/>
          <w:sz w:val="22"/>
          <w:szCs w:val="22"/>
        </w:rPr>
      </w:pPr>
    </w:p>
    <w:p w14:paraId="3C42A43D" w14:textId="77777777" w:rsidR="00097E55" w:rsidRPr="00097E55" w:rsidRDefault="00097E55" w:rsidP="00097E55">
      <w:pPr>
        <w:spacing w:line="240" w:lineRule="auto"/>
        <w:jc w:val="both"/>
        <w:rPr>
          <w:rFonts w:ascii="Arial" w:hAnsi="Arial" w:cs="Arial"/>
          <w:b/>
        </w:rPr>
      </w:pPr>
      <w:r w:rsidRPr="00097E55">
        <w:rPr>
          <w:rFonts w:ascii="Arial" w:hAnsi="Arial" w:cs="Arial"/>
          <w:b/>
        </w:rPr>
        <w:t>Risk prioritisation &amp; Time Horizon</w:t>
      </w:r>
      <w:r>
        <w:rPr>
          <w:rFonts w:ascii="Arial" w:hAnsi="Arial" w:cs="Arial"/>
          <w:b/>
        </w:rPr>
        <w:t xml:space="preserve"> – bespoke scanning</w:t>
      </w:r>
    </w:p>
    <w:p w14:paraId="63A38017" w14:textId="77777777" w:rsidR="00097E55" w:rsidRPr="00097E55" w:rsidRDefault="00097E55" w:rsidP="00097E55">
      <w:pPr>
        <w:spacing w:line="240" w:lineRule="auto"/>
        <w:jc w:val="both"/>
        <w:rPr>
          <w:rFonts w:ascii="Arial" w:hAnsi="Arial" w:cs="Arial"/>
        </w:rPr>
      </w:pPr>
      <w:r w:rsidRPr="00097E55">
        <w:rPr>
          <w:rFonts w:ascii="Arial" w:hAnsi="Arial" w:cs="Arial"/>
        </w:rPr>
        <w:t xml:space="preserve">The risk prioritisation step used the expertise of the CERF team and Natural England staff to assign a risk prioritisation score to each insight. The </w:t>
      </w:r>
      <w:r w:rsidRPr="00097E55">
        <w:rPr>
          <w:rFonts w:ascii="Arial" w:hAnsi="Arial" w:cs="Arial"/>
          <w:b/>
        </w:rPr>
        <w:t>likelihood</w:t>
      </w:r>
      <w:r w:rsidRPr="00097E55">
        <w:rPr>
          <w:rFonts w:ascii="Arial" w:hAnsi="Arial" w:cs="Arial"/>
        </w:rPr>
        <w:t xml:space="preserve"> was taken to mean the chance of the insight occurring in the UK (1 = Not likely; 2 = Moderately likely; 3 = Very likely) while the </w:t>
      </w:r>
      <w:r w:rsidRPr="00097E55">
        <w:rPr>
          <w:rFonts w:ascii="Arial" w:hAnsi="Arial" w:cs="Arial"/>
          <w:b/>
        </w:rPr>
        <w:t xml:space="preserve">potential environmental, </w:t>
      </w:r>
      <w:proofErr w:type="gramStart"/>
      <w:r w:rsidRPr="00097E55">
        <w:rPr>
          <w:rFonts w:ascii="Arial" w:hAnsi="Arial" w:cs="Arial"/>
          <w:b/>
        </w:rPr>
        <w:t>social</w:t>
      </w:r>
      <w:proofErr w:type="gramEnd"/>
      <w:r w:rsidRPr="00097E55">
        <w:rPr>
          <w:rFonts w:ascii="Arial" w:hAnsi="Arial" w:cs="Arial"/>
          <w:b/>
        </w:rPr>
        <w:t xml:space="preserve"> and economic impacts</w:t>
      </w:r>
      <w:r w:rsidRPr="00097E55">
        <w:rPr>
          <w:rFonts w:ascii="Arial" w:hAnsi="Arial" w:cs="Arial"/>
        </w:rPr>
        <w:t xml:space="preserve"> (1 = Low impact; 2 = Moderate impact; 3 = High impact) were assessed relative to the UK as a whole, rather than just the location/industry concerned.  </w:t>
      </w:r>
    </w:p>
    <w:p w14:paraId="1275DA95" w14:textId="77777777" w:rsidR="001D7C96" w:rsidRPr="001D7C96" w:rsidRDefault="00097E55" w:rsidP="001D7C96">
      <w:pPr>
        <w:jc w:val="both"/>
        <w:rPr>
          <w:rFonts w:ascii="Arial" w:hAnsi="Arial"/>
        </w:rPr>
      </w:pPr>
      <w:r w:rsidRPr="001D7C96">
        <w:rPr>
          <w:rFonts w:ascii="Arial" w:hAnsi="Arial" w:cs="Arial"/>
        </w:rPr>
        <w:t>The resulting ‘Total’ risk prioritisation score is the mathematical product of the likelihood score and the average impact score, and thus has a range of 1 to 9.</w:t>
      </w:r>
      <w:r w:rsidR="001D7C96" w:rsidRPr="001D7C96">
        <w:rPr>
          <w:rFonts w:ascii="Arial" w:hAnsi="Arial" w:cs="Arial"/>
        </w:rPr>
        <w:t xml:space="preserve"> The total</w:t>
      </w:r>
      <w:r w:rsidR="001D7C96" w:rsidRPr="001D7C96">
        <w:rPr>
          <w:rFonts w:ascii="Arial" w:hAnsi="Arial"/>
        </w:rPr>
        <w:t xml:space="preserve"> is derived by adding up the economic, </w:t>
      </w:r>
      <w:proofErr w:type="gramStart"/>
      <w:r w:rsidR="001D7C96" w:rsidRPr="001D7C96">
        <w:rPr>
          <w:rFonts w:ascii="Arial" w:hAnsi="Arial"/>
        </w:rPr>
        <w:t>social</w:t>
      </w:r>
      <w:proofErr w:type="gramEnd"/>
      <w:r w:rsidR="001D7C96" w:rsidRPr="001D7C96">
        <w:rPr>
          <w:rFonts w:ascii="Arial" w:hAnsi="Arial"/>
        </w:rPr>
        <w:t xml:space="preserve"> and environmental scores and then dividing that by three (to get an average ‘impact’ score), and then multiplying by the likelihood.</w:t>
      </w:r>
    </w:p>
    <w:p w14:paraId="4E4F5301" w14:textId="77777777" w:rsidR="00097E55" w:rsidRDefault="00097E55" w:rsidP="00097E55">
      <w:pPr>
        <w:spacing w:line="240" w:lineRule="auto"/>
        <w:jc w:val="both"/>
        <w:rPr>
          <w:rFonts w:ascii="Arial" w:hAnsi="Arial" w:cs="Arial"/>
        </w:rPr>
      </w:pPr>
      <w:r w:rsidRPr="00097E55">
        <w:rPr>
          <w:rFonts w:ascii="Arial" w:hAnsi="Arial" w:cs="Arial"/>
        </w:rPr>
        <w:t>The time horizon refers to the likely timing of the impacts (1 = 1-3 years; 2 = 3-10 years; 3 = 10+ years)</w:t>
      </w:r>
      <w:r>
        <w:rPr>
          <w:rFonts w:ascii="Arial" w:hAnsi="Arial" w:cs="Arial"/>
        </w:rPr>
        <w:t>.</w:t>
      </w:r>
      <w:r w:rsidRPr="00097E55">
        <w:rPr>
          <w:rFonts w:ascii="Arial" w:hAnsi="Arial" w:cs="Arial"/>
        </w:rPr>
        <w:t xml:space="preserve"> </w:t>
      </w:r>
    </w:p>
    <w:p w14:paraId="54303523" w14:textId="77777777" w:rsidR="00097E55" w:rsidRPr="00097E55" w:rsidRDefault="00097E55" w:rsidP="00097E55">
      <w:pPr>
        <w:spacing w:line="240" w:lineRule="auto"/>
        <w:jc w:val="both"/>
        <w:rPr>
          <w:rFonts w:ascii="Arial" w:hAnsi="Arial" w:cs="Arial"/>
        </w:rPr>
      </w:pPr>
      <w:r>
        <w:rPr>
          <w:rFonts w:ascii="Arial" w:hAnsi="Arial" w:cs="Arial"/>
        </w:rPr>
        <w:t>For example – insight on novel ecosystems here to stay</w:t>
      </w:r>
      <w:r w:rsidR="001D7C96">
        <w:rPr>
          <w:rFonts w:ascii="Arial" w:hAnsi="Arial" w:cs="Arial"/>
        </w:rPr>
        <w:t>, importance of 5, divided by 3 for average x3 likelihood = total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15"/>
        <w:gridCol w:w="1604"/>
        <w:gridCol w:w="1701"/>
        <w:gridCol w:w="1490"/>
        <w:gridCol w:w="1548"/>
      </w:tblGrid>
      <w:tr w:rsidR="00097E55" w:rsidRPr="00097E55" w14:paraId="6CC6B6C8" w14:textId="77777777" w:rsidTr="005828CB">
        <w:tc>
          <w:tcPr>
            <w:tcW w:w="1384" w:type="dxa"/>
            <w:vMerge w:val="restart"/>
            <w:shd w:val="clear" w:color="auto" w:fill="4F81BD"/>
          </w:tcPr>
          <w:p w14:paraId="58736F82" w14:textId="77777777" w:rsidR="00097E55" w:rsidRPr="00097E55" w:rsidRDefault="00097E55" w:rsidP="00097E55">
            <w:pPr>
              <w:spacing w:after="0" w:line="240" w:lineRule="auto"/>
              <w:jc w:val="center"/>
              <w:rPr>
                <w:b/>
                <w:bCs/>
                <w:color w:val="FFFFFF"/>
                <w:sz w:val="20"/>
                <w:szCs w:val="20"/>
              </w:rPr>
            </w:pPr>
            <w:r w:rsidRPr="00097E55">
              <w:rPr>
                <w:b/>
                <w:bCs/>
                <w:color w:val="FFFFFF"/>
                <w:sz w:val="20"/>
                <w:szCs w:val="20"/>
              </w:rPr>
              <w:t>Time Horizon</w:t>
            </w:r>
          </w:p>
        </w:tc>
        <w:tc>
          <w:tcPr>
            <w:tcW w:w="6310" w:type="dxa"/>
            <w:gridSpan w:val="4"/>
            <w:shd w:val="clear" w:color="auto" w:fill="9BBB59"/>
          </w:tcPr>
          <w:p w14:paraId="5F89A85D" w14:textId="77777777" w:rsidR="00097E55" w:rsidRPr="00097E55" w:rsidRDefault="00097E55" w:rsidP="00097E55">
            <w:pPr>
              <w:spacing w:after="0" w:line="240" w:lineRule="auto"/>
              <w:jc w:val="center"/>
              <w:rPr>
                <w:b/>
                <w:bCs/>
                <w:color w:val="FFFFFF"/>
                <w:sz w:val="20"/>
                <w:szCs w:val="20"/>
              </w:rPr>
            </w:pPr>
            <w:r w:rsidRPr="00097E55">
              <w:rPr>
                <w:b/>
                <w:bCs/>
                <w:color w:val="FFFFFF"/>
                <w:sz w:val="20"/>
                <w:szCs w:val="20"/>
              </w:rPr>
              <w:t>Importance</w:t>
            </w:r>
          </w:p>
        </w:tc>
        <w:tc>
          <w:tcPr>
            <w:tcW w:w="1548" w:type="dxa"/>
            <w:vMerge w:val="restart"/>
            <w:shd w:val="clear" w:color="auto" w:fill="4F81BD"/>
          </w:tcPr>
          <w:p w14:paraId="3F0CE555" w14:textId="77777777" w:rsidR="00097E55" w:rsidRPr="00097E55" w:rsidRDefault="00097E55" w:rsidP="00097E55">
            <w:pPr>
              <w:spacing w:after="0" w:line="240" w:lineRule="auto"/>
              <w:jc w:val="center"/>
              <w:rPr>
                <w:b/>
                <w:bCs/>
                <w:color w:val="FFFFFF"/>
                <w:sz w:val="20"/>
                <w:szCs w:val="20"/>
              </w:rPr>
            </w:pPr>
            <w:r w:rsidRPr="00097E55">
              <w:rPr>
                <w:b/>
                <w:bCs/>
                <w:color w:val="FFFFFF"/>
                <w:sz w:val="20"/>
                <w:szCs w:val="20"/>
              </w:rPr>
              <w:t>Likelihood</w:t>
            </w:r>
          </w:p>
        </w:tc>
      </w:tr>
      <w:tr w:rsidR="00097E55" w:rsidRPr="00097E55" w14:paraId="2E09AEE1" w14:textId="77777777" w:rsidTr="005828CB">
        <w:tc>
          <w:tcPr>
            <w:tcW w:w="1384" w:type="dxa"/>
            <w:vMerge/>
          </w:tcPr>
          <w:p w14:paraId="1E5F0CBF" w14:textId="77777777" w:rsidR="00097E55" w:rsidRPr="00097E55" w:rsidRDefault="00097E55" w:rsidP="00097E55">
            <w:pPr>
              <w:spacing w:after="0" w:line="240" w:lineRule="auto"/>
              <w:rPr>
                <w:b/>
                <w:bCs/>
                <w:sz w:val="20"/>
                <w:szCs w:val="20"/>
              </w:rPr>
            </w:pPr>
          </w:p>
        </w:tc>
        <w:tc>
          <w:tcPr>
            <w:tcW w:w="1515" w:type="dxa"/>
            <w:shd w:val="clear" w:color="auto" w:fill="9BBB59"/>
          </w:tcPr>
          <w:p w14:paraId="3F78B90E" w14:textId="77777777" w:rsidR="00097E55" w:rsidRPr="00097E55" w:rsidRDefault="00097E55" w:rsidP="00097E55">
            <w:pPr>
              <w:spacing w:after="0" w:line="240" w:lineRule="auto"/>
              <w:jc w:val="center"/>
              <w:rPr>
                <w:b/>
                <w:color w:val="FFFFFF"/>
                <w:sz w:val="20"/>
                <w:szCs w:val="20"/>
              </w:rPr>
            </w:pPr>
            <w:r w:rsidRPr="00097E55">
              <w:rPr>
                <w:b/>
                <w:color w:val="FFFFFF"/>
                <w:sz w:val="20"/>
                <w:szCs w:val="20"/>
              </w:rPr>
              <w:t>Total</w:t>
            </w:r>
          </w:p>
        </w:tc>
        <w:tc>
          <w:tcPr>
            <w:tcW w:w="1604" w:type="dxa"/>
            <w:shd w:val="clear" w:color="auto" w:fill="9BBB59"/>
          </w:tcPr>
          <w:p w14:paraId="1560145F" w14:textId="77777777" w:rsidR="00097E55" w:rsidRPr="00097E55" w:rsidRDefault="00097E55" w:rsidP="00097E55">
            <w:pPr>
              <w:spacing w:after="0" w:line="240" w:lineRule="auto"/>
              <w:jc w:val="center"/>
              <w:rPr>
                <w:b/>
                <w:color w:val="FFFFFF"/>
                <w:sz w:val="20"/>
                <w:szCs w:val="20"/>
              </w:rPr>
            </w:pPr>
            <w:r w:rsidRPr="00097E55">
              <w:rPr>
                <w:b/>
                <w:color w:val="FFFFFF"/>
                <w:sz w:val="20"/>
                <w:szCs w:val="20"/>
              </w:rPr>
              <w:t>Economic</w:t>
            </w:r>
          </w:p>
        </w:tc>
        <w:tc>
          <w:tcPr>
            <w:tcW w:w="1701" w:type="dxa"/>
            <w:shd w:val="clear" w:color="auto" w:fill="9BBB59"/>
          </w:tcPr>
          <w:p w14:paraId="21FA4287" w14:textId="77777777" w:rsidR="00097E55" w:rsidRPr="00097E55" w:rsidRDefault="00097E55" w:rsidP="00097E55">
            <w:pPr>
              <w:spacing w:after="0" w:line="240" w:lineRule="auto"/>
              <w:jc w:val="center"/>
              <w:rPr>
                <w:b/>
                <w:color w:val="FFFFFF"/>
                <w:sz w:val="20"/>
                <w:szCs w:val="20"/>
              </w:rPr>
            </w:pPr>
            <w:r w:rsidRPr="00097E55">
              <w:rPr>
                <w:b/>
                <w:color w:val="FFFFFF"/>
                <w:sz w:val="20"/>
                <w:szCs w:val="20"/>
              </w:rPr>
              <w:t>Environmental</w:t>
            </w:r>
          </w:p>
        </w:tc>
        <w:tc>
          <w:tcPr>
            <w:tcW w:w="1490" w:type="dxa"/>
            <w:shd w:val="clear" w:color="auto" w:fill="9BBB59"/>
          </w:tcPr>
          <w:p w14:paraId="18D6E97F" w14:textId="77777777" w:rsidR="00097E55" w:rsidRPr="00097E55" w:rsidRDefault="00097E55" w:rsidP="00097E55">
            <w:pPr>
              <w:spacing w:after="0" w:line="240" w:lineRule="auto"/>
              <w:jc w:val="center"/>
              <w:rPr>
                <w:b/>
                <w:color w:val="FFFFFF"/>
                <w:sz w:val="20"/>
                <w:szCs w:val="20"/>
              </w:rPr>
            </w:pPr>
            <w:r w:rsidRPr="00097E55">
              <w:rPr>
                <w:b/>
                <w:color w:val="FFFFFF"/>
                <w:sz w:val="20"/>
                <w:szCs w:val="20"/>
              </w:rPr>
              <w:t>Social</w:t>
            </w:r>
          </w:p>
        </w:tc>
        <w:tc>
          <w:tcPr>
            <w:tcW w:w="1548" w:type="dxa"/>
            <w:vMerge/>
          </w:tcPr>
          <w:p w14:paraId="07C86650" w14:textId="77777777" w:rsidR="00097E55" w:rsidRPr="00097E55" w:rsidRDefault="00097E55" w:rsidP="00097E55">
            <w:pPr>
              <w:spacing w:after="0" w:line="240" w:lineRule="auto"/>
              <w:rPr>
                <w:sz w:val="20"/>
                <w:szCs w:val="20"/>
              </w:rPr>
            </w:pPr>
          </w:p>
        </w:tc>
      </w:tr>
      <w:tr w:rsidR="00097E55" w:rsidRPr="00097E55" w14:paraId="58F725F3" w14:textId="77777777" w:rsidTr="005828CB">
        <w:tc>
          <w:tcPr>
            <w:tcW w:w="1384" w:type="dxa"/>
          </w:tcPr>
          <w:p w14:paraId="4486C0D5" w14:textId="77777777" w:rsidR="00097E55" w:rsidRPr="00097E55" w:rsidRDefault="00097E55" w:rsidP="00097E55">
            <w:pPr>
              <w:spacing w:after="0" w:line="240" w:lineRule="auto"/>
              <w:jc w:val="center"/>
              <w:rPr>
                <w:b/>
                <w:bCs/>
                <w:sz w:val="20"/>
                <w:szCs w:val="20"/>
              </w:rPr>
            </w:pPr>
            <w:r w:rsidRPr="00097E55">
              <w:rPr>
                <w:b/>
                <w:bCs/>
                <w:sz w:val="20"/>
                <w:szCs w:val="20"/>
              </w:rPr>
              <w:t>1</w:t>
            </w:r>
          </w:p>
        </w:tc>
        <w:tc>
          <w:tcPr>
            <w:tcW w:w="1515" w:type="dxa"/>
          </w:tcPr>
          <w:p w14:paraId="00A09615" w14:textId="77777777" w:rsidR="00097E55" w:rsidRPr="00097E55" w:rsidRDefault="00097E55" w:rsidP="00097E55">
            <w:pPr>
              <w:spacing w:after="0" w:line="240" w:lineRule="auto"/>
              <w:jc w:val="center"/>
              <w:rPr>
                <w:sz w:val="20"/>
                <w:szCs w:val="20"/>
              </w:rPr>
            </w:pPr>
            <w:r w:rsidRPr="00097E55">
              <w:rPr>
                <w:sz w:val="20"/>
                <w:szCs w:val="20"/>
              </w:rPr>
              <w:t>5</w:t>
            </w:r>
          </w:p>
        </w:tc>
        <w:tc>
          <w:tcPr>
            <w:tcW w:w="1604" w:type="dxa"/>
          </w:tcPr>
          <w:p w14:paraId="2BAA49EB" w14:textId="77777777" w:rsidR="00097E55" w:rsidRPr="00097E55" w:rsidRDefault="00097E55" w:rsidP="00097E55">
            <w:pPr>
              <w:spacing w:after="0" w:line="240" w:lineRule="auto"/>
              <w:jc w:val="center"/>
              <w:rPr>
                <w:sz w:val="20"/>
                <w:szCs w:val="20"/>
              </w:rPr>
            </w:pPr>
            <w:r w:rsidRPr="00097E55">
              <w:rPr>
                <w:sz w:val="20"/>
                <w:szCs w:val="20"/>
              </w:rPr>
              <w:t>1</w:t>
            </w:r>
          </w:p>
        </w:tc>
        <w:tc>
          <w:tcPr>
            <w:tcW w:w="1701" w:type="dxa"/>
          </w:tcPr>
          <w:p w14:paraId="3EE28F3E" w14:textId="77777777" w:rsidR="00097E55" w:rsidRPr="00097E55" w:rsidRDefault="00097E55" w:rsidP="00097E55">
            <w:pPr>
              <w:spacing w:after="0" w:line="240" w:lineRule="auto"/>
              <w:jc w:val="center"/>
              <w:rPr>
                <w:sz w:val="20"/>
                <w:szCs w:val="20"/>
              </w:rPr>
            </w:pPr>
            <w:r w:rsidRPr="00097E55">
              <w:rPr>
                <w:sz w:val="20"/>
                <w:szCs w:val="20"/>
              </w:rPr>
              <w:t>3</w:t>
            </w:r>
          </w:p>
        </w:tc>
        <w:tc>
          <w:tcPr>
            <w:tcW w:w="1490" w:type="dxa"/>
          </w:tcPr>
          <w:p w14:paraId="149E1ED2" w14:textId="77777777" w:rsidR="00097E55" w:rsidRPr="00097E55" w:rsidRDefault="00097E55" w:rsidP="00097E55">
            <w:pPr>
              <w:spacing w:after="0" w:line="240" w:lineRule="auto"/>
              <w:jc w:val="center"/>
              <w:rPr>
                <w:sz w:val="20"/>
                <w:szCs w:val="20"/>
              </w:rPr>
            </w:pPr>
            <w:r w:rsidRPr="00097E55">
              <w:rPr>
                <w:sz w:val="20"/>
                <w:szCs w:val="20"/>
              </w:rPr>
              <w:t>1</w:t>
            </w:r>
          </w:p>
        </w:tc>
        <w:tc>
          <w:tcPr>
            <w:tcW w:w="1548" w:type="dxa"/>
          </w:tcPr>
          <w:p w14:paraId="11111FA1" w14:textId="77777777" w:rsidR="00097E55" w:rsidRPr="00097E55" w:rsidRDefault="00097E55" w:rsidP="00097E55">
            <w:pPr>
              <w:spacing w:after="0" w:line="240" w:lineRule="auto"/>
              <w:jc w:val="center"/>
              <w:rPr>
                <w:sz w:val="20"/>
                <w:szCs w:val="20"/>
              </w:rPr>
            </w:pPr>
            <w:r w:rsidRPr="00097E55">
              <w:rPr>
                <w:sz w:val="20"/>
                <w:szCs w:val="20"/>
              </w:rPr>
              <w:t>3</w:t>
            </w:r>
          </w:p>
        </w:tc>
      </w:tr>
    </w:tbl>
    <w:p w14:paraId="1C77B98A" w14:textId="77777777" w:rsidR="00C643B5" w:rsidRPr="00C643B5" w:rsidRDefault="00C643B5" w:rsidP="00C643B5">
      <w:pPr>
        <w:pStyle w:val="Default"/>
        <w:jc w:val="both"/>
        <w:rPr>
          <w:rFonts w:ascii="Arial" w:hAnsi="Arial" w:cs="Arial"/>
          <w:sz w:val="22"/>
          <w:szCs w:val="22"/>
        </w:rPr>
      </w:pPr>
    </w:p>
    <w:sectPr w:rsidR="00C643B5" w:rsidRPr="00C643B5" w:rsidSect="004129D5">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fuse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43B5"/>
    <w:rsid w:val="00097E55"/>
    <w:rsid w:val="001D7C96"/>
    <w:rsid w:val="002322D8"/>
    <w:rsid w:val="002F09FD"/>
    <w:rsid w:val="003A21DA"/>
    <w:rsid w:val="0040576F"/>
    <w:rsid w:val="004129D5"/>
    <w:rsid w:val="00412D0E"/>
    <w:rsid w:val="00533E22"/>
    <w:rsid w:val="005828CB"/>
    <w:rsid w:val="00916542"/>
    <w:rsid w:val="00942135"/>
    <w:rsid w:val="009F384D"/>
    <w:rsid w:val="00C64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54EFB"/>
  <w15:chartTrackingRefBased/>
  <w15:docId w15:val="{0EE26687-BA3C-4F00-BB46-70296850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97E55"/>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43B5"/>
    <w:pPr>
      <w:autoSpaceDE w:val="0"/>
      <w:autoSpaceDN w:val="0"/>
      <w:adjustRightInd w:val="0"/>
    </w:pPr>
    <w:rPr>
      <w:rFonts w:ascii="DefusedLight" w:hAnsi="DefusedLight" w:cs="DefusedLight"/>
      <w:color w:val="000000"/>
      <w:sz w:val="24"/>
      <w:szCs w:val="24"/>
    </w:rPr>
  </w:style>
  <w:style w:type="character" w:styleId="CommentReference">
    <w:name w:val="annotation reference"/>
    <w:rsid w:val="002F09FD"/>
    <w:rPr>
      <w:sz w:val="16"/>
      <w:szCs w:val="16"/>
    </w:rPr>
  </w:style>
  <w:style w:type="paragraph" w:styleId="CommentText">
    <w:name w:val="annotation text"/>
    <w:basedOn w:val="Normal"/>
    <w:link w:val="CommentTextChar"/>
    <w:rsid w:val="002F09FD"/>
    <w:rPr>
      <w:sz w:val="20"/>
      <w:szCs w:val="20"/>
    </w:rPr>
  </w:style>
  <w:style w:type="character" w:customStyle="1" w:styleId="CommentTextChar">
    <w:name w:val="Comment Text Char"/>
    <w:link w:val="CommentText"/>
    <w:rsid w:val="002F09FD"/>
    <w:rPr>
      <w:rFonts w:ascii="Calibri" w:eastAsia="Calibri" w:hAnsi="Calibri"/>
      <w:lang w:eastAsia="en-US"/>
    </w:rPr>
  </w:style>
  <w:style w:type="paragraph" w:styleId="CommentSubject">
    <w:name w:val="annotation subject"/>
    <w:basedOn w:val="CommentText"/>
    <w:next w:val="CommentText"/>
    <w:link w:val="CommentSubjectChar"/>
    <w:rsid w:val="002F09FD"/>
    <w:rPr>
      <w:b/>
      <w:bCs/>
    </w:rPr>
  </w:style>
  <w:style w:type="character" w:customStyle="1" w:styleId="CommentSubjectChar">
    <w:name w:val="Comment Subject Char"/>
    <w:link w:val="CommentSubject"/>
    <w:rsid w:val="002F09FD"/>
    <w:rPr>
      <w:rFonts w:ascii="Calibri" w:eastAsia="Calibri" w:hAnsi="Calibri"/>
      <w:b/>
      <w:bCs/>
      <w:lang w:eastAsia="en-US"/>
    </w:rPr>
  </w:style>
  <w:style w:type="paragraph" w:styleId="BalloonText">
    <w:name w:val="Balloon Text"/>
    <w:basedOn w:val="Normal"/>
    <w:link w:val="BalloonTextChar"/>
    <w:rsid w:val="002F09FD"/>
    <w:pPr>
      <w:spacing w:after="0" w:line="240" w:lineRule="auto"/>
    </w:pPr>
    <w:rPr>
      <w:rFonts w:ascii="Tahoma" w:hAnsi="Tahoma" w:cs="Tahoma"/>
      <w:sz w:val="16"/>
      <w:szCs w:val="16"/>
    </w:rPr>
  </w:style>
  <w:style w:type="character" w:customStyle="1" w:styleId="BalloonTextChar">
    <w:name w:val="Balloon Text Char"/>
    <w:link w:val="BalloonText"/>
    <w:rsid w:val="002F09FD"/>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757E68FE1E3B4BAE88585F0E18EBC2" ma:contentTypeVersion="16" ma:contentTypeDescription="Create a new document." ma:contentTypeScope="" ma:versionID="8793a0a78f61129281d629923de66509">
  <xsd:schema xmlns:xsd="http://www.w3.org/2001/XMLSchema" xmlns:xs="http://www.w3.org/2001/XMLSchema" xmlns:p="http://schemas.microsoft.com/office/2006/metadata/properties" xmlns:ns2="662745e8-e224-48e8-a2e3-254862b8c2f5" xmlns:ns3="a6053049-89fa-4fca-8567-4fbe3cf815a9" xmlns:ns4="617e784d-c4d0-4157-b1dd-8a4514b881e8" targetNamespace="http://schemas.microsoft.com/office/2006/metadata/properties" ma:root="true" ma:fieldsID="09fe85c3323441f3f77bd6d5ec09fb09" ns2:_="" ns3:_="" ns4:_="">
    <xsd:import namespace="662745e8-e224-48e8-a2e3-254862b8c2f5"/>
    <xsd:import namespace="a6053049-89fa-4fca-8567-4fbe3cf815a9"/>
    <xsd:import namespace="617e784d-c4d0-4157-b1dd-8a4514b881e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2be85a-c820-4210-be5f-3ae43dc9e69a}" ma:internalName="TaxCatchAll" ma:showField="CatchAllData"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2be85a-c820-4210-be5f-3ae43dc9e69a}" ma:internalName="TaxCatchAllLabel" ma:readOnly="true" ma:showField="CatchAllDataLabel"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cience  Evidence Programme" ma:internalName="Team">
      <xsd:simpleType>
        <xsd:restriction base="dms:Text"/>
      </xsd:simpleType>
    </xsd:element>
    <xsd:element name="Topic" ma:index="20" nillable="true" ma:displayName="Topic" ma:default="sep"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053049-89fa-4fca-8567-4fbe3cf815a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7e784d-c4d0-4157-b1dd-8a4514b881e8"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sep</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Science  Evidence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F89F6129-13A4-40F8-9AE4-9AA138806FB0}"/>
</file>

<file path=customXml/itemProps2.xml><?xml version="1.0" encoding="utf-8"?>
<ds:datastoreItem xmlns:ds="http://schemas.openxmlformats.org/officeDocument/2006/customXml" ds:itemID="{725A4895-55AA-4AB9-A7E7-EACCF7944485}"/>
</file>

<file path=customXml/itemProps3.xml><?xml version="1.0" encoding="utf-8"?>
<ds:datastoreItem xmlns:ds="http://schemas.openxmlformats.org/officeDocument/2006/customXml" ds:itemID="{3E2B1A18-02F2-4C00-B360-403D70BC6359}"/>
</file>

<file path=customXml/itemProps4.xml><?xml version="1.0" encoding="utf-8"?>
<ds:datastoreItem xmlns:ds="http://schemas.openxmlformats.org/officeDocument/2006/customXml" ds:itemID="{68BA8C72-D2E3-41FE-8C65-0F2A97BA68ED}"/>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m290755</dc:creator>
  <cp:keywords/>
  <cp:lastModifiedBy>Morgan, Angharad</cp:lastModifiedBy>
  <cp:revision>2</cp:revision>
  <dcterms:created xsi:type="dcterms:W3CDTF">2023-06-01T14:22:00Z</dcterms:created>
  <dcterms:modified xsi:type="dcterms:W3CDTF">2023-06-01T14:22:00Z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0x010100A5BF1C78D9F64B679A5EBDE1C6598EBC0100BA757E68FE1E3B4BAE88585F0E18EBC2</vt:lpwstr>
  </property>
  <property fmtid="{D5CDD505-2E9C-101B-9397-08002B2CF9AE}" pid="3" name="HOGovernmentSecurityClassification">
    <vt:lpwstr>6;#Official|14c80daa-741b-422c-9722-f71693c9ede4</vt:lpwstr>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9;#External|1104eb68-55d8-494f-b6ba-c5473579de73</vt:lpwstr>
  </property>
  <property fmtid="{D5CDD505-2E9C-101B-9397-08002B2CF9AE}" pid="7" name="OrganisationalUnit">
    <vt:lpwstr>8;#NE|275df9ce-cd92-4318-adfe-db572e51c7ff</vt:lpwstr>
  </property>
  <property fmtid="{D5CDD505-2E9C-101B-9397-08002B2CF9AE}" pid="8" name="HOCopyrightLevel">
    <vt:lpwstr>7;#Crown|69589897-2828-4761-976e-717fd8e631c9</vt:lpwstr>
  </property>
</Properties>
</file>