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F707" w14:textId="77777777" w:rsidR="00275B0C" w:rsidRDefault="00A01950">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Schedule 3 (Charges)</w:t>
      </w:r>
    </w:p>
    <w:p w14:paraId="7626B336" w14:textId="54FEB961" w:rsidR="00275B0C" w:rsidRPr="00CA5070" w:rsidRDefault="00A01950" w:rsidP="008A6D7D">
      <w:pPr>
        <w:pStyle w:val="GPSL1CLAUSEHEADING"/>
      </w:pPr>
      <w:bookmarkStart w:id="1" w:name="_heading=h.30j0zll" w:colFirst="0" w:colLast="0"/>
      <w:bookmarkEnd w:id="1"/>
      <w:r w:rsidRPr="00684C79">
        <w:t xml:space="preserve">How Charges are calculated </w:t>
      </w:r>
    </w:p>
    <w:p w14:paraId="45B61F7E" w14:textId="77777777" w:rsidR="00275B0C" w:rsidRPr="003E382F" w:rsidRDefault="00A01950" w:rsidP="00F03B5B">
      <w:pPr>
        <w:pStyle w:val="GPSL2numberedclause"/>
        <w:keepNext/>
        <w:rPr>
          <w:rFonts w:eastAsia="Arial"/>
        </w:rPr>
      </w:pPr>
      <w:r w:rsidRPr="003E382F">
        <w:rPr>
          <w:rFonts w:eastAsia="Arial"/>
        </w:rPr>
        <w:t>The Charges:</w:t>
      </w:r>
    </w:p>
    <w:p w14:paraId="76E30ECB" w14:textId="77777777" w:rsidR="00275B0C" w:rsidRPr="00FF56C8" w:rsidRDefault="00A01950" w:rsidP="003E382F">
      <w:pPr>
        <w:pStyle w:val="GPSL3numberedclause"/>
        <w:rPr>
          <w:rFonts w:eastAsia="Arial"/>
        </w:rPr>
      </w:pPr>
      <w:r w:rsidRPr="00FF56C8">
        <w:rPr>
          <w:rFonts w:eastAsia="Arial"/>
        </w:rPr>
        <w:t xml:space="preserve">shall be calculated in accordance with the terms of this Schedule; </w:t>
      </w:r>
    </w:p>
    <w:p w14:paraId="7FBB82C5" w14:textId="2819BD60" w:rsidR="00275B0C" w:rsidRPr="00FF56C8" w:rsidRDefault="002E53E4" w:rsidP="003E382F">
      <w:pPr>
        <w:pStyle w:val="GPSL3numberedclause"/>
        <w:rPr>
          <w:rFonts w:eastAsia="Arial"/>
        </w:rPr>
      </w:pPr>
      <w:r w:rsidRPr="00FF56C8">
        <w:rPr>
          <w:rFonts w:eastAsia="Arial"/>
        </w:rPr>
        <w:t xml:space="preserve">The indicative costs provided by the Supplier as part of their tender proposal </w:t>
      </w:r>
      <w:r w:rsidR="00A01950" w:rsidRPr="00FF56C8">
        <w:rPr>
          <w:rFonts w:eastAsia="Arial"/>
        </w:rPr>
        <w:t xml:space="preserve"> cannot be increased except as specifically permitted by this Schedule and in particular shall only be subject to Indexation where specifically stated in the Award Form; and</w:t>
      </w:r>
    </w:p>
    <w:p w14:paraId="00D2259B" w14:textId="2768833A" w:rsidR="002E53E4" w:rsidRPr="00FF56C8" w:rsidRDefault="002E53E4" w:rsidP="003E382F">
      <w:pPr>
        <w:pStyle w:val="GPSL3numberedclause"/>
        <w:rPr>
          <w:rFonts w:eastAsia="Arial"/>
        </w:rPr>
      </w:pPr>
      <w:r w:rsidRPr="00FF56C8">
        <w:rPr>
          <w:rFonts w:eastAsia="Arial"/>
        </w:rPr>
        <w:t xml:space="preserve">Any variation to the Charges shall not in total increase the </w:t>
      </w:r>
      <w:r w:rsidR="00F50061" w:rsidRPr="00FF56C8">
        <w:rPr>
          <w:rFonts w:eastAsia="Arial"/>
        </w:rPr>
        <w:t>over-all</w:t>
      </w:r>
      <w:r w:rsidRPr="00FF56C8">
        <w:rPr>
          <w:rFonts w:eastAsia="Arial"/>
        </w:rPr>
        <w:t xml:space="preserve"> cost for the Proof of Concept by more than 10% of the indicative costs provided by the Supplier as part of their tender p</w:t>
      </w:r>
      <w:r w:rsidR="00D866B8" w:rsidRPr="00FF56C8">
        <w:rPr>
          <w:rFonts w:eastAsia="Arial"/>
        </w:rPr>
        <w:t>r</w:t>
      </w:r>
      <w:r w:rsidRPr="00FF56C8">
        <w:rPr>
          <w:rFonts w:eastAsia="Arial"/>
        </w:rPr>
        <w:t xml:space="preserve">oposal </w:t>
      </w:r>
    </w:p>
    <w:p w14:paraId="5794B7AD" w14:textId="57CC8D34" w:rsidR="00275B0C" w:rsidRPr="00FF56C8" w:rsidRDefault="00A01950" w:rsidP="003E382F">
      <w:pPr>
        <w:pStyle w:val="GPSL2numberedclause"/>
        <w:rPr>
          <w:rFonts w:eastAsia="Arial"/>
        </w:rPr>
      </w:pPr>
      <w:bookmarkStart w:id="2" w:name="_heading=h.1fob9te" w:colFirst="0" w:colLast="0"/>
      <w:bookmarkEnd w:id="2"/>
      <w:r w:rsidRPr="00FF56C8">
        <w:rPr>
          <w:rFonts w:eastAsia="Arial"/>
        </w:rPr>
        <w:t>Any variation to the Charges payable under a Contract must be agreed between the Supplier and the Buyer and implemented using the procedure set out in this Schedule.</w:t>
      </w:r>
    </w:p>
    <w:p w14:paraId="7F574847" w14:textId="77777777" w:rsidR="00275B0C" w:rsidRPr="00FF56C8" w:rsidRDefault="00A01950" w:rsidP="003E382F">
      <w:pPr>
        <w:pStyle w:val="GPSL1CLAUSEHEADING"/>
        <w:rPr>
          <w:rFonts w:ascii="Arial" w:hAnsi="Arial"/>
        </w:rPr>
      </w:pPr>
      <w:r w:rsidRPr="00FF56C8">
        <w:rPr>
          <w:rFonts w:ascii="Arial" w:hAnsi="Arial"/>
        </w:rPr>
        <w:t>The pricing mechanisms</w:t>
      </w:r>
    </w:p>
    <w:p w14:paraId="527CC33A" w14:textId="77777777" w:rsidR="00275B0C" w:rsidRPr="003E382F" w:rsidRDefault="00A01950" w:rsidP="003E382F">
      <w:pPr>
        <w:pStyle w:val="GPSL2numberedclause"/>
        <w:rPr>
          <w:rFonts w:eastAsia="Arial"/>
        </w:rPr>
      </w:pPr>
      <w:r w:rsidRPr="003E382F">
        <w:rPr>
          <w:rFonts w:eastAsia="Arial"/>
        </w:rPr>
        <w:t>The pricing mechanisms and prices set out in Annex 1 shall be available for use in calculation of Charges in the Contract.</w:t>
      </w:r>
    </w:p>
    <w:p w14:paraId="175A7698" w14:textId="77777777" w:rsidR="00275B0C" w:rsidRPr="003E382F" w:rsidRDefault="00A01950" w:rsidP="003E382F">
      <w:pPr>
        <w:pStyle w:val="GPSL1CLAUSEHEADING"/>
        <w:rPr>
          <w:rFonts w:ascii="Arial" w:hAnsi="Arial"/>
        </w:rPr>
      </w:pPr>
      <w:bookmarkStart w:id="3" w:name="bookmark=id.2et92p0" w:colFirst="0" w:colLast="0"/>
      <w:bookmarkStart w:id="4" w:name="_heading=h.3znysh7" w:colFirst="0" w:colLast="0"/>
      <w:bookmarkEnd w:id="3"/>
      <w:bookmarkEnd w:id="4"/>
      <w:r w:rsidRPr="003E382F">
        <w:rPr>
          <w:rFonts w:ascii="Arial" w:hAnsi="Arial"/>
        </w:rPr>
        <w:t>Are costs and expenses included in the Charges</w:t>
      </w:r>
    </w:p>
    <w:p w14:paraId="048455A0" w14:textId="5D51D603" w:rsidR="00275B0C" w:rsidRPr="003E382F" w:rsidRDefault="00A01950" w:rsidP="00F03B5B">
      <w:pPr>
        <w:pStyle w:val="GPSL2numberedclause"/>
        <w:keepNext/>
        <w:rPr>
          <w:rFonts w:eastAsia="Arial"/>
        </w:rPr>
      </w:pPr>
      <w:r w:rsidRPr="003E382F">
        <w:rPr>
          <w:rFonts w:eastAsia="Arial"/>
        </w:rPr>
        <w:t>Except as expressly set out in Paragraph </w:t>
      </w:r>
      <w:r w:rsidR="00CA5070" w:rsidRPr="003E382F">
        <w:rPr>
          <w:rFonts w:eastAsia="Arial"/>
        </w:rPr>
        <w:fldChar w:fldCharType="begin"/>
      </w:r>
      <w:r w:rsidR="00CA5070" w:rsidRPr="003E382F">
        <w:rPr>
          <w:rFonts w:eastAsia="Arial"/>
        </w:rPr>
        <w:instrText xml:space="preserve"> REF _Ref43715505 \r \h </w:instrText>
      </w:r>
      <w:r w:rsidR="003E382F" w:rsidRPr="003E382F">
        <w:rPr>
          <w:rFonts w:eastAsia="Arial"/>
        </w:rPr>
        <w:instrText xml:space="preserve"> \* MERGEFORMAT </w:instrText>
      </w:r>
      <w:r w:rsidR="00CA5070" w:rsidRPr="003E382F">
        <w:rPr>
          <w:rFonts w:eastAsia="Arial"/>
        </w:rPr>
      </w:r>
      <w:r w:rsidR="00CA5070" w:rsidRPr="003E382F">
        <w:rPr>
          <w:rFonts w:eastAsia="Arial"/>
        </w:rPr>
        <w:fldChar w:fldCharType="separate"/>
      </w:r>
      <w:r w:rsidR="00441AD6">
        <w:rPr>
          <w:rFonts w:eastAsia="Arial"/>
        </w:rPr>
        <w:t>5</w:t>
      </w:r>
      <w:r w:rsidR="00CA5070" w:rsidRPr="003E382F">
        <w:rPr>
          <w:rFonts w:eastAsia="Arial"/>
        </w:rPr>
        <w:fldChar w:fldCharType="end"/>
      </w:r>
      <w:r w:rsidRPr="003E382F">
        <w:rPr>
          <w:rFonts w:eastAsia="Arial"/>
        </w:rPr>
        <w:t xml:space="preserve"> below, or otherwise stated in the Award Form the Charges shall include all costs and expenses relating to the provision of Deliverables. No further amounts shall be payable in respect of matters such as:</w:t>
      </w:r>
    </w:p>
    <w:p w14:paraId="63D59BA3" w14:textId="77777777" w:rsidR="00275B0C" w:rsidRPr="003E382F" w:rsidRDefault="00A01950" w:rsidP="003E382F">
      <w:pPr>
        <w:pStyle w:val="GPSL3numberedclause"/>
        <w:rPr>
          <w:rFonts w:eastAsia="Arial"/>
        </w:rPr>
      </w:pPr>
      <w:r w:rsidRPr="003E382F">
        <w:rPr>
          <w:rFonts w:eastAsia="Arial"/>
        </w:rPr>
        <w:t>incidental expenses such as travel, subsistence and lodging, document or report reproduction, shipping, desktop or office equipment costs, network or data interchange costs or other telecommunications charges; or</w:t>
      </w:r>
    </w:p>
    <w:p w14:paraId="14C0A51E" w14:textId="77777777" w:rsidR="00275B0C" w:rsidRPr="003E382F" w:rsidRDefault="00A01950" w:rsidP="003E382F">
      <w:pPr>
        <w:pStyle w:val="GPSL3numberedclause"/>
        <w:rPr>
          <w:rFonts w:eastAsia="Arial"/>
        </w:rPr>
      </w:pPr>
      <w:r w:rsidRPr="003E382F">
        <w:rPr>
          <w:rFonts w:eastAsia="Arial"/>
        </w:rPr>
        <w:t>costs incurred prior to the commencement of the Contract.</w:t>
      </w:r>
    </w:p>
    <w:p w14:paraId="3D8B2EC4" w14:textId="77777777" w:rsidR="00275B0C" w:rsidRPr="003E382F" w:rsidRDefault="00A01950" w:rsidP="003E382F">
      <w:pPr>
        <w:pStyle w:val="GPSL1CLAUSEHEADING"/>
        <w:rPr>
          <w:rFonts w:ascii="Arial" w:hAnsi="Arial"/>
        </w:rPr>
      </w:pPr>
      <w:bookmarkStart w:id="5" w:name="_Ref43715505"/>
      <w:r w:rsidRPr="003E382F">
        <w:rPr>
          <w:rFonts w:ascii="Arial" w:hAnsi="Arial"/>
        </w:rPr>
        <w:t>When the Supplier can ask to change the Charges</w:t>
      </w:r>
      <w:bookmarkEnd w:id="5"/>
    </w:p>
    <w:p w14:paraId="1F8DD7E4" w14:textId="2CA67A6D" w:rsidR="00275B0C" w:rsidRPr="003E382F" w:rsidRDefault="00A01950" w:rsidP="003E382F">
      <w:pPr>
        <w:pStyle w:val="GPSL2numberedclause"/>
        <w:rPr>
          <w:rFonts w:eastAsia="Arial"/>
        </w:rPr>
      </w:pPr>
      <w:r w:rsidRPr="003E382F">
        <w:rPr>
          <w:rFonts w:eastAsia="Arial"/>
        </w:rPr>
        <w:t xml:space="preserve">The </w:t>
      </w:r>
      <w:r w:rsidR="002E53E4">
        <w:rPr>
          <w:rFonts w:eastAsia="Arial"/>
        </w:rPr>
        <w:t xml:space="preserve">indicative costs provided by the Supplier as part of their tender proposal for this Proof of Concept will form the basis of the </w:t>
      </w:r>
      <w:r w:rsidRPr="003E382F">
        <w:rPr>
          <w:rFonts w:eastAsia="Arial"/>
        </w:rPr>
        <w:t xml:space="preserve">Charges </w:t>
      </w:r>
      <w:r w:rsidR="00BB5CEC">
        <w:rPr>
          <w:rFonts w:eastAsia="Arial"/>
        </w:rPr>
        <w:t>for the provision of the Deliverables. The Supplier and the Buyer will work together to ensure that as far as possible the costs for each Phase of the Proof of Concept remain within the indicative costs provided, and in any event will not exceed the indicative costs by more than 10% in total</w:t>
      </w:r>
      <w:r w:rsidR="00D866B8">
        <w:rPr>
          <w:rFonts w:eastAsia="Arial"/>
        </w:rPr>
        <w:t xml:space="preserve"> for the PoC as a whole</w:t>
      </w:r>
      <w:r w:rsidRPr="003E382F">
        <w:rPr>
          <w:rFonts w:eastAsia="Arial"/>
        </w:rPr>
        <w:t>.</w:t>
      </w:r>
      <w:r w:rsidR="00F91EA5">
        <w:rPr>
          <w:rFonts w:eastAsia="Arial"/>
        </w:rPr>
        <w:t xml:space="preserve"> </w:t>
      </w:r>
      <w:r w:rsidRPr="003E382F">
        <w:rPr>
          <w:rFonts w:eastAsia="Arial"/>
        </w:rPr>
        <w:t xml:space="preserve">Charges can only be adjusted </w:t>
      </w:r>
      <w:r w:rsidR="00BB5CEC">
        <w:rPr>
          <w:rFonts w:eastAsia="Arial"/>
        </w:rPr>
        <w:t xml:space="preserve">following successful completion of a Phase. </w:t>
      </w:r>
    </w:p>
    <w:p w14:paraId="1FA012A2" w14:textId="68DD9B85" w:rsidR="00275B0C" w:rsidRPr="003E382F" w:rsidRDefault="00A01950" w:rsidP="003E382F">
      <w:pPr>
        <w:pStyle w:val="GPSL2numberedclause"/>
        <w:rPr>
          <w:rFonts w:eastAsia="Arial"/>
        </w:rPr>
      </w:pPr>
      <w:bookmarkStart w:id="6" w:name="_heading=h.tyjcwt" w:colFirst="0" w:colLast="0"/>
      <w:bookmarkEnd w:id="6"/>
      <w:r w:rsidRPr="003E382F">
        <w:rPr>
          <w:rFonts w:eastAsia="Arial"/>
        </w:rPr>
        <w:t xml:space="preserve">The Supplier shall give the Buyer </w:t>
      </w:r>
      <w:r w:rsidR="00D866B8">
        <w:rPr>
          <w:rFonts w:eastAsia="Arial"/>
        </w:rPr>
        <w:t xml:space="preserve">notice of </w:t>
      </w:r>
      <w:r w:rsidRPr="003E382F">
        <w:rPr>
          <w:rFonts w:eastAsia="Arial"/>
        </w:rPr>
        <w:t xml:space="preserve">at least </w:t>
      </w:r>
      <w:r w:rsidR="00D866B8">
        <w:rPr>
          <w:rFonts w:eastAsia="Arial"/>
        </w:rPr>
        <w:t xml:space="preserve">the period between </w:t>
      </w:r>
      <w:r w:rsidR="00BB5CEC">
        <w:rPr>
          <w:rFonts w:eastAsia="Arial"/>
        </w:rPr>
        <w:t xml:space="preserve">completion of the final milestone for a Phase </w:t>
      </w:r>
      <w:r w:rsidRPr="003E382F">
        <w:rPr>
          <w:rFonts w:eastAsia="Arial"/>
        </w:rPr>
        <w:t xml:space="preserve"> </w:t>
      </w:r>
      <w:r w:rsidR="00D866B8">
        <w:rPr>
          <w:rFonts w:eastAsia="Arial"/>
        </w:rPr>
        <w:t xml:space="preserve">and completion of the Phase itself </w:t>
      </w:r>
      <w:r w:rsidRPr="003E382F">
        <w:rPr>
          <w:rFonts w:eastAsia="Arial"/>
        </w:rPr>
        <w:t>in writing where it wants to request an increase.</w:t>
      </w:r>
      <w:r w:rsidR="00F91EA5">
        <w:rPr>
          <w:rFonts w:eastAsia="Arial"/>
        </w:rPr>
        <w:t xml:space="preserve"> </w:t>
      </w:r>
      <w:r w:rsidRPr="003E382F">
        <w:rPr>
          <w:rFonts w:eastAsia="Arial"/>
        </w:rPr>
        <w:t xml:space="preserve">If the </w:t>
      </w:r>
      <w:r w:rsidRPr="003E382F">
        <w:rPr>
          <w:rFonts w:eastAsia="Arial"/>
        </w:rPr>
        <w:lastRenderedPageBreak/>
        <w:t xml:space="preserve">Supplier does not give notice in time then it will only be able to request an increase prior to the next </w:t>
      </w:r>
      <w:r w:rsidR="00BB5CEC">
        <w:rPr>
          <w:rFonts w:eastAsia="Arial"/>
        </w:rPr>
        <w:t>Phase final milestone completion</w:t>
      </w:r>
      <w:r w:rsidRPr="003E382F">
        <w:rPr>
          <w:rFonts w:eastAsia="Arial"/>
        </w:rPr>
        <w:t>.</w:t>
      </w:r>
    </w:p>
    <w:p w14:paraId="5AF78B4B" w14:textId="77777777" w:rsidR="00275B0C" w:rsidRPr="003E382F" w:rsidRDefault="00A01950" w:rsidP="00F03B5B">
      <w:pPr>
        <w:pStyle w:val="GPSL2numberedclause"/>
        <w:keepNext/>
        <w:rPr>
          <w:rFonts w:eastAsia="Arial"/>
        </w:rPr>
      </w:pPr>
      <w:r w:rsidRPr="003E382F">
        <w:rPr>
          <w:rFonts w:eastAsia="Arial"/>
        </w:rPr>
        <w:t>Any notice requesting an increase shall include:</w:t>
      </w:r>
    </w:p>
    <w:p w14:paraId="65A7B028" w14:textId="77777777" w:rsidR="00275B0C" w:rsidRPr="003E382F" w:rsidRDefault="00A01950" w:rsidP="003E382F">
      <w:pPr>
        <w:pStyle w:val="GPSL3numberedclause"/>
        <w:rPr>
          <w:rFonts w:eastAsia="Arial"/>
        </w:rPr>
      </w:pPr>
      <w:r w:rsidRPr="003E382F">
        <w:rPr>
          <w:rFonts w:eastAsia="Arial"/>
        </w:rPr>
        <w:t>a list of the Charges to be reviewed;</w:t>
      </w:r>
    </w:p>
    <w:p w14:paraId="6D1DEEA8" w14:textId="77777777" w:rsidR="00275B0C" w:rsidRPr="003E382F" w:rsidRDefault="00A01950" w:rsidP="00F03B5B">
      <w:pPr>
        <w:pStyle w:val="GPSL3numberedclause"/>
        <w:keepNext/>
        <w:rPr>
          <w:rFonts w:eastAsia="Arial"/>
        </w:rPr>
      </w:pPr>
      <w:r w:rsidRPr="003E382F">
        <w:rPr>
          <w:rFonts w:eastAsia="Arial"/>
        </w:rPr>
        <w:t>for each of the Charges under review, written evidence of the justification for the requested increase including:</w:t>
      </w:r>
    </w:p>
    <w:p w14:paraId="30599419" w14:textId="6D6C04EC" w:rsidR="00275B0C" w:rsidRPr="00FF56C8" w:rsidRDefault="00A01950" w:rsidP="003E382F">
      <w:pPr>
        <w:pStyle w:val="GPSL4numberedclause"/>
        <w:rPr>
          <w:rFonts w:eastAsia="Arial"/>
          <w:b/>
          <w:i/>
        </w:rPr>
      </w:pPr>
      <w:r w:rsidRPr="00FF56C8">
        <w:rPr>
          <w:rFonts w:eastAsia="Arial"/>
        </w:rPr>
        <w:t xml:space="preserve">a breakdown of the profit and cost components that comprise the relevant part of the Charges; </w:t>
      </w:r>
    </w:p>
    <w:p w14:paraId="6BF054F0" w14:textId="21BC4913" w:rsidR="00275B0C" w:rsidRPr="00FF56C8" w:rsidRDefault="00A01950" w:rsidP="00CA5070">
      <w:pPr>
        <w:pStyle w:val="GPSL4numberedclause"/>
        <w:rPr>
          <w:rFonts w:eastAsia="Arial"/>
          <w:szCs w:val="24"/>
        </w:rPr>
      </w:pPr>
      <w:r w:rsidRPr="00FF56C8">
        <w:rPr>
          <w:rFonts w:eastAsia="Arial"/>
          <w:szCs w:val="24"/>
        </w:rPr>
        <w:t>details of the movement in the different identified cost components of the relevant Charge;</w:t>
      </w:r>
    </w:p>
    <w:p w14:paraId="7DF76CB3" w14:textId="397F0BA5" w:rsidR="00275B0C" w:rsidRPr="00FF56C8" w:rsidRDefault="00A01950" w:rsidP="00CA5070">
      <w:pPr>
        <w:pStyle w:val="GPSL4numberedclause"/>
        <w:rPr>
          <w:rFonts w:eastAsia="Arial"/>
          <w:szCs w:val="24"/>
        </w:rPr>
      </w:pPr>
      <w:r w:rsidRPr="00FF56C8">
        <w:rPr>
          <w:rFonts w:eastAsia="Arial"/>
          <w:szCs w:val="24"/>
        </w:rPr>
        <w:t>reasons for the movement in the different identified cost components of the relevant Charge;</w:t>
      </w:r>
    </w:p>
    <w:p w14:paraId="1812166D" w14:textId="301A58FC" w:rsidR="00275B0C" w:rsidRPr="00FF56C8" w:rsidRDefault="00A01950" w:rsidP="00CA5070">
      <w:pPr>
        <w:pStyle w:val="GPSL4numberedclause"/>
        <w:rPr>
          <w:rFonts w:eastAsia="Arial"/>
          <w:szCs w:val="24"/>
        </w:rPr>
      </w:pPr>
      <w:r w:rsidRPr="00FF56C8">
        <w:rPr>
          <w:rFonts w:eastAsia="Arial"/>
          <w:szCs w:val="24"/>
        </w:rPr>
        <w:t>evidence that the Supplier has attempted to mitigate against the increase in the relevant cost components; and</w:t>
      </w:r>
    </w:p>
    <w:p w14:paraId="08F30FC5" w14:textId="5E9F1235" w:rsidR="00275B0C" w:rsidRPr="00FF56C8" w:rsidRDefault="00A01950" w:rsidP="00CA5070">
      <w:pPr>
        <w:pStyle w:val="GPSL4numberedclause"/>
        <w:rPr>
          <w:rFonts w:eastAsia="Arial"/>
          <w:szCs w:val="24"/>
        </w:rPr>
      </w:pPr>
      <w:r w:rsidRPr="00FF56C8">
        <w:rPr>
          <w:rFonts w:eastAsia="Arial"/>
          <w:szCs w:val="24"/>
        </w:rPr>
        <w:t>evidence that the Supplier’s profit component of the relevant</w:t>
      </w:r>
      <w:r w:rsidR="00F91EA5" w:rsidRPr="00FF56C8">
        <w:rPr>
          <w:rFonts w:eastAsia="Arial"/>
          <w:szCs w:val="24"/>
        </w:rPr>
        <w:t xml:space="preserve"> </w:t>
      </w:r>
      <w:r w:rsidRPr="00FF56C8">
        <w:rPr>
          <w:rFonts w:eastAsia="Arial"/>
          <w:szCs w:val="24"/>
        </w:rPr>
        <w:t xml:space="preserve">Charge is no greater than that applying to Charges using the same pricing mechanism as at the </w:t>
      </w:r>
      <w:r w:rsidR="003A2DC6" w:rsidRPr="00FF56C8">
        <w:rPr>
          <w:rFonts w:eastAsia="Arial"/>
          <w:szCs w:val="24"/>
        </w:rPr>
        <w:t>Start</w:t>
      </w:r>
      <w:r w:rsidRPr="00FF56C8">
        <w:rPr>
          <w:rFonts w:eastAsia="Arial"/>
          <w:szCs w:val="24"/>
        </w:rPr>
        <w:t xml:space="preserve"> Date.</w:t>
      </w:r>
    </w:p>
    <w:p w14:paraId="66F31D1B" w14:textId="71AEBCC9" w:rsidR="00275B0C" w:rsidRPr="00FF56C8" w:rsidRDefault="00A01950" w:rsidP="00CA5070">
      <w:pPr>
        <w:pStyle w:val="GPSL2numberedclause"/>
        <w:rPr>
          <w:rFonts w:eastAsia="Arial"/>
          <w:szCs w:val="24"/>
        </w:rPr>
      </w:pPr>
      <w:bookmarkStart w:id="7" w:name="_Ref44947803"/>
      <w:r w:rsidRPr="00FF56C8">
        <w:rPr>
          <w:rFonts w:eastAsia="Arial"/>
          <w:szCs w:val="24"/>
        </w:rPr>
        <w:t>The Buyer shall consider each request for a price increase.</w:t>
      </w:r>
      <w:r w:rsidR="00F91EA5" w:rsidRPr="00FF56C8">
        <w:rPr>
          <w:rFonts w:eastAsia="Arial"/>
          <w:szCs w:val="24"/>
        </w:rPr>
        <w:t xml:space="preserve"> </w:t>
      </w:r>
      <w:r w:rsidRPr="00FF56C8">
        <w:rPr>
          <w:rFonts w:eastAsia="Arial"/>
          <w:szCs w:val="24"/>
        </w:rPr>
        <w:t>The Buyer may grant Approval to an increase at its sole discretion.</w:t>
      </w:r>
      <w:bookmarkEnd w:id="7"/>
    </w:p>
    <w:p w14:paraId="4D06F0E7" w14:textId="1A2E807C" w:rsidR="00441AD6" w:rsidRPr="00FF56C8" w:rsidRDefault="00441AD6" w:rsidP="00CA5070">
      <w:pPr>
        <w:pStyle w:val="GPSL2numberedclause"/>
        <w:rPr>
          <w:rFonts w:eastAsia="Arial"/>
          <w:szCs w:val="24"/>
        </w:rPr>
      </w:pPr>
      <w:bookmarkStart w:id="8" w:name="_Ref44947900"/>
      <w:r w:rsidRPr="00FF56C8">
        <w:rPr>
          <w:rFonts w:eastAsia="Arial"/>
          <w:szCs w:val="24"/>
        </w:rPr>
        <w:t xml:space="preserve">Any Approval granted by the Buyer pursuant to Paragraph </w:t>
      </w:r>
      <w:r w:rsidRPr="00FF56C8">
        <w:rPr>
          <w:rFonts w:eastAsia="Arial"/>
          <w:szCs w:val="24"/>
        </w:rPr>
        <w:fldChar w:fldCharType="begin"/>
      </w:r>
      <w:r w:rsidRPr="00FF56C8">
        <w:rPr>
          <w:rFonts w:eastAsia="Arial"/>
          <w:szCs w:val="24"/>
        </w:rPr>
        <w:instrText xml:space="preserve"> REF _Ref44947803 \r \h </w:instrText>
      </w:r>
      <w:r w:rsidR="00FF56C8">
        <w:rPr>
          <w:rFonts w:eastAsia="Arial"/>
          <w:szCs w:val="24"/>
        </w:rPr>
        <w:instrText xml:space="preserve"> \* MERGEFORMAT </w:instrText>
      </w:r>
      <w:r w:rsidRPr="00FF56C8">
        <w:rPr>
          <w:rFonts w:eastAsia="Arial"/>
          <w:szCs w:val="24"/>
        </w:rPr>
      </w:r>
      <w:r w:rsidRPr="00FF56C8">
        <w:rPr>
          <w:rFonts w:eastAsia="Arial"/>
          <w:szCs w:val="24"/>
        </w:rPr>
        <w:fldChar w:fldCharType="separate"/>
      </w:r>
      <w:r w:rsidR="00C11457">
        <w:rPr>
          <w:rFonts w:eastAsia="Arial"/>
          <w:szCs w:val="24"/>
        </w:rPr>
        <w:t>4</w:t>
      </w:r>
      <w:r w:rsidRPr="00FF56C8">
        <w:rPr>
          <w:rFonts w:eastAsia="Arial"/>
          <w:szCs w:val="24"/>
        </w:rPr>
        <w:t>.4</w:t>
      </w:r>
      <w:r w:rsidRPr="00FF56C8">
        <w:rPr>
          <w:rFonts w:eastAsia="Arial"/>
          <w:szCs w:val="24"/>
        </w:rPr>
        <w:fldChar w:fldCharType="end"/>
      </w:r>
      <w:r w:rsidRPr="00FF56C8">
        <w:rPr>
          <w:rFonts w:eastAsia="Arial"/>
          <w:szCs w:val="24"/>
        </w:rPr>
        <w:t xml:space="preserve"> shall be on the condition that the change to the Charges will not result in the Supplier Profit Margin exceeding the Maximum Permitted Profit Margin.</w:t>
      </w:r>
      <w:bookmarkEnd w:id="8"/>
    </w:p>
    <w:p w14:paraId="17B08E92" w14:textId="7DB2D5F8" w:rsidR="00275B0C" w:rsidRPr="00FF56C8" w:rsidRDefault="00A01950" w:rsidP="00CA5070">
      <w:pPr>
        <w:pStyle w:val="GPSL2numberedclause"/>
        <w:rPr>
          <w:rFonts w:eastAsia="Arial"/>
          <w:szCs w:val="24"/>
        </w:rPr>
      </w:pPr>
      <w:r w:rsidRPr="00FF56C8">
        <w:rPr>
          <w:rFonts w:eastAsia="Arial"/>
          <w:szCs w:val="24"/>
        </w:rPr>
        <w:t xml:space="preserve">Where the Buyer approves an increase then it will be implemented from the first (1st) Working Day following </w:t>
      </w:r>
      <w:r w:rsidR="00BB5CEC" w:rsidRPr="00FF56C8">
        <w:rPr>
          <w:rFonts w:eastAsia="Arial"/>
          <w:szCs w:val="24"/>
        </w:rPr>
        <w:t xml:space="preserve">completion of </w:t>
      </w:r>
      <w:r w:rsidRPr="00FF56C8">
        <w:rPr>
          <w:rFonts w:eastAsia="Arial"/>
          <w:szCs w:val="24"/>
        </w:rPr>
        <w:t xml:space="preserve">the relevant </w:t>
      </w:r>
      <w:r w:rsidR="00BB5CEC" w:rsidRPr="00FF56C8">
        <w:rPr>
          <w:rFonts w:eastAsia="Arial"/>
          <w:szCs w:val="24"/>
        </w:rPr>
        <w:t xml:space="preserve">Phase </w:t>
      </w:r>
      <w:r w:rsidRPr="00FF56C8">
        <w:rPr>
          <w:rFonts w:eastAsia="Arial"/>
          <w:szCs w:val="24"/>
        </w:rPr>
        <w:t xml:space="preserve"> or such later date as the Buyer may determine at its sole discretion and Annex 1 shall be updated accordingly.</w:t>
      </w:r>
    </w:p>
    <w:p w14:paraId="6B5A30E2" w14:textId="77777777" w:rsidR="00275B0C" w:rsidRPr="00CA5070" w:rsidRDefault="00A01950" w:rsidP="00CA5070">
      <w:pPr>
        <w:pStyle w:val="GPSL1CLAUSEHEADING"/>
      </w:pPr>
      <w:r w:rsidRPr="00684C79">
        <w:t>Other events that allow the Supplier to change the Charges</w:t>
      </w:r>
    </w:p>
    <w:p w14:paraId="7E1230A1" w14:textId="77777777" w:rsidR="00275B0C" w:rsidRPr="003E382F" w:rsidRDefault="00A01950" w:rsidP="00F03B5B">
      <w:pPr>
        <w:pStyle w:val="GPSL2numberedclause"/>
        <w:keepNext/>
        <w:rPr>
          <w:rFonts w:eastAsia="Arial"/>
        </w:rPr>
      </w:pPr>
      <w:r w:rsidRPr="003E382F">
        <w:rPr>
          <w:rFonts w:eastAsia="Arial"/>
        </w:rPr>
        <w:t>The Charges can also be varied (and Annex 1 will be updated accordingly) due to:</w:t>
      </w:r>
    </w:p>
    <w:p w14:paraId="1AE08B4C" w14:textId="71E90A89" w:rsidR="00275B0C" w:rsidRPr="003E382F" w:rsidRDefault="00A01950" w:rsidP="00CA5070">
      <w:pPr>
        <w:pStyle w:val="GPSL3numberedclause"/>
        <w:rPr>
          <w:rFonts w:eastAsia="Arial"/>
        </w:rPr>
      </w:pPr>
      <w:r w:rsidRPr="003E382F">
        <w:rPr>
          <w:rFonts w:eastAsia="Arial"/>
        </w:rPr>
        <w:t>a Specific Change in Law in accordance with Clause</w:t>
      </w:r>
      <w:r w:rsidR="003E382F">
        <w:rPr>
          <w:rFonts w:eastAsia="Arial"/>
        </w:rPr>
        <w:t>s</w:t>
      </w:r>
      <w:r w:rsidRPr="003E382F">
        <w:rPr>
          <w:rFonts w:eastAsia="Arial"/>
        </w:rPr>
        <w:t xml:space="preserve"> 2</w:t>
      </w:r>
      <w:r w:rsidR="003E382F">
        <w:rPr>
          <w:rFonts w:eastAsia="Arial"/>
        </w:rPr>
        <w:t>8.6 to 28.8</w:t>
      </w:r>
      <w:r w:rsidRPr="003E382F">
        <w:rPr>
          <w:rFonts w:eastAsia="Arial"/>
        </w:rPr>
        <w:t>;</w:t>
      </w:r>
    </w:p>
    <w:p w14:paraId="334CB15C" w14:textId="14461658" w:rsidR="00275B0C" w:rsidRPr="003E382F" w:rsidRDefault="00A01950" w:rsidP="00CA5070">
      <w:pPr>
        <w:pStyle w:val="GPSL3numberedclause"/>
        <w:rPr>
          <w:rFonts w:eastAsia="Arial"/>
        </w:rPr>
      </w:pPr>
      <w:r w:rsidRPr="003E382F">
        <w:rPr>
          <w:rFonts w:eastAsia="Arial"/>
        </w:rPr>
        <w:t>a review in accordance with insurance requirements in Clause 1</w:t>
      </w:r>
      <w:r w:rsidR="003E382F">
        <w:rPr>
          <w:rFonts w:eastAsia="Arial"/>
        </w:rPr>
        <w:t>7</w:t>
      </w:r>
      <w:r w:rsidRPr="003E382F">
        <w:rPr>
          <w:rFonts w:eastAsia="Arial"/>
        </w:rPr>
        <w:t xml:space="preserve">; </w:t>
      </w:r>
    </w:p>
    <w:p w14:paraId="5C4D3259" w14:textId="64127CB1" w:rsidR="00275B0C" w:rsidRPr="003E382F" w:rsidRDefault="00A01950" w:rsidP="00CA5070">
      <w:pPr>
        <w:pStyle w:val="GPSL3numberedclause"/>
        <w:rPr>
          <w:rFonts w:eastAsia="Arial"/>
        </w:rPr>
      </w:pPr>
      <w:r w:rsidRPr="003E382F">
        <w:rPr>
          <w:rFonts w:eastAsia="Arial"/>
        </w:rPr>
        <w:t xml:space="preserve">a request from the Supplier, which it can make at any time, to decrease the Charges; </w:t>
      </w:r>
    </w:p>
    <w:p w14:paraId="1CAFEAFA" w14:textId="312F3C22" w:rsidR="00BA0763" w:rsidRPr="00974804" w:rsidRDefault="00BA0763" w:rsidP="00CA5070">
      <w:pPr>
        <w:pStyle w:val="GPSL3numberedclause"/>
        <w:rPr>
          <w:rFonts w:eastAsia="Arial"/>
        </w:rPr>
      </w:pPr>
      <w:r w:rsidRPr="00CF1C21">
        <w:rPr>
          <w:rFonts w:eastAsia="Arial"/>
        </w:rPr>
        <w:t xml:space="preserve">following verification of the Allowable Assumptions in accordance </w:t>
      </w:r>
      <w:r w:rsidRPr="00974804">
        <w:rPr>
          <w:rFonts w:eastAsia="Arial"/>
        </w:rPr>
        <w:t xml:space="preserve">with </w:t>
      </w:r>
      <w:r w:rsidR="000849F1" w:rsidRPr="00974804">
        <w:rPr>
          <w:rFonts w:eastAsia="Arial"/>
        </w:rPr>
        <w:t>P</w:t>
      </w:r>
      <w:r w:rsidRPr="00974804">
        <w:rPr>
          <w:rFonts w:eastAsia="Arial"/>
        </w:rPr>
        <w:t xml:space="preserve">aragraph </w:t>
      </w:r>
      <w:r w:rsidR="000849F1" w:rsidRPr="00974804">
        <w:rPr>
          <w:rFonts w:eastAsia="Arial"/>
        </w:rPr>
        <w:fldChar w:fldCharType="begin"/>
      </w:r>
      <w:r w:rsidR="000849F1" w:rsidRPr="00974804">
        <w:rPr>
          <w:rFonts w:eastAsia="Arial"/>
        </w:rPr>
        <w:instrText xml:space="preserve"> REF _Ref42166918 \r \h </w:instrText>
      </w:r>
      <w:r w:rsidR="00684C79" w:rsidRPr="00974804">
        <w:rPr>
          <w:rFonts w:eastAsia="Arial"/>
        </w:rPr>
        <w:instrText xml:space="preserve"> \* MERGEFORMAT </w:instrText>
      </w:r>
      <w:r w:rsidR="000849F1" w:rsidRPr="00974804">
        <w:rPr>
          <w:rFonts w:eastAsia="Arial"/>
        </w:rPr>
      </w:r>
      <w:r w:rsidR="000849F1" w:rsidRPr="00974804">
        <w:rPr>
          <w:rFonts w:eastAsia="Arial"/>
        </w:rPr>
        <w:fldChar w:fldCharType="separate"/>
      </w:r>
      <w:r w:rsidR="00441AD6" w:rsidRPr="00974804">
        <w:rPr>
          <w:rFonts w:eastAsia="Arial"/>
        </w:rPr>
        <w:t>9</w:t>
      </w:r>
      <w:r w:rsidR="000849F1" w:rsidRPr="00974804">
        <w:rPr>
          <w:rFonts w:eastAsia="Arial"/>
        </w:rPr>
        <w:fldChar w:fldCharType="end"/>
      </w:r>
      <w:r w:rsidR="000849F1" w:rsidRPr="00974804">
        <w:rPr>
          <w:rFonts w:eastAsia="Arial"/>
        </w:rPr>
        <w:t>;</w:t>
      </w:r>
      <w:r w:rsidRPr="00974804">
        <w:rPr>
          <w:rFonts w:eastAsia="Arial"/>
        </w:rPr>
        <w:t xml:space="preserve"> </w:t>
      </w:r>
      <w:r w:rsidR="000849F1" w:rsidRPr="00974804">
        <w:rPr>
          <w:rFonts w:eastAsia="Arial"/>
        </w:rPr>
        <w:t>and</w:t>
      </w:r>
    </w:p>
    <w:p w14:paraId="7D386DB1" w14:textId="198CF1F6" w:rsidR="00BA0763" w:rsidRPr="00974804" w:rsidRDefault="00A01950" w:rsidP="00FF56C8">
      <w:pPr>
        <w:pStyle w:val="GPSL3numberedclause"/>
        <w:rPr>
          <w:rFonts w:eastAsia="Arial"/>
        </w:rPr>
      </w:pPr>
      <w:r w:rsidRPr="00974804">
        <w:rPr>
          <w:rFonts w:eastAsia="Arial"/>
        </w:rPr>
        <w:t xml:space="preserve">indexation, where Annex 1 states that a particular Charge or any component is “subject to Indexation” in which event Paragraph </w:t>
      </w:r>
      <w:r w:rsidR="003E382F" w:rsidRPr="00974804">
        <w:rPr>
          <w:rFonts w:eastAsia="Arial"/>
        </w:rPr>
        <w:fldChar w:fldCharType="begin"/>
      </w:r>
      <w:r w:rsidR="003E382F" w:rsidRPr="00974804">
        <w:rPr>
          <w:rFonts w:eastAsia="Arial"/>
        </w:rPr>
        <w:instrText xml:space="preserve"> REF _Ref43715849 \r \h </w:instrText>
      </w:r>
      <w:r w:rsidR="00CF1C21" w:rsidRPr="00974804">
        <w:rPr>
          <w:rFonts w:eastAsia="Arial"/>
        </w:rPr>
        <w:instrText xml:space="preserve"> \* MERGEFORMAT </w:instrText>
      </w:r>
      <w:r w:rsidR="003E382F" w:rsidRPr="00974804">
        <w:rPr>
          <w:rFonts w:eastAsia="Arial"/>
        </w:rPr>
      </w:r>
      <w:r w:rsidR="003E382F" w:rsidRPr="00974804">
        <w:rPr>
          <w:rFonts w:eastAsia="Arial"/>
        </w:rPr>
        <w:fldChar w:fldCharType="separate"/>
      </w:r>
      <w:r w:rsidR="00441AD6" w:rsidRPr="00974804">
        <w:rPr>
          <w:rFonts w:eastAsia="Arial"/>
        </w:rPr>
        <w:t>8</w:t>
      </w:r>
      <w:r w:rsidR="003E382F" w:rsidRPr="00974804">
        <w:rPr>
          <w:rFonts w:eastAsia="Arial"/>
        </w:rPr>
        <w:fldChar w:fldCharType="end"/>
      </w:r>
      <w:r w:rsidRPr="00974804">
        <w:rPr>
          <w:rFonts w:eastAsia="Arial"/>
        </w:rPr>
        <w:t xml:space="preserve"> below shall apply. </w:t>
      </w:r>
      <w:bookmarkStart w:id="9" w:name="_heading=h.3dy6vkm" w:colFirst="0" w:colLast="0"/>
      <w:bookmarkEnd w:id="9"/>
    </w:p>
    <w:p w14:paraId="6C6D71C1" w14:textId="77777777" w:rsidR="00BA0763" w:rsidRPr="003E382F" w:rsidRDefault="00BA0763" w:rsidP="003E382F">
      <w:pPr>
        <w:pStyle w:val="GPSL1CLAUSEHEADING"/>
        <w:rPr>
          <w:rFonts w:ascii="Arial" w:hAnsi="Arial"/>
        </w:rPr>
      </w:pPr>
      <w:bookmarkStart w:id="10" w:name="_Ref42166918"/>
      <w:r w:rsidRPr="003E382F">
        <w:rPr>
          <w:rFonts w:ascii="Arial" w:hAnsi="Arial"/>
        </w:rPr>
        <w:lastRenderedPageBreak/>
        <w:t>Allowable Assumptions</w:t>
      </w:r>
      <w:bookmarkEnd w:id="10"/>
    </w:p>
    <w:p w14:paraId="22EBA9FA" w14:textId="0E628FED" w:rsidR="00B45ED3" w:rsidRPr="003E382F" w:rsidRDefault="00B45ED3" w:rsidP="003E382F">
      <w:pPr>
        <w:pStyle w:val="GPSL2numberedclause"/>
        <w:rPr>
          <w:rFonts w:eastAsia="Arial"/>
        </w:rPr>
      </w:pPr>
      <w:bookmarkStart w:id="11" w:name="_Ref41646160"/>
      <w:r w:rsidRPr="003E382F">
        <w:rPr>
          <w:rFonts w:eastAsia="Arial"/>
        </w:rPr>
        <w:t>Before the end of its associated Verification Period, the Supplier will determine whether each Allowable Assumption is accurate.</w:t>
      </w:r>
      <w:bookmarkEnd w:id="11"/>
      <w:r w:rsidRPr="003E382F">
        <w:rPr>
          <w:rFonts w:eastAsia="Arial"/>
        </w:rPr>
        <w:t xml:space="preserve"> </w:t>
      </w:r>
    </w:p>
    <w:p w14:paraId="45E49AFC" w14:textId="0948B1A0" w:rsidR="00B45ED3" w:rsidRPr="003E382F" w:rsidRDefault="00B45ED3" w:rsidP="003E382F">
      <w:pPr>
        <w:pStyle w:val="GPSL2numberedclause"/>
        <w:rPr>
          <w:rFonts w:eastAsia="Arial"/>
        </w:rPr>
      </w:pPr>
      <w:r w:rsidRPr="003E382F">
        <w:rPr>
          <w:rFonts w:eastAsia="Arial"/>
        </w:rPr>
        <w:t xml:space="preserve">The Buyer will provide the Supplier with reasonable assistance when it is determining if an Allowable Assumption is accurate. </w:t>
      </w:r>
    </w:p>
    <w:p w14:paraId="6E1A941B" w14:textId="19B18DAA" w:rsidR="00B45ED3" w:rsidRPr="003E382F" w:rsidRDefault="00B45ED3" w:rsidP="003E382F">
      <w:pPr>
        <w:pStyle w:val="GPSL2numberedclause"/>
        <w:rPr>
          <w:rFonts w:eastAsia="Arial"/>
        </w:rPr>
      </w:pPr>
      <w:r w:rsidRPr="003E382F">
        <w:rPr>
          <w:rFonts w:eastAsia="Arial"/>
        </w:rPr>
        <w:t xml:space="preserve">Within 10 Working Days following the end of a Verification Period, the Supplier will send a written report to the Buyer setting out its verification results for the relevant Allowable Assumption, including whether the Charges or </w:t>
      </w:r>
      <w:r w:rsidR="00D866B8">
        <w:rPr>
          <w:rFonts w:eastAsia="Arial"/>
        </w:rPr>
        <w:t xml:space="preserve">Development </w:t>
      </w:r>
      <w:r w:rsidRPr="003E382F">
        <w:rPr>
          <w:rFonts w:eastAsia="Arial"/>
        </w:rPr>
        <w:t xml:space="preserve"> Plan (if applicable) require adjustment.</w:t>
      </w:r>
    </w:p>
    <w:p w14:paraId="0CB0B27E" w14:textId="4B947957" w:rsidR="00B45ED3" w:rsidRPr="003E382F" w:rsidRDefault="00B45ED3" w:rsidP="003E382F">
      <w:pPr>
        <w:pStyle w:val="GPSL2numberedclause"/>
        <w:rPr>
          <w:rFonts w:eastAsia="Arial"/>
        </w:rPr>
      </w:pPr>
      <w:r w:rsidRPr="003E382F">
        <w:rPr>
          <w:rFonts w:eastAsia="Arial"/>
        </w:rPr>
        <w:t xml:space="preserve">Each Allowable Assumption will be deemed to be accurate if </w:t>
      </w:r>
      <w:r w:rsidR="004639C3" w:rsidRPr="003E382F">
        <w:rPr>
          <w:rFonts w:eastAsia="Arial"/>
        </w:rPr>
        <w:t xml:space="preserve">the Supplier cannot show </w:t>
      </w:r>
      <w:r w:rsidRPr="003E382F">
        <w:rPr>
          <w:rFonts w:eastAsia="Arial"/>
        </w:rPr>
        <w:t>ha</w:t>
      </w:r>
      <w:r w:rsidR="004639C3" w:rsidRPr="003E382F">
        <w:rPr>
          <w:rFonts w:eastAsia="Arial"/>
        </w:rPr>
        <w:t>s</w:t>
      </w:r>
      <w:r w:rsidRPr="003E382F">
        <w:rPr>
          <w:rFonts w:eastAsia="Arial"/>
        </w:rPr>
        <w:t xml:space="preserve"> an impact on the Charges or the </w:t>
      </w:r>
      <w:r w:rsidR="00D866B8">
        <w:rPr>
          <w:rFonts w:eastAsia="Arial"/>
        </w:rPr>
        <w:t xml:space="preserve">Development </w:t>
      </w:r>
      <w:r w:rsidRPr="003E382F">
        <w:rPr>
          <w:rFonts w:eastAsia="Arial"/>
        </w:rPr>
        <w:t>Plan</w:t>
      </w:r>
      <w:r w:rsidR="004639C3" w:rsidRPr="003E382F">
        <w:rPr>
          <w:rFonts w:eastAsia="Arial"/>
        </w:rPr>
        <w:t xml:space="preserve"> to the reasonable satisfaction of the Buyer</w:t>
      </w:r>
      <w:r w:rsidRPr="003E382F">
        <w:rPr>
          <w:rFonts w:eastAsia="Arial"/>
        </w:rPr>
        <w:t>.</w:t>
      </w:r>
    </w:p>
    <w:p w14:paraId="71BC47CA" w14:textId="19FFDC7E" w:rsidR="00B45ED3" w:rsidRPr="003E382F" w:rsidRDefault="00B45ED3" w:rsidP="008A6D7D">
      <w:pPr>
        <w:pStyle w:val="GPSL2numberedclause"/>
        <w:keepNext/>
        <w:rPr>
          <w:rFonts w:eastAsia="Arial"/>
        </w:rPr>
      </w:pPr>
      <w:r w:rsidRPr="003E382F">
        <w:rPr>
          <w:rFonts w:eastAsia="Arial"/>
        </w:rPr>
        <w:t xml:space="preserve">If </w:t>
      </w:r>
      <w:r w:rsidR="004639C3" w:rsidRPr="003E382F">
        <w:rPr>
          <w:rFonts w:eastAsia="Arial"/>
        </w:rPr>
        <w:t xml:space="preserve">the Supplier can show that </w:t>
      </w:r>
      <w:r w:rsidRPr="003E382F">
        <w:rPr>
          <w:rFonts w:eastAsia="Arial"/>
        </w:rPr>
        <w:t xml:space="preserve">an Allowable Assumption has an impact on either the Charges or the </w:t>
      </w:r>
      <w:r w:rsidR="00D866B8">
        <w:rPr>
          <w:rFonts w:eastAsia="Arial"/>
        </w:rPr>
        <w:t xml:space="preserve">Development </w:t>
      </w:r>
      <w:r w:rsidRPr="003E382F">
        <w:rPr>
          <w:rFonts w:eastAsia="Arial"/>
        </w:rPr>
        <w:t xml:space="preserve"> Plan (if applicable)</w:t>
      </w:r>
      <w:r w:rsidR="004639C3" w:rsidRPr="003E382F">
        <w:rPr>
          <w:rFonts w:eastAsia="Arial"/>
        </w:rPr>
        <w:t xml:space="preserve"> then</w:t>
      </w:r>
      <w:r w:rsidRPr="003E382F">
        <w:rPr>
          <w:rFonts w:eastAsia="Arial"/>
        </w:rPr>
        <w:t>:</w:t>
      </w:r>
    </w:p>
    <w:p w14:paraId="5F1AFD2D" w14:textId="5E2C305A" w:rsidR="00B45ED3" w:rsidRPr="003E382F" w:rsidRDefault="00B45ED3" w:rsidP="00CA5070">
      <w:pPr>
        <w:pStyle w:val="GPSL3numberedclause"/>
        <w:rPr>
          <w:rFonts w:eastAsia="Arial"/>
        </w:rPr>
      </w:pPr>
      <w:r w:rsidRPr="003E382F">
        <w:rPr>
          <w:rFonts w:eastAsia="Arial"/>
        </w:rPr>
        <w:t>the Supplier will take all reasonable steps to mitigate the impact of the Allowable Assumption;</w:t>
      </w:r>
    </w:p>
    <w:p w14:paraId="3A002EF7" w14:textId="4177A6C4" w:rsidR="00B45ED3" w:rsidRPr="003E382F" w:rsidRDefault="00B45ED3" w:rsidP="00CA5070">
      <w:pPr>
        <w:pStyle w:val="GPSL3numberedclause"/>
        <w:rPr>
          <w:rFonts w:eastAsia="Arial"/>
        </w:rPr>
      </w:pPr>
      <w:bookmarkStart w:id="12" w:name="_Ref528583614"/>
      <w:r w:rsidRPr="003E382F">
        <w:rPr>
          <w:rFonts w:eastAsia="Arial"/>
        </w:rPr>
        <w:t xml:space="preserve">the Supplier may propose a </w:t>
      </w:r>
      <w:r w:rsidR="004639C3" w:rsidRPr="003E382F">
        <w:rPr>
          <w:rFonts w:eastAsia="Arial"/>
        </w:rPr>
        <w:t xml:space="preserve">reasonable </w:t>
      </w:r>
      <w:r w:rsidRPr="003E382F">
        <w:rPr>
          <w:rFonts w:eastAsia="Arial"/>
        </w:rPr>
        <w:t xml:space="preserve">Variation </w:t>
      </w:r>
      <w:r w:rsidR="004639C3" w:rsidRPr="003E382F">
        <w:rPr>
          <w:rFonts w:eastAsia="Arial"/>
        </w:rPr>
        <w:t xml:space="preserve">arising as a direct result of such impact and such Variation shall be limited by any constraints set out in </w:t>
      </w:r>
      <w:bookmarkStart w:id="13" w:name="_Ref528583605"/>
      <w:bookmarkEnd w:id="12"/>
      <w:r w:rsidRPr="003E382F">
        <w:rPr>
          <w:rFonts w:eastAsia="Arial"/>
        </w:rPr>
        <w:t>the table in Annex 2.</w:t>
      </w:r>
      <w:bookmarkEnd w:id="13"/>
    </w:p>
    <w:p w14:paraId="4137737D" w14:textId="77777777" w:rsidR="005D0B6B" w:rsidRPr="003E382F" w:rsidRDefault="005D0B6B" w:rsidP="00635571">
      <w:pPr>
        <w:pStyle w:val="GPSL2numberedclause"/>
        <w:numPr>
          <w:ilvl w:val="0"/>
          <w:numId w:val="0"/>
        </w:numPr>
        <w:ind w:left="285"/>
        <w:rPr>
          <w:rFonts w:eastAsia="Arial"/>
        </w:rPr>
      </w:pPr>
    </w:p>
    <w:p w14:paraId="709100CF" w14:textId="77777777" w:rsidR="00FF56C8" w:rsidRDefault="00A01950">
      <w:pPr>
        <w:rPr>
          <w:rFonts w:ascii="Arial" w:hAnsi="Arial" w:cs="Arial"/>
          <w:sz w:val="24"/>
        </w:rPr>
        <w:sectPr w:rsidR="00FF56C8" w:rsidSect="00CA50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800" w:left="1440" w:header="706" w:footer="706" w:gutter="0"/>
          <w:pgNumType w:start="1"/>
          <w:cols w:space="720"/>
        </w:sectPr>
      </w:pPr>
      <w:bookmarkStart w:id="14" w:name="_heading=h.1t3h5sf" w:colFirst="0" w:colLast="0"/>
      <w:bookmarkEnd w:id="14"/>
      <w:r w:rsidRPr="003E382F">
        <w:rPr>
          <w:rFonts w:ascii="Arial" w:hAnsi="Arial" w:cs="Arial"/>
          <w:sz w:val="24"/>
        </w:rPr>
        <w:br w:type="page"/>
      </w:r>
    </w:p>
    <w:p w14:paraId="075649AC" w14:textId="77777777" w:rsidR="00275B0C" w:rsidRDefault="00A01950">
      <w:pPr>
        <w:rPr>
          <w:rFonts w:ascii="Arial" w:eastAsia="Arial" w:hAnsi="Arial" w:cs="Arial"/>
          <w:b/>
          <w:sz w:val="36"/>
          <w:szCs w:val="36"/>
        </w:rPr>
      </w:pPr>
      <w:r>
        <w:rPr>
          <w:rFonts w:ascii="Arial" w:eastAsia="Arial" w:hAnsi="Arial" w:cs="Arial"/>
          <w:b/>
          <w:sz w:val="36"/>
          <w:szCs w:val="36"/>
        </w:rPr>
        <w:lastRenderedPageBreak/>
        <w:t>Annex 1: Rates and Prices</w:t>
      </w:r>
    </w:p>
    <w:p w14:paraId="39074B94" w14:textId="5E2C0B70" w:rsidR="004E259C" w:rsidRDefault="00B8019A" w:rsidP="00524152">
      <w:pPr>
        <w:pStyle w:val="GPsDefinition"/>
        <w:rPr>
          <w:rFonts w:eastAsia="Arial"/>
        </w:rPr>
      </w:pPr>
      <w:r>
        <w:rPr>
          <w:rFonts w:eastAsia="Arial"/>
        </w:rPr>
        <w:t>Notwithstanding any paragraphs to the contrary in this Schedule 3 (Charges)</w:t>
      </w:r>
      <w:r w:rsidR="006830D3">
        <w:rPr>
          <w:rFonts w:eastAsia="Arial"/>
        </w:rPr>
        <w:t xml:space="preserve"> or elsewhere in the Contract</w:t>
      </w:r>
      <w:r>
        <w:rPr>
          <w:rFonts w:eastAsia="Arial"/>
        </w:rPr>
        <w:t>, the Supplier has offered, and the Buyer has agreed</w:t>
      </w:r>
      <w:r w:rsidR="00D56569">
        <w:rPr>
          <w:rFonts w:eastAsia="Arial"/>
        </w:rPr>
        <w:t xml:space="preserve">, </w:t>
      </w:r>
      <w:r w:rsidR="006830D3">
        <w:rPr>
          <w:rFonts w:eastAsia="Arial"/>
        </w:rPr>
        <w:t xml:space="preserve">that </w:t>
      </w:r>
      <w:r w:rsidR="00812EB9">
        <w:rPr>
          <w:rFonts w:eastAsia="Arial"/>
        </w:rPr>
        <w:t>the</w:t>
      </w:r>
      <w:r w:rsidR="000B7C1C">
        <w:rPr>
          <w:rFonts w:eastAsia="Arial"/>
        </w:rPr>
        <w:t xml:space="preserve"> total</w:t>
      </w:r>
      <w:r w:rsidR="00812EB9">
        <w:rPr>
          <w:rFonts w:eastAsia="Arial"/>
        </w:rPr>
        <w:t xml:space="preserve"> </w:t>
      </w:r>
      <w:r w:rsidR="00DC0877">
        <w:rPr>
          <w:rFonts w:eastAsia="Arial"/>
        </w:rPr>
        <w:t xml:space="preserve">Charges </w:t>
      </w:r>
      <w:r w:rsidR="000B7C1C">
        <w:rPr>
          <w:rFonts w:eastAsia="Arial"/>
        </w:rPr>
        <w:t xml:space="preserve">payable under the Contract </w:t>
      </w:r>
      <w:r w:rsidR="00DC0877">
        <w:rPr>
          <w:rFonts w:eastAsia="Arial"/>
        </w:rPr>
        <w:t xml:space="preserve">shall </w:t>
      </w:r>
      <w:r w:rsidR="00D56569">
        <w:rPr>
          <w:rFonts w:eastAsia="Arial"/>
        </w:rPr>
        <w:t>be fixed</w:t>
      </w:r>
      <w:r w:rsidR="000A3C26">
        <w:rPr>
          <w:rFonts w:eastAsia="Arial"/>
        </w:rPr>
        <w:t xml:space="preserve"> at </w:t>
      </w:r>
      <w:r w:rsidR="00DE14F0">
        <w:rPr>
          <w:rFonts w:eastAsia="Arial"/>
        </w:rPr>
        <w:t>£1.384 million</w:t>
      </w:r>
      <w:r w:rsidR="00D56569">
        <w:rPr>
          <w:rFonts w:eastAsia="Arial"/>
        </w:rPr>
        <w:t>.</w:t>
      </w:r>
      <w:r w:rsidR="00845D1C">
        <w:rPr>
          <w:rFonts w:eastAsia="Arial"/>
        </w:rPr>
        <w:t xml:space="preserve"> </w:t>
      </w:r>
      <w:r w:rsidR="004E259C">
        <w:rPr>
          <w:rFonts w:eastAsia="Arial"/>
        </w:rPr>
        <w:t xml:space="preserve">The rate card and the indicative phase costs set out in this Annex 1 are provided solely to explain how the Supplier expects the Charges to be broken down over the three </w:t>
      </w:r>
      <w:r w:rsidR="00622B3C">
        <w:rPr>
          <w:rFonts w:eastAsia="Arial"/>
        </w:rPr>
        <w:t>development phases</w:t>
      </w:r>
      <w:r w:rsidR="008E56A1">
        <w:rPr>
          <w:rFonts w:eastAsia="Arial"/>
        </w:rPr>
        <w:t>.</w:t>
      </w:r>
    </w:p>
    <w:p w14:paraId="16797B6C" w14:textId="008777B8" w:rsidR="006830D3" w:rsidRDefault="004E259C" w:rsidP="00524152">
      <w:pPr>
        <w:pStyle w:val="GPsDefinition"/>
        <w:rPr>
          <w:rFonts w:eastAsia="Arial"/>
        </w:rPr>
      </w:pPr>
      <w:r>
        <w:rPr>
          <w:rFonts w:eastAsia="Arial"/>
        </w:rPr>
        <w:t>In addition, t</w:t>
      </w:r>
      <w:r w:rsidR="001D5B88">
        <w:rPr>
          <w:rFonts w:eastAsia="Arial"/>
        </w:rPr>
        <w:t xml:space="preserve">he Supplier has </w:t>
      </w:r>
      <w:r w:rsidR="007D0F9A">
        <w:rPr>
          <w:rFonts w:eastAsia="Arial"/>
        </w:rPr>
        <w:t>agreed to invest £500,000 of their own funds</w:t>
      </w:r>
      <w:r>
        <w:rPr>
          <w:rFonts w:eastAsia="Arial"/>
        </w:rPr>
        <w:t xml:space="preserve"> into development of the </w:t>
      </w:r>
      <w:r w:rsidR="004C62C4">
        <w:rPr>
          <w:rFonts w:eastAsia="Arial"/>
        </w:rPr>
        <w:t>Deliverables</w:t>
      </w:r>
      <w:r w:rsidR="007D0F9A">
        <w:rPr>
          <w:rFonts w:eastAsia="Arial"/>
        </w:rPr>
        <w:t xml:space="preserve"> </w:t>
      </w:r>
      <w:r>
        <w:rPr>
          <w:rFonts w:eastAsia="Arial"/>
        </w:rPr>
        <w:t xml:space="preserve">by </w:t>
      </w:r>
      <w:r w:rsidR="00B361D2">
        <w:rPr>
          <w:rFonts w:eastAsia="Arial"/>
        </w:rPr>
        <w:t>doing</w:t>
      </w:r>
      <w:r w:rsidR="006830D3">
        <w:rPr>
          <w:rFonts w:eastAsia="Arial"/>
        </w:rPr>
        <w:t xml:space="preserve"> the following</w:t>
      </w:r>
      <w:r w:rsidR="009E0CDE">
        <w:rPr>
          <w:rFonts w:eastAsia="Arial"/>
        </w:rPr>
        <w:t xml:space="preserve">: </w:t>
      </w:r>
    </w:p>
    <w:p w14:paraId="25AEE280" w14:textId="2959F4E8" w:rsidR="006830D3" w:rsidRDefault="009E0CDE" w:rsidP="00DA5A0F">
      <w:pPr>
        <w:pStyle w:val="GPSDefinitionL2"/>
        <w:numPr>
          <w:ilvl w:val="1"/>
          <w:numId w:val="11"/>
        </w:numPr>
        <w:rPr>
          <w:rFonts w:eastAsia="Arial"/>
        </w:rPr>
      </w:pPr>
      <w:r>
        <w:rPr>
          <w:rFonts w:eastAsia="Arial"/>
        </w:rPr>
        <w:t xml:space="preserve">providing the </w:t>
      </w:r>
      <w:r w:rsidR="0032682B">
        <w:rPr>
          <w:rFonts w:eastAsia="Arial"/>
        </w:rPr>
        <w:t>[</w:t>
      </w:r>
      <w:r>
        <w:rPr>
          <w:rFonts w:eastAsia="Arial"/>
        </w:rPr>
        <w:t>Mobilisation Phase</w:t>
      </w:r>
      <w:r w:rsidR="0032682B">
        <w:rPr>
          <w:rFonts w:eastAsia="Arial"/>
        </w:rPr>
        <w:t>]</w:t>
      </w:r>
      <w:r>
        <w:rPr>
          <w:rFonts w:eastAsia="Arial"/>
        </w:rPr>
        <w:t xml:space="preserve"> at zero cost; </w:t>
      </w:r>
    </w:p>
    <w:p w14:paraId="1B7B4EF7" w14:textId="4F4D05E7" w:rsidR="006830D3" w:rsidRDefault="00B06383" w:rsidP="00DA5A0F">
      <w:pPr>
        <w:pStyle w:val="GPSDefinitionL2"/>
        <w:numPr>
          <w:ilvl w:val="1"/>
          <w:numId w:val="11"/>
        </w:numPr>
        <w:rPr>
          <w:rFonts w:eastAsia="Arial"/>
        </w:rPr>
      </w:pPr>
      <w:r>
        <w:rPr>
          <w:rFonts w:eastAsia="Arial"/>
        </w:rPr>
        <w:t xml:space="preserve">providing </w:t>
      </w:r>
      <w:r w:rsidR="00C55FA6">
        <w:rPr>
          <w:rFonts w:eastAsia="Arial"/>
        </w:rPr>
        <w:t xml:space="preserve">additional Partner/ Director days </w:t>
      </w:r>
      <w:r w:rsidR="00367CD9">
        <w:rPr>
          <w:rFonts w:eastAsia="Arial"/>
        </w:rPr>
        <w:t>into delivery of the Services</w:t>
      </w:r>
      <w:r w:rsidR="00120635">
        <w:rPr>
          <w:rFonts w:eastAsia="Arial"/>
        </w:rPr>
        <w:t xml:space="preserve">; and </w:t>
      </w:r>
    </w:p>
    <w:p w14:paraId="0F752B8F" w14:textId="39E1D9C8" w:rsidR="00DE14F0" w:rsidRDefault="00271310" w:rsidP="00DA5A0F">
      <w:pPr>
        <w:pStyle w:val="GPSDefinitionL2"/>
        <w:numPr>
          <w:ilvl w:val="1"/>
          <w:numId w:val="11"/>
        </w:numPr>
        <w:rPr>
          <w:rFonts w:eastAsia="Arial"/>
        </w:rPr>
      </w:pPr>
      <w:r>
        <w:rPr>
          <w:rFonts w:eastAsia="Arial"/>
        </w:rPr>
        <w:t xml:space="preserve">forming a </w:t>
      </w:r>
      <w:r w:rsidR="00120635">
        <w:rPr>
          <w:rFonts w:eastAsia="Arial"/>
        </w:rPr>
        <w:t xml:space="preserve">council of advisors from across the payments system </w:t>
      </w:r>
      <w:r>
        <w:rPr>
          <w:rFonts w:eastAsia="Arial"/>
        </w:rPr>
        <w:t xml:space="preserve">and obtaining input from them </w:t>
      </w:r>
      <w:r w:rsidR="00B46112">
        <w:rPr>
          <w:rFonts w:eastAsia="Arial"/>
        </w:rPr>
        <w:t>to inform the work undertaken</w:t>
      </w:r>
      <w:r w:rsidR="000443C7">
        <w:rPr>
          <w:rFonts w:eastAsia="Arial"/>
        </w:rPr>
        <w:t xml:space="preserve"> in developing the Deliverables</w:t>
      </w:r>
      <w:r w:rsidR="00B46112">
        <w:rPr>
          <w:rFonts w:eastAsia="Arial"/>
        </w:rPr>
        <w:t xml:space="preserve">. </w:t>
      </w:r>
    </w:p>
    <w:p w14:paraId="569DFD23" w14:textId="7B99A1CD" w:rsidR="00200B7C" w:rsidRDefault="00890F72" w:rsidP="000B4A4C">
      <w:pPr>
        <w:pStyle w:val="GPsDefinition"/>
        <w:rPr>
          <w:rFonts w:eastAsia="Arial"/>
        </w:rPr>
      </w:pPr>
      <w:r w:rsidRPr="004E259C">
        <w:rPr>
          <w:rFonts w:eastAsia="Arial"/>
        </w:rPr>
        <w:t xml:space="preserve">For the avoidance of doubt, </w:t>
      </w:r>
      <w:r w:rsidR="004A2E8B">
        <w:rPr>
          <w:rFonts w:eastAsia="Arial"/>
        </w:rPr>
        <w:t xml:space="preserve">since the total Charges </w:t>
      </w:r>
      <w:r w:rsidR="003535FA">
        <w:rPr>
          <w:rFonts w:eastAsia="Arial"/>
        </w:rPr>
        <w:t xml:space="preserve">stated </w:t>
      </w:r>
      <w:r w:rsidR="00DE14F0" w:rsidRPr="004E259C">
        <w:rPr>
          <w:rFonts w:eastAsia="Arial"/>
        </w:rPr>
        <w:t xml:space="preserve">in paragraph </w:t>
      </w:r>
      <w:r w:rsidR="009744B5" w:rsidRPr="004E259C">
        <w:rPr>
          <w:rFonts w:eastAsia="Arial"/>
        </w:rPr>
        <w:t>1</w:t>
      </w:r>
      <w:r w:rsidR="00DE14F0" w:rsidRPr="004E259C">
        <w:rPr>
          <w:rFonts w:eastAsia="Arial"/>
        </w:rPr>
        <w:t xml:space="preserve"> of this Annex 1</w:t>
      </w:r>
      <w:r w:rsidR="00624C9B" w:rsidRPr="004E259C">
        <w:rPr>
          <w:rFonts w:eastAsia="Arial"/>
        </w:rPr>
        <w:t xml:space="preserve"> </w:t>
      </w:r>
      <w:r w:rsidR="003535FA">
        <w:rPr>
          <w:rFonts w:eastAsia="Arial"/>
        </w:rPr>
        <w:t xml:space="preserve">is fixed, </w:t>
      </w:r>
      <w:r w:rsidR="00200B7C">
        <w:rPr>
          <w:rFonts w:eastAsia="Arial"/>
        </w:rPr>
        <w:t>it include</w:t>
      </w:r>
      <w:r w:rsidR="000D4079">
        <w:rPr>
          <w:rFonts w:eastAsia="Arial"/>
        </w:rPr>
        <w:t>s (without limitation)</w:t>
      </w:r>
      <w:r w:rsidR="00200B7C">
        <w:rPr>
          <w:rFonts w:eastAsia="Arial"/>
        </w:rPr>
        <w:t xml:space="preserve"> the following</w:t>
      </w:r>
      <w:r w:rsidR="003535FA">
        <w:rPr>
          <w:rFonts w:eastAsia="Arial"/>
        </w:rPr>
        <w:t>:</w:t>
      </w:r>
      <w:r w:rsidR="0043172E" w:rsidRPr="004E259C">
        <w:rPr>
          <w:rFonts w:eastAsia="Arial"/>
        </w:rPr>
        <w:t xml:space="preserve"> </w:t>
      </w:r>
    </w:p>
    <w:p w14:paraId="261B1C16" w14:textId="28DF1B74" w:rsidR="00200B7C" w:rsidRDefault="0043172E" w:rsidP="00DA5A0F">
      <w:pPr>
        <w:pStyle w:val="GPSDefinitionL2"/>
        <w:numPr>
          <w:ilvl w:val="1"/>
          <w:numId w:val="13"/>
        </w:numPr>
        <w:rPr>
          <w:rFonts w:eastAsia="Arial"/>
        </w:rPr>
      </w:pPr>
      <w:r w:rsidRPr="004E259C">
        <w:rPr>
          <w:rFonts w:eastAsia="Arial"/>
        </w:rPr>
        <w:t>all time, expenses, overtime, and weekend work by the Supplier</w:t>
      </w:r>
      <w:r w:rsidRPr="00576BD0">
        <w:rPr>
          <w:rFonts w:eastAsia="Arial"/>
        </w:rPr>
        <w:t>’</w:t>
      </w:r>
      <w:r w:rsidRPr="004A2E8B">
        <w:rPr>
          <w:rFonts w:eastAsia="Arial"/>
        </w:rPr>
        <w:t>s full-time team</w:t>
      </w:r>
      <w:r w:rsidR="00200B7C">
        <w:rPr>
          <w:rFonts w:eastAsia="Arial"/>
        </w:rPr>
        <w:t>;</w:t>
      </w:r>
      <w:r w:rsidR="00F0438F">
        <w:rPr>
          <w:rFonts w:eastAsia="Arial"/>
        </w:rPr>
        <w:t xml:space="preserve"> and</w:t>
      </w:r>
    </w:p>
    <w:p w14:paraId="09BF66E0" w14:textId="77777777" w:rsidR="001A043E" w:rsidRDefault="0043172E" w:rsidP="00DA5A0F">
      <w:pPr>
        <w:pStyle w:val="GPSDefinitionL2"/>
        <w:numPr>
          <w:ilvl w:val="1"/>
          <w:numId w:val="13"/>
        </w:numPr>
        <w:rPr>
          <w:rFonts w:eastAsia="Arial"/>
        </w:rPr>
      </w:pPr>
      <w:r w:rsidRPr="004A2E8B">
        <w:rPr>
          <w:rFonts w:eastAsia="Arial"/>
        </w:rPr>
        <w:t>access to researche</w:t>
      </w:r>
      <w:r w:rsidRPr="003535FA">
        <w:rPr>
          <w:rFonts w:eastAsia="Arial"/>
        </w:rPr>
        <w:t>rs</w:t>
      </w:r>
      <w:r w:rsidR="00B1624B" w:rsidRPr="003535FA">
        <w:rPr>
          <w:rFonts w:eastAsia="Arial"/>
        </w:rPr>
        <w:t xml:space="preserve">, communication specialists, and experts who are not part of the </w:t>
      </w:r>
      <w:r w:rsidR="00F333EE" w:rsidRPr="003535FA">
        <w:rPr>
          <w:rFonts w:eastAsia="Arial"/>
        </w:rPr>
        <w:t>Supplier’s full-time team</w:t>
      </w:r>
      <w:r w:rsidR="00F0438F">
        <w:rPr>
          <w:rFonts w:eastAsia="Arial"/>
        </w:rPr>
        <w:t>.</w:t>
      </w:r>
    </w:p>
    <w:p w14:paraId="748673CB" w14:textId="375D3425" w:rsidR="00594036" w:rsidRPr="001A043E" w:rsidRDefault="00DA5A0F" w:rsidP="00DA5A0F">
      <w:pPr>
        <w:pStyle w:val="GPSDefinitionL2"/>
        <w:numPr>
          <w:ilvl w:val="0"/>
          <w:numId w:val="0"/>
        </w:numPr>
        <w:rPr>
          <w:rFonts w:eastAsia="Arial"/>
        </w:rPr>
      </w:pPr>
      <w:r>
        <w:rPr>
          <w:rFonts w:eastAsia="Arial"/>
        </w:rPr>
        <w:tab/>
      </w:r>
      <w:r>
        <w:rPr>
          <w:rFonts w:eastAsia="Arial"/>
        </w:rPr>
        <w:tab/>
      </w:r>
      <w:r w:rsidR="001A043E">
        <w:rPr>
          <w:rFonts w:eastAsia="Arial"/>
        </w:rPr>
        <w:t>The Supplier, for the avoidance of doubt, also cannot charge</w:t>
      </w:r>
      <w:r w:rsidR="00F333EE" w:rsidRPr="001A043E">
        <w:rPr>
          <w:rFonts w:eastAsia="Arial"/>
        </w:rPr>
        <w:t xml:space="preserve"> for changes to resourcing.</w:t>
      </w:r>
      <w:r w:rsidR="00594036" w:rsidRPr="001A043E">
        <w:rPr>
          <w:rFonts w:eastAsia="Arial"/>
        </w:rPr>
        <w:t xml:space="preserve">  </w:t>
      </w:r>
    </w:p>
    <w:p w14:paraId="6C837FAB" w14:textId="77777777" w:rsidR="0073523E" w:rsidRDefault="0073523E" w:rsidP="0073523E">
      <w:pPr>
        <w:pStyle w:val="GPsDefinition"/>
        <w:numPr>
          <w:ilvl w:val="0"/>
          <w:numId w:val="0"/>
        </w:numPr>
        <w:ind w:left="720" w:hanging="720"/>
        <w:rPr>
          <w:rFonts w:eastAsia="Arial"/>
          <w:b/>
          <w:bCs/>
          <w:u w:val="single"/>
        </w:rPr>
      </w:pPr>
    </w:p>
    <w:p w14:paraId="3C67E295" w14:textId="786C48F0" w:rsidR="00DA5A0F" w:rsidRDefault="00DA5A0F">
      <w:pPr>
        <w:rPr>
          <w:rFonts w:ascii="Arial" w:eastAsia="Arial" w:hAnsi="Arial" w:cs="Arial"/>
          <w:b/>
          <w:bCs/>
          <w:u w:val="single"/>
        </w:rPr>
      </w:pPr>
      <w:r>
        <w:rPr>
          <w:rFonts w:eastAsia="Arial"/>
          <w:b/>
          <w:bCs/>
          <w:u w:val="single"/>
        </w:rPr>
        <w:br w:type="page"/>
      </w:r>
    </w:p>
    <w:p w14:paraId="120F5526" w14:textId="485DDD91" w:rsidR="00C11457" w:rsidRDefault="00C11457" w:rsidP="00DA5A0F">
      <w:pPr>
        <w:pStyle w:val="GPsDefinition"/>
        <w:numPr>
          <w:ilvl w:val="0"/>
          <w:numId w:val="0"/>
        </w:numPr>
        <w:ind w:left="720" w:hanging="720"/>
        <w:rPr>
          <w:rFonts w:eastAsia="Arial"/>
          <w:b/>
          <w:color w:val="000000"/>
          <w:sz w:val="24"/>
          <w:szCs w:val="24"/>
        </w:rPr>
      </w:pPr>
    </w:p>
    <w:p w14:paraId="46A301D0" w14:textId="39EE3508" w:rsidR="00DA5A0F" w:rsidRDefault="00F5252D">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Redacted</w:t>
      </w:r>
    </w:p>
    <w:p w14:paraId="66BCE427" w14:textId="0809ED2F" w:rsidR="00DA5A0F" w:rsidRDefault="00DA5A0F">
      <w:pPr>
        <w:rPr>
          <w:rFonts w:ascii="Arial" w:eastAsia="Arial" w:hAnsi="Arial" w:cs="Arial"/>
          <w:b/>
          <w:color w:val="000000"/>
          <w:sz w:val="24"/>
          <w:szCs w:val="24"/>
        </w:rPr>
      </w:pPr>
      <w:r>
        <w:rPr>
          <w:rFonts w:ascii="Arial" w:eastAsia="Arial" w:hAnsi="Arial" w:cs="Arial"/>
          <w:b/>
          <w:color w:val="000000"/>
          <w:sz w:val="24"/>
          <w:szCs w:val="24"/>
        </w:rPr>
        <w:br w:type="page"/>
      </w:r>
    </w:p>
    <w:p w14:paraId="39D85E92" w14:textId="15E26AF0" w:rsidR="00C11457" w:rsidRDefault="00F5252D">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Redacted</w:t>
      </w:r>
    </w:p>
    <w:p w14:paraId="32A4EA5B" w14:textId="58683552" w:rsidR="00DA5A0F" w:rsidRDefault="00DA5A0F">
      <w:pPr>
        <w:rPr>
          <w:rFonts w:ascii="Arial" w:eastAsia="Arial" w:hAnsi="Arial" w:cs="Arial"/>
          <w:u w:val="single"/>
        </w:rPr>
      </w:pPr>
      <w:r>
        <w:rPr>
          <w:rFonts w:eastAsia="Arial"/>
          <w:u w:val="single"/>
        </w:rPr>
        <w:br w:type="page"/>
      </w:r>
    </w:p>
    <w:p w14:paraId="2B1B9DA8" w14:textId="3DE0E9AB" w:rsidR="001B534B" w:rsidRPr="00F5252D" w:rsidRDefault="00F5252D" w:rsidP="001B534B">
      <w:pPr>
        <w:keepNext/>
        <w:pBdr>
          <w:top w:val="nil"/>
          <w:left w:val="nil"/>
          <w:bottom w:val="nil"/>
          <w:right w:val="nil"/>
          <w:between w:val="nil"/>
        </w:pBdr>
        <w:spacing w:before="120" w:after="120" w:line="240" w:lineRule="auto"/>
        <w:rPr>
          <w:rFonts w:ascii="Arial" w:eastAsia="Arial" w:hAnsi="Arial" w:cs="Arial"/>
          <w:b/>
          <w:bCs/>
          <w:iCs/>
          <w:color w:val="000000"/>
          <w:sz w:val="24"/>
          <w:szCs w:val="24"/>
        </w:rPr>
      </w:pPr>
      <w:r w:rsidRPr="00F5252D">
        <w:rPr>
          <w:rFonts w:ascii="Arial" w:eastAsia="Arial" w:hAnsi="Arial" w:cs="Arial"/>
          <w:b/>
          <w:bCs/>
          <w:iCs/>
          <w:color w:val="000000"/>
          <w:sz w:val="24"/>
          <w:szCs w:val="24"/>
        </w:rPr>
        <w:lastRenderedPageBreak/>
        <w:t>Redacted</w:t>
      </w:r>
    </w:p>
    <w:p w14:paraId="76E20493" w14:textId="77777777" w:rsidR="001B534B" w:rsidRDefault="001B534B" w:rsidP="001B534B">
      <w:pPr>
        <w:keepNext/>
        <w:pBdr>
          <w:top w:val="nil"/>
          <w:left w:val="nil"/>
          <w:bottom w:val="nil"/>
          <w:right w:val="nil"/>
          <w:between w:val="nil"/>
        </w:pBdr>
        <w:spacing w:before="120" w:after="120" w:line="240" w:lineRule="auto"/>
        <w:rPr>
          <w:rFonts w:ascii="Arial" w:eastAsia="Arial" w:hAnsi="Arial" w:cs="Arial"/>
          <w:i/>
          <w:color w:val="000000"/>
          <w:sz w:val="24"/>
          <w:szCs w:val="24"/>
        </w:rPr>
      </w:pPr>
    </w:p>
    <w:p w14:paraId="59E0A006" w14:textId="77777777" w:rsidR="001B534B" w:rsidRDefault="001B534B" w:rsidP="001B534B">
      <w:pPr>
        <w:keepNext/>
        <w:pBdr>
          <w:top w:val="nil"/>
          <w:left w:val="nil"/>
          <w:bottom w:val="nil"/>
          <w:right w:val="nil"/>
          <w:between w:val="nil"/>
        </w:pBdr>
        <w:spacing w:before="120" w:after="120" w:line="240" w:lineRule="auto"/>
        <w:rPr>
          <w:rFonts w:ascii="Arial" w:eastAsia="Arial" w:hAnsi="Arial" w:cs="Arial"/>
          <w:i/>
          <w:color w:val="000000"/>
          <w:sz w:val="24"/>
          <w:szCs w:val="24"/>
        </w:rPr>
      </w:pPr>
    </w:p>
    <w:p w14:paraId="420F85B8" w14:textId="77777777" w:rsidR="001B534B" w:rsidRDefault="001B534B" w:rsidP="001B534B">
      <w:pPr>
        <w:keepNext/>
        <w:pBdr>
          <w:top w:val="nil"/>
          <w:left w:val="nil"/>
          <w:bottom w:val="nil"/>
          <w:right w:val="nil"/>
          <w:between w:val="nil"/>
        </w:pBdr>
        <w:spacing w:before="120" w:after="120" w:line="240" w:lineRule="auto"/>
        <w:rPr>
          <w:rFonts w:ascii="Arial" w:eastAsia="Arial" w:hAnsi="Arial" w:cs="Arial"/>
          <w:i/>
          <w:color w:val="000000"/>
          <w:sz w:val="24"/>
          <w:szCs w:val="24"/>
        </w:rPr>
      </w:pPr>
    </w:p>
    <w:p w14:paraId="08780627" w14:textId="77777777" w:rsidR="001B534B" w:rsidRDefault="001B534B" w:rsidP="001B534B">
      <w:pPr>
        <w:keepNext/>
        <w:pBdr>
          <w:top w:val="nil"/>
          <w:left w:val="nil"/>
          <w:bottom w:val="nil"/>
          <w:right w:val="nil"/>
          <w:between w:val="nil"/>
        </w:pBdr>
        <w:spacing w:before="120" w:after="120" w:line="240" w:lineRule="auto"/>
        <w:rPr>
          <w:rFonts w:ascii="Arial" w:eastAsia="Arial" w:hAnsi="Arial" w:cs="Arial"/>
          <w:i/>
          <w:color w:val="000000"/>
          <w:sz w:val="24"/>
          <w:szCs w:val="24"/>
        </w:rPr>
      </w:pPr>
    </w:p>
    <w:p w14:paraId="35FE46FF" w14:textId="77777777" w:rsidR="00BC714D" w:rsidRDefault="00BC714D">
      <w:pPr>
        <w:rPr>
          <w:rFonts w:ascii="Arial" w:eastAsia="Arial" w:hAnsi="Arial" w:cs="Arial"/>
          <w:b/>
          <w:sz w:val="24"/>
          <w:szCs w:val="24"/>
        </w:rPr>
        <w:sectPr w:rsidR="00BC714D" w:rsidSect="00FF56C8">
          <w:pgSz w:w="16838" w:h="11906" w:orient="landscape"/>
          <w:pgMar w:top="1440" w:right="1440" w:bottom="1440" w:left="1797" w:header="706" w:footer="706" w:gutter="0"/>
          <w:pgNumType w:start="1"/>
          <w:cols w:space="720"/>
        </w:sectPr>
      </w:pPr>
    </w:p>
    <w:p w14:paraId="76F67987" w14:textId="77777777" w:rsidR="00275B0C" w:rsidRDefault="00BC714D">
      <w:pPr>
        <w:rPr>
          <w:rFonts w:ascii="Arial" w:eastAsia="Arial" w:hAnsi="Arial" w:cs="Arial"/>
          <w:b/>
          <w:sz w:val="24"/>
          <w:szCs w:val="24"/>
        </w:rPr>
      </w:pPr>
      <w:r>
        <w:rPr>
          <w:rFonts w:ascii="Arial" w:eastAsia="Arial" w:hAnsi="Arial" w:cs="Arial"/>
          <w:b/>
          <w:sz w:val="36"/>
          <w:szCs w:val="36"/>
        </w:rPr>
        <w:lastRenderedPageBreak/>
        <w:t>Annex 2: Allowable Assumptions</w:t>
      </w:r>
    </w:p>
    <w:p w14:paraId="68A12887" w14:textId="77777777" w:rsidR="00BC714D" w:rsidRDefault="00BC714D" w:rsidP="00BC714D">
      <w:pPr>
        <w:pStyle w:val="MarginText"/>
        <w:jc w:val="center"/>
        <w:rPr>
          <w: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45"/>
        <w:gridCol w:w="2044"/>
        <w:gridCol w:w="2045"/>
        <w:gridCol w:w="2044"/>
        <w:gridCol w:w="2045"/>
        <w:gridCol w:w="2045"/>
      </w:tblGrid>
      <w:tr w:rsidR="00B45ED3" w14:paraId="5CB6DAB4" w14:textId="77777777" w:rsidTr="00B45ED3">
        <w:tc>
          <w:tcPr>
            <w:tcW w:w="2044" w:type="dxa"/>
            <w:shd w:val="clear" w:color="auto" w:fill="F2F2F2"/>
          </w:tcPr>
          <w:p w14:paraId="099C9FE2" w14:textId="77777777"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1</w:t>
            </w:r>
          </w:p>
        </w:tc>
        <w:tc>
          <w:tcPr>
            <w:tcW w:w="2045" w:type="dxa"/>
            <w:shd w:val="clear" w:color="auto" w:fill="F2F2F2"/>
          </w:tcPr>
          <w:p w14:paraId="58AE5699" w14:textId="77777777"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2</w:t>
            </w:r>
          </w:p>
        </w:tc>
        <w:tc>
          <w:tcPr>
            <w:tcW w:w="2044" w:type="dxa"/>
            <w:shd w:val="clear" w:color="auto" w:fill="F2F2F2"/>
          </w:tcPr>
          <w:p w14:paraId="333D1FF2" w14:textId="77777777"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3</w:t>
            </w:r>
          </w:p>
        </w:tc>
        <w:tc>
          <w:tcPr>
            <w:tcW w:w="2045" w:type="dxa"/>
            <w:shd w:val="clear" w:color="auto" w:fill="F2F2F2"/>
          </w:tcPr>
          <w:p w14:paraId="4AFF6420" w14:textId="77777777"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4</w:t>
            </w:r>
          </w:p>
        </w:tc>
        <w:tc>
          <w:tcPr>
            <w:tcW w:w="2044" w:type="dxa"/>
            <w:shd w:val="clear" w:color="auto" w:fill="F2F2F2"/>
          </w:tcPr>
          <w:p w14:paraId="55A5CEDE" w14:textId="631290B4"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5</w:t>
            </w:r>
          </w:p>
        </w:tc>
        <w:tc>
          <w:tcPr>
            <w:tcW w:w="2045" w:type="dxa"/>
            <w:shd w:val="clear" w:color="auto" w:fill="F2F2F2"/>
          </w:tcPr>
          <w:p w14:paraId="54FE0678" w14:textId="5A464625"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6</w:t>
            </w:r>
          </w:p>
        </w:tc>
        <w:tc>
          <w:tcPr>
            <w:tcW w:w="2045" w:type="dxa"/>
            <w:shd w:val="clear" w:color="auto" w:fill="F2F2F2"/>
          </w:tcPr>
          <w:p w14:paraId="304B120C" w14:textId="54FDE3D7" w:rsidR="00B45ED3" w:rsidRPr="00EB43B8" w:rsidRDefault="00B45ED3" w:rsidP="004A36C1">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Column 7</w:t>
            </w:r>
          </w:p>
        </w:tc>
      </w:tr>
      <w:tr w:rsidR="00B45ED3" w14:paraId="5DB0B49F" w14:textId="77777777" w:rsidTr="00B45ED3">
        <w:tc>
          <w:tcPr>
            <w:tcW w:w="2044" w:type="dxa"/>
            <w:shd w:val="clear" w:color="auto" w:fill="F2F2F2"/>
          </w:tcPr>
          <w:p w14:paraId="6DF11C4E" w14:textId="1554BE90"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Ref</w:t>
            </w:r>
          </w:p>
        </w:tc>
        <w:tc>
          <w:tcPr>
            <w:tcW w:w="2045" w:type="dxa"/>
            <w:shd w:val="clear" w:color="auto" w:fill="F2F2F2"/>
          </w:tcPr>
          <w:p w14:paraId="55D7D246" w14:textId="70396A6A"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Description</w:t>
            </w:r>
          </w:p>
        </w:tc>
        <w:tc>
          <w:tcPr>
            <w:tcW w:w="2044" w:type="dxa"/>
            <w:shd w:val="clear" w:color="auto" w:fill="F2F2F2"/>
          </w:tcPr>
          <w:p w14:paraId="53AA9DAC" w14:textId="0333F817"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Potential time impact if not accurate</w:t>
            </w:r>
          </w:p>
        </w:tc>
        <w:tc>
          <w:tcPr>
            <w:tcW w:w="2045" w:type="dxa"/>
            <w:shd w:val="clear" w:color="auto" w:fill="F2F2F2"/>
          </w:tcPr>
          <w:p w14:paraId="536FABF2" w14:textId="2575337B"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Potential cost impact if not accurate</w:t>
            </w:r>
          </w:p>
        </w:tc>
        <w:tc>
          <w:tcPr>
            <w:tcW w:w="2044" w:type="dxa"/>
            <w:shd w:val="clear" w:color="auto" w:fill="F2F2F2"/>
          </w:tcPr>
          <w:p w14:paraId="2F7B6260" w14:textId="5EA847C6"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How it will be tested</w:t>
            </w:r>
          </w:p>
        </w:tc>
        <w:tc>
          <w:tcPr>
            <w:tcW w:w="2045" w:type="dxa"/>
            <w:shd w:val="clear" w:color="auto" w:fill="F2F2F2"/>
          </w:tcPr>
          <w:p w14:paraId="2B79D092" w14:textId="305C3DBE"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Maximum impact period</w:t>
            </w:r>
          </w:p>
        </w:tc>
        <w:tc>
          <w:tcPr>
            <w:tcW w:w="2045" w:type="dxa"/>
            <w:shd w:val="clear" w:color="auto" w:fill="F2F2F2"/>
          </w:tcPr>
          <w:p w14:paraId="7B4346C1" w14:textId="21A02D91" w:rsidR="00B45ED3" w:rsidRPr="00EB43B8" w:rsidRDefault="00B45ED3" w:rsidP="00B45ED3">
            <w:pPr>
              <w:pStyle w:val="Table-Text"/>
              <w:overflowPunct w:val="0"/>
              <w:autoSpaceDE w:val="0"/>
              <w:autoSpaceDN w:val="0"/>
              <w:textAlignment w:val="baseline"/>
              <w:rPr>
                <w:rFonts w:ascii="Arial" w:hAnsi="Arial" w:cs="Arial"/>
                <w:b/>
                <w:sz w:val="24"/>
                <w:szCs w:val="16"/>
              </w:rPr>
            </w:pPr>
            <w:r w:rsidRPr="00EB43B8">
              <w:rPr>
                <w:rFonts w:ascii="Arial" w:hAnsi="Arial" w:cs="Arial"/>
                <w:b/>
                <w:sz w:val="24"/>
                <w:szCs w:val="16"/>
              </w:rPr>
              <w:t>Verification period</w:t>
            </w:r>
          </w:p>
        </w:tc>
      </w:tr>
      <w:tr w:rsidR="00B45ED3" w14:paraId="7B428EA1" w14:textId="77777777" w:rsidTr="00B45ED3">
        <w:tc>
          <w:tcPr>
            <w:tcW w:w="2044" w:type="dxa"/>
            <w:shd w:val="clear" w:color="auto" w:fill="auto"/>
          </w:tcPr>
          <w:p w14:paraId="5F0E1EB6"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3BBD1BFC"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60E773A7"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2A4CB718"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443D5A95"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00C8DCE6"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34CF2412"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r>
      <w:tr w:rsidR="00B45ED3" w14:paraId="5F3D23BD" w14:textId="77777777" w:rsidTr="00B45ED3">
        <w:tc>
          <w:tcPr>
            <w:tcW w:w="2044" w:type="dxa"/>
            <w:shd w:val="clear" w:color="auto" w:fill="auto"/>
          </w:tcPr>
          <w:p w14:paraId="4366AE30"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553534B0"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75332830"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4699BAFD"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7EA14E6E"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0D4ACD85"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09BB2F07"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r>
      <w:tr w:rsidR="00B45ED3" w14:paraId="2EC0743D" w14:textId="77777777" w:rsidTr="00B45ED3">
        <w:tc>
          <w:tcPr>
            <w:tcW w:w="2044" w:type="dxa"/>
            <w:shd w:val="clear" w:color="auto" w:fill="auto"/>
          </w:tcPr>
          <w:p w14:paraId="4790F063"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1E62E0EE"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525BD191"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27838FFA"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1D95456C"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029510F0"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2BB76C5A"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r>
      <w:tr w:rsidR="00B45ED3" w14:paraId="4D3B7F95" w14:textId="77777777" w:rsidTr="00B45ED3">
        <w:tc>
          <w:tcPr>
            <w:tcW w:w="2044" w:type="dxa"/>
            <w:shd w:val="clear" w:color="auto" w:fill="auto"/>
          </w:tcPr>
          <w:p w14:paraId="2838127E"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0A2A2672"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0E119F83"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55210BA0"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4" w:type="dxa"/>
            <w:shd w:val="clear" w:color="auto" w:fill="auto"/>
          </w:tcPr>
          <w:p w14:paraId="475F0432"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2330C02B"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c>
          <w:tcPr>
            <w:tcW w:w="2045" w:type="dxa"/>
            <w:shd w:val="clear" w:color="auto" w:fill="auto"/>
          </w:tcPr>
          <w:p w14:paraId="2048E879" w14:textId="77777777" w:rsidR="00B45ED3" w:rsidRPr="00635571" w:rsidRDefault="00B45ED3" w:rsidP="00B45ED3">
            <w:pPr>
              <w:pStyle w:val="Table-Text"/>
              <w:overflowPunct w:val="0"/>
              <w:autoSpaceDE w:val="0"/>
              <w:autoSpaceDN w:val="0"/>
              <w:textAlignment w:val="baseline"/>
              <w:rPr>
                <w:rFonts w:ascii="Arial" w:hAnsi="Arial" w:cs="Arial"/>
                <w:sz w:val="16"/>
                <w:szCs w:val="16"/>
              </w:rPr>
            </w:pPr>
          </w:p>
        </w:tc>
      </w:tr>
    </w:tbl>
    <w:p w14:paraId="7E9A5636" w14:textId="60B15F29" w:rsidR="00BC714D" w:rsidRPr="008A6D7D" w:rsidRDefault="00BC714D">
      <w:pPr>
        <w:rPr>
          <w:rFonts w:ascii="Arial" w:eastAsia="Arial" w:hAnsi="Arial" w:cs="Arial"/>
          <w:sz w:val="24"/>
          <w:szCs w:val="24"/>
        </w:rPr>
      </w:pPr>
    </w:p>
    <w:p w14:paraId="0F9C8CFA" w14:textId="03D90793" w:rsidR="008A6D7D" w:rsidRPr="008A6D7D" w:rsidRDefault="008A6D7D">
      <w:pPr>
        <w:rPr>
          <w:rFonts w:ascii="Arial" w:eastAsia="Arial" w:hAnsi="Arial" w:cs="Arial"/>
          <w:sz w:val="24"/>
          <w:szCs w:val="24"/>
        </w:rPr>
      </w:pPr>
    </w:p>
    <w:p w14:paraId="38044115" w14:textId="2FF5E46D" w:rsidR="008A6D7D" w:rsidRPr="008A6D7D" w:rsidRDefault="008A6D7D">
      <w:pPr>
        <w:rPr>
          <w:rFonts w:ascii="Arial" w:eastAsia="Arial" w:hAnsi="Arial" w:cs="Arial"/>
          <w:sz w:val="24"/>
          <w:szCs w:val="24"/>
        </w:rPr>
      </w:pPr>
    </w:p>
    <w:sectPr w:rsidR="008A6D7D" w:rsidRPr="008A6D7D" w:rsidSect="00FF56C8">
      <w:footerReference w:type="default" r:id="rId19"/>
      <w:pgSz w:w="16838" w:h="11906" w:orient="landscape"/>
      <w:pgMar w:top="1440" w:right="1440" w:bottom="1440" w:left="1797"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5FEA" w14:textId="77777777" w:rsidR="000679F4" w:rsidRDefault="000679F4">
      <w:pPr>
        <w:spacing w:after="0" w:line="240" w:lineRule="auto"/>
      </w:pPr>
      <w:r>
        <w:separator/>
      </w:r>
    </w:p>
  </w:endnote>
  <w:endnote w:type="continuationSeparator" w:id="0">
    <w:p w14:paraId="6B64C91C" w14:textId="77777777" w:rsidR="000679F4" w:rsidRDefault="0006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D68F" w14:textId="77777777" w:rsidR="005779DD" w:rsidRDefault="00577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C3C8" w14:textId="3A10C442" w:rsidR="00F8629C" w:rsidRDefault="007E1A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8240" behindDoc="0" locked="0" layoutInCell="0" allowOverlap="1" wp14:anchorId="3045E8C0" wp14:editId="343342D1">
              <wp:simplePos x="0" y="0"/>
              <wp:positionH relativeFrom="page">
                <wp:align>center</wp:align>
              </wp:positionH>
              <wp:positionV relativeFrom="page">
                <wp:align>bottom</wp:align>
              </wp:positionV>
              <wp:extent cx="7772400" cy="463550"/>
              <wp:effectExtent l="0" t="0" r="0" b="12700"/>
              <wp:wrapNone/>
              <wp:docPr id="1" name="MSIPCM2cdd4f8ca7f95278fd5358dd"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405AE" w14:textId="3A7E1A9D" w:rsidR="007E1A21" w:rsidRPr="00F5252D" w:rsidRDefault="00F5252D" w:rsidP="00F5252D">
                          <w:pPr>
                            <w:spacing w:after="0"/>
                            <w:jc w:val="center"/>
                            <w:rPr>
                              <w:color w:val="000000"/>
                              <w:sz w:val="20"/>
                            </w:rPr>
                          </w:pPr>
                          <w:r w:rsidRPr="00F5252D">
                            <w:rPr>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045E8C0" id="_x0000_t202" coordsize="21600,21600" o:spt="202" path="m,l,21600r21600,l21600,xe">
              <v:stroke joinstyle="miter"/>
              <v:path gradientshapeok="t" o:connecttype="rect"/>
            </v:shapetype>
            <v:shape id="MSIPCM2cdd4f8ca7f95278fd5358dd"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65405AE" w14:textId="3A7E1A9D" w:rsidR="007E1A21" w:rsidRPr="00F5252D" w:rsidRDefault="00F5252D" w:rsidP="00F5252D">
                    <w:pPr>
                      <w:spacing w:after="0"/>
                      <w:jc w:val="center"/>
                      <w:rPr>
                        <w:color w:val="000000"/>
                        <w:sz w:val="20"/>
                      </w:rPr>
                    </w:pPr>
                    <w:r w:rsidRPr="00F5252D">
                      <w:rPr>
                        <w:color w:val="000000"/>
                        <w:sz w:val="20"/>
                      </w:rPr>
                      <w:t>OFFICIAL</w:t>
                    </w:r>
                  </w:p>
                </w:txbxContent>
              </v:textbox>
              <w10:wrap anchorx="page" anchory="page"/>
            </v:shape>
          </w:pict>
        </mc:Fallback>
      </mc:AlternateContent>
    </w:r>
  </w:p>
  <w:p w14:paraId="5BFC5C27" w14:textId="14D1C3B5"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Mid-tier contract</w:t>
    </w:r>
  </w:p>
  <w:p w14:paraId="7B6830F6" w14:textId="13F34D25"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sidR="00F03B5B">
      <w:rPr>
        <w:rFonts w:ascii="Arial" w:eastAsia="Arial" w:hAnsi="Arial" w:cs="Arial"/>
        <w:color w:val="000000"/>
        <w:sz w:val="20"/>
        <w:szCs w:val="20"/>
      </w:rPr>
      <w:t>2</w:t>
    </w:r>
    <w:r w:rsidR="00F8629C">
      <w:rPr>
        <w:rFonts w:ascii="Arial" w:eastAsia="Arial" w:hAnsi="Arial" w:cs="Arial"/>
        <w:color w:val="000000"/>
        <w:sz w:val="20"/>
        <w:szCs w:val="20"/>
      </w:rPr>
      <w:tab/>
    </w:r>
    <w:r w:rsidR="00F8629C">
      <w:rPr>
        <w:rFonts w:ascii="Arial" w:eastAsia="Arial" w:hAnsi="Arial" w:cs="Arial"/>
        <w:color w:val="000000"/>
        <w:sz w:val="20"/>
        <w:szCs w:val="20"/>
      </w:rPr>
      <w:tab/>
    </w:r>
    <w:r w:rsidR="00F8629C">
      <w:rPr>
        <w:rFonts w:ascii="Arial" w:eastAsia="Arial" w:hAnsi="Arial" w:cs="Arial"/>
        <w:color w:val="000000"/>
        <w:sz w:val="20"/>
        <w:szCs w:val="20"/>
      </w:rPr>
      <w:fldChar w:fldCharType="begin"/>
    </w:r>
    <w:r w:rsidR="00F8629C">
      <w:rPr>
        <w:rFonts w:ascii="Arial" w:eastAsia="Arial" w:hAnsi="Arial" w:cs="Arial"/>
        <w:color w:val="000000"/>
        <w:sz w:val="20"/>
        <w:szCs w:val="20"/>
      </w:rPr>
      <w:instrText>PAGE</w:instrText>
    </w:r>
    <w:r w:rsidR="00F8629C">
      <w:rPr>
        <w:rFonts w:ascii="Arial" w:eastAsia="Arial" w:hAnsi="Arial" w:cs="Arial"/>
        <w:color w:val="000000"/>
        <w:sz w:val="20"/>
        <w:szCs w:val="20"/>
      </w:rPr>
      <w:fldChar w:fldCharType="separate"/>
    </w:r>
    <w:r w:rsidR="00F8629C">
      <w:rPr>
        <w:rFonts w:ascii="Arial" w:eastAsia="Arial" w:hAnsi="Arial" w:cs="Arial"/>
        <w:color w:val="000000"/>
        <w:sz w:val="20"/>
        <w:szCs w:val="20"/>
      </w:rPr>
      <w:t>1</w:t>
    </w:r>
    <w:r w:rsidR="00F8629C">
      <w:rPr>
        <w:rFonts w:ascii="Arial" w:eastAsia="Arial" w:hAnsi="Arial" w:cs="Arial"/>
        <w:color w:val="000000"/>
        <w:sz w:val="20"/>
        <w:szCs w:val="20"/>
      </w:rPr>
      <w:fldChar w:fldCharType="end"/>
    </w:r>
  </w:p>
  <w:p w14:paraId="01D03CDC" w14:textId="77E3342B" w:rsidR="00275B0C" w:rsidRPr="00F8629C" w:rsidRDefault="00A01950" w:rsidP="00F862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v1.</w:t>
    </w:r>
    <w:r w:rsidR="00F03B5B">
      <w:rPr>
        <w:rFonts w:ascii="Arial" w:eastAsia="Arial" w:hAnsi="Arial" w:cs="Arial"/>
        <w:color w:val="000000"/>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6675" w14:textId="77777777" w:rsidR="00275B0C" w:rsidRDefault="00A01950">
    <w:pPr>
      <w:tabs>
        <w:tab w:val="center" w:pos="4513"/>
        <w:tab w:val="right" w:pos="9026"/>
      </w:tabs>
      <w:spacing w:after="0"/>
    </w:pPr>
    <w:r>
      <w:t>Framework Ref: RM</w:t>
    </w:r>
    <w:r>
      <w:tab/>
      <w:t xml:space="preserve">                                           </w:t>
    </w:r>
  </w:p>
  <w:p w14:paraId="13F15CF1"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D873323" w14:textId="77777777" w:rsidR="00275B0C" w:rsidRDefault="00A01950">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8A45" w14:textId="0BA72384" w:rsidR="00684C79" w:rsidRDefault="007E1A21" w:rsidP="00EB43B8">
    <w:pPr>
      <w:pBdr>
        <w:top w:val="nil"/>
        <w:left w:val="nil"/>
        <w:bottom w:val="nil"/>
        <w:right w:val="nil"/>
        <w:between w:val="nil"/>
      </w:pBdr>
      <w:tabs>
        <w:tab w:val="center" w:pos="4513"/>
        <w:tab w:val="right" w:pos="13500"/>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80768" behindDoc="0" locked="0" layoutInCell="0" allowOverlap="1" wp14:anchorId="260A31C2" wp14:editId="48D4C7D0">
              <wp:simplePos x="0" y="0"/>
              <wp:positionH relativeFrom="page">
                <wp:align>center</wp:align>
              </wp:positionH>
              <wp:positionV relativeFrom="page">
                <wp:align>bottom</wp:align>
              </wp:positionV>
              <wp:extent cx="7772400" cy="463550"/>
              <wp:effectExtent l="0" t="0" r="0" b="12700"/>
              <wp:wrapNone/>
              <wp:docPr id="2" name="MSIPCM28f9427099314ccfe93be8f8" descr="{&quot;HashCode&quot;:-126484731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155ED" w14:textId="7E1FFBF5" w:rsidR="007E1A21" w:rsidRPr="00F5252D" w:rsidRDefault="00F5252D" w:rsidP="00F5252D">
                          <w:pPr>
                            <w:spacing w:after="0"/>
                            <w:jc w:val="center"/>
                            <w:rPr>
                              <w:color w:val="000000"/>
                              <w:sz w:val="20"/>
                            </w:rPr>
                          </w:pPr>
                          <w:r w:rsidRPr="00F5252D">
                            <w:rPr>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0A31C2" id="_x0000_t202" coordsize="21600,21600" o:spt="202" path="m,l,21600r21600,l21600,xe">
              <v:stroke joinstyle="miter"/>
              <v:path gradientshapeok="t" o:connecttype="rect"/>
            </v:shapetype>
            <v:shape id="MSIPCM28f9427099314ccfe93be8f8" o:spid="_x0000_s1027" type="#_x0000_t202" alt="{&quot;HashCode&quot;:-1264847310,&quot;Height&quot;:9999999.0,&quot;Width&quot;:9999999.0,&quot;Placement&quot;:&quot;Footer&quot;,&quot;Index&quot;:&quot;Primary&quot;,&quot;Section&quot;:3,&quot;Top&quot;:0.0,&quot;Left&quot;:0.0}" style="position:absolute;margin-left:0;margin-top:0;width:612pt;height:36.5pt;z-index:2516807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26C155ED" w14:textId="7E1FFBF5" w:rsidR="007E1A21" w:rsidRPr="00F5252D" w:rsidRDefault="00F5252D" w:rsidP="00F5252D">
                    <w:pPr>
                      <w:spacing w:after="0"/>
                      <w:jc w:val="center"/>
                      <w:rPr>
                        <w:color w:val="000000"/>
                        <w:sz w:val="20"/>
                      </w:rPr>
                    </w:pPr>
                    <w:r w:rsidRPr="00F5252D">
                      <w:rPr>
                        <w:color w:val="000000"/>
                        <w:sz w:val="20"/>
                      </w:rPr>
                      <w:t>OFFICIAL</w:t>
                    </w:r>
                  </w:p>
                </w:txbxContent>
              </v:textbox>
              <w10:wrap anchorx="page" anchory="page"/>
            </v:shape>
          </w:pict>
        </mc:Fallback>
      </mc:AlternateContent>
    </w:r>
    <w:r w:rsidR="00684C79">
      <w:rPr>
        <w:rFonts w:ascii="Arial" w:eastAsia="Arial" w:hAnsi="Arial" w:cs="Arial"/>
        <w:color w:val="000000"/>
        <w:sz w:val="20"/>
        <w:szCs w:val="20"/>
      </w:rPr>
      <w:t>Mid-tier contract</w:t>
    </w:r>
  </w:p>
  <w:p w14:paraId="16165DA0" w14:textId="77777777" w:rsidR="00684C79" w:rsidRDefault="00684C7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p>
  <w:p w14:paraId="73126D75" w14:textId="77777777" w:rsidR="00684C79" w:rsidRDefault="00684C79" w:rsidP="00EB43B8">
    <w:pPr>
      <w:pBdr>
        <w:top w:val="nil"/>
        <w:left w:val="nil"/>
        <w:bottom w:val="nil"/>
        <w:right w:val="nil"/>
        <w:between w:val="nil"/>
      </w:pBdr>
      <w:tabs>
        <w:tab w:val="center" w:pos="4513"/>
        <w:tab w:val="right" w:pos="13500"/>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4FE1366" w14:textId="77777777" w:rsidR="00684C79" w:rsidRDefault="00684C79">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020B" w14:textId="77777777" w:rsidR="000679F4" w:rsidRDefault="000679F4">
      <w:pPr>
        <w:spacing w:after="0" w:line="240" w:lineRule="auto"/>
      </w:pPr>
      <w:r>
        <w:separator/>
      </w:r>
    </w:p>
  </w:footnote>
  <w:footnote w:type="continuationSeparator" w:id="0">
    <w:p w14:paraId="483E34DE" w14:textId="77777777" w:rsidR="000679F4" w:rsidRDefault="00067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63DB" w14:textId="77777777" w:rsidR="005779DD" w:rsidRDefault="00577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AAEC"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3 (Charges)</w:t>
    </w:r>
  </w:p>
  <w:p w14:paraId="38C5E0FF" w14:textId="0E6D58C6"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3472C3">
      <w:rPr>
        <w:rFonts w:ascii="Arial" w:eastAsia="Arial" w:hAnsi="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DE95"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(Charges)</w:t>
    </w:r>
  </w:p>
  <w:p w14:paraId="0A81BB65" w14:textId="77777777" w:rsidR="00275B0C" w:rsidRDefault="00A0195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41"/>
    <w:multiLevelType w:val="multilevel"/>
    <w:tmpl w:val="58004E78"/>
    <w:lvl w:ilvl="0">
      <w:start w:val="1"/>
      <w:numFmt w:val="decimal"/>
      <w:pStyle w:val="GPSL1CLAUSEHEADING"/>
      <w:lvlText w:val="%1."/>
      <w:lvlJc w:val="left"/>
      <w:pPr>
        <w:tabs>
          <w:tab w:val="num" w:pos="360"/>
        </w:tabs>
        <w:ind w:left="360" w:hanging="360"/>
      </w:pPr>
      <w:rPr>
        <w:rFonts w:ascii="Arial" w:hAnsi="Arial" w:cs="Arial" w:hint="default"/>
        <w:b/>
        <w:smallCaps w:val="0"/>
        <w:strike w:val="0"/>
        <w:color w:val="000000"/>
        <w:sz w:val="24"/>
        <w:szCs w:val="24"/>
        <w:u w:val="none"/>
        <w:vertAlign w:val="baseline"/>
      </w:rPr>
    </w:lvl>
    <w:lvl w:ilvl="1">
      <w:start w:val="1"/>
      <w:numFmt w:val="decimal"/>
      <w:pStyle w:val="GPSL2numberedclause"/>
      <w:lvlText w:val="%1.%2"/>
      <w:lvlJc w:val="left"/>
      <w:pPr>
        <w:tabs>
          <w:tab w:val="num" w:pos="1540"/>
        </w:tabs>
        <w:ind w:left="1540"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2410"/>
        </w:tabs>
        <w:ind w:left="2410" w:hanging="85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223A48E1"/>
    <w:multiLevelType w:val="multilevel"/>
    <w:tmpl w:val="41187F98"/>
    <w:lvl w:ilvl="0">
      <w:start w:val="1"/>
      <w:numFmt w:val="decimal"/>
      <w:lvlText w:val="%1."/>
      <w:lvlJc w:val="left"/>
      <w:pPr>
        <w:tabs>
          <w:tab w:val="num" w:pos="720"/>
        </w:tabs>
        <w:ind w:left="720" w:hanging="720"/>
      </w:pPr>
    </w:lvl>
    <w:lvl w:ilvl="1">
      <w:start w:val="1"/>
      <w:numFmt w:val="upperRoman"/>
      <w:lvlText w:val="%2."/>
      <w:lvlJc w:val="righ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DC4287"/>
    <w:multiLevelType w:val="multilevel"/>
    <w:tmpl w:val="41187F98"/>
    <w:lvl w:ilvl="0">
      <w:start w:val="1"/>
      <w:numFmt w:val="decimal"/>
      <w:lvlText w:val="%1."/>
      <w:lvlJc w:val="left"/>
      <w:pPr>
        <w:tabs>
          <w:tab w:val="num" w:pos="720"/>
        </w:tabs>
        <w:ind w:left="720" w:hanging="720"/>
      </w:pPr>
    </w:lvl>
    <w:lvl w:ilvl="1">
      <w:start w:val="1"/>
      <w:numFmt w:val="upperRoman"/>
      <w:lvlText w:val="%2."/>
      <w:lvlJc w:val="righ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4C4947"/>
    <w:multiLevelType w:val="multilevel"/>
    <w:tmpl w:val="C192A7C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200365"/>
    <w:multiLevelType w:val="multilevel"/>
    <w:tmpl w:val="80C471B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5" w15:restartNumberingAfterBreak="0">
    <w:nsid w:val="59310560"/>
    <w:multiLevelType w:val="multilevel"/>
    <w:tmpl w:val="544407E0"/>
    <w:lvl w:ilvl="0">
      <w:start w:val="1"/>
      <w:numFmt w:val="decimal"/>
      <w:lvlText w:val="%1."/>
      <w:lvlJc w:val="left"/>
      <w:pPr>
        <w:ind w:left="360" w:hanging="360"/>
      </w:pPr>
      <w:rPr>
        <w:rFonts w:ascii="Arial" w:hAnsi="Arial" w:cs="Arial" w:hint="default"/>
        <w:b/>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CE716C6"/>
    <w:multiLevelType w:val="multilevel"/>
    <w:tmpl w:val="42982DF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352733527">
    <w:abstractNumId w:val="0"/>
  </w:num>
  <w:num w:numId="2" w16cid:durableId="1868829724">
    <w:abstractNumId w:val="3"/>
  </w:num>
  <w:num w:numId="3" w16cid:durableId="2010789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504444">
    <w:abstractNumId w:val="4"/>
  </w:num>
  <w:num w:numId="5" w16cid:durableId="1684824194">
    <w:abstractNumId w:val="5"/>
  </w:num>
  <w:num w:numId="6" w16cid:durableId="1307778543">
    <w:abstractNumId w:val="6"/>
  </w:num>
  <w:num w:numId="7" w16cid:durableId="1893687918">
    <w:abstractNumId w:val="0"/>
  </w:num>
  <w:num w:numId="8" w16cid:durableId="37292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106783">
    <w:abstractNumId w:val="3"/>
  </w:num>
  <w:num w:numId="10" w16cid:durableId="864637302">
    <w:abstractNumId w:val="3"/>
  </w:num>
  <w:num w:numId="11" w16cid:durableId="940988952">
    <w:abstractNumId w:val="1"/>
  </w:num>
  <w:num w:numId="12" w16cid:durableId="1756122974">
    <w:abstractNumId w:val="3"/>
  </w:num>
  <w:num w:numId="13" w16cid:durableId="146396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44:30" w:val="V1 ?"/>
    <w:docVar w:name="gemDN2|BANKSC|18 June 2020 11:44:34" w:val="V2 Amend"/>
    <w:docVar w:name="gemDocNotesCount" w:val="2"/>
    <w:docVar w:name="gemVerNotesCount" w:val="2"/>
    <w:docVar w:name="gemVN1|BANKSC|18 June 2020 11:44:30" w:val="1|1"/>
    <w:docVar w:name="gemVN2|BANKSC|18 June 2020 11:44:34" w:val="1|2"/>
  </w:docVars>
  <w:rsids>
    <w:rsidRoot w:val="00275B0C"/>
    <w:rsid w:val="00000CF4"/>
    <w:rsid w:val="00014DE4"/>
    <w:rsid w:val="00042353"/>
    <w:rsid w:val="00043F4C"/>
    <w:rsid w:val="000443C7"/>
    <w:rsid w:val="000679F4"/>
    <w:rsid w:val="000849F1"/>
    <w:rsid w:val="000A3C26"/>
    <w:rsid w:val="000B7C1C"/>
    <w:rsid w:val="000C3933"/>
    <w:rsid w:val="000D4079"/>
    <w:rsid w:val="00120635"/>
    <w:rsid w:val="00135E08"/>
    <w:rsid w:val="00174E59"/>
    <w:rsid w:val="0018269F"/>
    <w:rsid w:val="00185C3C"/>
    <w:rsid w:val="00187A6D"/>
    <w:rsid w:val="00190086"/>
    <w:rsid w:val="001A043E"/>
    <w:rsid w:val="001A3F26"/>
    <w:rsid w:val="001B534B"/>
    <w:rsid w:val="001C4B7A"/>
    <w:rsid w:val="001D5B88"/>
    <w:rsid w:val="00200B7C"/>
    <w:rsid w:val="00203F00"/>
    <w:rsid w:val="00212F75"/>
    <w:rsid w:val="00271310"/>
    <w:rsid w:val="002720C1"/>
    <w:rsid w:val="00275B0C"/>
    <w:rsid w:val="002C4E35"/>
    <w:rsid w:val="002E53E4"/>
    <w:rsid w:val="002E7967"/>
    <w:rsid w:val="00305819"/>
    <w:rsid w:val="0032682B"/>
    <w:rsid w:val="003472C3"/>
    <w:rsid w:val="0035316F"/>
    <w:rsid w:val="003535FA"/>
    <w:rsid w:val="0035400D"/>
    <w:rsid w:val="00367CD9"/>
    <w:rsid w:val="003A2DC6"/>
    <w:rsid w:val="003E382F"/>
    <w:rsid w:val="003E5A3C"/>
    <w:rsid w:val="00412753"/>
    <w:rsid w:val="0043172E"/>
    <w:rsid w:val="0043389F"/>
    <w:rsid w:val="00441AD6"/>
    <w:rsid w:val="004639C3"/>
    <w:rsid w:val="004A2E8B"/>
    <w:rsid w:val="004C62C4"/>
    <w:rsid w:val="004D7978"/>
    <w:rsid w:val="004E08FB"/>
    <w:rsid w:val="004E259C"/>
    <w:rsid w:val="005019D7"/>
    <w:rsid w:val="00505FB7"/>
    <w:rsid w:val="00524152"/>
    <w:rsid w:val="005246E2"/>
    <w:rsid w:val="00550B46"/>
    <w:rsid w:val="00576BD0"/>
    <w:rsid w:val="005779DD"/>
    <w:rsid w:val="005840C0"/>
    <w:rsid w:val="00587EE9"/>
    <w:rsid w:val="00594036"/>
    <w:rsid w:val="0059533A"/>
    <w:rsid w:val="005A684F"/>
    <w:rsid w:val="005A7C72"/>
    <w:rsid w:val="005D0B6B"/>
    <w:rsid w:val="005F2CBE"/>
    <w:rsid w:val="005F688E"/>
    <w:rsid w:val="005F7753"/>
    <w:rsid w:val="0061782D"/>
    <w:rsid w:val="00622B3C"/>
    <w:rsid w:val="00624C9B"/>
    <w:rsid w:val="00633D32"/>
    <w:rsid w:val="00635571"/>
    <w:rsid w:val="00667AAC"/>
    <w:rsid w:val="006830D3"/>
    <w:rsid w:val="00684C79"/>
    <w:rsid w:val="00697A71"/>
    <w:rsid w:val="006A642C"/>
    <w:rsid w:val="006A7F5F"/>
    <w:rsid w:val="006C5EA7"/>
    <w:rsid w:val="00727F80"/>
    <w:rsid w:val="0073523E"/>
    <w:rsid w:val="00742766"/>
    <w:rsid w:val="00795B3D"/>
    <w:rsid w:val="007B6D2D"/>
    <w:rsid w:val="007C7172"/>
    <w:rsid w:val="007D0F9A"/>
    <w:rsid w:val="007D11C3"/>
    <w:rsid w:val="007E1A21"/>
    <w:rsid w:val="00806C24"/>
    <w:rsid w:val="00812EB9"/>
    <w:rsid w:val="00820BAC"/>
    <w:rsid w:val="0083369A"/>
    <w:rsid w:val="00845D1C"/>
    <w:rsid w:val="00845F73"/>
    <w:rsid w:val="00861244"/>
    <w:rsid w:val="008647F6"/>
    <w:rsid w:val="00887BDC"/>
    <w:rsid w:val="00890F72"/>
    <w:rsid w:val="008A6D7D"/>
    <w:rsid w:val="008E56A1"/>
    <w:rsid w:val="008E7233"/>
    <w:rsid w:val="00925BA1"/>
    <w:rsid w:val="00930095"/>
    <w:rsid w:val="00930826"/>
    <w:rsid w:val="009744B5"/>
    <w:rsid w:val="00974804"/>
    <w:rsid w:val="009D29F4"/>
    <w:rsid w:val="009D3E2F"/>
    <w:rsid w:val="009E0CDE"/>
    <w:rsid w:val="009F0F5A"/>
    <w:rsid w:val="009F4A10"/>
    <w:rsid w:val="009F7F7A"/>
    <w:rsid w:val="00A01950"/>
    <w:rsid w:val="00A11BAD"/>
    <w:rsid w:val="00A858C5"/>
    <w:rsid w:val="00A906E9"/>
    <w:rsid w:val="00AA4C7B"/>
    <w:rsid w:val="00AB551D"/>
    <w:rsid w:val="00AC2AB8"/>
    <w:rsid w:val="00AF5A99"/>
    <w:rsid w:val="00B06383"/>
    <w:rsid w:val="00B06B00"/>
    <w:rsid w:val="00B1624B"/>
    <w:rsid w:val="00B361D2"/>
    <w:rsid w:val="00B45ED3"/>
    <w:rsid w:val="00B46112"/>
    <w:rsid w:val="00B53DCE"/>
    <w:rsid w:val="00B8019A"/>
    <w:rsid w:val="00B84702"/>
    <w:rsid w:val="00B96623"/>
    <w:rsid w:val="00BA0763"/>
    <w:rsid w:val="00BA68AB"/>
    <w:rsid w:val="00BB0684"/>
    <w:rsid w:val="00BB5CEC"/>
    <w:rsid w:val="00BC714D"/>
    <w:rsid w:val="00BE5895"/>
    <w:rsid w:val="00BF6071"/>
    <w:rsid w:val="00BF6F76"/>
    <w:rsid w:val="00C11457"/>
    <w:rsid w:val="00C2169A"/>
    <w:rsid w:val="00C22E8D"/>
    <w:rsid w:val="00C43E3A"/>
    <w:rsid w:val="00C474D8"/>
    <w:rsid w:val="00C55FA6"/>
    <w:rsid w:val="00C73EC6"/>
    <w:rsid w:val="00C8539F"/>
    <w:rsid w:val="00CA5070"/>
    <w:rsid w:val="00CB190F"/>
    <w:rsid w:val="00CC679A"/>
    <w:rsid w:val="00CE399D"/>
    <w:rsid w:val="00CE717C"/>
    <w:rsid w:val="00CF1C21"/>
    <w:rsid w:val="00D40917"/>
    <w:rsid w:val="00D56569"/>
    <w:rsid w:val="00D866B8"/>
    <w:rsid w:val="00DA5A0F"/>
    <w:rsid w:val="00DC0877"/>
    <w:rsid w:val="00DC37C8"/>
    <w:rsid w:val="00DD262E"/>
    <w:rsid w:val="00DE14F0"/>
    <w:rsid w:val="00DF535A"/>
    <w:rsid w:val="00DF685C"/>
    <w:rsid w:val="00E00DE6"/>
    <w:rsid w:val="00E01B1E"/>
    <w:rsid w:val="00E37895"/>
    <w:rsid w:val="00E5154C"/>
    <w:rsid w:val="00E562B2"/>
    <w:rsid w:val="00E61AEC"/>
    <w:rsid w:val="00EB43B8"/>
    <w:rsid w:val="00EE32F6"/>
    <w:rsid w:val="00EF4940"/>
    <w:rsid w:val="00EF7E25"/>
    <w:rsid w:val="00F0272C"/>
    <w:rsid w:val="00F03B5B"/>
    <w:rsid w:val="00F0438F"/>
    <w:rsid w:val="00F333EE"/>
    <w:rsid w:val="00F50061"/>
    <w:rsid w:val="00F5252D"/>
    <w:rsid w:val="00F830ED"/>
    <w:rsid w:val="00F831B6"/>
    <w:rsid w:val="00F8629C"/>
    <w:rsid w:val="00F91EA5"/>
    <w:rsid w:val="00FA1BBB"/>
    <w:rsid w:val="00FF38FC"/>
    <w:rsid w:val="00FF56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206C"/>
  <w15:docId w15:val="{F7A1C34F-96C7-4851-A7F9-1768DBEB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7">
    <w:name w:val="heading 7"/>
    <w:basedOn w:val="Normal"/>
    <w:link w:val="Heading7Char"/>
    <w:qFormat/>
    <w:rsid w:val="005D0B6B"/>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5D0B6B"/>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5D0B6B"/>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rsid w:val="008A6D7D"/>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8A6D7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8A6D7D"/>
    <w:pPr>
      <w:numPr>
        <w:ilvl w:val="2"/>
      </w:numPr>
      <w:tabs>
        <w:tab w:val="clear" w:pos="1134"/>
        <w:tab w:val="clear" w:pos="2410"/>
        <w:tab w:val="num" w:pos="1757"/>
        <w:tab w:val="left" w:pos="1985"/>
        <w:tab w:val="left" w:pos="2127"/>
      </w:tabs>
      <w:ind w:left="1757"/>
    </w:pPr>
  </w:style>
  <w:style w:type="paragraph" w:customStyle="1" w:styleId="GPSL4numberedclause">
    <w:name w:val="GPS L4 numbered clause"/>
    <w:basedOn w:val="GPSL3numberedclause"/>
    <w:link w:val="GPSL4numberedclauseChar"/>
    <w:qFormat/>
    <w:rsid w:val="008A6D7D"/>
    <w:pPr>
      <w:numPr>
        <w:ilvl w:val="3"/>
      </w:numPr>
      <w:tabs>
        <w:tab w:val="clear" w:pos="1985"/>
        <w:tab w:val="clear" w:pos="2127"/>
      </w:tabs>
      <w:ind w:left="2607" w:hanging="850"/>
    </w:pPr>
    <w:rPr>
      <w:szCs w:val="20"/>
    </w:rPr>
  </w:style>
  <w:style w:type="character" w:customStyle="1" w:styleId="GPSL2numberedclauseChar1">
    <w:name w:val="GPS L2 numbered clause Char1"/>
    <w:link w:val="GPSL2numberedclause"/>
    <w:rsid w:val="008A6D7D"/>
    <w:rPr>
      <w:rFonts w:ascii="Arial" w:eastAsia="Times New Roman" w:hAnsi="Arial" w:cs="Arial"/>
      <w:sz w:val="24"/>
      <w:lang w:eastAsia="zh-CN"/>
    </w:rPr>
  </w:style>
  <w:style w:type="character" w:customStyle="1" w:styleId="GPSL3numberedclauseChar">
    <w:name w:val="GPS L3 numbered clause Char"/>
    <w:link w:val="GPSL3numberedclause"/>
    <w:rsid w:val="008A6D7D"/>
    <w:rPr>
      <w:rFonts w:ascii="Arial" w:eastAsia="Times New Roman" w:hAnsi="Arial" w:cs="Arial"/>
      <w:sz w:val="24"/>
      <w:lang w:eastAsia="zh-CN"/>
    </w:rPr>
  </w:style>
  <w:style w:type="character" w:customStyle="1" w:styleId="GPSL4numberedclauseChar">
    <w:name w:val="GPS L4 numbered clause Char"/>
    <w:link w:val="GPSL4numberedclause"/>
    <w:rsid w:val="008A6D7D"/>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sid w:val="005D0B6B"/>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5D0B6B"/>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5D0B6B"/>
    <w:rPr>
      <w:rFonts w:ascii="Times New Roman" w:eastAsia="STZhongsong" w:hAnsi="Times New Roman" w:cs="Times New Roman"/>
      <w:szCs w:val="20"/>
      <w:lang w:eastAsia="zh-CN"/>
    </w:rPr>
  </w:style>
  <w:style w:type="paragraph" w:customStyle="1" w:styleId="Table-Text">
    <w:name w:val="Table - Text"/>
    <w:basedOn w:val="Normal"/>
    <w:qFormat/>
    <w:rsid w:val="00BC714D"/>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rsid w:val="00441AD6"/>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rsid w:val="00441AD6"/>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rsid w:val="00441AD6"/>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rsid w:val="00441AD6"/>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8916">
      <w:bodyDiv w:val="1"/>
      <w:marLeft w:val="0"/>
      <w:marRight w:val="0"/>
      <w:marTop w:val="0"/>
      <w:marBottom w:val="0"/>
      <w:divBdr>
        <w:top w:val="none" w:sz="0" w:space="0" w:color="auto"/>
        <w:left w:val="none" w:sz="0" w:space="0" w:color="auto"/>
        <w:bottom w:val="none" w:sz="0" w:space="0" w:color="auto"/>
        <w:right w:val="none" w:sz="0" w:space="0" w:color="auto"/>
      </w:divBdr>
    </w:div>
    <w:div w:id="610476231">
      <w:bodyDiv w:val="1"/>
      <w:marLeft w:val="0"/>
      <w:marRight w:val="0"/>
      <w:marTop w:val="0"/>
      <w:marBottom w:val="0"/>
      <w:divBdr>
        <w:top w:val="none" w:sz="0" w:space="0" w:color="auto"/>
        <w:left w:val="none" w:sz="0" w:space="0" w:color="auto"/>
        <w:bottom w:val="none" w:sz="0" w:space="0" w:color="auto"/>
        <w:right w:val="none" w:sz="0" w:space="0" w:color="auto"/>
      </w:divBdr>
    </w:div>
    <w:div w:id="644241539">
      <w:bodyDiv w:val="1"/>
      <w:marLeft w:val="0"/>
      <w:marRight w:val="0"/>
      <w:marTop w:val="0"/>
      <w:marBottom w:val="0"/>
      <w:divBdr>
        <w:top w:val="none" w:sz="0" w:space="0" w:color="auto"/>
        <w:left w:val="none" w:sz="0" w:space="0" w:color="auto"/>
        <w:bottom w:val="none" w:sz="0" w:space="0" w:color="auto"/>
        <w:right w:val="none" w:sz="0" w:space="0" w:color="auto"/>
      </w:divBdr>
    </w:div>
    <w:div w:id="859198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 U K M A T T E R S ! 1 0 4 4 2 8 1 4 5 . 1 < / d o c u m e n t i d >  
     < s e n d e r i d > C L I F F M < / s e n d e r i d >  
     < s e n d e r e m a i l > M A T T H E W . C L I F F @ D L A P I P E R . C O M < / s e n d e r e m a i l >  
     < l a s t m o d i f i e d > 2 0 2 0 - 0 7 - 2 2 T 1 5 : 5 2 : 0 0 . 0 0 0 0 0 0 0 + 0 1 : 0 0 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i8HWqXE6d7fykkU0eQ12fefxrXg==">AMUW2mW768xWki/u6lVGHQOLHL3YCpIxItDLVEOSe+cOa8yir+j+iPRdkXqIHgRwXVhpWBY1KEXVysPZCEGu25+mezINB7KUQGnfS3lMx7YwhK0pHvEBI9kFrIfHwvTZhSk4PLbGaa4JgpG65cBIM6cPB9T0O6NWmIlJ0y98m5PlGpNxz4ELzkCmGRF/9qjuSwaOk0XEqkjknIWvGKEQrnHEhlY6xzba/X+WUowR28JCKNaqCPp7RMw=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15BF-2B4B-4117-B8F9-2B7BF87839FB}">
  <ds:schemaRefs>
    <ds:schemaRef ds:uri="http://www.imanage.com/work/xmlschema"/>
  </ds:schemaRefs>
</ds:datastoreItem>
</file>

<file path=customXml/itemProps2.xml><?xml version="1.0" encoding="utf-8"?>
<ds:datastoreItem xmlns:ds="http://schemas.openxmlformats.org/officeDocument/2006/customXml" ds:itemID="{6A4C5D75-5D68-4D42-A2C8-0A0728F5E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06ECBE-2855-4633-8A2A-A3B33F852D19}">
  <ds:schemaRefs>
    <ds:schemaRef ds:uri="http://schemas.microsoft.com/office/2006/metadata/properties"/>
    <ds:schemaRef ds:uri="http://schemas.microsoft.com/office/infopath/2007/PartnerControls"/>
    <ds:schemaRef ds:uri="df2fe17e-1586-4888-a73f-0fe1768209fa"/>
    <ds:schemaRef ds:uri="98dd782c-8fb1-40a0-a471-f4b42a488578"/>
  </ds:schemaRefs>
</ds:datastoreItem>
</file>

<file path=customXml/itemProps5.xml><?xml version="1.0" encoding="utf-8"?>
<ds:datastoreItem xmlns:ds="http://schemas.openxmlformats.org/officeDocument/2006/customXml" ds:itemID="{02FA090F-0129-40DF-8B60-3212A45BD4D7}">
  <ds:schemaRefs>
    <ds:schemaRef ds:uri="http://schemas.microsoft.com/sharepoint/v3/contenttype/forms"/>
  </ds:schemaRefs>
</ds:datastoreItem>
</file>

<file path=customXml/itemProps6.xml><?xml version="1.0" encoding="utf-8"?>
<ds:datastoreItem xmlns:ds="http://schemas.openxmlformats.org/officeDocument/2006/customXml" ds:itemID="{6D4D6D9E-3142-4CA5-A01A-03468865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2023-11-02T11:55:00Z</dcterms:created>
  <dcterms:modified xsi:type="dcterms:W3CDTF">2023-11-02T11:55:00Z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06cea93d-d097-42e2-9a2f-a700d8c2603c</vt:lpwstr>
  </property>
  <property fmtid="{D5CDD505-2E9C-101B-9397-08002B2CF9AE}" pid="4" name="ContentTypeId">
    <vt:lpwstr>0x0101002A47F7D66B22864199C169A1267677C1</vt:lpwstr>
  </property>
  <property fmtid="{D5CDD505-2E9C-101B-9397-08002B2CF9AE}" pid="5" name="Order">
    <vt:r8>5059000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2023-03-03T12:46:34Z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10c4042b-f805-43b6-abe8-89095d92f78b</vt:lpwstr>
  </property>
  <property fmtid="{D5CDD505-2E9C-101B-9397-08002B2CF9AE}" pid="18" name="MSIP_Label_f9af038e-07b4-4369-a678-c835687cb272_ContentBits">
    <vt:lpwstr>2</vt:lpwstr>
  </property>
  <property fmtid="{D5CDD505-2E9C-101B-9397-08002B2CF9AE}" pid="19" name="MediaServiceImageTags">
    <vt:lpwstr/>
  </property>
</Properties>
</file>