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95B1" w14:textId="77777777" w:rsidR="006512ED" w:rsidRDefault="006512ED">
      <w:pPr>
        <w:pStyle w:val="Standard"/>
        <w:rPr>
          <w:rFonts w:ascii="Arial" w:eastAsia="Arial" w:hAnsi="Arial" w:cs="Arial"/>
          <w:b/>
          <w:sz w:val="36"/>
          <w:szCs w:val="36"/>
        </w:rPr>
      </w:pPr>
    </w:p>
    <w:p w14:paraId="450B4F63" w14:textId="77777777" w:rsidR="006512ED" w:rsidRDefault="00603624">
      <w:pPr>
        <w:pStyle w:val="Heading1"/>
      </w:pPr>
      <w:bookmarkStart w:id="0" w:name="_y4ku12efuklq"/>
      <w:bookmarkEnd w:id="0"/>
      <w:r>
        <w:t>Call-Off Schedule 20 (Call-Off Specification)</w:t>
      </w:r>
    </w:p>
    <w:p w14:paraId="5DF1699F" w14:textId="77777777" w:rsidR="006512ED" w:rsidRDefault="00603624">
      <w:pPr>
        <w:pStyle w:val="Standard"/>
        <w:widowControl/>
        <w:tabs>
          <w:tab w:val="left" w:pos="709"/>
          <w:tab w:val="left" w:pos="1134"/>
        </w:tabs>
        <w:spacing w:before="120" w:after="120" w:line="240" w:lineRule="auto"/>
      </w:pPr>
      <w:bookmarkStart w:id="1" w:name="_gjdgxs"/>
      <w:bookmarkEnd w:id="1"/>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687B7EE9" w14:textId="49957F3E" w:rsidR="00266EFF" w:rsidRPr="00821E10" w:rsidRDefault="00266EFF" w:rsidP="00266EFF">
      <w:pPr>
        <w:pStyle w:val="Heading1"/>
        <w:overflowPunct w:val="0"/>
        <w:autoSpaceDE w:val="0"/>
        <w:spacing w:after="120"/>
        <w:ind w:left="720" w:hanging="720"/>
        <w:rPr>
          <w:caps/>
          <w:szCs w:val="22"/>
        </w:rPr>
      </w:pPr>
      <w:bookmarkStart w:id="2" w:name="_Toc297554772"/>
    </w:p>
    <w:p w14:paraId="64C09AE4" w14:textId="20D551DE" w:rsidR="00266EFF" w:rsidRDefault="00192D69" w:rsidP="00266EFF">
      <w:pPr>
        <w:pStyle w:val="Heading1"/>
        <w:keepLines w:val="0"/>
        <w:suppressAutoHyphens w:val="0"/>
        <w:overflowPunct w:val="0"/>
        <w:autoSpaceDE w:val="0"/>
        <w:adjustRightInd w:val="0"/>
        <w:spacing w:after="120"/>
        <w:ind w:left="720" w:hanging="720"/>
        <w:jc w:val="both"/>
        <w:rPr>
          <w:sz w:val="32"/>
          <w:szCs w:val="32"/>
        </w:rPr>
      </w:pPr>
      <w:bookmarkStart w:id="3" w:name="_Toc297554773"/>
      <w:bookmarkStart w:id="4" w:name="_Toc296415805"/>
      <w:bookmarkStart w:id="5" w:name="_Toc296415793"/>
      <w:bookmarkEnd w:id="2"/>
      <w:r>
        <w:rPr>
          <w:sz w:val="32"/>
          <w:szCs w:val="32"/>
        </w:rPr>
        <w:t>The Contracting Authority</w:t>
      </w:r>
    </w:p>
    <w:p w14:paraId="3005A7CB" w14:textId="77777777" w:rsidR="006A187B" w:rsidRPr="006A187B" w:rsidRDefault="006A187B" w:rsidP="006A187B">
      <w:pPr>
        <w:pStyle w:val="Standard"/>
      </w:pPr>
    </w:p>
    <w:p w14:paraId="4C030C65" w14:textId="78C98288" w:rsidR="00266EFF" w:rsidRPr="00342A5E" w:rsidRDefault="00266EFF" w:rsidP="00266EFF">
      <w:pPr>
        <w:pStyle w:val="ListParagraph"/>
        <w:numPr>
          <w:ilvl w:val="0"/>
          <w:numId w:val="4"/>
        </w:numPr>
        <w:rPr>
          <w:sz w:val="24"/>
        </w:rPr>
      </w:pPr>
      <w:r w:rsidRPr="00342A5E">
        <w:rPr>
          <w:sz w:val="24"/>
        </w:rPr>
        <w:t>The Home Office is leading a pan departmental, cross government programme to deliver the new Emergency Services Network (ESN) critical communications system. This will replace the current Airwave service used by the emergency services in Great Britain.</w:t>
      </w:r>
    </w:p>
    <w:p w14:paraId="1D894460" w14:textId="77777777" w:rsidR="00266EFF" w:rsidRPr="00342A5E" w:rsidRDefault="00266EFF" w:rsidP="00266EFF">
      <w:pPr>
        <w:pStyle w:val="ListParagraph"/>
        <w:rPr>
          <w:sz w:val="24"/>
        </w:rPr>
      </w:pPr>
    </w:p>
    <w:p w14:paraId="3B16EC15" w14:textId="77777777" w:rsidR="00266EFF" w:rsidRPr="00342A5E" w:rsidRDefault="00266EFF" w:rsidP="00266EFF">
      <w:pPr>
        <w:pStyle w:val="ListParagraph"/>
        <w:numPr>
          <w:ilvl w:val="0"/>
          <w:numId w:val="4"/>
        </w:numPr>
        <w:rPr>
          <w:sz w:val="24"/>
        </w:rPr>
      </w:pPr>
      <w:r w:rsidRPr="00342A5E">
        <w:rPr>
          <w:sz w:val="24"/>
        </w:rPr>
        <w:t xml:space="preserve">Customers for the ESN include the police, fire and rescue, and ambulance services as well as a range of other users stretching from local authorities and utility services to first responders like inshore rescue. There are 300,000 frontline emergency service users who will depend on ESN, using handheld devices or operating equipment in 50,000 vehicles, 115 aircraft and 200 control rooms. </w:t>
      </w:r>
    </w:p>
    <w:p w14:paraId="796BC176" w14:textId="77777777" w:rsidR="00266EFF" w:rsidRPr="00342A5E" w:rsidRDefault="00266EFF" w:rsidP="00266EFF">
      <w:pPr>
        <w:pStyle w:val="ListParagraph"/>
        <w:rPr>
          <w:sz w:val="24"/>
        </w:rPr>
      </w:pPr>
    </w:p>
    <w:p w14:paraId="009D6C6F" w14:textId="73D7DBC4" w:rsidR="00266EFF" w:rsidRPr="00342A5E" w:rsidRDefault="00266EFF" w:rsidP="00266EFF">
      <w:pPr>
        <w:pStyle w:val="ListParagraph"/>
        <w:numPr>
          <w:ilvl w:val="0"/>
          <w:numId w:val="4"/>
        </w:numPr>
        <w:rPr>
          <w:sz w:val="24"/>
        </w:rPr>
      </w:pPr>
      <w:r w:rsidRPr="00342A5E">
        <w:rPr>
          <w:sz w:val="24"/>
        </w:rPr>
        <w:t>The strategic aim of the emergency services mobile communications programme (ESMCP) is to deliver a much better voice and data service to the emergency services. It will replace the reliable but limited and ageing Airwave system</w:t>
      </w:r>
    </w:p>
    <w:p w14:paraId="7818036B" w14:textId="77777777" w:rsidR="00266EFF" w:rsidRDefault="00266EFF" w:rsidP="00266EFF">
      <w:pPr>
        <w:pStyle w:val="ListParagraph"/>
      </w:pPr>
    </w:p>
    <w:p w14:paraId="085325FD" w14:textId="77777777" w:rsidR="00266EFF" w:rsidRDefault="00266EFF" w:rsidP="00266EFF">
      <w:pPr>
        <w:pStyle w:val="ListParagraph"/>
      </w:pPr>
    </w:p>
    <w:p w14:paraId="17E52FC5" w14:textId="77777777" w:rsidR="00266EFF" w:rsidRPr="00821E10" w:rsidRDefault="00266EFF" w:rsidP="00266EFF">
      <w:pPr>
        <w:pStyle w:val="ListParagraph"/>
      </w:pPr>
    </w:p>
    <w:bookmarkEnd w:id="3"/>
    <w:p w14:paraId="32557FBE" w14:textId="3D81E9B0" w:rsidR="00266EFF" w:rsidRPr="00192D69" w:rsidRDefault="009D2457" w:rsidP="00266EFF">
      <w:pPr>
        <w:pStyle w:val="Heading1"/>
        <w:rPr>
          <w:sz w:val="32"/>
          <w:szCs w:val="32"/>
        </w:rPr>
      </w:pPr>
      <w:r>
        <w:rPr>
          <w:sz w:val="32"/>
          <w:szCs w:val="32"/>
        </w:rPr>
        <w:t>Background</w:t>
      </w:r>
    </w:p>
    <w:p w14:paraId="30D9D85D" w14:textId="77777777" w:rsidR="00266EFF" w:rsidRPr="00266EFF" w:rsidRDefault="00266EFF" w:rsidP="00266EFF">
      <w:pPr>
        <w:pStyle w:val="Standard"/>
      </w:pPr>
    </w:p>
    <w:p w14:paraId="15127651" w14:textId="0522EFF2" w:rsidR="00266EFF" w:rsidRPr="00342A5E" w:rsidRDefault="00266EFF" w:rsidP="00266EFF">
      <w:pPr>
        <w:pStyle w:val="Heading2"/>
        <w:keepNext w:val="0"/>
        <w:keepLines w:val="0"/>
        <w:numPr>
          <w:ilvl w:val="1"/>
          <w:numId w:val="0"/>
        </w:numPr>
        <w:tabs>
          <w:tab w:val="num" w:pos="1713"/>
        </w:tabs>
        <w:suppressAutoHyphens w:val="0"/>
        <w:autoSpaceDN/>
        <w:adjustRightInd w:val="0"/>
        <w:spacing w:before="0" w:after="120"/>
        <w:ind w:left="709" w:hanging="720"/>
        <w:jc w:val="both"/>
        <w:textAlignment w:val="auto"/>
        <w:rPr>
          <w:rFonts w:ascii="Arial" w:eastAsia="SimSun" w:hAnsi="Arial" w:cs="Arial"/>
          <w:b w:val="0"/>
          <w:color w:val="auto"/>
          <w:sz w:val="24"/>
          <w:szCs w:val="24"/>
          <w:lang w:bidi="ar-SA"/>
        </w:rPr>
      </w:pPr>
      <w:bookmarkStart w:id="6" w:name="_Toc297554774"/>
      <w:bookmarkEnd w:id="4"/>
      <w:r>
        <w:rPr>
          <w:rFonts w:ascii="Arial" w:eastAsia="SimSun" w:hAnsi="Arial" w:cs="Times New Roman"/>
          <w:b w:val="0"/>
          <w:color w:val="auto"/>
          <w:sz w:val="22"/>
          <w:szCs w:val="24"/>
          <w:lang w:bidi="ar-SA"/>
        </w:rPr>
        <w:tab/>
      </w:r>
      <w:r w:rsidRPr="00266EFF">
        <w:rPr>
          <w:rFonts w:ascii="Arial" w:eastAsia="SimSun" w:hAnsi="Arial" w:cs="Times New Roman"/>
          <w:b w:val="0"/>
          <w:color w:val="auto"/>
          <w:sz w:val="22"/>
          <w:szCs w:val="24"/>
          <w:lang w:bidi="ar-SA"/>
        </w:rPr>
        <w:t>1</w:t>
      </w:r>
      <w:r w:rsidRPr="00342A5E">
        <w:rPr>
          <w:rFonts w:ascii="Arial" w:eastAsia="SimSun" w:hAnsi="Arial" w:cs="Arial"/>
          <w:b w:val="0"/>
          <w:color w:val="auto"/>
          <w:sz w:val="24"/>
          <w:szCs w:val="24"/>
          <w:lang w:bidi="ar-SA"/>
        </w:rPr>
        <w:t>- In its Final Report</w:t>
      </w:r>
      <w:r w:rsidRPr="00342A5E">
        <w:rPr>
          <w:rFonts w:ascii="Arial" w:hAnsi="Arial" w:cs="Arial"/>
          <w:sz w:val="24"/>
          <w:szCs w:val="24"/>
        </w:rPr>
        <w:t xml:space="preserve"> (</w:t>
      </w:r>
      <w:hyperlink r:id="rId8" w:history="1">
        <w:r w:rsidRPr="00342A5E">
          <w:rPr>
            <w:rStyle w:val="Hyperlink"/>
            <w:rFonts w:ascii="Arial" w:hAnsi="Arial" w:cs="Arial"/>
            <w:sz w:val="24"/>
            <w:szCs w:val="24"/>
          </w:rPr>
          <w:t>Final Report</w:t>
        </w:r>
      </w:hyperlink>
      <w:r w:rsidRPr="00342A5E">
        <w:rPr>
          <w:rFonts w:ascii="Arial" w:hAnsi="Arial" w:cs="Arial"/>
          <w:sz w:val="24"/>
          <w:szCs w:val="24"/>
        </w:rPr>
        <w:t xml:space="preserve">) </w:t>
      </w:r>
      <w:r w:rsidRPr="00342A5E">
        <w:rPr>
          <w:rFonts w:ascii="Arial" w:eastAsia="SimSun" w:hAnsi="Arial" w:cs="Arial"/>
          <w:b w:val="0"/>
          <w:color w:val="auto"/>
          <w:sz w:val="24"/>
          <w:szCs w:val="24"/>
          <w:lang w:bidi="ar-SA"/>
        </w:rPr>
        <w:t>the CMA (alongside the charge control</w:t>
      </w:r>
      <w:r w:rsidRPr="00342A5E">
        <w:rPr>
          <w:rFonts w:ascii="Arial" w:hAnsi="Arial" w:cs="Arial"/>
          <w:sz w:val="24"/>
          <w:szCs w:val="24"/>
        </w:rPr>
        <w:t xml:space="preserve"> (</w:t>
      </w:r>
      <w:hyperlink r:id="rId9" w:history="1">
        <w:r w:rsidRPr="00342A5E">
          <w:rPr>
            <w:rStyle w:val="Hyperlink"/>
            <w:rFonts w:ascii="Arial" w:hAnsi="Arial" w:cs="Arial"/>
            <w:sz w:val="24"/>
            <w:szCs w:val="24"/>
          </w:rPr>
          <w:t>charge control</w:t>
        </w:r>
      </w:hyperlink>
      <w:r w:rsidRPr="00342A5E">
        <w:rPr>
          <w:rFonts w:ascii="Arial" w:hAnsi="Arial" w:cs="Arial"/>
          <w:sz w:val="24"/>
          <w:szCs w:val="24"/>
        </w:rPr>
        <w:t xml:space="preserve">) </w:t>
      </w:r>
      <w:r w:rsidRPr="00342A5E">
        <w:rPr>
          <w:rFonts w:ascii="Arial" w:eastAsia="SimSun" w:hAnsi="Arial" w:cs="Arial"/>
          <w:b w:val="0"/>
          <w:color w:val="auto"/>
          <w:sz w:val="24"/>
          <w:szCs w:val="24"/>
          <w:lang w:bidi="ar-SA"/>
        </w:rPr>
        <w:t>imposed on Motorola) decided to recommend to the Home Office that it should, as soon as possible, develop and implement a plan to ensure that, by not later than the end of 2029, the supply of communications network services for public safety in Great Britain is subject to:</w:t>
      </w:r>
    </w:p>
    <w:p w14:paraId="0051BBB0" w14:textId="3878A56A" w:rsidR="00266EFF" w:rsidRPr="00342A5E" w:rsidRDefault="00192D69" w:rsidP="00192D69">
      <w:pPr>
        <w:pStyle w:val="Heading2"/>
        <w:keepNext w:val="0"/>
        <w:keepLines w:val="0"/>
        <w:numPr>
          <w:ilvl w:val="1"/>
          <w:numId w:val="0"/>
        </w:numPr>
        <w:tabs>
          <w:tab w:val="num" w:pos="1713"/>
        </w:tabs>
        <w:suppressAutoHyphens w:val="0"/>
        <w:autoSpaceDN/>
        <w:adjustRightInd w:val="0"/>
        <w:spacing w:before="0" w:after="120"/>
        <w:ind w:left="2160" w:hanging="720"/>
        <w:jc w:val="both"/>
        <w:textAlignment w:val="auto"/>
        <w:rPr>
          <w:rFonts w:ascii="Arial" w:eastAsia="SimSun" w:hAnsi="Arial" w:cs="Arial"/>
          <w:b w:val="0"/>
          <w:color w:val="auto"/>
          <w:sz w:val="24"/>
          <w:szCs w:val="24"/>
          <w:lang w:bidi="ar-SA"/>
        </w:rPr>
      </w:pPr>
      <w:r w:rsidRPr="00342A5E">
        <w:rPr>
          <w:rFonts w:ascii="Arial" w:eastAsia="SimSun" w:hAnsi="Arial" w:cs="Arial"/>
          <w:b w:val="0"/>
          <w:color w:val="auto"/>
          <w:sz w:val="24"/>
          <w:szCs w:val="24"/>
          <w:lang w:bidi="ar-SA"/>
        </w:rPr>
        <w:t xml:space="preserve">1.1 </w:t>
      </w:r>
      <w:r w:rsidR="00266EFF" w:rsidRPr="00342A5E">
        <w:rPr>
          <w:rFonts w:ascii="Arial" w:eastAsia="SimSun" w:hAnsi="Arial" w:cs="Arial"/>
          <w:b w:val="0"/>
          <w:color w:val="auto"/>
          <w:sz w:val="24"/>
          <w:szCs w:val="24"/>
          <w:lang w:bidi="ar-SA"/>
        </w:rPr>
        <w:t>competitive pricing arrangements; or, if this is not feasible,</w:t>
      </w:r>
    </w:p>
    <w:p w14:paraId="3EC53B72" w14:textId="07DB0CE5" w:rsidR="00192D69" w:rsidRPr="00342A5E" w:rsidRDefault="00192D69" w:rsidP="00192D69">
      <w:pPr>
        <w:pStyle w:val="NoSpacing"/>
        <w:ind w:left="1440"/>
        <w:rPr>
          <w:rFonts w:ascii="Arial" w:hAnsi="Arial" w:cs="Arial"/>
          <w:sz w:val="24"/>
          <w:szCs w:val="24"/>
          <w:lang w:bidi="ar-SA"/>
        </w:rPr>
      </w:pPr>
      <w:r w:rsidRPr="00342A5E">
        <w:rPr>
          <w:rFonts w:ascii="Arial" w:hAnsi="Arial" w:cs="Arial"/>
          <w:sz w:val="24"/>
          <w:szCs w:val="24"/>
          <w:lang w:bidi="ar-SA"/>
        </w:rPr>
        <w:t xml:space="preserve">1.2 </w:t>
      </w:r>
      <w:r w:rsidR="00266EFF" w:rsidRPr="00342A5E">
        <w:rPr>
          <w:rFonts w:ascii="Arial" w:hAnsi="Arial" w:cs="Arial"/>
          <w:sz w:val="24"/>
          <w:szCs w:val="24"/>
          <w:lang w:bidi="ar-SA"/>
        </w:rPr>
        <w:t xml:space="preserve">measures to similar effect (for example, through putting forward legislation to </w:t>
      </w:r>
      <w:r w:rsidRPr="00342A5E">
        <w:rPr>
          <w:rFonts w:ascii="Arial" w:hAnsi="Arial" w:cs="Arial"/>
          <w:sz w:val="24"/>
          <w:szCs w:val="24"/>
          <w:lang w:bidi="ar-SA"/>
        </w:rPr>
        <w:t>introduce</w:t>
      </w:r>
      <w:r w:rsidR="00266EFF" w:rsidRPr="00342A5E">
        <w:rPr>
          <w:rFonts w:ascii="Arial" w:hAnsi="Arial" w:cs="Arial"/>
          <w:sz w:val="24"/>
          <w:szCs w:val="24"/>
          <w:lang w:bidi="ar-SA"/>
        </w:rPr>
        <w:t xml:space="preserve"> a regulatory function) (the Recommendation). </w:t>
      </w:r>
    </w:p>
    <w:p w14:paraId="78351E7E" w14:textId="2F865E8E" w:rsidR="00266EFF" w:rsidRPr="00342A5E" w:rsidRDefault="00192D69" w:rsidP="00192D69">
      <w:pPr>
        <w:pStyle w:val="NoSpacing"/>
        <w:ind w:left="720"/>
        <w:rPr>
          <w:rFonts w:ascii="Arial" w:hAnsi="Arial" w:cs="Arial"/>
          <w:sz w:val="24"/>
          <w:szCs w:val="24"/>
          <w:lang w:bidi="ar-SA"/>
        </w:rPr>
      </w:pPr>
      <w:r w:rsidRPr="00342A5E">
        <w:rPr>
          <w:rFonts w:ascii="Arial" w:hAnsi="Arial" w:cs="Arial"/>
          <w:sz w:val="24"/>
          <w:szCs w:val="24"/>
          <w:lang w:bidi="ar-SA"/>
        </w:rPr>
        <w:tab/>
      </w:r>
      <w:r w:rsidR="00266EFF" w:rsidRPr="00342A5E">
        <w:rPr>
          <w:rFonts w:ascii="Arial" w:hAnsi="Arial" w:cs="Arial"/>
          <w:sz w:val="24"/>
          <w:szCs w:val="24"/>
          <w:lang w:bidi="ar-SA"/>
        </w:rPr>
        <w:t>(See pages 252 and 256 of the Final Report.)</w:t>
      </w:r>
    </w:p>
    <w:p w14:paraId="633FFC8D" w14:textId="77777777" w:rsidR="00266EFF" w:rsidRPr="00342A5E" w:rsidRDefault="00266EFF" w:rsidP="00266EFF">
      <w:pPr>
        <w:pStyle w:val="Standard"/>
        <w:rPr>
          <w:rFonts w:ascii="Arial" w:hAnsi="Arial" w:cs="Arial"/>
          <w:sz w:val="24"/>
          <w:szCs w:val="24"/>
          <w:lang w:bidi="ar-SA"/>
        </w:rPr>
      </w:pPr>
    </w:p>
    <w:p w14:paraId="17968820" w14:textId="77777777" w:rsidR="00192D69" w:rsidRPr="00342A5E" w:rsidRDefault="00266EFF" w:rsidP="006A187B">
      <w:pPr>
        <w:pStyle w:val="NoSpacing"/>
        <w:ind w:left="720"/>
        <w:rPr>
          <w:rFonts w:ascii="Arial" w:hAnsi="Arial" w:cs="Arial"/>
          <w:sz w:val="24"/>
          <w:szCs w:val="24"/>
          <w:lang w:bidi="ar-SA"/>
        </w:rPr>
      </w:pPr>
      <w:r w:rsidRPr="00342A5E">
        <w:rPr>
          <w:rFonts w:ascii="Arial" w:hAnsi="Arial" w:cs="Arial"/>
          <w:sz w:val="24"/>
          <w:szCs w:val="24"/>
          <w:lang w:bidi="ar-SA"/>
        </w:rPr>
        <w:t>2- The Home Office is required to make a public policy statement in response to th</w:t>
      </w:r>
      <w:r w:rsidR="00192D69" w:rsidRPr="00342A5E">
        <w:rPr>
          <w:rFonts w:ascii="Arial" w:hAnsi="Arial" w:cs="Arial"/>
          <w:sz w:val="24"/>
          <w:szCs w:val="24"/>
          <w:lang w:bidi="ar-SA"/>
        </w:rPr>
        <w:t xml:space="preserve">e </w:t>
      </w:r>
    </w:p>
    <w:p w14:paraId="05F9A4D1" w14:textId="7F987A3E" w:rsidR="00266EFF" w:rsidRDefault="00266EFF" w:rsidP="006A187B">
      <w:pPr>
        <w:pStyle w:val="NoSpacing"/>
        <w:ind w:left="720"/>
        <w:rPr>
          <w:rFonts w:ascii="Arial" w:hAnsi="Arial" w:cs="Arial"/>
          <w:sz w:val="24"/>
          <w:szCs w:val="24"/>
          <w:lang w:bidi="ar-SA"/>
        </w:rPr>
      </w:pPr>
      <w:r w:rsidRPr="00342A5E">
        <w:rPr>
          <w:rFonts w:ascii="Arial" w:hAnsi="Arial" w:cs="Arial"/>
          <w:sz w:val="24"/>
          <w:szCs w:val="24"/>
          <w:lang w:bidi="ar-SA"/>
        </w:rPr>
        <w:t>Recommendation.</w:t>
      </w:r>
    </w:p>
    <w:p w14:paraId="52982FFC" w14:textId="0398BA6C" w:rsidR="009D2457" w:rsidRPr="00342A5E" w:rsidRDefault="009D2457" w:rsidP="009D2457">
      <w:pPr>
        <w:pStyle w:val="NoSpacing"/>
        <w:numPr>
          <w:ilvl w:val="0"/>
          <w:numId w:val="13"/>
        </w:numPr>
        <w:rPr>
          <w:rFonts w:ascii="Arial" w:hAnsi="Arial" w:cs="Arial"/>
          <w:sz w:val="24"/>
          <w:szCs w:val="24"/>
          <w:lang w:bidi="ar-SA"/>
        </w:rPr>
      </w:pPr>
      <w:r>
        <w:rPr>
          <w:rFonts w:ascii="Arial" w:hAnsi="Arial" w:cs="Arial"/>
          <w:sz w:val="24"/>
          <w:szCs w:val="24"/>
          <w:lang w:bidi="ar-SA"/>
        </w:rPr>
        <w:lastRenderedPageBreak/>
        <w:t>Therefore the Home Office requires a strategy paper outlining the ESMCP approach to lock-in.</w:t>
      </w:r>
    </w:p>
    <w:p w14:paraId="7E7822FE" w14:textId="77777777" w:rsidR="00192D69" w:rsidRDefault="00192D69" w:rsidP="00192D69">
      <w:pPr>
        <w:pStyle w:val="Standard"/>
        <w:rPr>
          <w:lang w:bidi="ar-SA"/>
        </w:rPr>
      </w:pPr>
    </w:p>
    <w:p w14:paraId="55348A6A" w14:textId="2B971A44" w:rsidR="00266EFF" w:rsidRDefault="006A187B" w:rsidP="00266EFF">
      <w:pPr>
        <w:pStyle w:val="Heading1"/>
      </w:pPr>
      <w:bookmarkStart w:id="7" w:name="_Toc368573030"/>
      <w:r>
        <w:t>Definitions</w:t>
      </w:r>
      <w:r w:rsidR="00266EFF" w:rsidRPr="00266EFF">
        <w:t xml:space="preserve"> </w:t>
      </w:r>
    </w:p>
    <w:p w14:paraId="2BAF0F7E" w14:textId="77777777" w:rsidR="00266EFF" w:rsidRDefault="00266EFF" w:rsidP="00266EFF">
      <w:pPr>
        <w:pStyle w:val="Standard"/>
      </w:pPr>
    </w:p>
    <w:tbl>
      <w:tblPr>
        <w:tblStyle w:val="ListTable3"/>
        <w:tblW w:w="0" w:type="auto"/>
        <w:tblLook w:val="04A0" w:firstRow="1" w:lastRow="0" w:firstColumn="1" w:lastColumn="0" w:noHBand="0" w:noVBand="1"/>
      </w:tblPr>
      <w:tblGrid>
        <w:gridCol w:w="1827"/>
        <w:gridCol w:w="6469"/>
      </w:tblGrid>
      <w:tr w:rsidR="00266EFF" w:rsidRPr="00821E10" w14:paraId="48530A0F" w14:textId="77777777" w:rsidTr="00C506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27" w:type="dxa"/>
          </w:tcPr>
          <w:p w14:paraId="5BAEEFF4" w14:textId="77777777" w:rsidR="00266EFF" w:rsidRPr="00821E10" w:rsidRDefault="00266EFF" w:rsidP="00B81BBE">
            <w:pPr>
              <w:pStyle w:val="Heading2"/>
              <w:spacing w:after="120"/>
              <w:ind w:left="18" w:hanging="18"/>
              <w:rPr>
                <w:b/>
                <w:sz w:val="24"/>
                <w:szCs w:val="24"/>
              </w:rPr>
            </w:pPr>
            <w:r w:rsidRPr="00C50659">
              <w:rPr>
                <w:b/>
                <w:color w:val="FFFFFF" w:themeColor="background1"/>
                <w:sz w:val="24"/>
                <w:szCs w:val="24"/>
              </w:rPr>
              <w:t>Expression or Acronym</w:t>
            </w:r>
          </w:p>
        </w:tc>
        <w:tc>
          <w:tcPr>
            <w:tcW w:w="6469" w:type="dxa"/>
          </w:tcPr>
          <w:p w14:paraId="61384F9C" w14:textId="77777777" w:rsidR="00266EFF" w:rsidRPr="00C50659" w:rsidRDefault="00266EFF" w:rsidP="00B81BBE">
            <w:pPr>
              <w:pStyle w:val="Heading2"/>
              <w:spacing w:after="120"/>
              <w:ind w:left="720" w:hanging="720"/>
              <w:cnfStyle w:val="100000000000" w:firstRow="1" w:lastRow="0" w:firstColumn="0" w:lastColumn="0" w:oddVBand="0" w:evenVBand="0" w:oddHBand="0" w:evenHBand="0" w:firstRowFirstColumn="0" w:firstRowLastColumn="0" w:lastRowFirstColumn="0" w:lastRowLastColumn="0"/>
              <w:rPr>
                <w:bCs w:val="0"/>
                <w:sz w:val="24"/>
                <w:szCs w:val="24"/>
              </w:rPr>
            </w:pPr>
            <w:r w:rsidRPr="00C50659">
              <w:rPr>
                <w:b/>
                <w:color w:val="FFFFFF" w:themeColor="background1"/>
                <w:sz w:val="24"/>
                <w:szCs w:val="24"/>
              </w:rPr>
              <w:t>Definition</w:t>
            </w:r>
          </w:p>
        </w:tc>
      </w:tr>
      <w:tr w:rsidR="00266EFF" w:rsidRPr="00821E10" w14:paraId="58E69469" w14:textId="77777777" w:rsidTr="00C5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34B5BAFD" w14:textId="77777777" w:rsidR="00266EFF" w:rsidRPr="00C50659" w:rsidRDefault="00266EFF" w:rsidP="00B81BBE">
            <w:pPr>
              <w:pStyle w:val="Heading2"/>
              <w:spacing w:after="120"/>
              <w:rPr>
                <w:color w:val="auto"/>
                <w:sz w:val="24"/>
                <w:szCs w:val="24"/>
              </w:rPr>
            </w:pPr>
            <w:r w:rsidRPr="00C50659">
              <w:rPr>
                <w:color w:val="auto"/>
                <w:sz w:val="24"/>
                <w:szCs w:val="24"/>
              </w:rPr>
              <w:t>ESMCP</w:t>
            </w:r>
          </w:p>
        </w:tc>
        <w:tc>
          <w:tcPr>
            <w:tcW w:w="6469" w:type="dxa"/>
          </w:tcPr>
          <w:p w14:paraId="3AD35813" w14:textId="77777777" w:rsidR="00266EFF" w:rsidRPr="00C50659" w:rsidRDefault="00266EFF" w:rsidP="00B81BBE">
            <w:pPr>
              <w:pStyle w:val="Heading2"/>
              <w:spacing w:after="120"/>
              <w:cnfStyle w:val="000000100000" w:firstRow="0" w:lastRow="0" w:firstColumn="0" w:lastColumn="0" w:oddVBand="0" w:evenVBand="0" w:oddHBand="1" w:evenHBand="0" w:firstRowFirstColumn="0" w:firstRowLastColumn="0" w:lastRowFirstColumn="0" w:lastRowLastColumn="0"/>
              <w:rPr>
                <w:color w:val="auto"/>
                <w:sz w:val="24"/>
                <w:szCs w:val="24"/>
              </w:rPr>
            </w:pPr>
            <w:r w:rsidRPr="00C50659">
              <w:rPr>
                <w:color w:val="auto"/>
                <w:sz w:val="24"/>
                <w:szCs w:val="24"/>
              </w:rPr>
              <w:t>Emergency Services Mobile and Communications Programme</w:t>
            </w:r>
          </w:p>
        </w:tc>
      </w:tr>
      <w:tr w:rsidR="00266EFF" w:rsidRPr="00821E10" w14:paraId="13D7A4E4" w14:textId="77777777" w:rsidTr="00C50659">
        <w:tc>
          <w:tcPr>
            <w:cnfStyle w:val="001000000000" w:firstRow="0" w:lastRow="0" w:firstColumn="1" w:lastColumn="0" w:oddVBand="0" w:evenVBand="0" w:oddHBand="0" w:evenHBand="0" w:firstRowFirstColumn="0" w:firstRowLastColumn="0" w:lastRowFirstColumn="0" w:lastRowLastColumn="0"/>
            <w:tcW w:w="1827" w:type="dxa"/>
          </w:tcPr>
          <w:p w14:paraId="20D8733D" w14:textId="77777777" w:rsidR="00266EFF" w:rsidRPr="00C50659" w:rsidRDefault="00266EFF" w:rsidP="00B81BBE">
            <w:pPr>
              <w:pStyle w:val="Heading2"/>
              <w:spacing w:after="120"/>
              <w:rPr>
                <w:color w:val="auto"/>
                <w:sz w:val="24"/>
                <w:szCs w:val="24"/>
              </w:rPr>
            </w:pPr>
            <w:r w:rsidRPr="00C50659">
              <w:rPr>
                <w:color w:val="auto"/>
                <w:sz w:val="24"/>
                <w:szCs w:val="24"/>
              </w:rPr>
              <w:t>ESN</w:t>
            </w:r>
          </w:p>
        </w:tc>
        <w:tc>
          <w:tcPr>
            <w:tcW w:w="6469" w:type="dxa"/>
          </w:tcPr>
          <w:p w14:paraId="2AC99EA3" w14:textId="77777777" w:rsidR="00266EFF" w:rsidRPr="00C50659" w:rsidRDefault="00266EFF" w:rsidP="00B81BBE">
            <w:pPr>
              <w:pStyle w:val="Heading2"/>
              <w:spacing w:after="120"/>
              <w:cnfStyle w:val="000000000000" w:firstRow="0" w:lastRow="0" w:firstColumn="0" w:lastColumn="0" w:oddVBand="0" w:evenVBand="0" w:oddHBand="0" w:evenHBand="0" w:firstRowFirstColumn="0" w:firstRowLastColumn="0" w:lastRowFirstColumn="0" w:lastRowLastColumn="0"/>
              <w:rPr>
                <w:color w:val="auto"/>
                <w:sz w:val="24"/>
                <w:szCs w:val="24"/>
              </w:rPr>
            </w:pPr>
            <w:r w:rsidRPr="00C50659">
              <w:rPr>
                <w:color w:val="auto"/>
                <w:sz w:val="24"/>
                <w:szCs w:val="24"/>
              </w:rPr>
              <w:t>Emergency Services Network</w:t>
            </w:r>
          </w:p>
        </w:tc>
      </w:tr>
      <w:tr w:rsidR="00266EFF" w:rsidRPr="00821E10" w14:paraId="1BA266C6" w14:textId="77777777" w:rsidTr="00C5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52DD71DA" w14:textId="6B0508A1" w:rsidR="00266EFF" w:rsidRPr="00C50659" w:rsidRDefault="00C50659" w:rsidP="00B81BBE">
            <w:pPr>
              <w:pStyle w:val="Heading2"/>
              <w:spacing w:after="120"/>
              <w:ind w:left="720" w:hanging="720"/>
              <w:rPr>
                <w:color w:val="auto"/>
                <w:sz w:val="24"/>
                <w:szCs w:val="24"/>
              </w:rPr>
            </w:pPr>
            <w:r>
              <w:rPr>
                <w:color w:val="auto"/>
                <w:sz w:val="24"/>
                <w:szCs w:val="24"/>
              </w:rPr>
              <w:t>CMA</w:t>
            </w:r>
          </w:p>
        </w:tc>
        <w:tc>
          <w:tcPr>
            <w:tcW w:w="6469" w:type="dxa"/>
          </w:tcPr>
          <w:p w14:paraId="1465ACC9" w14:textId="01C9D669" w:rsidR="00266EFF" w:rsidRPr="00C50659" w:rsidRDefault="00C50659" w:rsidP="00B81BBE">
            <w:pPr>
              <w:pStyle w:val="Heading2"/>
              <w:spacing w:after="120"/>
              <w:ind w:left="720" w:hanging="720"/>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Competition Market Authority</w:t>
            </w:r>
          </w:p>
        </w:tc>
      </w:tr>
      <w:tr w:rsidR="00266EFF" w:rsidRPr="00821E10" w14:paraId="00EE7DC8" w14:textId="77777777" w:rsidTr="00C50659">
        <w:tc>
          <w:tcPr>
            <w:cnfStyle w:val="001000000000" w:firstRow="0" w:lastRow="0" w:firstColumn="1" w:lastColumn="0" w:oddVBand="0" w:evenVBand="0" w:oddHBand="0" w:evenHBand="0" w:firstRowFirstColumn="0" w:firstRowLastColumn="0" w:lastRowFirstColumn="0" w:lastRowLastColumn="0"/>
            <w:tcW w:w="1827" w:type="dxa"/>
          </w:tcPr>
          <w:p w14:paraId="404D85E8" w14:textId="77777777" w:rsidR="00266EFF" w:rsidRPr="00C50659" w:rsidRDefault="00266EFF" w:rsidP="00B81BBE">
            <w:pPr>
              <w:pStyle w:val="Heading2"/>
              <w:spacing w:after="120"/>
              <w:ind w:left="720" w:hanging="720"/>
              <w:rPr>
                <w:color w:val="auto"/>
                <w:sz w:val="24"/>
                <w:szCs w:val="24"/>
              </w:rPr>
            </w:pPr>
            <w:r w:rsidRPr="00C50659">
              <w:rPr>
                <w:color w:val="auto"/>
                <w:sz w:val="24"/>
                <w:szCs w:val="24"/>
              </w:rPr>
              <w:t>MPRG</w:t>
            </w:r>
          </w:p>
        </w:tc>
        <w:tc>
          <w:tcPr>
            <w:tcW w:w="6469" w:type="dxa"/>
          </w:tcPr>
          <w:p w14:paraId="7916F629" w14:textId="77777777" w:rsidR="00266EFF" w:rsidRPr="00C50659" w:rsidRDefault="00266EFF" w:rsidP="00B81BBE">
            <w:pPr>
              <w:pStyle w:val="Heading2"/>
              <w:spacing w:after="120"/>
              <w:cnfStyle w:val="000000000000" w:firstRow="0" w:lastRow="0" w:firstColumn="0" w:lastColumn="0" w:oddVBand="0" w:evenVBand="0" w:oddHBand="0" w:evenHBand="0" w:firstRowFirstColumn="0" w:firstRowLastColumn="0" w:lastRowFirstColumn="0" w:lastRowLastColumn="0"/>
              <w:rPr>
                <w:color w:val="auto"/>
                <w:sz w:val="24"/>
                <w:szCs w:val="24"/>
              </w:rPr>
            </w:pPr>
            <w:r w:rsidRPr="00C50659">
              <w:rPr>
                <w:color w:val="auto"/>
                <w:sz w:val="24"/>
                <w:szCs w:val="24"/>
              </w:rPr>
              <w:t xml:space="preserve">Major Project Review Group  </w:t>
            </w:r>
          </w:p>
        </w:tc>
      </w:tr>
      <w:tr w:rsidR="00266EFF" w:rsidRPr="00821E10" w14:paraId="00B22029" w14:textId="77777777" w:rsidTr="00C5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585C10EF" w14:textId="69AD984F" w:rsidR="00266EFF" w:rsidRPr="00C50659" w:rsidRDefault="00C50659" w:rsidP="00B81BBE">
            <w:pPr>
              <w:pStyle w:val="Heading2"/>
              <w:spacing w:after="120"/>
              <w:ind w:left="720" w:hanging="720"/>
              <w:rPr>
                <w:color w:val="auto"/>
                <w:sz w:val="24"/>
                <w:szCs w:val="24"/>
              </w:rPr>
            </w:pPr>
            <w:r>
              <w:rPr>
                <w:color w:val="auto"/>
                <w:sz w:val="24"/>
                <w:szCs w:val="24"/>
              </w:rPr>
              <w:t>OFCOM</w:t>
            </w:r>
          </w:p>
        </w:tc>
        <w:tc>
          <w:tcPr>
            <w:tcW w:w="6469" w:type="dxa"/>
          </w:tcPr>
          <w:p w14:paraId="5F029244" w14:textId="25772C35" w:rsidR="00266EFF" w:rsidRPr="00C50659" w:rsidRDefault="00C50659" w:rsidP="00B81BBE">
            <w:pPr>
              <w:pStyle w:val="Heading2"/>
              <w:spacing w:after="120"/>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 xml:space="preserve">The Office of Communications </w:t>
            </w:r>
          </w:p>
        </w:tc>
      </w:tr>
      <w:tr w:rsidR="00266EFF" w:rsidRPr="00821E10" w14:paraId="6B79D535" w14:textId="77777777" w:rsidTr="00C50659">
        <w:tc>
          <w:tcPr>
            <w:cnfStyle w:val="001000000000" w:firstRow="0" w:lastRow="0" w:firstColumn="1" w:lastColumn="0" w:oddVBand="0" w:evenVBand="0" w:oddHBand="0" w:evenHBand="0" w:firstRowFirstColumn="0" w:firstRowLastColumn="0" w:lastRowFirstColumn="0" w:lastRowLastColumn="0"/>
            <w:tcW w:w="1827" w:type="dxa"/>
          </w:tcPr>
          <w:p w14:paraId="4C88761F" w14:textId="7CA5ECCC" w:rsidR="00266EFF" w:rsidRPr="00C50659" w:rsidRDefault="00C50659" w:rsidP="00B81BBE">
            <w:pPr>
              <w:pStyle w:val="Heading2"/>
              <w:spacing w:after="120"/>
              <w:ind w:left="720" w:hanging="720"/>
              <w:rPr>
                <w:color w:val="auto"/>
                <w:sz w:val="24"/>
                <w:szCs w:val="24"/>
              </w:rPr>
            </w:pPr>
            <w:r>
              <w:rPr>
                <w:color w:val="auto"/>
                <w:sz w:val="24"/>
                <w:szCs w:val="24"/>
              </w:rPr>
              <w:t>SME</w:t>
            </w:r>
          </w:p>
        </w:tc>
        <w:tc>
          <w:tcPr>
            <w:tcW w:w="6469" w:type="dxa"/>
          </w:tcPr>
          <w:p w14:paraId="2A286A11" w14:textId="56D38441" w:rsidR="00266EFF" w:rsidRPr="00C50659" w:rsidRDefault="00C50659" w:rsidP="00B81BBE">
            <w:pPr>
              <w:pStyle w:val="Heading2"/>
              <w:spacing w:after="12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Subject Matter Expert</w:t>
            </w:r>
          </w:p>
        </w:tc>
      </w:tr>
      <w:tr w:rsidR="00266EFF" w:rsidRPr="00821E10" w14:paraId="5C4E20A7" w14:textId="77777777" w:rsidTr="00C5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3BF53396" w14:textId="77777777" w:rsidR="00266EFF" w:rsidRPr="00C50659" w:rsidRDefault="00266EFF" w:rsidP="00B81BBE">
            <w:pPr>
              <w:pStyle w:val="Heading2"/>
              <w:spacing w:after="120"/>
              <w:ind w:left="720" w:hanging="720"/>
              <w:rPr>
                <w:color w:val="auto"/>
                <w:sz w:val="24"/>
                <w:szCs w:val="24"/>
              </w:rPr>
            </w:pPr>
            <w:r w:rsidRPr="00C50659">
              <w:rPr>
                <w:color w:val="auto"/>
                <w:sz w:val="24"/>
                <w:szCs w:val="24"/>
              </w:rPr>
              <w:t>GMPP</w:t>
            </w:r>
          </w:p>
        </w:tc>
        <w:tc>
          <w:tcPr>
            <w:tcW w:w="6469" w:type="dxa"/>
          </w:tcPr>
          <w:p w14:paraId="48C8D988" w14:textId="77777777" w:rsidR="00266EFF" w:rsidRPr="00C50659" w:rsidRDefault="00266EFF" w:rsidP="00B81BBE">
            <w:pPr>
              <w:pStyle w:val="Heading2"/>
              <w:spacing w:after="120"/>
              <w:cnfStyle w:val="000000100000" w:firstRow="0" w:lastRow="0" w:firstColumn="0" w:lastColumn="0" w:oddVBand="0" w:evenVBand="0" w:oddHBand="1" w:evenHBand="0" w:firstRowFirstColumn="0" w:firstRowLastColumn="0" w:lastRowFirstColumn="0" w:lastRowLastColumn="0"/>
              <w:rPr>
                <w:color w:val="auto"/>
                <w:sz w:val="24"/>
                <w:szCs w:val="24"/>
              </w:rPr>
            </w:pPr>
            <w:r w:rsidRPr="00C50659">
              <w:rPr>
                <w:color w:val="auto"/>
                <w:sz w:val="24"/>
                <w:szCs w:val="24"/>
              </w:rPr>
              <w:t>Government Major Projects Portfolio</w:t>
            </w:r>
          </w:p>
        </w:tc>
      </w:tr>
    </w:tbl>
    <w:p w14:paraId="3C47963D" w14:textId="77777777" w:rsidR="00266EFF" w:rsidRPr="00821E10" w:rsidRDefault="00266EFF" w:rsidP="00266EFF">
      <w:pPr>
        <w:pStyle w:val="Heading1"/>
        <w:spacing w:after="120"/>
        <w:ind w:left="720"/>
        <w:rPr>
          <w:sz w:val="32"/>
          <w:szCs w:val="32"/>
        </w:rPr>
      </w:pPr>
      <w:bookmarkStart w:id="8" w:name="_Toc368573031"/>
      <w:bookmarkEnd w:id="5"/>
      <w:bookmarkEnd w:id="6"/>
      <w:bookmarkEnd w:id="7"/>
    </w:p>
    <w:p w14:paraId="215B6765" w14:textId="77777777" w:rsidR="00266EFF" w:rsidRDefault="00266EFF" w:rsidP="00C50659">
      <w:pPr>
        <w:pStyle w:val="Heading1"/>
      </w:pPr>
      <w:bookmarkStart w:id="9" w:name="_Toc108185700"/>
      <w:r w:rsidRPr="00C50659">
        <w:t>The requirement</w:t>
      </w:r>
      <w:bookmarkEnd w:id="8"/>
      <w:bookmarkEnd w:id="9"/>
    </w:p>
    <w:p w14:paraId="5BD24A55" w14:textId="77777777" w:rsidR="006A187B" w:rsidRPr="006A187B" w:rsidRDefault="006A187B" w:rsidP="006A187B">
      <w:pPr>
        <w:pStyle w:val="Standard"/>
      </w:pPr>
    </w:p>
    <w:p w14:paraId="3CD5559A" w14:textId="77777777" w:rsidR="0072799A" w:rsidRPr="00342A5E" w:rsidRDefault="0072799A" w:rsidP="0072799A">
      <w:pPr>
        <w:pStyle w:val="Heading2"/>
        <w:rPr>
          <w:rFonts w:ascii="Arial" w:eastAsia="SimSun" w:hAnsi="Arial" w:cs="Arial"/>
          <w:b w:val="0"/>
          <w:color w:val="auto"/>
          <w:sz w:val="24"/>
          <w:szCs w:val="24"/>
          <w:u w:val="single"/>
          <w:lang w:bidi="ar-SA"/>
        </w:rPr>
      </w:pPr>
      <w:r w:rsidRPr="00342A5E">
        <w:rPr>
          <w:rFonts w:ascii="Arial" w:eastAsia="SimSun" w:hAnsi="Arial" w:cs="Arial"/>
          <w:b w:val="0"/>
          <w:color w:val="auto"/>
          <w:sz w:val="24"/>
          <w:szCs w:val="24"/>
          <w:u w:val="single"/>
          <w:lang w:bidi="ar-SA"/>
        </w:rPr>
        <w:t>Output Required:</w:t>
      </w:r>
    </w:p>
    <w:p w14:paraId="5F41D839" w14:textId="77777777" w:rsidR="0072799A" w:rsidRPr="00342A5E" w:rsidRDefault="0072799A" w:rsidP="0072799A">
      <w:pPr>
        <w:pStyle w:val="ListParagraph"/>
        <w:numPr>
          <w:ilvl w:val="0"/>
          <w:numId w:val="9"/>
        </w:numPr>
        <w:rPr>
          <w:rFonts w:cs="Arial"/>
          <w:sz w:val="24"/>
        </w:rPr>
      </w:pPr>
      <w:r w:rsidRPr="00342A5E">
        <w:rPr>
          <w:rFonts w:cs="Arial"/>
          <w:sz w:val="24"/>
        </w:rPr>
        <w:t>Strategy paper to set out the ESMCP’s approach to Lock-in including:</w:t>
      </w:r>
    </w:p>
    <w:p w14:paraId="7C10F665" w14:textId="77777777" w:rsidR="0072799A" w:rsidRPr="00342A5E" w:rsidRDefault="0072799A" w:rsidP="0072799A">
      <w:pPr>
        <w:pStyle w:val="ListParagraph"/>
        <w:numPr>
          <w:ilvl w:val="1"/>
          <w:numId w:val="2"/>
        </w:numPr>
        <w:rPr>
          <w:rFonts w:cs="Arial"/>
          <w:sz w:val="24"/>
        </w:rPr>
      </w:pPr>
      <w:r w:rsidRPr="00342A5E">
        <w:rPr>
          <w:rFonts w:cs="Arial"/>
          <w:sz w:val="24"/>
        </w:rPr>
        <w:t>Technical approach – including Interfaces between suppliers, RAN, 4G to 5G Transition, supplier transition options and interworking</w:t>
      </w:r>
    </w:p>
    <w:p w14:paraId="31C96BEA" w14:textId="77777777" w:rsidR="0072799A" w:rsidRPr="00342A5E" w:rsidRDefault="0072799A" w:rsidP="0072799A">
      <w:pPr>
        <w:pStyle w:val="ListParagraph"/>
        <w:numPr>
          <w:ilvl w:val="1"/>
          <w:numId w:val="2"/>
        </w:numPr>
        <w:rPr>
          <w:rFonts w:cs="Arial"/>
          <w:sz w:val="24"/>
        </w:rPr>
      </w:pPr>
      <w:r w:rsidRPr="00342A5E">
        <w:rPr>
          <w:rFonts w:cs="Arial"/>
          <w:sz w:val="24"/>
        </w:rPr>
        <w:t>Coverage approach – including roaming, asset transfer, regional coverage arrangements</w:t>
      </w:r>
    </w:p>
    <w:p w14:paraId="173DC727" w14:textId="77777777" w:rsidR="0072799A" w:rsidRPr="00342A5E" w:rsidRDefault="0072799A" w:rsidP="0072799A">
      <w:pPr>
        <w:pStyle w:val="ListParagraph"/>
        <w:numPr>
          <w:ilvl w:val="2"/>
          <w:numId w:val="2"/>
        </w:numPr>
        <w:rPr>
          <w:rFonts w:cs="Arial"/>
          <w:sz w:val="24"/>
        </w:rPr>
      </w:pPr>
      <w:r w:rsidRPr="00342A5E">
        <w:rPr>
          <w:rFonts w:cs="Arial"/>
          <w:sz w:val="24"/>
        </w:rPr>
        <w:t>Coverage options</w:t>
      </w:r>
    </w:p>
    <w:p w14:paraId="380DE029" w14:textId="77777777" w:rsidR="0072799A" w:rsidRPr="00342A5E" w:rsidRDefault="0072799A" w:rsidP="0072799A">
      <w:pPr>
        <w:pStyle w:val="ListParagraph"/>
        <w:numPr>
          <w:ilvl w:val="2"/>
          <w:numId w:val="2"/>
        </w:numPr>
        <w:rPr>
          <w:rFonts w:cs="Arial"/>
          <w:sz w:val="24"/>
        </w:rPr>
      </w:pPr>
      <w:r w:rsidRPr="00342A5E">
        <w:rPr>
          <w:rFonts w:cs="Arial"/>
          <w:sz w:val="24"/>
        </w:rPr>
        <w:t xml:space="preserve">Alignment to OFCOM roadmap </w:t>
      </w:r>
    </w:p>
    <w:p w14:paraId="075D5931" w14:textId="77777777" w:rsidR="0072799A" w:rsidRPr="00342A5E" w:rsidRDefault="0072799A" w:rsidP="0072799A">
      <w:pPr>
        <w:pStyle w:val="ListParagraph"/>
        <w:numPr>
          <w:ilvl w:val="1"/>
          <w:numId w:val="2"/>
        </w:numPr>
        <w:rPr>
          <w:rFonts w:cs="Arial"/>
          <w:sz w:val="24"/>
        </w:rPr>
      </w:pPr>
      <w:r w:rsidRPr="00342A5E">
        <w:rPr>
          <w:rFonts w:cs="Arial"/>
          <w:sz w:val="24"/>
        </w:rPr>
        <w:t xml:space="preserve">Commercial approach to current contracts </w:t>
      </w:r>
    </w:p>
    <w:p w14:paraId="23336D8A" w14:textId="77777777" w:rsidR="0072799A" w:rsidRPr="00342A5E" w:rsidRDefault="0072799A" w:rsidP="0072799A">
      <w:pPr>
        <w:pStyle w:val="ListParagraph"/>
        <w:ind w:left="1440"/>
        <w:rPr>
          <w:rFonts w:cs="Arial"/>
          <w:sz w:val="24"/>
        </w:rPr>
      </w:pPr>
    </w:p>
    <w:p w14:paraId="06FE1E94" w14:textId="77777777" w:rsidR="0072799A" w:rsidRPr="00342A5E" w:rsidRDefault="0072799A" w:rsidP="0072799A">
      <w:pPr>
        <w:pStyle w:val="ListParagraph"/>
        <w:numPr>
          <w:ilvl w:val="0"/>
          <w:numId w:val="9"/>
        </w:numPr>
        <w:rPr>
          <w:rFonts w:cs="Arial"/>
          <w:sz w:val="24"/>
        </w:rPr>
      </w:pPr>
      <w:r w:rsidRPr="00342A5E">
        <w:rPr>
          <w:rFonts w:cs="Arial"/>
          <w:sz w:val="24"/>
        </w:rPr>
        <w:t xml:space="preserve">Sourcing Strategy for the end of new ESN contracts: </w:t>
      </w:r>
    </w:p>
    <w:p w14:paraId="5DE7C644" w14:textId="77777777" w:rsidR="0072799A" w:rsidRPr="00342A5E" w:rsidRDefault="0072799A" w:rsidP="0072799A">
      <w:pPr>
        <w:pStyle w:val="ListParagraph"/>
        <w:numPr>
          <w:ilvl w:val="0"/>
          <w:numId w:val="10"/>
        </w:numPr>
        <w:rPr>
          <w:rFonts w:cs="Arial"/>
          <w:sz w:val="24"/>
        </w:rPr>
      </w:pPr>
      <w:r w:rsidRPr="00342A5E">
        <w:rPr>
          <w:rFonts w:cs="Arial"/>
          <w:sz w:val="24"/>
        </w:rPr>
        <w:t>Sourcing strategy elements (including 1d above) including:</w:t>
      </w:r>
    </w:p>
    <w:p w14:paraId="1FAE08E1" w14:textId="77777777" w:rsidR="0072799A" w:rsidRPr="00342A5E" w:rsidRDefault="0072799A" w:rsidP="0072799A">
      <w:pPr>
        <w:pStyle w:val="ListParagraph"/>
        <w:numPr>
          <w:ilvl w:val="2"/>
          <w:numId w:val="2"/>
        </w:numPr>
        <w:rPr>
          <w:rFonts w:cs="Arial"/>
          <w:sz w:val="24"/>
        </w:rPr>
      </w:pPr>
      <w:r w:rsidRPr="00342A5E">
        <w:rPr>
          <w:rFonts w:cs="Arial"/>
          <w:sz w:val="24"/>
        </w:rPr>
        <w:t xml:space="preserve">Options for sourcing ESN contracts including Pros and Cons with focus on allowing competition in the market to include consideration of: Delivery Model Assessments, </w:t>
      </w:r>
      <w:proofErr w:type="gramStart"/>
      <w:r w:rsidRPr="00342A5E">
        <w:rPr>
          <w:rFonts w:cs="Arial"/>
          <w:sz w:val="24"/>
        </w:rPr>
        <w:t>Lotting</w:t>
      </w:r>
      <w:proofErr w:type="gramEnd"/>
      <w:r w:rsidRPr="00342A5E">
        <w:rPr>
          <w:rFonts w:cs="Arial"/>
          <w:sz w:val="24"/>
        </w:rPr>
        <w:t xml:space="preserve"> and payment Mechanisms.</w:t>
      </w:r>
    </w:p>
    <w:p w14:paraId="729761F9" w14:textId="77777777" w:rsidR="0072799A" w:rsidRPr="00342A5E" w:rsidRDefault="0072799A" w:rsidP="0072799A">
      <w:pPr>
        <w:pStyle w:val="ListParagraph"/>
        <w:numPr>
          <w:ilvl w:val="2"/>
          <w:numId w:val="2"/>
        </w:numPr>
        <w:rPr>
          <w:rFonts w:cs="Arial"/>
          <w:sz w:val="24"/>
        </w:rPr>
      </w:pPr>
      <w:r w:rsidRPr="00342A5E">
        <w:rPr>
          <w:rFonts w:cs="Arial"/>
          <w:sz w:val="24"/>
        </w:rPr>
        <w:lastRenderedPageBreak/>
        <w:t>Desktop market assessment or at least a view of how the market will develop up to and post 2029</w:t>
      </w:r>
    </w:p>
    <w:p w14:paraId="34967D2D" w14:textId="77777777" w:rsidR="0072799A" w:rsidRPr="00342A5E" w:rsidRDefault="0072799A" w:rsidP="0072799A">
      <w:pPr>
        <w:pStyle w:val="ListParagraph"/>
        <w:numPr>
          <w:ilvl w:val="2"/>
          <w:numId w:val="2"/>
        </w:numPr>
        <w:rPr>
          <w:rFonts w:cs="Arial"/>
          <w:sz w:val="24"/>
        </w:rPr>
      </w:pPr>
      <w:r w:rsidRPr="00342A5E">
        <w:rPr>
          <w:rFonts w:cs="Arial"/>
          <w:sz w:val="24"/>
        </w:rPr>
        <w:t>Routes to market and potential timing for procurements</w:t>
      </w:r>
    </w:p>
    <w:p w14:paraId="0C4CFA99" w14:textId="77777777" w:rsidR="0072799A" w:rsidRPr="00342A5E" w:rsidRDefault="0072799A" w:rsidP="0072799A">
      <w:pPr>
        <w:pStyle w:val="ListParagraph"/>
        <w:numPr>
          <w:ilvl w:val="0"/>
          <w:numId w:val="10"/>
        </w:numPr>
        <w:rPr>
          <w:rFonts w:cs="Arial"/>
          <w:sz w:val="24"/>
        </w:rPr>
      </w:pPr>
      <w:r w:rsidRPr="00342A5E">
        <w:rPr>
          <w:rFonts w:cs="Arial"/>
          <w:sz w:val="24"/>
        </w:rPr>
        <w:t>Focus on MS contract, with consideration of US and Devices / other</w:t>
      </w:r>
    </w:p>
    <w:p w14:paraId="00366B7F" w14:textId="77777777" w:rsidR="0072799A" w:rsidRPr="0072799A" w:rsidRDefault="0072799A" w:rsidP="0072799A">
      <w:pPr>
        <w:pStyle w:val="ListParagraph"/>
        <w:ind w:left="1440"/>
        <w:rPr>
          <w:rFonts w:cs="Arial"/>
        </w:rPr>
      </w:pPr>
    </w:p>
    <w:p w14:paraId="42C6852F" w14:textId="77777777" w:rsidR="0072799A" w:rsidRPr="00342A5E" w:rsidRDefault="0072799A" w:rsidP="0072799A">
      <w:pPr>
        <w:pStyle w:val="ListParagraph"/>
        <w:numPr>
          <w:ilvl w:val="0"/>
          <w:numId w:val="9"/>
        </w:numPr>
        <w:rPr>
          <w:rFonts w:cs="Arial"/>
          <w:sz w:val="24"/>
        </w:rPr>
      </w:pPr>
      <w:r w:rsidRPr="00342A5E">
        <w:rPr>
          <w:rFonts w:cs="Arial"/>
          <w:sz w:val="24"/>
        </w:rPr>
        <w:t>List of assumptions and ‘what needs to be true’ with 7 - 10-year roadmap</w:t>
      </w:r>
    </w:p>
    <w:p w14:paraId="54F02FB2" w14:textId="77777777" w:rsidR="0072799A" w:rsidRPr="00342A5E" w:rsidRDefault="0072799A" w:rsidP="0072799A">
      <w:pPr>
        <w:pStyle w:val="ListParagraph"/>
        <w:rPr>
          <w:rFonts w:cs="Arial"/>
          <w:sz w:val="24"/>
        </w:rPr>
      </w:pPr>
    </w:p>
    <w:p w14:paraId="1D629CCD" w14:textId="77777777" w:rsidR="0072799A" w:rsidRPr="00342A5E" w:rsidRDefault="0072799A" w:rsidP="0072799A">
      <w:pPr>
        <w:pStyle w:val="ListParagraph"/>
        <w:numPr>
          <w:ilvl w:val="0"/>
          <w:numId w:val="9"/>
        </w:numPr>
        <w:rPr>
          <w:rFonts w:cs="Arial"/>
          <w:sz w:val="24"/>
        </w:rPr>
      </w:pPr>
      <w:r w:rsidRPr="00342A5E">
        <w:rPr>
          <w:rFonts w:cs="Arial"/>
          <w:sz w:val="24"/>
        </w:rPr>
        <w:t xml:space="preserve">Analysis of current contract contracts (by value %age) </w:t>
      </w:r>
    </w:p>
    <w:p w14:paraId="6B2635D8" w14:textId="77777777" w:rsidR="0072799A" w:rsidRPr="00342A5E" w:rsidRDefault="0072799A" w:rsidP="0072799A">
      <w:pPr>
        <w:pStyle w:val="ListParagraph"/>
        <w:numPr>
          <w:ilvl w:val="0"/>
          <w:numId w:val="11"/>
        </w:numPr>
        <w:rPr>
          <w:rFonts w:cs="Arial"/>
          <w:sz w:val="24"/>
        </w:rPr>
      </w:pPr>
      <w:r w:rsidRPr="00342A5E">
        <w:rPr>
          <w:rFonts w:cs="Arial"/>
          <w:sz w:val="24"/>
        </w:rPr>
        <w:t>How many of the contracts have been competed</w:t>
      </w:r>
    </w:p>
    <w:p w14:paraId="33EC8359" w14:textId="77777777" w:rsidR="0072799A" w:rsidRPr="00342A5E" w:rsidRDefault="0072799A" w:rsidP="0072799A">
      <w:pPr>
        <w:pStyle w:val="ListParagraph"/>
        <w:numPr>
          <w:ilvl w:val="0"/>
          <w:numId w:val="11"/>
        </w:numPr>
        <w:rPr>
          <w:rFonts w:cs="Arial"/>
          <w:sz w:val="24"/>
        </w:rPr>
      </w:pPr>
      <w:r w:rsidRPr="00342A5E">
        <w:rPr>
          <w:rFonts w:cs="Arial"/>
          <w:sz w:val="24"/>
        </w:rPr>
        <w:t>What has Home Office done on the contracts where there has been no competition to mitigate lock-in and subsidy control challenges</w:t>
      </w:r>
    </w:p>
    <w:p w14:paraId="1377CC1F" w14:textId="77777777" w:rsidR="0072799A" w:rsidRPr="00342A5E" w:rsidRDefault="0072799A" w:rsidP="0072799A">
      <w:pPr>
        <w:pStyle w:val="Heading2"/>
        <w:rPr>
          <w:rFonts w:ascii="Arial" w:eastAsia="SimSun" w:hAnsi="Arial" w:cs="Arial"/>
          <w:b w:val="0"/>
          <w:color w:val="auto"/>
          <w:sz w:val="24"/>
          <w:szCs w:val="24"/>
          <w:u w:val="single"/>
          <w:lang w:bidi="ar-SA"/>
        </w:rPr>
      </w:pPr>
      <w:r w:rsidRPr="00342A5E">
        <w:rPr>
          <w:rFonts w:ascii="Arial" w:eastAsia="SimSun" w:hAnsi="Arial" w:cs="Arial"/>
          <w:b w:val="0"/>
          <w:color w:val="auto"/>
          <w:sz w:val="24"/>
          <w:szCs w:val="24"/>
          <w:u w:val="single"/>
          <w:lang w:bidi="ar-SA"/>
        </w:rPr>
        <w:t>Approach</w:t>
      </w:r>
    </w:p>
    <w:p w14:paraId="75DE6C1E" w14:textId="77777777" w:rsidR="0072799A" w:rsidRPr="00342A5E" w:rsidRDefault="0072799A" w:rsidP="0072799A">
      <w:pPr>
        <w:pStyle w:val="ListParagraph"/>
        <w:numPr>
          <w:ilvl w:val="0"/>
          <w:numId w:val="12"/>
        </w:numPr>
        <w:rPr>
          <w:rFonts w:cs="Arial"/>
          <w:sz w:val="24"/>
        </w:rPr>
      </w:pPr>
      <w:r w:rsidRPr="00342A5E">
        <w:rPr>
          <w:rFonts w:cs="Arial"/>
          <w:sz w:val="24"/>
        </w:rPr>
        <w:t>Review of existing materials including:</w:t>
      </w:r>
    </w:p>
    <w:p w14:paraId="70E6B734" w14:textId="111707F9" w:rsidR="0072799A" w:rsidRPr="00342A5E" w:rsidRDefault="0072799A" w:rsidP="0072799A">
      <w:pPr>
        <w:pStyle w:val="ListParagraph"/>
        <w:numPr>
          <w:ilvl w:val="1"/>
          <w:numId w:val="3"/>
        </w:numPr>
        <w:rPr>
          <w:rFonts w:cs="Arial"/>
          <w:sz w:val="24"/>
        </w:rPr>
      </w:pPr>
      <w:r w:rsidRPr="00342A5E">
        <w:rPr>
          <w:rFonts w:cs="Arial"/>
          <w:sz w:val="24"/>
        </w:rPr>
        <w:t>‘</w:t>
      </w:r>
      <w:r w:rsidR="001249E0" w:rsidRPr="001249E0">
        <w:rPr>
          <w:rFonts w:cs="Arial"/>
          <w:b/>
          <w:bCs/>
          <w:sz w:val="24"/>
        </w:rPr>
        <w:t>Redacted under FOIA Section 40, Personal Information</w:t>
      </w:r>
      <w:r w:rsidR="001249E0" w:rsidRPr="00342A5E">
        <w:rPr>
          <w:rFonts w:cs="Arial"/>
          <w:sz w:val="24"/>
        </w:rPr>
        <w:t xml:space="preserve"> </w:t>
      </w:r>
      <w:r w:rsidRPr="00342A5E">
        <w:rPr>
          <w:rFonts w:cs="Arial"/>
          <w:sz w:val="24"/>
        </w:rPr>
        <w:t>Technical document</w:t>
      </w:r>
    </w:p>
    <w:p w14:paraId="5E0F2CEA" w14:textId="3105DD80" w:rsidR="0072799A" w:rsidRPr="00342A5E" w:rsidRDefault="0072799A" w:rsidP="0072799A">
      <w:pPr>
        <w:pStyle w:val="ListParagraph"/>
        <w:numPr>
          <w:ilvl w:val="1"/>
          <w:numId w:val="3"/>
        </w:numPr>
        <w:rPr>
          <w:rFonts w:cs="Arial"/>
          <w:sz w:val="24"/>
        </w:rPr>
      </w:pPr>
      <w:r w:rsidRPr="00342A5E">
        <w:rPr>
          <w:rFonts w:cs="Arial"/>
          <w:sz w:val="24"/>
        </w:rPr>
        <w:t>‘</w:t>
      </w:r>
      <w:r w:rsidR="001249E0" w:rsidRPr="001249E0">
        <w:rPr>
          <w:rFonts w:cs="Arial"/>
          <w:b/>
          <w:bCs/>
          <w:sz w:val="24"/>
        </w:rPr>
        <w:t>Redacted under FOIA Section 40, Personal Information</w:t>
      </w:r>
      <w:r w:rsidR="001249E0" w:rsidRPr="00342A5E">
        <w:rPr>
          <w:rFonts w:cs="Arial"/>
          <w:sz w:val="24"/>
        </w:rPr>
        <w:t xml:space="preserve"> </w:t>
      </w:r>
      <w:r w:rsidRPr="00342A5E">
        <w:rPr>
          <w:rFonts w:cs="Arial"/>
          <w:sz w:val="24"/>
        </w:rPr>
        <w:t>Commercial options documents</w:t>
      </w:r>
    </w:p>
    <w:p w14:paraId="073B03EC" w14:textId="77777777" w:rsidR="0072799A" w:rsidRPr="00342A5E" w:rsidRDefault="0072799A" w:rsidP="0072799A">
      <w:pPr>
        <w:pStyle w:val="ListParagraph"/>
        <w:numPr>
          <w:ilvl w:val="1"/>
          <w:numId w:val="3"/>
        </w:numPr>
        <w:rPr>
          <w:rFonts w:cs="Arial"/>
          <w:sz w:val="24"/>
        </w:rPr>
      </w:pPr>
      <w:r w:rsidRPr="00342A5E">
        <w:rPr>
          <w:rFonts w:cs="Arial"/>
          <w:sz w:val="24"/>
        </w:rPr>
        <w:t>MPRG papers</w:t>
      </w:r>
    </w:p>
    <w:p w14:paraId="7E123252" w14:textId="77777777" w:rsidR="0072799A" w:rsidRPr="00342A5E" w:rsidRDefault="0072799A" w:rsidP="0072799A">
      <w:pPr>
        <w:pStyle w:val="ListParagraph"/>
        <w:numPr>
          <w:ilvl w:val="1"/>
          <w:numId w:val="3"/>
        </w:numPr>
        <w:rPr>
          <w:rFonts w:cs="Arial"/>
          <w:sz w:val="24"/>
        </w:rPr>
      </w:pPr>
      <w:r w:rsidRPr="00342A5E">
        <w:rPr>
          <w:rFonts w:cs="Arial"/>
          <w:sz w:val="24"/>
        </w:rPr>
        <w:t>Existing TLT lock-paper</w:t>
      </w:r>
    </w:p>
    <w:p w14:paraId="1B217FD5" w14:textId="77777777" w:rsidR="0072799A" w:rsidRPr="00342A5E" w:rsidRDefault="0072799A" w:rsidP="0072799A">
      <w:pPr>
        <w:pStyle w:val="ListParagraph"/>
        <w:numPr>
          <w:ilvl w:val="1"/>
          <w:numId w:val="3"/>
        </w:numPr>
        <w:rPr>
          <w:rFonts w:cs="Arial"/>
          <w:sz w:val="24"/>
        </w:rPr>
      </w:pPr>
      <w:r w:rsidRPr="00342A5E">
        <w:rPr>
          <w:rFonts w:cs="Arial"/>
          <w:sz w:val="24"/>
        </w:rPr>
        <w:t>Programme financial model.</w:t>
      </w:r>
    </w:p>
    <w:p w14:paraId="6F31D496" w14:textId="009FF2FA" w:rsidR="0072799A" w:rsidRPr="00342A5E" w:rsidRDefault="0072799A" w:rsidP="0072799A">
      <w:pPr>
        <w:pStyle w:val="ListParagraph"/>
        <w:numPr>
          <w:ilvl w:val="0"/>
          <w:numId w:val="12"/>
        </w:numPr>
        <w:rPr>
          <w:rFonts w:cs="Arial"/>
          <w:sz w:val="24"/>
        </w:rPr>
      </w:pPr>
      <w:r w:rsidRPr="00342A5E">
        <w:rPr>
          <w:rFonts w:cs="Arial"/>
          <w:sz w:val="24"/>
        </w:rPr>
        <w:t xml:space="preserve">Interview programme SMEs (e.g. </w:t>
      </w:r>
      <w:r w:rsidR="001249E0" w:rsidRPr="001249E0">
        <w:rPr>
          <w:rFonts w:cs="Arial"/>
          <w:b/>
          <w:bCs/>
          <w:sz w:val="24"/>
        </w:rPr>
        <w:t>Redacted under FOIA Section 40, Personal Information</w:t>
      </w:r>
      <w:r w:rsidRPr="00342A5E">
        <w:rPr>
          <w:rFonts w:cs="Arial"/>
          <w:sz w:val="24"/>
        </w:rPr>
        <w:t>) to collate up to date analysis of opportunity</w:t>
      </w:r>
    </w:p>
    <w:p w14:paraId="65B55FE6" w14:textId="77777777" w:rsidR="0072799A" w:rsidRPr="00342A5E" w:rsidRDefault="0072799A" w:rsidP="0072799A">
      <w:pPr>
        <w:pStyle w:val="ListParagraph"/>
        <w:numPr>
          <w:ilvl w:val="0"/>
          <w:numId w:val="12"/>
        </w:numPr>
        <w:rPr>
          <w:rFonts w:cs="Arial"/>
          <w:sz w:val="24"/>
        </w:rPr>
      </w:pPr>
      <w:r w:rsidRPr="00342A5E">
        <w:rPr>
          <w:rFonts w:cs="Arial"/>
          <w:sz w:val="24"/>
        </w:rPr>
        <w:t>High level analysis of the PBC financial model to extract contract costs to enable section 4 above.</w:t>
      </w:r>
    </w:p>
    <w:p w14:paraId="7A2CD97C" w14:textId="77777777" w:rsidR="0072799A" w:rsidRPr="00342A5E" w:rsidRDefault="0072799A" w:rsidP="0072799A">
      <w:pPr>
        <w:rPr>
          <w:rFonts w:ascii="Arial" w:eastAsia="SimSun" w:hAnsi="Arial" w:cs="Arial"/>
          <w:sz w:val="24"/>
          <w:szCs w:val="24"/>
          <w:lang w:bidi="ar-SA"/>
        </w:rPr>
      </w:pPr>
    </w:p>
    <w:p w14:paraId="25A06F92" w14:textId="77777777" w:rsidR="0072799A" w:rsidRPr="00342A5E" w:rsidRDefault="0072799A" w:rsidP="0072799A">
      <w:pPr>
        <w:rPr>
          <w:rFonts w:ascii="Arial" w:eastAsia="SimSun" w:hAnsi="Arial" w:cs="Arial"/>
          <w:sz w:val="24"/>
          <w:szCs w:val="24"/>
          <w:u w:val="single"/>
          <w:lang w:bidi="ar-SA"/>
        </w:rPr>
      </w:pPr>
      <w:r w:rsidRPr="00342A5E">
        <w:rPr>
          <w:rFonts w:ascii="Arial" w:eastAsia="SimSun" w:hAnsi="Arial" w:cs="Arial"/>
          <w:sz w:val="24"/>
          <w:szCs w:val="24"/>
          <w:u w:val="single"/>
          <w:lang w:bidi="ar-SA"/>
        </w:rPr>
        <w:t>Assumptions:</w:t>
      </w:r>
    </w:p>
    <w:p w14:paraId="16E501E4" w14:textId="77777777" w:rsidR="0072799A" w:rsidRPr="00342A5E" w:rsidRDefault="0072799A" w:rsidP="0072799A">
      <w:pPr>
        <w:pStyle w:val="ListParagraph"/>
        <w:numPr>
          <w:ilvl w:val="0"/>
          <w:numId w:val="8"/>
        </w:numPr>
        <w:rPr>
          <w:rFonts w:cs="Arial"/>
          <w:sz w:val="24"/>
        </w:rPr>
      </w:pPr>
      <w:r w:rsidRPr="00342A5E">
        <w:rPr>
          <w:rFonts w:cs="Arial"/>
          <w:sz w:val="24"/>
        </w:rPr>
        <w:t xml:space="preserve">Supplier may terminate the Call-Off Contract on written notice to the Buyer if the performance of any part of the Services would conflict with law, professional </w:t>
      </w:r>
      <w:proofErr w:type="gramStart"/>
      <w:r w:rsidRPr="00342A5E">
        <w:rPr>
          <w:rFonts w:cs="Arial"/>
          <w:sz w:val="24"/>
        </w:rPr>
        <w:t>rules</w:t>
      </w:r>
      <w:proofErr w:type="gramEnd"/>
      <w:r w:rsidRPr="00342A5E">
        <w:rPr>
          <w:rFonts w:cs="Arial"/>
          <w:sz w:val="24"/>
        </w:rPr>
        <w:t xml:space="preserve"> or Supplier’s independence. Supplier will provide as much notice to Buyer as is reasonably possible and will work with Buyer to seek to mitigate any impact on the Services.</w:t>
      </w:r>
    </w:p>
    <w:p w14:paraId="6A86571A" w14:textId="77777777" w:rsidR="0072799A" w:rsidRPr="00342A5E" w:rsidRDefault="0072799A" w:rsidP="0072799A">
      <w:pPr>
        <w:pStyle w:val="ListParagraph"/>
        <w:numPr>
          <w:ilvl w:val="0"/>
          <w:numId w:val="8"/>
        </w:numPr>
        <w:rPr>
          <w:rFonts w:cs="Arial"/>
          <w:sz w:val="24"/>
        </w:rPr>
      </w:pPr>
      <w:r w:rsidRPr="00342A5E">
        <w:rPr>
          <w:rFonts w:cs="Arial"/>
          <w:sz w:val="24"/>
        </w:rPr>
        <w:t>The Deliverables are for Buyer’s exclusive use and provided for the purposes described in this Call-Off Contract. No person other than Buyer may rely on the Deliverables and/or information derived from them. This does not affect the Buyer’s right to sub-licence any New IPR or Specially Written Software that may be supplied under the Call-Off Contract.</w:t>
      </w:r>
    </w:p>
    <w:p w14:paraId="58C7C62F" w14:textId="77777777" w:rsidR="00266EFF" w:rsidRPr="00821E10" w:rsidRDefault="00266EFF" w:rsidP="00266EFF">
      <w:pPr>
        <w:pStyle w:val="Heading2"/>
        <w:ind w:left="720"/>
      </w:pPr>
    </w:p>
    <w:p w14:paraId="030ADFF4" w14:textId="632FAAD6" w:rsidR="00266EFF" w:rsidRPr="00176C89" w:rsidRDefault="00487B63" w:rsidP="00C50659">
      <w:pPr>
        <w:pStyle w:val="Heading2"/>
        <w:rPr>
          <w:color w:val="auto"/>
          <w:u w:val="single"/>
        </w:rPr>
      </w:pPr>
      <w:bookmarkStart w:id="10" w:name="_Toc368573034"/>
      <w:bookmarkStart w:id="11" w:name="_Toc108185704"/>
      <w:bookmarkStart w:id="12" w:name="_Toc302637211"/>
      <w:r w:rsidRPr="00176C89">
        <w:rPr>
          <w:color w:val="auto"/>
          <w:u w:val="single"/>
        </w:rPr>
        <w:t>V</w:t>
      </w:r>
      <w:r w:rsidR="00266EFF" w:rsidRPr="00176C89">
        <w:rPr>
          <w:color w:val="auto"/>
          <w:u w:val="single"/>
        </w:rPr>
        <w:t>olumes</w:t>
      </w:r>
      <w:bookmarkEnd w:id="10"/>
      <w:bookmarkEnd w:id="11"/>
    </w:p>
    <w:p w14:paraId="421B8A46" w14:textId="77777777" w:rsidR="006A187B" w:rsidRPr="006A187B" w:rsidRDefault="006A187B" w:rsidP="006A187B">
      <w:pPr>
        <w:pStyle w:val="Standard"/>
      </w:pPr>
    </w:p>
    <w:p w14:paraId="533E562D" w14:textId="39C6194D" w:rsidR="00266EFF" w:rsidRPr="00C50659" w:rsidRDefault="00266EFF" w:rsidP="00487B63">
      <w:pPr>
        <w:pStyle w:val="Heading2"/>
        <w:keepNext w:val="0"/>
        <w:keepLines w:val="0"/>
        <w:numPr>
          <w:ilvl w:val="0"/>
          <w:numId w:val="5"/>
        </w:numPr>
        <w:suppressAutoHyphens w:val="0"/>
        <w:autoSpaceDN/>
        <w:adjustRightInd w:val="0"/>
        <w:spacing w:before="0" w:after="120"/>
        <w:jc w:val="both"/>
        <w:textAlignment w:val="auto"/>
        <w:rPr>
          <w:rFonts w:ascii="Arial" w:eastAsia="Times New Roman" w:hAnsi="Arial" w:cs="Times New Roman"/>
          <w:b w:val="0"/>
          <w:color w:val="auto"/>
          <w:sz w:val="24"/>
          <w:szCs w:val="24"/>
          <w:lang w:bidi="ar-SA"/>
        </w:rPr>
      </w:pPr>
      <w:r w:rsidRPr="00C50659">
        <w:rPr>
          <w:rFonts w:ascii="Arial" w:eastAsia="Times New Roman" w:hAnsi="Arial" w:cs="Times New Roman"/>
          <w:b w:val="0"/>
          <w:color w:val="auto"/>
          <w:sz w:val="24"/>
          <w:szCs w:val="24"/>
          <w:lang w:bidi="ar-SA"/>
        </w:rPr>
        <w:t xml:space="preserve">This will be a one- off contract to provide the services as listed in the requirements section for a period of 20 </w:t>
      </w:r>
      <w:r w:rsidR="00176C89">
        <w:rPr>
          <w:rFonts w:ascii="Arial" w:eastAsia="Times New Roman" w:hAnsi="Arial" w:cs="Times New Roman"/>
          <w:b w:val="0"/>
          <w:color w:val="auto"/>
          <w:sz w:val="24"/>
          <w:szCs w:val="24"/>
          <w:lang w:bidi="ar-SA"/>
        </w:rPr>
        <w:t xml:space="preserve">working </w:t>
      </w:r>
      <w:r w:rsidRPr="00C50659">
        <w:rPr>
          <w:rFonts w:ascii="Arial" w:eastAsia="Times New Roman" w:hAnsi="Arial" w:cs="Times New Roman"/>
          <w:b w:val="0"/>
          <w:color w:val="auto"/>
          <w:sz w:val="24"/>
          <w:szCs w:val="24"/>
          <w:lang w:bidi="ar-SA"/>
        </w:rPr>
        <w:t>days.</w:t>
      </w:r>
    </w:p>
    <w:p w14:paraId="21ED8BB8" w14:textId="77777777" w:rsidR="00176C89" w:rsidRDefault="00266EFF" w:rsidP="006446C3">
      <w:pPr>
        <w:pStyle w:val="Heading2"/>
        <w:keepNext w:val="0"/>
        <w:keepLines w:val="0"/>
        <w:numPr>
          <w:ilvl w:val="0"/>
          <w:numId w:val="5"/>
        </w:numPr>
        <w:suppressAutoHyphens w:val="0"/>
        <w:autoSpaceDN/>
        <w:adjustRightInd w:val="0"/>
        <w:spacing w:before="0" w:after="120"/>
        <w:jc w:val="both"/>
        <w:textAlignment w:val="auto"/>
        <w:rPr>
          <w:rFonts w:ascii="Arial" w:eastAsia="Times New Roman" w:hAnsi="Arial" w:cs="Times New Roman"/>
          <w:b w:val="0"/>
          <w:color w:val="auto"/>
          <w:sz w:val="24"/>
          <w:szCs w:val="24"/>
          <w:lang w:bidi="ar-SA"/>
        </w:rPr>
      </w:pPr>
      <w:r w:rsidRPr="00C50659">
        <w:rPr>
          <w:rFonts w:ascii="Arial" w:eastAsia="Times New Roman" w:hAnsi="Arial" w:cs="Times New Roman"/>
          <w:b w:val="0"/>
          <w:color w:val="auto"/>
          <w:sz w:val="24"/>
          <w:szCs w:val="24"/>
          <w:lang w:bidi="ar-SA"/>
        </w:rPr>
        <w:t>Provisions will be included in the award form to extend this requirement</w:t>
      </w:r>
      <w:r w:rsidR="00176C89">
        <w:rPr>
          <w:rFonts w:ascii="Arial" w:eastAsia="Times New Roman" w:hAnsi="Arial" w:cs="Times New Roman"/>
          <w:b w:val="0"/>
          <w:color w:val="auto"/>
          <w:sz w:val="24"/>
          <w:szCs w:val="24"/>
          <w:lang w:bidi="ar-SA"/>
        </w:rPr>
        <w:t>.</w:t>
      </w:r>
    </w:p>
    <w:p w14:paraId="197CE195" w14:textId="40F3F7C6" w:rsidR="00266EFF" w:rsidRPr="00C50659" w:rsidRDefault="00266EFF" w:rsidP="006446C3">
      <w:pPr>
        <w:pStyle w:val="Heading2"/>
        <w:keepNext w:val="0"/>
        <w:keepLines w:val="0"/>
        <w:numPr>
          <w:ilvl w:val="0"/>
          <w:numId w:val="5"/>
        </w:numPr>
        <w:suppressAutoHyphens w:val="0"/>
        <w:autoSpaceDN/>
        <w:adjustRightInd w:val="0"/>
        <w:spacing w:before="0" w:after="120"/>
        <w:jc w:val="both"/>
        <w:textAlignment w:val="auto"/>
        <w:rPr>
          <w:rFonts w:ascii="Arial" w:eastAsia="Times New Roman" w:hAnsi="Arial" w:cs="Times New Roman"/>
          <w:b w:val="0"/>
          <w:color w:val="auto"/>
          <w:sz w:val="24"/>
          <w:szCs w:val="24"/>
          <w:lang w:bidi="ar-SA"/>
        </w:rPr>
      </w:pPr>
      <w:r w:rsidRPr="00C50659">
        <w:rPr>
          <w:rFonts w:ascii="Arial" w:eastAsia="Times New Roman" w:hAnsi="Arial" w:cs="Times New Roman"/>
          <w:b w:val="0"/>
          <w:color w:val="auto"/>
          <w:sz w:val="24"/>
          <w:szCs w:val="24"/>
          <w:lang w:bidi="ar-SA"/>
        </w:rPr>
        <w:t xml:space="preserve">The pricing basis in this event </w:t>
      </w:r>
      <w:r w:rsidR="00176C89">
        <w:rPr>
          <w:rFonts w:ascii="Arial" w:eastAsia="Times New Roman" w:hAnsi="Arial" w:cs="Times New Roman"/>
          <w:b w:val="0"/>
          <w:color w:val="auto"/>
          <w:sz w:val="24"/>
          <w:szCs w:val="24"/>
          <w:lang w:bidi="ar-SA"/>
        </w:rPr>
        <w:t xml:space="preserve">is outlined in the </w:t>
      </w:r>
      <w:r w:rsidRPr="00C50659">
        <w:rPr>
          <w:rFonts w:ascii="Arial" w:eastAsia="Times New Roman" w:hAnsi="Arial" w:cs="Times New Roman"/>
          <w:b w:val="0"/>
          <w:color w:val="auto"/>
          <w:sz w:val="24"/>
          <w:szCs w:val="24"/>
          <w:lang w:bidi="ar-SA"/>
        </w:rPr>
        <w:t xml:space="preserve">contract pricing </w:t>
      </w:r>
      <w:r w:rsidR="00176C89">
        <w:rPr>
          <w:rFonts w:ascii="Arial" w:eastAsia="Times New Roman" w:hAnsi="Arial" w:cs="Times New Roman"/>
          <w:b w:val="0"/>
          <w:color w:val="auto"/>
          <w:sz w:val="24"/>
          <w:szCs w:val="24"/>
          <w:lang w:bidi="ar-SA"/>
        </w:rPr>
        <w:t>-</w:t>
      </w:r>
      <w:r w:rsidRPr="00C50659">
        <w:rPr>
          <w:rFonts w:ascii="Arial" w:eastAsia="Times New Roman" w:hAnsi="Arial" w:cs="Times New Roman"/>
          <w:b w:val="0"/>
          <w:color w:val="auto"/>
          <w:sz w:val="24"/>
          <w:szCs w:val="24"/>
          <w:lang w:bidi="ar-SA"/>
        </w:rPr>
        <w:t xml:space="preserve"> Schedule 5.</w:t>
      </w:r>
    </w:p>
    <w:p w14:paraId="66E6C474" w14:textId="77777777" w:rsidR="00266EFF" w:rsidRPr="0062267B" w:rsidRDefault="00266EFF" w:rsidP="00266EFF">
      <w:pPr>
        <w:pStyle w:val="Heading2"/>
        <w:spacing w:after="120"/>
        <w:ind w:left="709"/>
        <w:rPr>
          <w:sz w:val="24"/>
          <w:szCs w:val="24"/>
        </w:rPr>
      </w:pPr>
    </w:p>
    <w:p w14:paraId="3E0B803D" w14:textId="39E8EB5F" w:rsidR="00266EFF" w:rsidRDefault="00391D2D" w:rsidP="00487B63">
      <w:pPr>
        <w:pStyle w:val="Heading1"/>
      </w:pPr>
      <w:r>
        <w:t>Staff and Customer Service</w:t>
      </w:r>
    </w:p>
    <w:p w14:paraId="75C0EF39" w14:textId="77777777" w:rsidR="00CA0E17" w:rsidRPr="00CA0E17" w:rsidRDefault="00CA0E17" w:rsidP="00CA0E17">
      <w:pPr>
        <w:pStyle w:val="Standard"/>
      </w:pPr>
    </w:p>
    <w:p w14:paraId="5A4385CA" w14:textId="6E2AD723" w:rsidR="00266EFF" w:rsidRPr="006446C3" w:rsidRDefault="00266EFF" w:rsidP="006446C3">
      <w:pPr>
        <w:pStyle w:val="Heading2"/>
        <w:keepNext w:val="0"/>
        <w:keepLines w:val="0"/>
        <w:numPr>
          <w:ilvl w:val="0"/>
          <w:numId w:val="6"/>
        </w:numPr>
        <w:shd w:val="clear" w:color="auto" w:fill="FFFFFF" w:themeFill="background1"/>
        <w:tabs>
          <w:tab w:val="num" w:pos="1713"/>
        </w:tabs>
        <w:suppressAutoHyphens w:val="0"/>
        <w:autoSpaceDN/>
        <w:adjustRightInd w:val="0"/>
        <w:spacing w:before="0" w:after="120"/>
        <w:jc w:val="both"/>
        <w:textAlignment w:val="auto"/>
        <w:rPr>
          <w:rFonts w:ascii="Arial" w:eastAsia="Times New Roman" w:hAnsi="Arial" w:cs="Times New Roman"/>
          <w:b w:val="0"/>
          <w:color w:val="auto"/>
          <w:sz w:val="24"/>
          <w:szCs w:val="24"/>
          <w:lang w:bidi="ar-SA"/>
        </w:rPr>
      </w:pPr>
      <w:r w:rsidRPr="006446C3">
        <w:rPr>
          <w:rFonts w:ascii="Arial" w:eastAsia="Times New Roman" w:hAnsi="Arial" w:cs="Times New Roman"/>
          <w:b w:val="0"/>
          <w:color w:val="auto"/>
          <w:sz w:val="24"/>
          <w:szCs w:val="24"/>
          <w:lang w:bidi="ar-SA"/>
        </w:rPr>
        <w:t xml:space="preserve">The Supplier shall provide a sufficient level of resource throughout the </w:t>
      </w:r>
      <w:r w:rsidR="006446C3">
        <w:rPr>
          <w:rFonts w:ascii="Arial" w:eastAsia="Times New Roman" w:hAnsi="Arial" w:cs="Times New Roman"/>
          <w:b w:val="0"/>
          <w:color w:val="auto"/>
          <w:sz w:val="24"/>
          <w:szCs w:val="24"/>
          <w:lang w:bidi="ar-SA"/>
        </w:rPr>
        <w:t xml:space="preserve">duration </w:t>
      </w:r>
      <w:r w:rsidRPr="006446C3">
        <w:rPr>
          <w:rFonts w:ascii="Arial" w:eastAsia="Times New Roman" w:hAnsi="Arial" w:cs="Times New Roman"/>
          <w:b w:val="0"/>
          <w:color w:val="auto"/>
          <w:sz w:val="24"/>
          <w:szCs w:val="24"/>
          <w:lang w:bidi="ar-SA"/>
        </w:rPr>
        <w:t>of the Contract in order to consistently deliver a quality service.</w:t>
      </w:r>
    </w:p>
    <w:p w14:paraId="6B708A38" w14:textId="534FB09F" w:rsidR="00266EFF" w:rsidRPr="006446C3" w:rsidRDefault="00266EFF" w:rsidP="006446C3">
      <w:pPr>
        <w:pStyle w:val="Heading2"/>
        <w:keepNext w:val="0"/>
        <w:keepLines w:val="0"/>
        <w:numPr>
          <w:ilvl w:val="0"/>
          <w:numId w:val="6"/>
        </w:numPr>
        <w:shd w:val="clear" w:color="auto" w:fill="FFFFFF" w:themeFill="background1"/>
        <w:tabs>
          <w:tab w:val="num" w:pos="1713"/>
        </w:tabs>
        <w:suppressAutoHyphens w:val="0"/>
        <w:autoSpaceDN/>
        <w:adjustRightInd w:val="0"/>
        <w:spacing w:before="0" w:after="120"/>
        <w:jc w:val="both"/>
        <w:textAlignment w:val="auto"/>
        <w:rPr>
          <w:rFonts w:ascii="Arial" w:eastAsia="Times New Roman" w:hAnsi="Arial" w:cs="Times New Roman"/>
          <w:b w:val="0"/>
          <w:color w:val="auto"/>
          <w:sz w:val="24"/>
          <w:szCs w:val="24"/>
          <w:lang w:bidi="ar-SA"/>
        </w:rPr>
      </w:pPr>
      <w:r w:rsidRPr="006446C3">
        <w:rPr>
          <w:rFonts w:ascii="Arial" w:eastAsia="Times New Roman" w:hAnsi="Arial" w:cs="Times New Roman"/>
          <w:b w:val="0"/>
          <w:color w:val="auto"/>
          <w:sz w:val="24"/>
          <w:szCs w:val="24"/>
          <w:lang w:bidi="ar-SA"/>
        </w:rPr>
        <w:t xml:space="preserve">The Supplier’s staff assigned to the Contract shall have the relevant qualifications and experience to deliver the Contract to the required standard. </w:t>
      </w:r>
    </w:p>
    <w:p w14:paraId="57737F80" w14:textId="181002EF" w:rsidR="00266EFF" w:rsidRPr="006446C3" w:rsidRDefault="00266EFF" w:rsidP="006446C3">
      <w:pPr>
        <w:pStyle w:val="Heading2"/>
        <w:keepNext w:val="0"/>
        <w:keepLines w:val="0"/>
        <w:numPr>
          <w:ilvl w:val="0"/>
          <w:numId w:val="6"/>
        </w:numPr>
        <w:shd w:val="clear" w:color="auto" w:fill="FFFFFF" w:themeFill="background1"/>
        <w:tabs>
          <w:tab w:val="num" w:pos="1713"/>
        </w:tabs>
        <w:suppressAutoHyphens w:val="0"/>
        <w:autoSpaceDN/>
        <w:adjustRightInd w:val="0"/>
        <w:spacing w:before="0" w:after="120"/>
        <w:jc w:val="both"/>
        <w:textAlignment w:val="auto"/>
        <w:rPr>
          <w:rFonts w:ascii="Arial" w:eastAsia="Times New Roman" w:hAnsi="Arial" w:cs="Times New Roman"/>
          <w:b w:val="0"/>
          <w:color w:val="auto"/>
          <w:sz w:val="24"/>
          <w:szCs w:val="24"/>
          <w:lang w:bidi="ar-SA"/>
        </w:rPr>
      </w:pPr>
      <w:r w:rsidRPr="006446C3">
        <w:rPr>
          <w:rFonts w:ascii="Arial" w:eastAsia="Times New Roman" w:hAnsi="Arial" w:cs="Times New Roman"/>
          <w:b w:val="0"/>
          <w:color w:val="auto"/>
          <w:sz w:val="24"/>
          <w:szCs w:val="24"/>
          <w:lang w:bidi="ar-SA"/>
        </w:rPr>
        <w:t>SC Clearance will be required for this tasking.</w:t>
      </w:r>
      <w:r w:rsidR="007C773E" w:rsidRPr="006446C3">
        <w:rPr>
          <w:rFonts w:ascii="Arial" w:eastAsia="Times New Roman" w:hAnsi="Arial" w:cs="Times New Roman"/>
          <w:b w:val="0"/>
          <w:color w:val="auto"/>
          <w:sz w:val="24"/>
          <w:szCs w:val="24"/>
          <w:lang w:bidi="ar-SA"/>
        </w:rPr>
        <w:t xml:space="preserve"> </w:t>
      </w:r>
    </w:p>
    <w:p w14:paraId="04EF46C4" w14:textId="77777777" w:rsidR="00266EFF" w:rsidRPr="00191986" w:rsidRDefault="00266EFF" w:rsidP="00266EFF">
      <w:pPr>
        <w:pStyle w:val="Heading2"/>
        <w:shd w:val="clear" w:color="auto" w:fill="FFFFFF" w:themeFill="background1"/>
        <w:tabs>
          <w:tab w:val="num" w:pos="1713"/>
        </w:tabs>
        <w:spacing w:after="120"/>
        <w:ind w:left="709"/>
        <w:rPr>
          <w:sz w:val="24"/>
          <w:szCs w:val="24"/>
        </w:rPr>
      </w:pPr>
    </w:p>
    <w:p w14:paraId="6A7A8AF1" w14:textId="0F1EE566" w:rsidR="00266EFF" w:rsidRDefault="00391D2D" w:rsidP="006446C3">
      <w:pPr>
        <w:pStyle w:val="Heading1"/>
      </w:pPr>
      <w:bookmarkStart w:id="13" w:name="_Toc368573042"/>
      <w:r>
        <w:t>Payment and Invoicing</w:t>
      </w:r>
    </w:p>
    <w:p w14:paraId="1936F743" w14:textId="77777777" w:rsidR="00CA0E17" w:rsidRPr="00CA0E17" w:rsidRDefault="00CA0E17" w:rsidP="00CA0E17">
      <w:pPr>
        <w:pStyle w:val="Standard"/>
      </w:pPr>
    </w:p>
    <w:p w14:paraId="7A313329" w14:textId="3251358E" w:rsidR="00266EFF" w:rsidRPr="00CA0E17" w:rsidRDefault="00266EFF" w:rsidP="00CA0E17">
      <w:pPr>
        <w:pStyle w:val="Heading2"/>
        <w:keepNext w:val="0"/>
        <w:keepLines w:val="0"/>
        <w:numPr>
          <w:ilvl w:val="0"/>
          <w:numId w:val="7"/>
        </w:numPr>
        <w:shd w:val="clear" w:color="auto" w:fill="FFFFFF" w:themeFill="background1"/>
        <w:tabs>
          <w:tab w:val="num" w:pos="1713"/>
        </w:tabs>
        <w:suppressAutoHyphens w:val="0"/>
        <w:autoSpaceDN/>
        <w:adjustRightInd w:val="0"/>
        <w:spacing w:before="0" w:after="120"/>
        <w:jc w:val="both"/>
        <w:textAlignment w:val="auto"/>
        <w:rPr>
          <w:rFonts w:ascii="Arial" w:eastAsia="Times New Roman" w:hAnsi="Arial" w:cs="Times New Roman"/>
          <w:b w:val="0"/>
          <w:color w:val="auto"/>
          <w:sz w:val="24"/>
          <w:szCs w:val="24"/>
          <w:lang w:bidi="ar-SA"/>
        </w:rPr>
      </w:pPr>
      <w:r w:rsidRPr="00CA0E17">
        <w:rPr>
          <w:rFonts w:ascii="Arial" w:eastAsia="Times New Roman" w:hAnsi="Arial" w:cs="Times New Roman"/>
          <w:b w:val="0"/>
          <w:color w:val="auto"/>
          <w:sz w:val="24"/>
          <w:szCs w:val="24"/>
          <w:lang w:bidi="ar-SA"/>
        </w:rPr>
        <w:t xml:space="preserve">Before payment can be considered, each invoice must include a detailed elemental breakdown of work completed and the associated costs. </w:t>
      </w:r>
    </w:p>
    <w:p w14:paraId="4C84B683" w14:textId="4C61D38E" w:rsidR="00266EFF" w:rsidRPr="00CA0E17" w:rsidRDefault="00266EFF" w:rsidP="00CA0E17">
      <w:pPr>
        <w:pStyle w:val="Heading2"/>
        <w:keepNext w:val="0"/>
        <w:keepLines w:val="0"/>
        <w:numPr>
          <w:ilvl w:val="0"/>
          <w:numId w:val="7"/>
        </w:numPr>
        <w:shd w:val="clear" w:color="auto" w:fill="FFFFFF" w:themeFill="background1"/>
        <w:tabs>
          <w:tab w:val="num" w:pos="1713"/>
        </w:tabs>
        <w:suppressAutoHyphens w:val="0"/>
        <w:autoSpaceDN/>
        <w:adjustRightInd w:val="0"/>
        <w:spacing w:before="0" w:after="120"/>
        <w:jc w:val="both"/>
        <w:textAlignment w:val="auto"/>
        <w:rPr>
          <w:rFonts w:ascii="Arial" w:eastAsia="Times New Roman" w:hAnsi="Arial" w:cs="Times New Roman"/>
          <w:b w:val="0"/>
          <w:color w:val="auto"/>
          <w:sz w:val="24"/>
          <w:szCs w:val="24"/>
          <w:lang w:bidi="ar-SA"/>
        </w:rPr>
      </w:pPr>
      <w:r w:rsidRPr="00CA0E17">
        <w:rPr>
          <w:rFonts w:ascii="Arial" w:eastAsia="Times New Roman" w:hAnsi="Arial" w:cs="Times New Roman"/>
          <w:b w:val="0"/>
          <w:color w:val="auto"/>
          <w:sz w:val="24"/>
          <w:szCs w:val="24"/>
          <w:lang w:bidi="ar-SA"/>
        </w:rPr>
        <w:t xml:space="preserve">Invoices should be submitted to </w:t>
      </w:r>
      <w:r w:rsidR="001249E0" w:rsidRPr="001249E0">
        <w:rPr>
          <w:rFonts w:ascii="Arial" w:hAnsi="Arial" w:cs="Arial"/>
          <w:bCs/>
          <w:color w:val="auto"/>
          <w:sz w:val="24"/>
          <w:szCs w:val="24"/>
        </w:rPr>
        <w:t>Redacted under FOIA Section 40, Personal Information</w:t>
      </w:r>
      <w:r w:rsidRPr="001249E0">
        <w:rPr>
          <w:rFonts w:ascii="Arial" w:eastAsia="Times New Roman" w:hAnsi="Arial" w:cs="Arial"/>
          <w:b w:val="0"/>
          <w:color w:val="auto"/>
          <w:sz w:val="24"/>
          <w:szCs w:val="24"/>
          <w:lang w:bidi="ar-SA"/>
        </w:rPr>
        <w:t xml:space="preserve"> </w:t>
      </w:r>
    </w:p>
    <w:p w14:paraId="1A5A9AEE" w14:textId="18DEDDA8" w:rsidR="00266EFF" w:rsidRPr="00CA0E17" w:rsidRDefault="00266EFF" w:rsidP="00CA0E17">
      <w:pPr>
        <w:pStyle w:val="Heading2"/>
        <w:keepNext w:val="0"/>
        <w:keepLines w:val="0"/>
        <w:numPr>
          <w:ilvl w:val="0"/>
          <w:numId w:val="7"/>
        </w:numPr>
        <w:shd w:val="clear" w:color="auto" w:fill="FFFFFF" w:themeFill="background1"/>
        <w:tabs>
          <w:tab w:val="num" w:pos="1713"/>
        </w:tabs>
        <w:suppressAutoHyphens w:val="0"/>
        <w:autoSpaceDN/>
        <w:adjustRightInd w:val="0"/>
        <w:spacing w:before="0" w:after="120"/>
        <w:jc w:val="both"/>
        <w:textAlignment w:val="auto"/>
        <w:rPr>
          <w:rFonts w:ascii="Arial" w:eastAsia="Times New Roman" w:hAnsi="Arial" w:cs="Times New Roman"/>
          <w:b w:val="0"/>
          <w:color w:val="auto"/>
          <w:sz w:val="24"/>
          <w:szCs w:val="24"/>
          <w:lang w:bidi="ar-SA"/>
        </w:rPr>
      </w:pPr>
      <w:r w:rsidRPr="00CA0E17">
        <w:rPr>
          <w:rFonts w:ascii="Arial" w:eastAsia="Times New Roman" w:hAnsi="Arial" w:cs="Times New Roman"/>
          <w:b w:val="0"/>
          <w:color w:val="auto"/>
          <w:sz w:val="24"/>
          <w:szCs w:val="24"/>
          <w:lang w:bidi="ar-SA"/>
        </w:rPr>
        <w:t>All invoices must contain a valid PO number</w:t>
      </w:r>
    </w:p>
    <w:p w14:paraId="20F6600C" w14:textId="29C45180" w:rsidR="00266EFF" w:rsidRPr="00CA0E17" w:rsidRDefault="00266EFF" w:rsidP="00CA0E17">
      <w:pPr>
        <w:pStyle w:val="Heading2"/>
        <w:keepNext w:val="0"/>
        <w:keepLines w:val="0"/>
        <w:numPr>
          <w:ilvl w:val="0"/>
          <w:numId w:val="7"/>
        </w:numPr>
        <w:shd w:val="clear" w:color="auto" w:fill="FFFFFF" w:themeFill="background1"/>
        <w:tabs>
          <w:tab w:val="num" w:pos="1713"/>
        </w:tabs>
        <w:suppressAutoHyphens w:val="0"/>
        <w:autoSpaceDN/>
        <w:adjustRightInd w:val="0"/>
        <w:spacing w:before="0" w:after="120"/>
        <w:jc w:val="both"/>
        <w:textAlignment w:val="auto"/>
        <w:rPr>
          <w:rFonts w:ascii="Arial" w:eastAsia="Times New Roman" w:hAnsi="Arial" w:cs="Times New Roman"/>
          <w:b w:val="0"/>
          <w:color w:val="auto"/>
          <w:sz w:val="24"/>
          <w:szCs w:val="24"/>
          <w:lang w:bidi="ar-SA"/>
        </w:rPr>
      </w:pPr>
      <w:r w:rsidRPr="00CA0E17">
        <w:rPr>
          <w:rFonts w:ascii="Arial" w:eastAsia="Times New Roman" w:hAnsi="Arial" w:cs="Times New Roman"/>
          <w:b w:val="0"/>
          <w:color w:val="auto"/>
          <w:sz w:val="24"/>
          <w:szCs w:val="24"/>
          <w:lang w:bidi="ar-SA"/>
        </w:rPr>
        <w:t>Supplier must be VAT registered.</w:t>
      </w:r>
    </w:p>
    <w:bookmarkEnd w:id="12"/>
    <w:bookmarkEnd w:id="13"/>
    <w:p w14:paraId="26CF800E" w14:textId="77777777" w:rsidR="00266EFF" w:rsidRDefault="00266EFF" w:rsidP="00266EFF">
      <w:pPr>
        <w:tabs>
          <w:tab w:val="left" w:pos="1392"/>
        </w:tabs>
        <w:rPr>
          <w:rFonts w:eastAsia="STZhongsong"/>
          <w:b/>
          <w:bCs/>
          <w:szCs w:val="20"/>
        </w:rPr>
      </w:pPr>
    </w:p>
    <w:p w14:paraId="04FF9C14" w14:textId="77777777" w:rsidR="006512ED" w:rsidRDefault="006512ED">
      <w:pPr>
        <w:pStyle w:val="Standard"/>
        <w:widowControl/>
        <w:tabs>
          <w:tab w:val="left" w:pos="862"/>
        </w:tabs>
        <w:spacing w:before="240" w:after="120" w:line="240" w:lineRule="auto"/>
        <w:ind w:left="720" w:hanging="720"/>
        <w:jc w:val="both"/>
      </w:pPr>
    </w:p>
    <w:sectPr w:rsidR="006512ED">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B6795" w14:textId="77777777" w:rsidR="00603624" w:rsidRDefault="00603624">
      <w:r>
        <w:separator/>
      </w:r>
    </w:p>
  </w:endnote>
  <w:endnote w:type="continuationSeparator" w:id="0">
    <w:p w14:paraId="60FEFEE3" w14:textId="77777777" w:rsidR="00603624" w:rsidRDefault="0060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05C7" w14:textId="77777777" w:rsidR="00603624" w:rsidRDefault="00603624">
    <w:pPr>
      <w:pStyle w:val="Standard"/>
      <w:tabs>
        <w:tab w:val="center" w:pos="4513"/>
        <w:tab w:val="right" w:pos="9026"/>
      </w:tabs>
      <w:spacing w:after="0" w:line="240" w:lineRule="auto"/>
      <w:rPr>
        <w:rFonts w:ascii="Arial" w:eastAsia="Arial" w:hAnsi="Arial" w:cs="Arial"/>
        <w:sz w:val="20"/>
        <w:szCs w:val="20"/>
      </w:rPr>
    </w:pPr>
  </w:p>
  <w:p w14:paraId="282A94E3" w14:textId="77777777" w:rsidR="00603624" w:rsidRDefault="00603624">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r>
    <w:r>
      <w:rPr>
        <w:rFonts w:ascii="Arial" w:eastAsia="Arial" w:hAnsi="Arial" w:cs="Arial"/>
        <w:sz w:val="20"/>
        <w:szCs w:val="20"/>
      </w:rPr>
      <w:tab/>
      <w:t xml:space="preserve"> 1</w:t>
    </w:r>
  </w:p>
  <w:p w14:paraId="049E8A08" w14:textId="77777777" w:rsidR="00603624" w:rsidRDefault="00603624">
    <w:pPr>
      <w:pStyle w:val="Standard"/>
      <w:widowControl/>
      <w:tabs>
        <w:tab w:val="center" w:pos="4513"/>
        <w:tab w:val="right" w:pos="9026"/>
      </w:tabs>
      <w:spacing w:after="0" w:line="240" w:lineRule="auto"/>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6974" w14:textId="77777777" w:rsidR="00603624" w:rsidRDefault="00603624">
      <w:r>
        <w:rPr>
          <w:color w:val="000000"/>
        </w:rPr>
        <w:separator/>
      </w:r>
    </w:p>
  </w:footnote>
  <w:footnote w:type="continuationSeparator" w:id="0">
    <w:p w14:paraId="36135C6B" w14:textId="77777777" w:rsidR="00603624" w:rsidRDefault="0060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0701" w14:textId="77777777" w:rsidR="00603624" w:rsidRDefault="00603624">
    <w:pPr>
      <w:pStyle w:val="Standard"/>
      <w:widowControl/>
      <w:tabs>
        <w:tab w:val="center" w:pos="4513"/>
        <w:tab w:val="right" w:pos="9026"/>
      </w:tabs>
      <w:spacing w:after="0" w:line="240" w:lineRule="auto"/>
    </w:pPr>
    <w:r>
      <w:rPr>
        <w:rFonts w:ascii="Arial" w:eastAsia="Arial" w:hAnsi="Arial" w:cs="Arial"/>
        <w:color w:val="000000"/>
        <w:sz w:val="20"/>
        <w:szCs w:val="20"/>
      </w:rPr>
      <w:t>Call-Off Schedule 20 (Call-Off Specification)</w:t>
    </w:r>
  </w:p>
  <w:p w14:paraId="17459F70" w14:textId="624476D9" w:rsidR="00603624" w:rsidRDefault="00603624">
    <w:pPr>
      <w:pStyle w:val="Standard"/>
      <w:widowControl/>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266EFF">
      <w:rPr>
        <w:rFonts w:ascii="Arial" w:eastAsia="Arial" w:hAnsi="Arial" w:cs="Arial"/>
        <w:color w:val="000000"/>
        <w:sz w:val="20"/>
        <w:szCs w:val="20"/>
      </w:rPr>
      <w:t xml:space="preserve"> RM6187 Lot 2 Strategy &amp; Policy</w:t>
    </w:r>
  </w:p>
  <w:p w14:paraId="762EE4BA" w14:textId="4B7BF7BC" w:rsidR="00266EFF" w:rsidRDefault="00266EFF">
    <w:pPr>
      <w:pStyle w:val="Standard"/>
      <w:widowControl/>
      <w:tabs>
        <w:tab w:val="center" w:pos="4513"/>
        <w:tab w:val="right" w:pos="9026"/>
      </w:tabs>
      <w:spacing w:after="0" w:line="240" w:lineRule="auto"/>
    </w:pPr>
    <w:r>
      <w:rPr>
        <w:rFonts w:ascii="Arial" w:eastAsia="Arial" w:hAnsi="Arial" w:cs="Arial"/>
        <w:color w:val="000000"/>
        <w:sz w:val="20"/>
        <w:szCs w:val="20"/>
      </w:rPr>
      <w:t>Project 18237</w:t>
    </w:r>
  </w:p>
  <w:p w14:paraId="650238A4" w14:textId="77777777" w:rsidR="00603624" w:rsidRDefault="00603624">
    <w:pPr>
      <w:pStyle w:val="Standard"/>
      <w:widowControl/>
      <w:tabs>
        <w:tab w:val="center" w:pos="4513"/>
        <w:tab w:val="right" w:pos="9026"/>
      </w:tabs>
      <w:spacing w:after="0" w:line="240" w:lineRule="auto"/>
    </w:pPr>
    <w:r>
      <w:rPr>
        <w:rFonts w:ascii="Arial" w:eastAsia="Arial" w:hAnsi="Arial" w:cs="Arial"/>
        <w:color w:val="000000"/>
        <w:sz w:val="20"/>
        <w:szCs w:val="20"/>
      </w:rPr>
      <w:t>Crown Copyright 2018</w:t>
    </w:r>
  </w:p>
  <w:p w14:paraId="2143EB2F" w14:textId="77777777" w:rsidR="00603624" w:rsidRDefault="00603624">
    <w:pPr>
      <w:pStyle w:val="Standard"/>
      <w:widowControl/>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3BB"/>
    <w:multiLevelType w:val="hybridMultilevel"/>
    <w:tmpl w:val="F5265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90952"/>
    <w:multiLevelType w:val="hybridMultilevel"/>
    <w:tmpl w:val="34E48F60"/>
    <w:lvl w:ilvl="0" w:tplc="E7265D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604FD"/>
    <w:multiLevelType w:val="hybridMultilevel"/>
    <w:tmpl w:val="E6CA51DA"/>
    <w:lvl w:ilvl="0" w:tplc="F8A45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E643C"/>
    <w:multiLevelType w:val="hybridMultilevel"/>
    <w:tmpl w:val="FD26276E"/>
    <w:lvl w:ilvl="0" w:tplc="07A22EE0">
      <w:start w:val="1"/>
      <w:numFmt w:val="decimal"/>
      <w:lvlText w:val="%1-"/>
      <w:lvlJc w:val="left"/>
      <w:pPr>
        <w:ind w:left="720" w:hanging="360"/>
      </w:pPr>
      <w:rPr>
        <w:rFonts w:ascii="Calibri" w:eastAsia="Times New Roman" w:hAnsi="Calibri"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C952465"/>
    <w:multiLevelType w:val="hybridMultilevel"/>
    <w:tmpl w:val="55CAA39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7811F1"/>
    <w:multiLevelType w:val="hybridMultilevel"/>
    <w:tmpl w:val="C068D0B2"/>
    <w:lvl w:ilvl="0" w:tplc="0C161D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B3D9B"/>
    <w:multiLevelType w:val="hybridMultilevel"/>
    <w:tmpl w:val="97A41D46"/>
    <w:lvl w:ilvl="0" w:tplc="3DA2F5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5B4D01"/>
    <w:multiLevelType w:val="hybridMultilevel"/>
    <w:tmpl w:val="34806720"/>
    <w:lvl w:ilvl="0" w:tplc="56E6335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8E"/>
    <w:multiLevelType w:val="hybridMultilevel"/>
    <w:tmpl w:val="7E8C25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A0A448C"/>
    <w:multiLevelType w:val="hybridMultilevel"/>
    <w:tmpl w:val="9C1205A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08A3ADB"/>
    <w:multiLevelType w:val="hybridMultilevel"/>
    <w:tmpl w:val="7E8C253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8BC1D24"/>
    <w:multiLevelType w:val="hybridMultilevel"/>
    <w:tmpl w:val="700C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1A2434"/>
    <w:multiLevelType w:val="hybridMultilevel"/>
    <w:tmpl w:val="55CAA3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313025">
    <w:abstractNumId w:val="0"/>
  </w:num>
  <w:num w:numId="2" w16cid:durableId="937912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535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760174">
    <w:abstractNumId w:val="5"/>
  </w:num>
  <w:num w:numId="5" w16cid:durableId="937057172">
    <w:abstractNumId w:val="1"/>
  </w:num>
  <w:num w:numId="6" w16cid:durableId="1813064005">
    <w:abstractNumId w:val="2"/>
  </w:num>
  <w:num w:numId="7" w16cid:durableId="1568493296">
    <w:abstractNumId w:val="6"/>
  </w:num>
  <w:num w:numId="8" w16cid:durableId="976567509">
    <w:abstractNumId w:val="11"/>
  </w:num>
  <w:num w:numId="9" w16cid:durableId="1504467686">
    <w:abstractNumId w:val="12"/>
  </w:num>
  <w:num w:numId="10" w16cid:durableId="903301536">
    <w:abstractNumId w:val="8"/>
  </w:num>
  <w:num w:numId="11" w16cid:durableId="360320761">
    <w:abstractNumId w:val="10"/>
  </w:num>
  <w:num w:numId="12" w16cid:durableId="1974406932">
    <w:abstractNumId w:val="4"/>
  </w:num>
  <w:num w:numId="13" w16cid:durableId="20979402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ED"/>
    <w:rsid w:val="0002441B"/>
    <w:rsid w:val="001249E0"/>
    <w:rsid w:val="00176C89"/>
    <w:rsid w:val="00192D69"/>
    <w:rsid w:val="00266EFF"/>
    <w:rsid w:val="00342A5E"/>
    <w:rsid w:val="00391D2D"/>
    <w:rsid w:val="003D129D"/>
    <w:rsid w:val="00487B63"/>
    <w:rsid w:val="004D4627"/>
    <w:rsid w:val="00603624"/>
    <w:rsid w:val="006446C3"/>
    <w:rsid w:val="006512ED"/>
    <w:rsid w:val="006A187B"/>
    <w:rsid w:val="0072799A"/>
    <w:rsid w:val="007C773E"/>
    <w:rsid w:val="009D2457"/>
    <w:rsid w:val="00C50659"/>
    <w:rsid w:val="00CA0E17"/>
    <w:rsid w:val="00E11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9ED3"/>
  <w15:docId w15:val="{73F652B1-4837-4690-A58F-B784390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paragraph" w:styleId="TOC1">
    <w:name w:val="toc 1"/>
    <w:uiPriority w:val="39"/>
    <w:rsid w:val="00266EFF"/>
    <w:pPr>
      <w:widowControl/>
      <w:tabs>
        <w:tab w:val="left" w:pos="720"/>
        <w:tab w:val="right" w:leader="dot" w:pos="9029"/>
      </w:tabs>
      <w:suppressAutoHyphens w:val="0"/>
      <w:autoSpaceDN/>
      <w:adjustRightInd w:val="0"/>
      <w:spacing w:after="120"/>
      <w:ind w:left="720" w:hanging="720"/>
      <w:textAlignment w:val="auto"/>
    </w:pPr>
    <w:rPr>
      <w:rFonts w:ascii="Arial" w:eastAsia="STZhongsong" w:hAnsi="Arial" w:cs="Times New Roman"/>
      <w:caps/>
      <w:szCs w:val="20"/>
      <w:lang w:bidi="ar-SA"/>
    </w:rPr>
  </w:style>
  <w:style w:type="paragraph" w:customStyle="1" w:styleId="bodystrongcentred">
    <w:name w:val="body strong centred"/>
    <w:basedOn w:val="Normal"/>
    <w:rsid w:val="00266EFF"/>
    <w:pPr>
      <w:suppressAutoHyphens w:val="0"/>
      <w:autoSpaceDN/>
      <w:jc w:val="center"/>
      <w:textAlignment w:val="auto"/>
    </w:pPr>
    <w:rPr>
      <w:rFonts w:ascii="Arial" w:eastAsia="SimSun" w:hAnsi="Arial" w:cs="Times New Roman"/>
      <w:b/>
      <w:lang w:eastAsia="en-GB" w:bidi="ar-SA"/>
    </w:rPr>
  </w:style>
  <w:style w:type="table" w:styleId="TableGrid">
    <w:name w:val="Table Grid"/>
    <w:basedOn w:val="TableNormal"/>
    <w:uiPriority w:val="39"/>
    <w:rsid w:val="00266EFF"/>
    <w:pPr>
      <w:widowControl/>
      <w:suppressAutoHyphens w:val="0"/>
      <w:overflowPunct w:val="0"/>
      <w:autoSpaceDE w:val="0"/>
      <w:adjustRightInd w:val="0"/>
      <w:jc w:val="both"/>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66EFF"/>
    <w:rPr>
      <w:color w:val="0000FF"/>
      <w:u w:val="single"/>
    </w:rPr>
  </w:style>
  <w:style w:type="paragraph" w:styleId="ListParagraph">
    <w:name w:val="List Paragraph"/>
    <w:basedOn w:val="Normal"/>
    <w:uiPriority w:val="34"/>
    <w:qFormat/>
    <w:rsid w:val="00266EFF"/>
    <w:pPr>
      <w:suppressAutoHyphens w:val="0"/>
      <w:autoSpaceDN/>
      <w:ind w:left="720"/>
      <w:textAlignment w:val="auto"/>
    </w:pPr>
    <w:rPr>
      <w:rFonts w:ascii="Arial" w:eastAsia="SimSun" w:hAnsi="Arial" w:cs="Times New Roman"/>
      <w:szCs w:val="24"/>
      <w:lang w:bidi="ar-SA"/>
    </w:rPr>
  </w:style>
  <w:style w:type="paragraph" w:styleId="TOCHeading">
    <w:name w:val="TOC Heading"/>
    <w:basedOn w:val="Heading1"/>
    <w:next w:val="Normal"/>
    <w:uiPriority w:val="39"/>
    <w:unhideWhenUsed/>
    <w:qFormat/>
    <w:rsid w:val="00266EFF"/>
    <w:pPr>
      <w:suppressAutoHyphens w:val="0"/>
      <w:autoSpaceDN/>
      <w:spacing w:before="240" w:line="259" w:lineRule="auto"/>
      <w:textAlignment w:val="auto"/>
      <w:outlineLvl w:val="9"/>
    </w:pPr>
    <w:rPr>
      <w:rFonts w:asciiTheme="majorHAnsi" w:eastAsiaTheme="majorEastAsia" w:hAnsiTheme="majorHAnsi" w:cstheme="majorBidi"/>
      <w:b w:val="0"/>
      <w:color w:val="2F5496" w:themeColor="accent1" w:themeShade="BF"/>
      <w:sz w:val="32"/>
      <w:szCs w:val="32"/>
      <w:lang w:val="en-US" w:eastAsia="en-US" w:bidi="ar-SA"/>
    </w:rPr>
  </w:style>
  <w:style w:type="paragraph" w:styleId="TOC2">
    <w:name w:val="toc 2"/>
    <w:basedOn w:val="Normal"/>
    <w:next w:val="Normal"/>
    <w:autoRedefine/>
    <w:uiPriority w:val="39"/>
    <w:unhideWhenUsed/>
    <w:rsid w:val="00266EFF"/>
    <w:pPr>
      <w:spacing w:after="100"/>
      <w:ind w:left="220"/>
    </w:pPr>
    <w:rPr>
      <w:rFonts w:cs="Mangal"/>
      <w:szCs w:val="20"/>
    </w:rPr>
  </w:style>
  <w:style w:type="table" w:styleId="ListTable3">
    <w:name w:val="List Table 3"/>
    <w:basedOn w:val="TableNormal"/>
    <w:uiPriority w:val="48"/>
    <w:rsid w:val="00C506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192D69"/>
    <w:pPr>
      <w:widowControl/>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gov.uk%2Fcma-cases%2Fmobile-radio-network-services%23final-report&amp;data=05%7C02%7CLaurence.Gregory2%40homeoffice.gov.uk%7C0c7f5418754e4abfe61c08dce87ba068%7Cf24d93ecb2914192a08af182245945c2%7C0%7C0%7C638640864866835663%7CUnknown%7CTWFpbGZsb3d8eyJWIjoiMC4wLjAwMDAiLCJQIjoiV2luMzIiLCJBTiI6Ik1haWwiLCJXVCI6Mn0%3D%7C0%7C%7C%7C&amp;sdata=J134L2BLnfnaTadvTMyS8F5etGiEXfmaxSxgwylFE5w%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br01.safelinks.protection.outlook.com/?url=https%3A%2F%2Fwww.gov.uk%2Fcma-cases%2Fmobile-radio-network-services%23the-mobile-radio-network-services-market-investigation-order-2023&amp;data=05%7C02%7CLaurence.Gregory2%40homeoffice.gov.uk%7C0c7f5418754e4abfe61c08dce87ba068%7Cf24d93ecb2914192a08af182245945c2%7C0%7C0%7C638640864866857056%7CUnknown%7CTWFpbGZsb3d8eyJWIjoiMC4wLjAwMDAiLCJQIjoiV2luMzIiLCJBTiI6Ik1haWwiLCJXVCI6Mn0%3D%7C0%7C%7C%7C&amp;sdata=tFq74aBvmaa9JsyqXy6q3LCbrzLzHn00RiwXxsJ3oE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A48A8-E8BA-4FB5-845E-24A8185E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Gregory</dc:creator>
  <cp:lastModifiedBy>Laurence Gregory</cp:lastModifiedBy>
  <cp:revision>2</cp:revision>
  <dcterms:created xsi:type="dcterms:W3CDTF">2025-01-07T10:10:00Z</dcterms:created>
  <dcterms:modified xsi:type="dcterms:W3CDTF">2025-01-07T10:10:00Z</dcterms:modified>
</cp:coreProperties>
</file>