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F0" w:rsidRDefault="00E31AD5" w:rsidP="000052F0">
      <w:pPr>
        <w:jc w:val="center"/>
        <w:rPr>
          <w:rFonts w:ascii="Calibri" w:hAnsi="Calibri"/>
          <w:b/>
          <w:color w:val="0070C0"/>
          <w:sz w:val="36"/>
        </w:rPr>
      </w:pPr>
      <w:bookmarkStart w:id="0" w:name="_GoBack"/>
      <w:bookmarkEnd w:id="0"/>
      <w:r>
        <w:rPr>
          <w:rFonts w:ascii="Calibri" w:hAnsi="Calibri"/>
          <w:b/>
          <w:color w:val="0070C0"/>
          <w:sz w:val="36"/>
        </w:rPr>
        <w:t xml:space="preserve">  </w:t>
      </w:r>
      <w:r w:rsidR="00F56CBE">
        <w:rPr>
          <w:rFonts w:ascii="Calibri" w:hAnsi="Calibri"/>
          <w:b/>
          <w:color w:val="0070C0"/>
          <w:sz w:val="36"/>
        </w:rPr>
        <w:t xml:space="preserve">SERVICE SPECIFICATION FOR </w:t>
      </w:r>
      <w:r w:rsidR="00F324D7">
        <w:rPr>
          <w:rFonts w:ascii="Calibri" w:hAnsi="Calibri"/>
          <w:b/>
          <w:color w:val="0070C0"/>
          <w:sz w:val="36"/>
        </w:rPr>
        <w:t xml:space="preserve">THE PROVISION OF </w:t>
      </w:r>
      <w:r w:rsidR="009146DB">
        <w:rPr>
          <w:rFonts w:ascii="Calibri" w:hAnsi="Calibri"/>
          <w:b/>
          <w:color w:val="0070C0"/>
          <w:sz w:val="36"/>
        </w:rPr>
        <w:t>HEALTH</w:t>
      </w:r>
      <w:r w:rsidR="00C82E13">
        <w:rPr>
          <w:rFonts w:ascii="Calibri" w:hAnsi="Calibri"/>
          <w:b/>
          <w:color w:val="0070C0"/>
          <w:sz w:val="36"/>
        </w:rPr>
        <w:t xml:space="preserve"> </w:t>
      </w:r>
    </w:p>
    <w:p w:rsidR="00B906F9" w:rsidRDefault="009146DB" w:rsidP="000052F0">
      <w:pPr>
        <w:jc w:val="center"/>
        <w:rPr>
          <w:rFonts w:ascii="Calibri" w:hAnsi="Calibri"/>
          <w:b/>
          <w:color w:val="0070C0"/>
          <w:sz w:val="36"/>
        </w:rPr>
      </w:pPr>
      <w:r>
        <w:rPr>
          <w:rFonts w:ascii="Calibri" w:hAnsi="Calibri"/>
          <w:b/>
          <w:color w:val="0070C0"/>
          <w:sz w:val="36"/>
        </w:rPr>
        <w:t>E</w:t>
      </w:r>
      <w:r w:rsidR="00B906F9">
        <w:rPr>
          <w:rFonts w:ascii="Calibri" w:hAnsi="Calibri"/>
          <w:b/>
          <w:color w:val="0070C0"/>
          <w:sz w:val="36"/>
        </w:rPr>
        <w:t>conomics</w:t>
      </w:r>
      <w:r>
        <w:rPr>
          <w:rFonts w:ascii="Calibri" w:hAnsi="Calibri"/>
          <w:b/>
          <w:color w:val="0070C0"/>
          <w:sz w:val="36"/>
        </w:rPr>
        <w:t xml:space="preserve"> training for the wider public sector</w:t>
      </w:r>
    </w:p>
    <w:p w:rsidR="004F4535" w:rsidRPr="001C148E" w:rsidRDefault="004F4535" w:rsidP="000052F0">
      <w:pPr>
        <w:jc w:val="center"/>
        <w:rPr>
          <w:rFonts w:ascii="Calibri" w:hAnsi="Calibri"/>
          <w:b/>
          <w:color w:val="0070C0"/>
          <w:sz w:val="36"/>
        </w:rPr>
      </w:pPr>
    </w:p>
    <w:p w:rsidR="000052F0" w:rsidRDefault="00F56CBE" w:rsidP="000052F0">
      <w:pPr>
        <w:jc w:val="center"/>
        <w:rPr>
          <w:rFonts w:ascii="Calibri" w:hAnsi="Calibri"/>
          <w:b/>
          <w:color w:val="0070C0"/>
          <w:sz w:val="36"/>
        </w:rPr>
      </w:pPr>
      <w:r>
        <w:rPr>
          <w:rFonts w:ascii="Calibri" w:hAnsi="Calibri"/>
          <w:b/>
          <w:color w:val="0070C0"/>
          <w:sz w:val="36"/>
        </w:rPr>
        <w:t>COMMERCIAL IN CONFIDENCE</w:t>
      </w:r>
    </w:p>
    <w:p w:rsidR="000052F0" w:rsidRDefault="000052F0" w:rsidP="000052F0">
      <w:pPr>
        <w:jc w:val="center"/>
        <w:rPr>
          <w:rFonts w:ascii="Calibri" w:hAnsi="Calibri"/>
          <w:b/>
          <w:color w:val="0070C0"/>
          <w:sz w:val="36"/>
        </w:rPr>
      </w:pPr>
    </w:p>
    <w:p w:rsidR="000052F0" w:rsidRDefault="000052F0" w:rsidP="00C82E13">
      <w:pPr>
        <w:jc w:val="center"/>
        <w:rPr>
          <w:rFonts w:ascii="Calibri" w:hAnsi="Calibri"/>
          <w:b/>
          <w:color w:val="0070C0"/>
          <w:sz w:val="36"/>
        </w:rPr>
      </w:pPr>
      <w:r>
        <w:rPr>
          <w:rFonts w:ascii="Calibri" w:hAnsi="Calibri"/>
          <w:b/>
          <w:color w:val="0070C0"/>
          <w:sz w:val="36"/>
        </w:rPr>
        <w:t>D</w:t>
      </w:r>
      <w:r w:rsidR="00696E78">
        <w:rPr>
          <w:rFonts w:ascii="Calibri" w:hAnsi="Calibri"/>
          <w:b/>
          <w:color w:val="0070C0"/>
          <w:sz w:val="36"/>
        </w:rPr>
        <w:t>ate</w:t>
      </w:r>
      <w:r>
        <w:rPr>
          <w:rFonts w:ascii="Calibri" w:hAnsi="Calibri"/>
          <w:b/>
          <w:color w:val="0070C0"/>
          <w:sz w:val="36"/>
        </w:rPr>
        <w:t>:</w:t>
      </w:r>
      <w:r w:rsidR="00F56CBE">
        <w:rPr>
          <w:rFonts w:ascii="Calibri" w:hAnsi="Calibri"/>
          <w:b/>
          <w:color w:val="0070C0"/>
          <w:sz w:val="36"/>
        </w:rPr>
        <w:t xml:space="preserve"> </w:t>
      </w:r>
      <w:r w:rsidR="00E61E5E">
        <w:rPr>
          <w:rFonts w:ascii="Calibri" w:hAnsi="Calibri"/>
          <w:b/>
          <w:color w:val="0070C0"/>
          <w:sz w:val="36"/>
        </w:rPr>
        <w:t>2</w:t>
      </w:r>
      <w:r w:rsidR="001E60A1">
        <w:rPr>
          <w:rFonts w:ascii="Calibri" w:hAnsi="Calibri"/>
          <w:b/>
          <w:color w:val="0070C0"/>
          <w:sz w:val="36"/>
        </w:rPr>
        <w:t>4</w:t>
      </w:r>
      <w:r w:rsidR="001E60A1" w:rsidRPr="001E60A1">
        <w:rPr>
          <w:rFonts w:ascii="Calibri" w:hAnsi="Calibri"/>
          <w:b/>
          <w:color w:val="0070C0"/>
          <w:sz w:val="36"/>
          <w:vertAlign w:val="superscript"/>
        </w:rPr>
        <w:t>th</w:t>
      </w:r>
      <w:r w:rsidR="001E60A1">
        <w:rPr>
          <w:rFonts w:ascii="Calibri" w:hAnsi="Calibri"/>
          <w:b/>
          <w:color w:val="0070C0"/>
          <w:sz w:val="36"/>
        </w:rPr>
        <w:t xml:space="preserve"> </w:t>
      </w:r>
      <w:r w:rsidR="00EF06F4">
        <w:rPr>
          <w:rFonts w:ascii="Calibri" w:hAnsi="Calibri"/>
          <w:b/>
          <w:color w:val="0070C0"/>
          <w:sz w:val="36"/>
        </w:rPr>
        <w:t>July</w:t>
      </w:r>
      <w:r w:rsidR="00904073">
        <w:rPr>
          <w:rFonts w:ascii="Calibri" w:hAnsi="Calibri"/>
          <w:b/>
          <w:color w:val="0070C0"/>
          <w:sz w:val="36"/>
        </w:rPr>
        <w:t xml:space="preserve"> 201</w:t>
      </w:r>
      <w:r w:rsidR="009146DB">
        <w:rPr>
          <w:rFonts w:ascii="Calibri" w:hAnsi="Calibri"/>
          <w:b/>
          <w:color w:val="0070C0"/>
          <w:sz w:val="36"/>
        </w:rPr>
        <w:t>7</w:t>
      </w:r>
    </w:p>
    <w:p w:rsidR="008B364B" w:rsidRPr="00DC74D8" w:rsidRDefault="008B364B" w:rsidP="000052F0">
      <w:pPr>
        <w:jc w:val="center"/>
        <w:rPr>
          <w:rFonts w:ascii="Calibri" w:hAnsi="Calibri"/>
          <w:b/>
          <w:color w:val="0070C0"/>
        </w:rPr>
      </w:pPr>
    </w:p>
    <w:p w:rsidR="00DA11BC" w:rsidRDefault="00DA11BC" w:rsidP="00DA11BC">
      <w:pPr>
        <w:rPr>
          <w:rFonts w:ascii="Calibri" w:hAnsi="Calibri"/>
          <w:b/>
        </w:rPr>
      </w:pPr>
    </w:p>
    <w:p w:rsidR="00A164C7" w:rsidRDefault="004F4535" w:rsidP="004F4535">
      <w:pPr>
        <w:spacing w:after="200" w:line="276" w:lineRule="auto"/>
        <w:rPr>
          <w:rFonts w:ascii="Calibri" w:hAnsi="Calibri"/>
        </w:rPr>
      </w:pPr>
      <w:r>
        <w:rPr>
          <w:rFonts w:ascii="Calibri" w:hAnsi="Calibri"/>
        </w:rPr>
        <w:br w:type="page"/>
      </w:r>
    </w:p>
    <w:tbl>
      <w:tblPr>
        <w:tblStyle w:val="Style1"/>
        <w:tblW w:w="9498" w:type="dxa"/>
        <w:tblInd w:w="-121" w:type="dxa"/>
        <w:tblLook w:val="04A0" w:firstRow="1" w:lastRow="0" w:firstColumn="1" w:lastColumn="0" w:noHBand="0" w:noVBand="1"/>
      </w:tblPr>
      <w:tblGrid>
        <w:gridCol w:w="1702"/>
        <w:gridCol w:w="7796"/>
      </w:tblGrid>
      <w:tr w:rsidR="008B364B" w:rsidRPr="00346BA0" w:rsidTr="00612F23">
        <w:trPr>
          <w:cnfStyle w:val="100000000000" w:firstRow="1" w:lastRow="0" w:firstColumn="0" w:lastColumn="0" w:oddVBand="0" w:evenVBand="0" w:oddHBand="0" w:evenHBand="0" w:firstRowFirstColumn="0" w:firstRowLastColumn="0" w:lastRowFirstColumn="0" w:lastRowLastColumn="0"/>
        </w:trPr>
        <w:tc>
          <w:tcPr>
            <w:tcW w:w="1642" w:type="dxa"/>
          </w:tcPr>
          <w:p w:rsidR="008B364B" w:rsidRDefault="008B364B" w:rsidP="008B364B">
            <w:pPr>
              <w:rPr>
                <w:rFonts w:ascii="Calibri" w:hAnsi="Calibri"/>
                <w:b/>
                <w:color w:val="0070C0"/>
              </w:rPr>
            </w:pPr>
            <w:r>
              <w:rPr>
                <w:rFonts w:ascii="Calibri" w:hAnsi="Calibri"/>
                <w:b/>
                <w:color w:val="0070C0"/>
              </w:rPr>
              <w:lastRenderedPageBreak/>
              <w:t>Definitions</w:t>
            </w:r>
            <w:r w:rsidR="006429AD">
              <w:rPr>
                <w:rFonts w:ascii="Calibri" w:hAnsi="Calibri"/>
                <w:b/>
                <w:color w:val="0070C0"/>
              </w:rPr>
              <w:t>/</w:t>
            </w:r>
          </w:p>
          <w:p w:rsidR="006429AD" w:rsidRPr="00346BA0" w:rsidRDefault="006429AD" w:rsidP="008B364B">
            <w:pPr>
              <w:rPr>
                <w:rFonts w:ascii="Calibri" w:hAnsi="Calibri"/>
                <w:b/>
                <w:color w:val="0070C0"/>
              </w:rPr>
            </w:pPr>
            <w:r>
              <w:rPr>
                <w:rFonts w:ascii="Calibri" w:hAnsi="Calibri"/>
                <w:b/>
                <w:color w:val="0070C0"/>
              </w:rPr>
              <w:t>Abbreviations</w:t>
            </w:r>
          </w:p>
        </w:tc>
        <w:tc>
          <w:tcPr>
            <w:tcW w:w="7736" w:type="dxa"/>
          </w:tcPr>
          <w:p w:rsidR="00F324D7" w:rsidRPr="005E070E" w:rsidRDefault="00F324D7" w:rsidP="00F324D7">
            <w:pPr>
              <w:pStyle w:val="ListParagraph"/>
              <w:numPr>
                <w:ilvl w:val="0"/>
                <w:numId w:val="1"/>
              </w:numPr>
              <w:rPr>
                <w:rFonts w:asciiTheme="minorHAnsi" w:hAnsiTheme="minorHAnsi"/>
                <w:color w:val="808080" w:themeColor="background1" w:themeShade="80"/>
              </w:rPr>
            </w:pPr>
            <w:r w:rsidRPr="005E070E">
              <w:rPr>
                <w:rFonts w:asciiTheme="minorHAnsi" w:hAnsiTheme="minorHAnsi"/>
                <w:color w:val="808080" w:themeColor="background1" w:themeShade="80"/>
              </w:rPr>
              <w:t>PHE: Public Health England</w:t>
            </w:r>
          </w:p>
          <w:p w:rsidR="008B364B" w:rsidRPr="005E070E" w:rsidRDefault="008B364B" w:rsidP="00AE067A">
            <w:pPr>
              <w:pStyle w:val="ListParagraph"/>
              <w:numPr>
                <w:ilvl w:val="0"/>
                <w:numId w:val="1"/>
              </w:numPr>
              <w:rPr>
                <w:rFonts w:asciiTheme="minorHAnsi" w:hAnsiTheme="minorHAnsi"/>
                <w:color w:val="808080" w:themeColor="background1" w:themeShade="80"/>
              </w:rPr>
            </w:pPr>
            <w:r w:rsidRPr="005E070E">
              <w:rPr>
                <w:rFonts w:asciiTheme="minorHAnsi" w:hAnsiTheme="minorHAnsi"/>
                <w:color w:val="808080" w:themeColor="background1" w:themeShade="80"/>
              </w:rPr>
              <w:t>Provider</w:t>
            </w:r>
            <w:r w:rsidR="004251B8" w:rsidRPr="005E070E">
              <w:rPr>
                <w:rFonts w:asciiTheme="minorHAnsi" w:hAnsiTheme="minorHAnsi"/>
                <w:color w:val="808080" w:themeColor="background1" w:themeShade="80"/>
              </w:rPr>
              <w:t xml:space="preserve">: </w:t>
            </w:r>
            <w:r w:rsidRPr="005E070E">
              <w:rPr>
                <w:rFonts w:asciiTheme="minorHAnsi" w:hAnsiTheme="minorHAnsi"/>
                <w:color w:val="808080" w:themeColor="background1" w:themeShade="80"/>
              </w:rPr>
              <w:t>the org</w:t>
            </w:r>
            <w:r w:rsidR="003313BD" w:rsidRPr="005E070E">
              <w:rPr>
                <w:rFonts w:asciiTheme="minorHAnsi" w:hAnsiTheme="minorHAnsi"/>
                <w:color w:val="808080" w:themeColor="background1" w:themeShade="80"/>
              </w:rPr>
              <w:t xml:space="preserve">anisation who will deliver the </w:t>
            </w:r>
            <w:r w:rsidR="00750D5C">
              <w:rPr>
                <w:rFonts w:asciiTheme="minorHAnsi" w:hAnsiTheme="minorHAnsi"/>
                <w:color w:val="808080" w:themeColor="background1" w:themeShade="80"/>
              </w:rPr>
              <w:t xml:space="preserve"> training</w:t>
            </w:r>
          </w:p>
          <w:p w:rsidR="008B364B" w:rsidRPr="005E070E" w:rsidRDefault="003313BD" w:rsidP="00AE067A">
            <w:pPr>
              <w:pStyle w:val="ListParagraph"/>
              <w:numPr>
                <w:ilvl w:val="0"/>
                <w:numId w:val="1"/>
              </w:numPr>
              <w:rPr>
                <w:rFonts w:asciiTheme="minorHAnsi" w:hAnsiTheme="minorHAnsi"/>
                <w:color w:val="808080" w:themeColor="background1" w:themeShade="80"/>
              </w:rPr>
            </w:pPr>
            <w:r w:rsidRPr="005E070E">
              <w:rPr>
                <w:rFonts w:asciiTheme="minorHAnsi" w:hAnsiTheme="minorHAnsi"/>
                <w:color w:val="808080" w:themeColor="background1" w:themeShade="80"/>
              </w:rPr>
              <w:t>Service</w:t>
            </w:r>
            <w:r w:rsidR="004251B8" w:rsidRPr="005E070E">
              <w:rPr>
                <w:rFonts w:asciiTheme="minorHAnsi" w:hAnsiTheme="minorHAnsi"/>
                <w:color w:val="808080" w:themeColor="background1" w:themeShade="80"/>
              </w:rPr>
              <w:t xml:space="preserve">: </w:t>
            </w:r>
            <w:r w:rsidR="00904073">
              <w:rPr>
                <w:rFonts w:asciiTheme="minorHAnsi" w:hAnsiTheme="minorHAnsi"/>
                <w:color w:val="808080" w:themeColor="background1" w:themeShade="80"/>
              </w:rPr>
              <w:t xml:space="preserve">as </w:t>
            </w:r>
            <w:r w:rsidR="00C72B84" w:rsidRPr="005E070E">
              <w:rPr>
                <w:rFonts w:asciiTheme="minorHAnsi" w:hAnsiTheme="minorHAnsi"/>
                <w:color w:val="808080" w:themeColor="background1" w:themeShade="80"/>
              </w:rPr>
              <w:t>described</w:t>
            </w:r>
            <w:r w:rsidR="00750872" w:rsidRPr="005E070E">
              <w:rPr>
                <w:rFonts w:asciiTheme="minorHAnsi" w:hAnsiTheme="minorHAnsi"/>
                <w:color w:val="808080" w:themeColor="background1" w:themeShade="80"/>
              </w:rPr>
              <w:t xml:space="preserve"> </w:t>
            </w:r>
            <w:r w:rsidR="008B364B" w:rsidRPr="005E070E">
              <w:rPr>
                <w:rFonts w:asciiTheme="minorHAnsi" w:hAnsiTheme="minorHAnsi"/>
                <w:color w:val="808080" w:themeColor="background1" w:themeShade="80"/>
              </w:rPr>
              <w:t>in this specification</w:t>
            </w:r>
          </w:p>
          <w:p w:rsidR="00C72B84" w:rsidRDefault="00C82E13" w:rsidP="00F324D7">
            <w:pPr>
              <w:pStyle w:val="ListParagraph"/>
              <w:numPr>
                <w:ilvl w:val="0"/>
                <w:numId w:val="1"/>
              </w:numPr>
              <w:rPr>
                <w:rFonts w:asciiTheme="minorHAnsi" w:hAnsiTheme="minorHAnsi"/>
                <w:color w:val="808080" w:themeColor="background1" w:themeShade="80"/>
              </w:rPr>
            </w:pPr>
            <w:r>
              <w:rPr>
                <w:rFonts w:asciiTheme="minorHAnsi" w:hAnsiTheme="minorHAnsi"/>
                <w:color w:val="808080" w:themeColor="background1" w:themeShade="80"/>
              </w:rPr>
              <w:t xml:space="preserve">Training: the instructions provided as per </w:t>
            </w:r>
            <w:r w:rsidR="005B2216">
              <w:rPr>
                <w:rFonts w:asciiTheme="minorHAnsi" w:hAnsiTheme="minorHAnsi"/>
                <w:color w:val="808080" w:themeColor="background1" w:themeShade="80"/>
              </w:rPr>
              <w:t>specification</w:t>
            </w:r>
          </w:p>
          <w:p w:rsidR="005B2216" w:rsidRDefault="005B2216" w:rsidP="00F324D7">
            <w:pPr>
              <w:pStyle w:val="ListParagraph"/>
              <w:numPr>
                <w:ilvl w:val="0"/>
                <w:numId w:val="1"/>
              </w:numPr>
              <w:rPr>
                <w:rFonts w:asciiTheme="minorHAnsi" w:hAnsiTheme="minorHAnsi"/>
                <w:color w:val="808080" w:themeColor="background1" w:themeShade="80"/>
              </w:rPr>
            </w:pPr>
            <w:r>
              <w:rPr>
                <w:rFonts w:asciiTheme="minorHAnsi" w:hAnsiTheme="minorHAnsi"/>
                <w:color w:val="808080" w:themeColor="background1" w:themeShade="80"/>
              </w:rPr>
              <w:t>LAs: Local Authorities</w:t>
            </w:r>
          </w:p>
          <w:p w:rsidR="005B2216" w:rsidRPr="00F324D7" w:rsidRDefault="005B2216" w:rsidP="00F324D7">
            <w:pPr>
              <w:pStyle w:val="ListParagraph"/>
              <w:numPr>
                <w:ilvl w:val="0"/>
                <w:numId w:val="1"/>
              </w:numPr>
              <w:rPr>
                <w:rFonts w:asciiTheme="minorHAnsi" w:hAnsiTheme="minorHAnsi"/>
                <w:color w:val="808080" w:themeColor="background1" w:themeShade="80"/>
              </w:rPr>
            </w:pPr>
            <w:r>
              <w:rPr>
                <w:rFonts w:asciiTheme="minorHAnsi" w:hAnsiTheme="minorHAnsi"/>
                <w:color w:val="808080" w:themeColor="background1" w:themeShade="80"/>
              </w:rPr>
              <w:t>ROI: Return on Investment</w:t>
            </w:r>
          </w:p>
        </w:tc>
      </w:tr>
    </w:tbl>
    <w:p w:rsidR="004A7DA3" w:rsidRDefault="004A7DA3"/>
    <w:tbl>
      <w:tblPr>
        <w:tblStyle w:val="Style1"/>
        <w:tblW w:w="5000" w:type="pct"/>
        <w:tblLook w:val="04A0" w:firstRow="1" w:lastRow="0" w:firstColumn="1" w:lastColumn="0" w:noHBand="0" w:noVBand="1"/>
      </w:tblPr>
      <w:tblGrid>
        <w:gridCol w:w="800"/>
        <w:gridCol w:w="8552"/>
      </w:tblGrid>
      <w:tr w:rsidR="00612F23" w:rsidRPr="00346BA0" w:rsidTr="0072462A">
        <w:trPr>
          <w:cnfStyle w:val="100000000000" w:firstRow="1" w:lastRow="0" w:firstColumn="0" w:lastColumn="0" w:oddVBand="0" w:evenVBand="0" w:oddHBand="0" w:evenHBand="0" w:firstRowFirstColumn="0" w:firstRowLastColumn="0" w:lastRowFirstColumn="0" w:lastRowLastColumn="0"/>
        </w:trPr>
        <w:tc>
          <w:tcPr>
            <w:tcW w:w="396" w:type="pct"/>
          </w:tcPr>
          <w:p w:rsidR="00346BA0" w:rsidRPr="00346BA0" w:rsidRDefault="00346BA0" w:rsidP="00346BA0">
            <w:pPr>
              <w:rPr>
                <w:rFonts w:ascii="Calibri" w:hAnsi="Calibri"/>
                <w:b/>
                <w:color w:val="0070C0"/>
              </w:rPr>
            </w:pPr>
            <w:r>
              <w:rPr>
                <w:rFonts w:ascii="Calibri" w:hAnsi="Calibri"/>
                <w:b/>
                <w:color w:val="0070C0"/>
              </w:rPr>
              <w:t>1.</w:t>
            </w:r>
          </w:p>
        </w:tc>
        <w:tc>
          <w:tcPr>
            <w:tcW w:w="4540" w:type="pct"/>
          </w:tcPr>
          <w:p w:rsidR="00346BA0" w:rsidRDefault="00904073" w:rsidP="00346BA0">
            <w:pPr>
              <w:rPr>
                <w:rFonts w:ascii="Calibri" w:hAnsi="Calibri"/>
                <w:b/>
                <w:color w:val="0070C0"/>
              </w:rPr>
            </w:pPr>
            <w:r>
              <w:rPr>
                <w:rFonts w:ascii="Calibri" w:hAnsi="Calibri"/>
                <w:b/>
                <w:color w:val="0070C0"/>
              </w:rPr>
              <w:t>Background</w:t>
            </w:r>
          </w:p>
          <w:p w:rsidR="00A144F8" w:rsidRPr="00346BA0" w:rsidRDefault="00A144F8" w:rsidP="00346BA0">
            <w:pPr>
              <w:rPr>
                <w:rFonts w:ascii="Calibri" w:hAnsi="Calibri"/>
                <w:b/>
                <w:color w:val="0070C0"/>
              </w:rPr>
            </w:pPr>
          </w:p>
        </w:tc>
      </w:tr>
      <w:tr w:rsidR="00612F23" w:rsidRPr="00346BA0" w:rsidTr="0072462A">
        <w:tc>
          <w:tcPr>
            <w:tcW w:w="396" w:type="pct"/>
          </w:tcPr>
          <w:p w:rsidR="00346BA0" w:rsidRPr="00346BA0" w:rsidRDefault="00A54932" w:rsidP="00346BA0">
            <w:pPr>
              <w:rPr>
                <w:rFonts w:ascii="Calibri" w:hAnsi="Calibri"/>
                <w:b/>
                <w:color w:val="0070C0"/>
              </w:rPr>
            </w:pPr>
            <w:r>
              <w:rPr>
                <w:rFonts w:ascii="Calibri" w:hAnsi="Calibri"/>
                <w:b/>
                <w:color w:val="0070C0"/>
              </w:rPr>
              <w:t>1.1</w:t>
            </w:r>
          </w:p>
        </w:tc>
        <w:tc>
          <w:tcPr>
            <w:tcW w:w="4540" w:type="pct"/>
          </w:tcPr>
          <w:p w:rsidR="00346BA0" w:rsidRDefault="00A54932" w:rsidP="00346BA0">
            <w:pPr>
              <w:rPr>
                <w:rFonts w:ascii="Calibri" w:hAnsi="Calibri"/>
                <w:b/>
                <w:color w:val="0070C0"/>
              </w:rPr>
            </w:pPr>
            <w:r>
              <w:rPr>
                <w:rFonts w:ascii="Calibri" w:hAnsi="Calibri"/>
                <w:b/>
                <w:color w:val="0070C0"/>
              </w:rPr>
              <w:t>National context and evidence base</w:t>
            </w:r>
          </w:p>
          <w:p w:rsidR="00F324D7" w:rsidRPr="00C82E13" w:rsidRDefault="00F324D7" w:rsidP="00F324D7">
            <w:pPr>
              <w:spacing w:before="100" w:beforeAutospacing="1" w:after="100" w:afterAutospacing="1"/>
              <w:rPr>
                <w:rFonts w:asciiTheme="minorHAnsi" w:hAnsiTheme="minorHAnsi" w:cs="Arial"/>
                <w:color w:val="595959" w:themeColor="text1" w:themeTint="A6"/>
                <w:sz w:val="22"/>
                <w:szCs w:val="22"/>
                <w:lang w:eastAsia="en-GB"/>
              </w:rPr>
            </w:pPr>
            <w:r w:rsidRPr="00C82E13">
              <w:rPr>
                <w:rFonts w:asciiTheme="minorHAnsi" w:hAnsiTheme="minorHAnsi" w:cs="Arial"/>
                <w:color w:val="595959" w:themeColor="text1" w:themeTint="A6"/>
                <w:sz w:val="22"/>
                <w:szCs w:val="22"/>
                <w:lang w:eastAsia="en-GB"/>
              </w:rPr>
              <w:t>Public Health England (PHE) is responsible for:</w:t>
            </w:r>
          </w:p>
          <w:p w:rsidR="00F324D7" w:rsidRPr="00C82E13" w:rsidRDefault="00D666B9" w:rsidP="00F324D7">
            <w:pPr>
              <w:numPr>
                <w:ilvl w:val="0"/>
                <w:numId w:val="14"/>
              </w:numPr>
              <w:spacing w:before="100" w:beforeAutospacing="1" w:after="100" w:afterAutospacing="1"/>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Fulfilling</w:t>
            </w:r>
            <w:r w:rsidR="009146DB">
              <w:rPr>
                <w:rFonts w:asciiTheme="minorHAnsi" w:hAnsiTheme="minorHAnsi" w:cs="Arial"/>
                <w:color w:val="595959" w:themeColor="text1" w:themeTint="A6"/>
                <w:sz w:val="22"/>
                <w:szCs w:val="22"/>
                <w:lang w:eastAsia="en-GB"/>
              </w:rPr>
              <w:t xml:space="preserve"> the Secretary of State’s duty to protect the public’s health from infectious disease and other public health hazards, working with the NHS, local government and other partners in England, and also working with the Devolved Administrations and globally where appropriate.</w:t>
            </w:r>
            <w:r w:rsidR="00F324D7" w:rsidRPr="00C82E13">
              <w:rPr>
                <w:rFonts w:asciiTheme="minorHAnsi" w:hAnsiTheme="minorHAnsi" w:cs="Arial"/>
                <w:color w:val="595959" w:themeColor="text1" w:themeTint="A6"/>
                <w:sz w:val="22"/>
                <w:szCs w:val="22"/>
                <w:lang w:eastAsia="en-GB"/>
              </w:rPr>
              <w:t xml:space="preserve"> </w:t>
            </w:r>
          </w:p>
          <w:p w:rsidR="00F324D7" w:rsidRPr="00C82E13" w:rsidRDefault="00D666B9" w:rsidP="00F324D7">
            <w:pPr>
              <w:numPr>
                <w:ilvl w:val="0"/>
                <w:numId w:val="14"/>
              </w:numPr>
              <w:spacing w:before="100" w:beforeAutospacing="1" w:after="100" w:afterAutospacing="1"/>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S</w:t>
            </w:r>
            <w:r w:rsidR="008C4CC8">
              <w:rPr>
                <w:rFonts w:asciiTheme="minorHAnsi" w:hAnsiTheme="minorHAnsi" w:cs="Arial"/>
                <w:color w:val="595959" w:themeColor="text1" w:themeTint="A6"/>
                <w:sz w:val="22"/>
                <w:szCs w:val="22"/>
                <w:lang w:eastAsia="en-GB"/>
              </w:rPr>
              <w:t>ecur</w:t>
            </w:r>
            <w:r>
              <w:rPr>
                <w:rFonts w:asciiTheme="minorHAnsi" w:hAnsiTheme="minorHAnsi" w:cs="Arial"/>
                <w:color w:val="595959" w:themeColor="text1" w:themeTint="A6"/>
                <w:sz w:val="22"/>
                <w:szCs w:val="22"/>
                <w:lang w:eastAsia="en-GB"/>
              </w:rPr>
              <w:t>ing</w:t>
            </w:r>
            <w:r w:rsidR="008C4CC8">
              <w:rPr>
                <w:rFonts w:asciiTheme="minorHAnsi" w:hAnsiTheme="minorHAnsi" w:cs="Arial"/>
                <w:color w:val="595959" w:themeColor="text1" w:themeTint="A6"/>
                <w:sz w:val="22"/>
                <w:szCs w:val="22"/>
                <w:lang w:eastAsia="en-GB"/>
              </w:rPr>
              <w:t xml:space="preserve"> improvements to the public’s health, including supporting the system to reduce health inequalities and to deliver From Evidence into Action and the Five Year Forward View commitments for a radical upgrade in prevention.</w:t>
            </w:r>
            <w:r w:rsidR="00F324D7" w:rsidRPr="00C82E13">
              <w:rPr>
                <w:rFonts w:asciiTheme="minorHAnsi" w:hAnsiTheme="minorHAnsi" w:cs="Arial"/>
                <w:color w:val="595959" w:themeColor="text1" w:themeTint="A6"/>
                <w:sz w:val="22"/>
                <w:szCs w:val="22"/>
                <w:lang w:eastAsia="en-GB"/>
              </w:rPr>
              <w:t xml:space="preserve"> </w:t>
            </w:r>
          </w:p>
          <w:p w:rsidR="00F324D7" w:rsidRPr="00C82E13" w:rsidRDefault="00D666B9" w:rsidP="00F324D7">
            <w:pPr>
              <w:numPr>
                <w:ilvl w:val="0"/>
                <w:numId w:val="14"/>
              </w:numPr>
              <w:spacing w:before="100" w:beforeAutospacing="1" w:after="100" w:afterAutospacing="1"/>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I</w:t>
            </w:r>
            <w:r w:rsidR="008C4CC8">
              <w:rPr>
                <w:rFonts w:asciiTheme="minorHAnsi" w:hAnsiTheme="minorHAnsi" w:cs="Arial"/>
                <w:color w:val="595959" w:themeColor="text1" w:themeTint="A6"/>
                <w:sz w:val="22"/>
                <w:szCs w:val="22"/>
                <w:lang w:eastAsia="en-GB"/>
              </w:rPr>
              <w:t>mprov</w:t>
            </w:r>
            <w:r>
              <w:rPr>
                <w:rFonts w:asciiTheme="minorHAnsi" w:hAnsiTheme="minorHAnsi" w:cs="Arial"/>
                <w:color w:val="595959" w:themeColor="text1" w:themeTint="A6"/>
                <w:sz w:val="22"/>
                <w:szCs w:val="22"/>
                <w:lang w:eastAsia="en-GB"/>
              </w:rPr>
              <w:t>ing</w:t>
            </w:r>
            <w:r w:rsidR="008C4CC8">
              <w:rPr>
                <w:rFonts w:asciiTheme="minorHAnsi" w:hAnsiTheme="minorHAnsi" w:cs="Arial"/>
                <w:color w:val="595959" w:themeColor="text1" w:themeTint="A6"/>
                <w:sz w:val="22"/>
                <w:szCs w:val="22"/>
                <w:lang w:eastAsia="en-GB"/>
              </w:rPr>
              <w:t xml:space="preserve"> population health by supporting sustainable health and care services.</w:t>
            </w:r>
            <w:r w:rsidR="00F324D7" w:rsidRPr="00C82E13">
              <w:rPr>
                <w:rFonts w:asciiTheme="minorHAnsi" w:hAnsiTheme="minorHAnsi" w:cs="Arial"/>
                <w:color w:val="595959" w:themeColor="text1" w:themeTint="A6"/>
                <w:sz w:val="22"/>
                <w:szCs w:val="22"/>
                <w:lang w:eastAsia="en-GB"/>
              </w:rPr>
              <w:t xml:space="preserve"> </w:t>
            </w:r>
          </w:p>
          <w:p w:rsidR="008C4CC8" w:rsidRPr="008C4CC8" w:rsidRDefault="00D666B9" w:rsidP="008C4CC8">
            <w:pPr>
              <w:numPr>
                <w:ilvl w:val="0"/>
                <w:numId w:val="14"/>
              </w:numPr>
              <w:spacing w:before="100" w:beforeAutospacing="1" w:after="100" w:afterAutospacing="1"/>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E</w:t>
            </w:r>
            <w:r w:rsidR="008C4CC8">
              <w:rPr>
                <w:rFonts w:asciiTheme="minorHAnsi" w:hAnsiTheme="minorHAnsi" w:cs="Arial"/>
                <w:color w:val="595959" w:themeColor="text1" w:themeTint="A6"/>
                <w:sz w:val="22"/>
                <w:szCs w:val="22"/>
                <w:lang w:eastAsia="en-GB"/>
              </w:rPr>
              <w:t>nsur</w:t>
            </w:r>
            <w:r>
              <w:rPr>
                <w:rFonts w:asciiTheme="minorHAnsi" w:hAnsiTheme="minorHAnsi" w:cs="Arial"/>
                <w:color w:val="595959" w:themeColor="text1" w:themeTint="A6"/>
                <w:sz w:val="22"/>
                <w:szCs w:val="22"/>
                <w:lang w:eastAsia="en-GB"/>
              </w:rPr>
              <w:t>ing</w:t>
            </w:r>
            <w:r w:rsidR="008C4CC8">
              <w:rPr>
                <w:rFonts w:asciiTheme="minorHAnsi" w:hAnsiTheme="minorHAnsi" w:cs="Arial"/>
                <w:color w:val="595959" w:themeColor="text1" w:themeTint="A6"/>
                <w:sz w:val="22"/>
                <w:szCs w:val="22"/>
                <w:lang w:eastAsia="en-GB"/>
              </w:rPr>
              <w:t xml:space="preserve"> the public health system maintains the capability and capacity to tackle today’s public health challenges and is prepared for the emerging challenges of the future, both nationally and internationally. </w:t>
            </w:r>
          </w:p>
          <w:p w:rsidR="00F324D7" w:rsidRPr="00F324D7" w:rsidRDefault="00F324D7" w:rsidP="00F324D7">
            <w:pPr>
              <w:spacing w:line="240" w:lineRule="exact"/>
              <w:jc w:val="both"/>
              <w:rPr>
                <w:rFonts w:asciiTheme="minorHAnsi" w:hAnsiTheme="minorHAnsi" w:cs="Arial"/>
                <w:color w:val="595959" w:themeColor="text1" w:themeTint="A6"/>
                <w:sz w:val="22"/>
                <w:szCs w:val="22"/>
                <w:lang w:eastAsia="en-GB"/>
              </w:rPr>
            </w:pPr>
            <w:r w:rsidRPr="00C82E13">
              <w:rPr>
                <w:rFonts w:asciiTheme="minorHAnsi" w:hAnsiTheme="minorHAnsi" w:cs="Arial"/>
                <w:color w:val="595959" w:themeColor="text1" w:themeTint="A6"/>
                <w:sz w:val="22"/>
                <w:szCs w:val="22"/>
                <w:lang w:eastAsia="en-GB"/>
              </w:rPr>
              <w:t xml:space="preserve">The primary focus of </w:t>
            </w:r>
            <w:r w:rsidR="00D666B9">
              <w:rPr>
                <w:rFonts w:asciiTheme="minorHAnsi" w:hAnsiTheme="minorHAnsi" w:cs="Arial"/>
                <w:color w:val="595959" w:themeColor="text1" w:themeTint="A6"/>
                <w:sz w:val="22"/>
                <w:szCs w:val="22"/>
                <w:lang w:eastAsia="en-GB"/>
              </w:rPr>
              <w:t xml:space="preserve">PHE’s </w:t>
            </w:r>
            <w:r w:rsidRPr="00C82E13">
              <w:rPr>
                <w:rFonts w:asciiTheme="minorHAnsi" w:hAnsiTheme="minorHAnsi" w:cs="Arial"/>
                <w:color w:val="595959" w:themeColor="text1" w:themeTint="A6"/>
                <w:sz w:val="22"/>
                <w:szCs w:val="22"/>
                <w:lang w:eastAsia="en-GB"/>
              </w:rPr>
              <w:t xml:space="preserve">health economics programme is to make the case for investing in prevention and early intervention.  This </w:t>
            </w:r>
            <w:r w:rsidR="00B906F9">
              <w:rPr>
                <w:rFonts w:asciiTheme="minorHAnsi" w:hAnsiTheme="minorHAnsi" w:cs="Arial"/>
                <w:color w:val="595959" w:themeColor="text1" w:themeTint="A6"/>
                <w:sz w:val="22"/>
                <w:szCs w:val="22"/>
                <w:lang w:eastAsia="en-GB"/>
              </w:rPr>
              <w:t>includes</w:t>
            </w:r>
            <w:r w:rsidRPr="00C82E13">
              <w:rPr>
                <w:rFonts w:asciiTheme="minorHAnsi" w:hAnsiTheme="minorHAnsi" w:cs="Arial"/>
                <w:color w:val="595959" w:themeColor="text1" w:themeTint="A6"/>
                <w:sz w:val="22"/>
                <w:szCs w:val="22"/>
                <w:lang w:eastAsia="en-GB"/>
              </w:rPr>
              <w:t xml:space="preserve"> identifying the most cost-effective interventions, and/or those that produce the greatest potential return on investment (ROI).  Given the financial climate, local government and the NHS also wish to identify opportunities for cash-releasing activities.</w:t>
            </w:r>
          </w:p>
          <w:p w:rsidR="00F324D7" w:rsidRDefault="00F324D7" w:rsidP="001821B6">
            <w:pPr>
              <w:spacing w:line="240" w:lineRule="exact"/>
              <w:jc w:val="both"/>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 xml:space="preserve"> </w:t>
            </w:r>
          </w:p>
          <w:p w:rsidR="007A4724" w:rsidRPr="007A4724" w:rsidRDefault="007A4724" w:rsidP="007A4724">
            <w:pPr>
              <w:jc w:val="both"/>
              <w:rPr>
                <w:rFonts w:asciiTheme="minorHAnsi" w:hAnsiTheme="minorHAnsi" w:cs="Arial"/>
                <w:color w:val="595959" w:themeColor="text1" w:themeTint="A6"/>
                <w:sz w:val="22"/>
                <w:szCs w:val="22"/>
                <w:lang w:eastAsia="en-GB"/>
              </w:rPr>
            </w:pPr>
            <w:r w:rsidRPr="007A4724">
              <w:rPr>
                <w:rFonts w:asciiTheme="minorHAnsi" w:hAnsiTheme="minorHAnsi" w:cs="Arial"/>
                <w:color w:val="595959" w:themeColor="text1" w:themeTint="A6"/>
                <w:sz w:val="22"/>
                <w:szCs w:val="22"/>
                <w:lang w:eastAsia="en-GB"/>
              </w:rPr>
              <w:t xml:space="preserve">There is enormous scope for health economics input to influence and shape the policy and </w:t>
            </w:r>
            <w:r w:rsidR="00E776EE">
              <w:rPr>
                <w:rFonts w:asciiTheme="minorHAnsi" w:hAnsiTheme="minorHAnsi" w:cs="Arial"/>
                <w:color w:val="595959" w:themeColor="text1" w:themeTint="A6"/>
                <w:sz w:val="22"/>
                <w:szCs w:val="22"/>
                <w:lang w:eastAsia="en-GB"/>
              </w:rPr>
              <w:t xml:space="preserve">the </w:t>
            </w:r>
            <w:r w:rsidRPr="007A4724">
              <w:rPr>
                <w:rFonts w:asciiTheme="minorHAnsi" w:hAnsiTheme="minorHAnsi" w:cs="Arial"/>
                <w:color w:val="595959" w:themeColor="text1" w:themeTint="A6"/>
                <w:sz w:val="22"/>
                <w:szCs w:val="22"/>
                <w:lang w:eastAsia="en-GB"/>
              </w:rPr>
              <w:t>decision-making environment</w:t>
            </w:r>
            <w:r w:rsidR="00E776EE">
              <w:rPr>
                <w:rFonts w:asciiTheme="minorHAnsi" w:hAnsiTheme="minorHAnsi" w:cs="Arial"/>
                <w:color w:val="595959" w:themeColor="text1" w:themeTint="A6"/>
                <w:sz w:val="22"/>
                <w:szCs w:val="22"/>
                <w:lang w:eastAsia="en-GB"/>
              </w:rPr>
              <w:t xml:space="preserve"> in England</w:t>
            </w:r>
            <w:r w:rsidRPr="007A4724">
              <w:rPr>
                <w:rFonts w:asciiTheme="minorHAnsi" w:hAnsiTheme="minorHAnsi" w:cs="Arial"/>
                <w:color w:val="595959" w:themeColor="text1" w:themeTint="A6"/>
                <w:sz w:val="22"/>
                <w:szCs w:val="22"/>
                <w:lang w:eastAsia="en-GB"/>
              </w:rPr>
              <w:t>.  However</w:t>
            </w:r>
            <w:r w:rsidR="00E776EE">
              <w:rPr>
                <w:rFonts w:asciiTheme="minorHAnsi" w:hAnsiTheme="minorHAnsi" w:cs="Arial"/>
                <w:color w:val="595959" w:themeColor="text1" w:themeTint="A6"/>
                <w:sz w:val="22"/>
                <w:szCs w:val="22"/>
                <w:lang w:eastAsia="en-GB"/>
              </w:rPr>
              <w:t xml:space="preserve">, health care decisions cannot be made in isolation as </w:t>
            </w:r>
            <w:r w:rsidRPr="007A4724">
              <w:rPr>
                <w:rFonts w:asciiTheme="minorHAnsi" w:hAnsiTheme="minorHAnsi" w:cs="Arial"/>
                <w:color w:val="595959" w:themeColor="text1" w:themeTint="A6"/>
                <w:sz w:val="22"/>
                <w:szCs w:val="22"/>
                <w:lang w:eastAsia="en-GB"/>
              </w:rPr>
              <w:t xml:space="preserve">‘investing in the right things’ requires all parts of the system to work in harmony – in exactly the way that the </w:t>
            </w:r>
            <w:proofErr w:type="spellStart"/>
            <w:r w:rsidRPr="007A4724">
              <w:rPr>
                <w:rFonts w:asciiTheme="minorHAnsi" w:hAnsiTheme="minorHAnsi" w:cs="Arial"/>
                <w:color w:val="595959" w:themeColor="text1" w:themeTint="A6"/>
                <w:sz w:val="22"/>
                <w:szCs w:val="22"/>
                <w:lang w:eastAsia="en-GB"/>
              </w:rPr>
              <w:t>Wanless</w:t>
            </w:r>
            <w:proofErr w:type="spellEnd"/>
            <w:r w:rsidRPr="007A4724">
              <w:rPr>
                <w:rFonts w:asciiTheme="minorHAnsi" w:hAnsiTheme="minorHAnsi" w:cs="Arial"/>
                <w:color w:val="595959" w:themeColor="text1" w:themeTint="A6"/>
                <w:sz w:val="22"/>
                <w:szCs w:val="22"/>
                <w:lang w:eastAsia="en-GB"/>
              </w:rPr>
              <w:t xml:space="preserve"> reports envisaged.</w:t>
            </w:r>
          </w:p>
          <w:p w:rsidR="00904073" w:rsidRPr="00FC0AD7" w:rsidRDefault="0001752D" w:rsidP="00FC0AD7">
            <w:pPr>
              <w:spacing w:before="100" w:beforeAutospacing="1" w:after="100" w:afterAutospacing="1"/>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Within PHE the belief in the importance of heal</w:t>
            </w:r>
            <w:r w:rsidR="00FC0AD7">
              <w:rPr>
                <w:rFonts w:asciiTheme="minorHAnsi" w:hAnsiTheme="minorHAnsi" w:cs="Arial"/>
                <w:color w:val="595959" w:themeColor="text1" w:themeTint="A6"/>
                <w:sz w:val="22"/>
                <w:szCs w:val="22"/>
                <w:lang w:eastAsia="en-GB"/>
              </w:rPr>
              <w:t>th economics has been growing. ‘</w:t>
            </w:r>
            <w:r>
              <w:rPr>
                <w:rFonts w:asciiTheme="minorHAnsi" w:hAnsiTheme="minorHAnsi" w:cs="Arial"/>
                <w:color w:val="595959" w:themeColor="text1" w:themeTint="A6"/>
                <w:sz w:val="22"/>
                <w:szCs w:val="22"/>
                <w:lang w:eastAsia="en-GB"/>
              </w:rPr>
              <w:t>Making t</w:t>
            </w:r>
            <w:r w:rsidR="00FC0AD7">
              <w:rPr>
                <w:rFonts w:asciiTheme="minorHAnsi" w:hAnsiTheme="minorHAnsi" w:cs="Arial"/>
                <w:color w:val="595959" w:themeColor="text1" w:themeTint="A6"/>
                <w:sz w:val="22"/>
                <w:szCs w:val="22"/>
                <w:lang w:eastAsia="en-GB"/>
              </w:rPr>
              <w:t>he economic case for prevention’</w:t>
            </w:r>
            <w:r>
              <w:rPr>
                <w:rFonts w:asciiTheme="minorHAnsi" w:hAnsiTheme="minorHAnsi" w:cs="Arial"/>
                <w:color w:val="595959" w:themeColor="text1" w:themeTint="A6"/>
                <w:sz w:val="22"/>
                <w:szCs w:val="22"/>
                <w:lang w:eastAsia="en-GB"/>
              </w:rPr>
              <w:t xml:space="preserve"> was listed as a focus and opportunity in the </w:t>
            </w:r>
            <w:r w:rsidR="00FC0AD7">
              <w:rPr>
                <w:rFonts w:asciiTheme="minorHAnsi" w:hAnsiTheme="minorHAnsi" w:cs="Arial"/>
                <w:color w:val="595959" w:themeColor="text1" w:themeTint="A6"/>
                <w:sz w:val="22"/>
                <w:szCs w:val="22"/>
                <w:lang w:eastAsia="en-GB"/>
              </w:rPr>
              <w:t>2017/18 business plan. Further ‘</w:t>
            </w:r>
            <w:r>
              <w:rPr>
                <w:rFonts w:asciiTheme="minorHAnsi" w:hAnsiTheme="minorHAnsi" w:cs="Arial"/>
                <w:color w:val="595959" w:themeColor="text1" w:themeTint="A6"/>
                <w:sz w:val="22"/>
                <w:szCs w:val="22"/>
                <w:lang w:eastAsia="en-GB"/>
              </w:rPr>
              <w:t>build[</w:t>
            </w:r>
            <w:proofErr w:type="spellStart"/>
            <w:r>
              <w:rPr>
                <w:rFonts w:asciiTheme="minorHAnsi" w:hAnsiTheme="minorHAnsi" w:cs="Arial"/>
                <w:color w:val="595959" w:themeColor="text1" w:themeTint="A6"/>
                <w:sz w:val="22"/>
                <w:szCs w:val="22"/>
                <w:lang w:eastAsia="en-GB"/>
              </w:rPr>
              <w:t>ing</w:t>
            </w:r>
            <w:proofErr w:type="spellEnd"/>
            <w:r>
              <w:rPr>
                <w:rFonts w:asciiTheme="minorHAnsi" w:hAnsiTheme="minorHAnsi" w:cs="Arial"/>
                <w:color w:val="595959" w:themeColor="text1" w:themeTint="A6"/>
                <w:sz w:val="22"/>
                <w:szCs w:val="22"/>
                <w:lang w:eastAsia="en-GB"/>
              </w:rPr>
              <w:t>] health economics capacity and capability across the system</w:t>
            </w:r>
            <w:r w:rsidR="00FC0AD7">
              <w:rPr>
                <w:rFonts w:asciiTheme="minorHAnsi" w:hAnsiTheme="minorHAnsi" w:cs="Arial"/>
                <w:color w:val="595959" w:themeColor="text1" w:themeTint="A6"/>
                <w:sz w:val="22"/>
                <w:szCs w:val="22"/>
                <w:lang w:eastAsia="en-GB"/>
              </w:rPr>
              <w:t>’ was</w:t>
            </w:r>
            <w:r>
              <w:rPr>
                <w:rFonts w:asciiTheme="minorHAnsi" w:hAnsiTheme="minorHAnsi" w:cs="Arial"/>
                <w:color w:val="595959" w:themeColor="text1" w:themeTint="A6"/>
                <w:sz w:val="22"/>
                <w:szCs w:val="22"/>
                <w:lang w:eastAsia="en-GB"/>
              </w:rPr>
              <w:t xml:space="preserve"> pulled out as an action for the future.</w:t>
            </w:r>
          </w:p>
        </w:tc>
      </w:tr>
      <w:tr w:rsidR="00C82E13" w:rsidRPr="00346BA0" w:rsidTr="0072462A">
        <w:tc>
          <w:tcPr>
            <w:tcW w:w="396" w:type="pct"/>
          </w:tcPr>
          <w:p w:rsidR="00C82E13" w:rsidRDefault="00C82E13" w:rsidP="00346BA0">
            <w:pPr>
              <w:rPr>
                <w:rFonts w:ascii="Calibri" w:hAnsi="Calibri"/>
                <w:b/>
                <w:color w:val="0070C0"/>
              </w:rPr>
            </w:pPr>
            <w:r>
              <w:rPr>
                <w:rFonts w:ascii="Calibri" w:hAnsi="Calibri"/>
                <w:b/>
                <w:color w:val="0070C0"/>
              </w:rPr>
              <w:t>2.</w:t>
            </w:r>
          </w:p>
        </w:tc>
        <w:tc>
          <w:tcPr>
            <w:tcW w:w="4540" w:type="pct"/>
          </w:tcPr>
          <w:p w:rsidR="00C82E13" w:rsidRDefault="00C82E13" w:rsidP="00346BA0">
            <w:pPr>
              <w:rPr>
                <w:rFonts w:ascii="Calibri" w:hAnsi="Calibri"/>
                <w:b/>
                <w:color w:val="0070C0"/>
              </w:rPr>
            </w:pPr>
            <w:r>
              <w:rPr>
                <w:rFonts w:ascii="Calibri" w:hAnsi="Calibri"/>
                <w:b/>
                <w:color w:val="0070C0"/>
              </w:rPr>
              <w:t>Scope</w:t>
            </w:r>
          </w:p>
          <w:p w:rsidR="00C82E13" w:rsidRDefault="00C82E13" w:rsidP="00346BA0">
            <w:pPr>
              <w:rPr>
                <w:rFonts w:ascii="Calibri" w:hAnsi="Calibri"/>
                <w:b/>
                <w:color w:val="0070C0"/>
              </w:rPr>
            </w:pPr>
          </w:p>
        </w:tc>
      </w:tr>
      <w:tr w:rsidR="00C82E13" w:rsidRPr="00346BA0" w:rsidTr="0072462A">
        <w:tc>
          <w:tcPr>
            <w:tcW w:w="396" w:type="pct"/>
          </w:tcPr>
          <w:p w:rsidR="00C82E13" w:rsidRPr="00346BA0" w:rsidRDefault="00C82E13" w:rsidP="00346BA0">
            <w:pPr>
              <w:rPr>
                <w:rFonts w:ascii="Calibri" w:hAnsi="Calibri"/>
                <w:b/>
                <w:color w:val="0070C0"/>
              </w:rPr>
            </w:pPr>
            <w:r>
              <w:rPr>
                <w:rFonts w:ascii="Calibri" w:hAnsi="Calibri"/>
                <w:b/>
                <w:color w:val="0070C0"/>
              </w:rPr>
              <w:t>2.1</w:t>
            </w:r>
          </w:p>
        </w:tc>
        <w:tc>
          <w:tcPr>
            <w:tcW w:w="4540" w:type="pct"/>
          </w:tcPr>
          <w:p w:rsidR="00C82E13" w:rsidRPr="00BE694E" w:rsidRDefault="00C82E13" w:rsidP="00BE694E">
            <w:pPr>
              <w:jc w:val="both"/>
              <w:rPr>
                <w:rFonts w:asciiTheme="minorHAnsi" w:hAnsiTheme="minorHAnsi" w:cs="Arial"/>
                <w:color w:val="595959" w:themeColor="text1" w:themeTint="A6"/>
                <w:sz w:val="22"/>
                <w:szCs w:val="22"/>
                <w:lang w:eastAsia="en-GB"/>
              </w:rPr>
            </w:pPr>
            <w:r w:rsidRPr="00832CCF">
              <w:rPr>
                <w:rFonts w:asciiTheme="minorHAnsi" w:hAnsiTheme="minorHAnsi" w:cs="Arial"/>
                <w:color w:val="595959" w:themeColor="text1" w:themeTint="A6"/>
                <w:sz w:val="22"/>
                <w:szCs w:val="22"/>
                <w:lang w:eastAsia="en-GB"/>
              </w:rPr>
              <w:t xml:space="preserve">The scope of the requirement is the procurement of a </w:t>
            </w:r>
            <w:r>
              <w:rPr>
                <w:rFonts w:asciiTheme="minorHAnsi" w:hAnsiTheme="minorHAnsi" w:cs="Arial"/>
                <w:color w:val="595959" w:themeColor="text1" w:themeTint="A6"/>
                <w:sz w:val="22"/>
                <w:szCs w:val="22"/>
                <w:lang w:eastAsia="en-GB"/>
              </w:rPr>
              <w:t xml:space="preserve">training supplier </w:t>
            </w:r>
            <w:r w:rsidRPr="00832CCF">
              <w:rPr>
                <w:rFonts w:asciiTheme="minorHAnsi" w:hAnsiTheme="minorHAnsi" w:cs="Arial"/>
                <w:color w:val="595959" w:themeColor="text1" w:themeTint="A6"/>
                <w:sz w:val="22"/>
                <w:szCs w:val="22"/>
                <w:lang w:eastAsia="en-GB"/>
              </w:rPr>
              <w:t xml:space="preserve">to </w:t>
            </w:r>
            <w:r w:rsidR="00FC0AD7">
              <w:rPr>
                <w:rFonts w:asciiTheme="minorHAnsi" w:hAnsiTheme="minorHAnsi" w:cs="Arial"/>
                <w:color w:val="595959" w:themeColor="text1" w:themeTint="A6"/>
                <w:sz w:val="22"/>
                <w:szCs w:val="22"/>
                <w:lang w:eastAsia="en-GB"/>
              </w:rPr>
              <w:t xml:space="preserve">provide </w:t>
            </w:r>
            <w:r w:rsidR="00E776EE">
              <w:rPr>
                <w:rFonts w:asciiTheme="minorHAnsi" w:hAnsiTheme="minorHAnsi" w:cs="Arial"/>
                <w:color w:val="595959" w:themeColor="text1" w:themeTint="A6"/>
                <w:sz w:val="22"/>
                <w:szCs w:val="22"/>
                <w:lang w:eastAsia="en-GB"/>
              </w:rPr>
              <w:t>training to</w:t>
            </w:r>
            <w:r>
              <w:rPr>
                <w:rFonts w:asciiTheme="minorHAnsi" w:hAnsiTheme="minorHAnsi" w:cs="Arial"/>
                <w:color w:val="595959" w:themeColor="text1" w:themeTint="A6"/>
                <w:sz w:val="22"/>
                <w:szCs w:val="22"/>
                <w:lang w:eastAsia="en-GB"/>
              </w:rPr>
              <w:t xml:space="preserve"> PHE staff and </w:t>
            </w:r>
            <w:r w:rsidR="00B906F9">
              <w:rPr>
                <w:rFonts w:asciiTheme="minorHAnsi" w:hAnsiTheme="minorHAnsi" w:cs="Arial"/>
                <w:color w:val="595959" w:themeColor="text1" w:themeTint="A6"/>
                <w:sz w:val="22"/>
                <w:szCs w:val="22"/>
                <w:lang w:eastAsia="en-GB"/>
              </w:rPr>
              <w:t>LA</w:t>
            </w:r>
            <w:r w:rsidR="00BE694E">
              <w:rPr>
                <w:rFonts w:asciiTheme="minorHAnsi" w:hAnsiTheme="minorHAnsi" w:cs="Arial"/>
                <w:color w:val="595959" w:themeColor="text1" w:themeTint="A6"/>
                <w:sz w:val="22"/>
                <w:szCs w:val="22"/>
                <w:lang w:eastAsia="en-GB"/>
              </w:rPr>
              <w:t xml:space="preserve"> partners</w:t>
            </w:r>
            <w:r w:rsidR="00FC0AD7">
              <w:rPr>
                <w:rFonts w:asciiTheme="minorHAnsi" w:hAnsiTheme="minorHAnsi" w:cs="Arial"/>
                <w:color w:val="595959" w:themeColor="text1" w:themeTint="A6"/>
                <w:sz w:val="22"/>
                <w:szCs w:val="22"/>
                <w:lang w:eastAsia="en-GB"/>
              </w:rPr>
              <w:t>.</w:t>
            </w:r>
          </w:p>
        </w:tc>
      </w:tr>
      <w:tr w:rsidR="00C82E13" w:rsidRPr="00346BA0" w:rsidTr="0072462A">
        <w:tc>
          <w:tcPr>
            <w:tcW w:w="396" w:type="pct"/>
          </w:tcPr>
          <w:p w:rsidR="00C82E13" w:rsidRPr="00346BA0" w:rsidRDefault="00C82E13" w:rsidP="00346BA0">
            <w:pPr>
              <w:rPr>
                <w:rFonts w:ascii="Calibri" w:hAnsi="Calibri"/>
                <w:b/>
                <w:color w:val="0070C0"/>
              </w:rPr>
            </w:pPr>
            <w:r>
              <w:rPr>
                <w:rFonts w:ascii="Calibri" w:hAnsi="Calibri"/>
                <w:b/>
                <w:color w:val="0070C0"/>
              </w:rPr>
              <w:t>3.</w:t>
            </w:r>
          </w:p>
        </w:tc>
        <w:tc>
          <w:tcPr>
            <w:tcW w:w="4540" w:type="pct"/>
          </w:tcPr>
          <w:p w:rsidR="00C82E13" w:rsidRPr="00EF48DE" w:rsidRDefault="00C82E13" w:rsidP="00EF48DE">
            <w:pPr>
              <w:rPr>
                <w:rFonts w:ascii="Calibri" w:hAnsi="Calibri"/>
                <w:b/>
                <w:color w:val="0070C0"/>
              </w:rPr>
            </w:pPr>
            <w:r>
              <w:rPr>
                <w:rFonts w:ascii="Calibri" w:hAnsi="Calibri"/>
                <w:b/>
                <w:color w:val="0070C0"/>
              </w:rPr>
              <w:t>O</w:t>
            </w:r>
            <w:r w:rsidRPr="00EF48DE">
              <w:rPr>
                <w:rFonts w:ascii="Calibri" w:hAnsi="Calibri"/>
                <w:b/>
                <w:color w:val="0070C0"/>
              </w:rPr>
              <w:t xml:space="preserve">utcomes </w:t>
            </w:r>
          </w:p>
          <w:p w:rsidR="00A41477" w:rsidRDefault="00A41477" w:rsidP="00622623">
            <w:pPr>
              <w:rPr>
                <w:rFonts w:asciiTheme="minorHAnsi" w:eastAsia="Calibri" w:hAnsiTheme="minorHAnsi" w:cs="Arial"/>
                <w:color w:val="595959" w:themeColor="text1" w:themeTint="A6"/>
                <w:sz w:val="22"/>
                <w:szCs w:val="22"/>
              </w:rPr>
            </w:pPr>
            <w:r>
              <w:rPr>
                <w:rFonts w:asciiTheme="minorHAnsi" w:eastAsia="Calibri" w:hAnsiTheme="minorHAnsi" w:cs="Arial"/>
                <w:color w:val="595959" w:themeColor="text1" w:themeTint="A6"/>
                <w:sz w:val="22"/>
                <w:szCs w:val="22"/>
              </w:rPr>
              <w:t xml:space="preserve">The provider is expected to engage with Economists inside of PHE to design a training programme that is appropriately targeted and delivered to maximise capacity development </w:t>
            </w:r>
            <w:r>
              <w:rPr>
                <w:rFonts w:asciiTheme="minorHAnsi" w:eastAsia="Calibri" w:hAnsiTheme="minorHAnsi" w:cs="Arial"/>
                <w:color w:val="595959" w:themeColor="text1" w:themeTint="A6"/>
                <w:sz w:val="22"/>
                <w:szCs w:val="22"/>
              </w:rPr>
              <w:lastRenderedPageBreak/>
              <w:t>within attendees.</w:t>
            </w:r>
          </w:p>
          <w:p w:rsidR="00A41477" w:rsidRDefault="00A41477" w:rsidP="00622623">
            <w:pPr>
              <w:rPr>
                <w:rFonts w:asciiTheme="minorHAnsi" w:eastAsia="Calibri" w:hAnsiTheme="minorHAnsi" w:cs="Arial"/>
                <w:color w:val="595959" w:themeColor="text1" w:themeTint="A6"/>
                <w:sz w:val="22"/>
                <w:szCs w:val="22"/>
              </w:rPr>
            </w:pPr>
          </w:p>
          <w:p w:rsidR="00622623" w:rsidRDefault="00C82E13" w:rsidP="00622623">
            <w:pPr>
              <w:rPr>
                <w:rFonts w:asciiTheme="minorHAnsi" w:hAnsiTheme="minorHAnsi" w:cs="Arial"/>
                <w:color w:val="595959" w:themeColor="text1" w:themeTint="A6"/>
                <w:sz w:val="22"/>
                <w:szCs w:val="22"/>
                <w:lang w:eastAsia="en-GB"/>
              </w:rPr>
            </w:pPr>
            <w:r w:rsidRPr="00622623">
              <w:rPr>
                <w:rFonts w:asciiTheme="minorHAnsi" w:eastAsia="Calibri" w:hAnsiTheme="minorHAnsi" w:cs="Arial"/>
                <w:color w:val="595959" w:themeColor="text1" w:themeTint="A6"/>
                <w:sz w:val="22"/>
                <w:szCs w:val="22"/>
              </w:rPr>
              <w:t>The aim is to</w:t>
            </w:r>
            <w:r w:rsidR="00622623">
              <w:rPr>
                <w:rFonts w:asciiTheme="minorHAnsi" w:hAnsiTheme="minorHAnsi" w:cs="Arial"/>
                <w:color w:val="595959" w:themeColor="text1" w:themeTint="A6"/>
                <w:sz w:val="22"/>
                <w:szCs w:val="22"/>
                <w:lang w:eastAsia="en-GB"/>
              </w:rPr>
              <w:t>:</w:t>
            </w:r>
          </w:p>
          <w:p w:rsidR="00622623" w:rsidRDefault="00622623" w:rsidP="00622623">
            <w:pPr>
              <w:pStyle w:val="ListParagraph"/>
              <w:numPr>
                <w:ilvl w:val="0"/>
                <w:numId w:val="7"/>
              </w:numPr>
              <w:rPr>
                <w:rFonts w:asciiTheme="minorHAnsi" w:hAnsiTheme="minorHAnsi" w:cs="Arial"/>
                <w:color w:val="595959" w:themeColor="text1" w:themeTint="A6"/>
                <w:sz w:val="22"/>
                <w:szCs w:val="22"/>
                <w:lang w:eastAsia="en-GB"/>
              </w:rPr>
            </w:pPr>
            <w:r w:rsidRPr="00622623">
              <w:rPr>
                <w:rFonts w:asciiTheme="minorHAnsi" w:hAnsiTheme="minorHAnsi" w:cs="Arial"/>
                <w:color w:val="595959" w:themeColor="text1" w:themeTint="A6"/>
                <w:sz w:val="22"/>
                <w:szCs w:val="22"/>
                <w:lang w:eastAsia="en-GB"/>
              </w:rPr>
              <w:t xml:space="preserve">provide </w:t>
            </w:r>
            <w:r w:rsidR="0001752D">
              <w:rPr>
                <w:rFonts w:asciiTheme="minorHAnsi" w:hAnsiTheme="minorHAnsi" w:cs="Arial"/>
                <w:color w:val="595959" w:themeColor="text1" w:themeTint="A6"/>
                <w:sz w:val="22"/>
                <w:szCs w:val="22"/>
                <w:lang w:eastAsia="en-GB"/>
              </w:rPr>
              <w:t>training centred on practical application of value for money and health economics techniques to local resource prioritisation</w:t>
            </w:r>
          </w:p>
          <w:p w:rsidR="0001752D" w:rsidRPr="00622623" w:rsidRDefault="0001752D" w:rsidP="00622623">
            <w:pPr>
              <w:pStyle w:val="ListParagraph"/>
              <w:numPr>
                <w:ilvl w:val="0"/>
                <w:numId w:val="7"/>
              </w:numPr>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 xml:space="preserve">build participant confidence in the use of PHE generated </w:t>
            </w:r>
            <w:r w:rsidR="00BE694E">
              <w:rPr>
                <w:rFonts w:asciiTheme="minorHAnsi" w:hAnsiTheme="minorHAnsi" w:cs="Arial"/>
                <w:color w:val="595959" w:themeColor="text1" w:themeTint="A6"/>
                <w:sz w:val="22"/>
                <w:szCs w:val="22"/>
                <w:lang w:eastAsia="en-GB"/>
              </w:rPr>
              <w:t>health economics</w:t>
            </w:r>
            <w:r>
              <w:rPr>
                <w:rFonts w:asciiTheme="minorHAnsi" w:hAnsiTheme="minorHAnsi" w:cs="Arial"/>
                <w:color w:val="595959" w:themeColor="text1" w:themeTint="A6"/>
                <w:sz w:val="22"/>
                <w:szCs w:val="22"/>
                <w:lang w:eastAsia="en-GB"/>
              </w:rPr>
              <w:t xml:space="preserve"> tools through practical examples</w:t>
            </w:r>
          </w:p>
          <w:p w:rsidR="00547B9B" w:rsidRPr="00547B9B" w:rsidRDefault="0001752D" w:rsidP="00547B9B">
            <w:pPr>
              <w:pStyle w:val="ListParagraph"/>
              <w:numPr>
                <w:ilvl w:val="0"/>
                <w:numId w:val="7"/>
              </w:numPr>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provide training on the engagement with local decision makers and the discussion of health</w:t>
            </w:r>
            <w:r w:rsidR="00FC0AD7">
              <w:rPr>
                <w:rFonts w:asciiTheme="minorHAnsi" w:hAnsiTheme="minorHAnsi" w:cs="Arial"/>
                <w:color w:val="595959" w:themeColor="text1" w:themeTint="A6"/>
                <w:sz w:val="22"/>
                <w:szCs w:val="22"/>
                <w:lang w:eastAsia="en-GB"/>
              </w:rPr>
              <w:t xml:space="preserve"> economic principles and evidence</w:t>
            </w:r>
          </w:p>
        </w:tc>
      </w:tr>
      <w:tr w:rsidR="00C82E13" w:rsidRPr="00346BA0" w:rsidTr="0072462A">
        <w:tc>
          <w:tcPr>
            <w:tcW w:w="396" w:type="pct"/>
          </w:tcPr>
          <w:p w:rsidR="00C82E13" w:rsidRPr="00346BA0" w:rsidRDefault="001E60A1" w:rsidP="00346BA0">
            <w:pPr>
              <w:rPr>
                <w:rFonts w:ascii="Calibri" w:hAnsi="Calibri"/>
                <w:b/>
                <w:color w:val="0070C0"/>
              </w:rPr>
            </w:pPr>
            <w:r>
              <w:rPr>
                <w:rFonts w:ascii="Calibri" w:hAnsi="Calibri"/>
                <w:b/>
                <w:color w:val="0070C0"/>
              </w:rPr>
              <w:lastRenderedPageBreak/>
              <w:t>3</w:t>
            </w:r>
            <w:r w:rsidR="00C82E13">
              <w:rPr>
                <w:rFonts w:ascii="Calibri" w:hAnsi="Calibri"/>
                <w:b/>
                <w:color w:val="0070C0"/>
              </w:rPr>
              <w:t>.</w:t>
            </w:r>
          </w:p>
        </w:tc>
        <w:tc>
          <w:tcPr>
            <w:tcW w:w="4540" w:type="pct"/>
          </w:tcPr>
          <w:p w:rsidR="00C82E13" w:rsidRDefault="00C82E13" w:rsidP="00346BA0">
            <w:pPr>
              <w:rPr>
                <w:rFonts w:ascii="Calibri" w:hAnsi="Calibri"/>
                <w:b/>
                <w:color w:val="0070C0"/>
              </w:rPr>
            </w:pPr>
            <w:r>
              <w:rPr>
                <w:rFonts w:ascii="Calibri" w:hAnsi="Calibri"/>
                <w:b/>
                <w:color w:val="0070C0"/>
              </w:rPr>
              <w:t>Specification</w:t>
            </w:r>
          </w:p>
          <w:p w:rsidR="00C82E13" w:rsidRPr="002E0202" w:rsidRDefault="00C82E13" w:rsidP="002E0202">
            <w:pPr>
              <w:jc w:val="both"/>
              <w:rPr>
                <w:rFonts w:asciiTheme="minorHAnsi" w:eastAsia="Calibri" w:hAnsiTheme="minorHAnsi" w:cs="Arial"/>
                <w:color w:val="595959" w:themeColor="text1" w:themeTint="A6"/>
                <w:sz w:val="22"/>
                <w:szCs w:val="22"/>
              </w:rPr>
            </w:pPr>
          </w:p>
        </w:tc>
      </w:tr>
      <w:tr w:rsidR="00C82E13" w:rsidRPr="00346BA0" w:rsidTr="0072462A">
        <w:tc>
          <w:tcPr>
            <w:tcW w:w="396" w:type="pct"/>
          </w:tcPr>
          <w:p w:rsidR="00C82E13" w:rsidRDefault="001E60A1" w:rsidP="00346BA0">
            <w:pPr>
              <w:rPr>
                <w:rFonts w:ascii="Calibri" w:hAnsi="Calibri"/>
                <w:b/>
                <w:color w:val="0070C0"/>
              </w:rPr>
            </w:pPr>
            <w:r>
              <w:rPr>
                <w:rFonts w:ascii="Calibri" w:hAnsi="Calibri"/>
                <w:b/>
                <w:color w:val="0070C0"/>
              </w:rPr>
              <w:t>3</w:t>
            </w:r>
            <w:r w:rsidR="00C82E13">
              <w:rPr>
                <w:rFonts w:ascii="Calibri" w:hAnsi="Calibri"/>
                <w:b/>
                <w:color w:val="0070C0"/>
              </w:rPr>
              <w:t>.1</w:t>
            </w: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Default="00C82E13" w:rsidP="00346BA0">
            <w:pPr>
              <w:rPr>
                <w:rFonts w:ascii="Calibri" w:hAnsi="Calibri"/>
                <w:b/>
                <w:color w:val="0070C0"/>
              </w:rPr>
            </w:pPr>
          </w:p>
          <w:p w:rsidR="00C82E13" w:rsidRPr="00346BA0" w:rsidRDefault="00C82E13" w:rsidP="00346BA0">
            <w:pPr>
              <w:rPr>
                <w:rFonts w:ascii="Calibri" w:hAnsi="Calibri"/>
                <w:b/>
                <w:color w:val="0070C0"/>
              </w:rPr>
            </w:pPr>
          </w:p>
        </w:tc>
        <w:tc>
          <w:tcPr>
            <w:tcW w:w="4540" w:type="pct"/>
          </w:tcPr>
          <w:p w:rsidR="00C82E13" w:rsidRDefault="00C82E13" w:rsidP="00354CF7">
            <w:pPr>
              <w:rPr>
                <w:rFonts w:ascii="Calibri" w:hAnsi="Calibri"/>
                <w:b/>
                <w:color w:val="0070C0"/>
              </w:rPr>
            </w:pPr>
            <w:r>
              <w:rPr>
                <w:rFonts w:ascii="Calibri" w:hAnsi="Calibri"/>
                <w:b/>
                <w:color w:val="0070C0"/>
              </w:rPr>
              <w:t xml:space="preserve">Aims and objectives of the service </w:t>
            </w:r>
          </w:p>
          <w:p w:rsidR="00E776EE" w:rsidRDefault="00E776EE" w:rsidP="00F039F2">
            <w:pPr>
              <w:spacing w:line="280" w:lineRule="exact"/>
              <w:jc w:val="both"/>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PHE has previously run introductory training in the fundamentals of health economics. The aim of this newly commissioned training is to build upon that knowledge, and allow participants to use health economics in decision making processes.</w:t>
            </w:r>
          </w:p>
          <w:p w:rsidR="00E776EE" w:rsidRDefault="00E776EE" w:rsidP="00F039F2">
            <w:pPr>
              <w:spacing w:line="280" w:lineRule="exact"/>
              <w:jc w:val="both"/>
              <w:rPr>
                <w:rFonts w:asciiTheme="minorHAnsi" w:hAnsiTheme="minorHAnsi" w:cs="Arial"/>
                <w:color w:val="595959" w:themeColor="text1" w:themeTint="A6"/>
                <w:sz w:val="22"/>
                <w:szCs w:val="22"/>
                <w:lang w:eastAsia="en-GB"/>
              </w:rPr>
            </w:pPr>
          </w:p>
          <w:p w:rsidR="00F039F2" w:rsidRPr="00CC56FB" w:rsidRDefault="00F039F2" w:rsidP="00F039F2">
            <w:pPr>
              <w:spacing w:line="280" w:lineRule="exact"/>
              <w:jc w:val="both"/>
              <w:rPr>
                <w:rFonts w:asciiTheme="minorHAnsi" w:hAnsiTheme="minorHAnsi" w:cs="Arial"/>
                <w:color w:val="595959" w:themeColor="text1" w:themeTint="A6"/>
                <w:sz w:val="22"/>
                <w:szCs w:val="22"/>
                <w:lang w:eastAsia="en-GB"/>
              </w:rPr>
            </w:pPr>
            <w:r w:rsidRPr="00CC56FB">
              <w:rPr>
                <w:rFonts w:asciiTheme="minorHAnsi" w:hAnsiTheme="minorHAnsi" w:cs="Arial"/>
                <w:color w:val="595959" w:themeColor="text1" w:themeTint="A6"/>
                <w:sz w:val="22"/>
                <w:szCs w:val="22"/>
                <w:lang w:eastAsia="en-GB"/>
              </w:rPr>
              <w:t xml:space="preserve">The </w:t>
            </w:r>
            <w:r w:rsidR="00BE694E">
              <w:rPr>
                <w:rFonts w:asciiTheme="minorHAnsi" w:hAnsiTheme="minorHAnsi" w:cs="Arial"/>
                <w:color w:val="595959" w:themeColor="text1" w:themeTint="A6"/>
                <w:sz w:val="22"/>
                <w:szCs w:val="22"/>
                <w:lang w:eastAsia="en-GB"/>
              </w:rPr>
              <w:t xml:space="preserve">training </w:t>
            </w:r>
            <w:r w:rsidRPr="00CC56FB">
              <w:rPr>
                <w:rFonts w:asciiTheme="minorHAnsi" w:hAnsiTheme="minorHAnsi" w:cs="Arial"/>
                <w:color w:val="595959" w:themeColor="text1" w:themeTint="A6"/>
                <w:sz w:val="22"/>
                <w:szCs w:val="22"/>
                <w:lang w:eastAsia="en-GB"/>
              </w:rPr>
              <w:t>will cater to 2 primary audiences:</w:t>
            </w:r>
          </w:p>
          <w:p w:rsidR="00F039F2" w:rsidRPr="00CC56FB" w:rsidRDefault="00F039F2" w:rsidP="001821B6">
            <w:pPr>
              <w:spacing w:line="280" w:lineRule="exact"/>
              <w:ind w:left="720" w:hanging="720"/>
              <w:jc w:val="both"/>
              <w:rPr>
                <w:rFonts w:asciiTheme="minorHAnsi" w:hAnsiTheme="minorHAnsi" w:cs="Arial"/>
                <w:color w:val="595959" w:themeColor="text1" w:themeTint="A6"/>
                <w:sz w:val="22"/>
                <w:szCs w:val="22"/>
                <w:lang w:eastAsia="en-GB"/>
              </w:rPr>
            </w:pPr>
          </w:p>
          <w:p w:rsidR="00F039F2" w:rsidRPr="00CC56FB" w:rsidRDefault="00EE00A7" w:rsidP="00F039F2">
            <w:pPr>
              <w:pStyle w:val="ListParagraph"/>
              <w:numPr>
                <w:ilvl w:val="0"/>
                <w:numId w:val="25"/>
              </w:numPr>
              <w:spacing w:line="280" w:lineRule="exact"/>
              <w:jc w:val="both"/>
              <w:rPr>
                <w:rFonts w:asciiTheme="minorHAnsi" w:hAnsiTheme="minorHAnsi" w:cs="Arial"/>
                <w:color w:val="595959" w:themeColor="text1" w:themeTint="A6"/>
                <w:sz w:val="22"/>
                <w:szCs w:val="22"/>
                <w:lang w:eastAsia="en-GB"/>
              </w:rPr>
            </w:pPr>
            <w:r w:rsidRPr="00CC56FB">
              <w:rPr>
                <w:rFonts w:asciiTheme="minorHAnsi" w:hAnsiTheme="minorHAnsi" w:cs="Arial"/>
                <w:color w:val="595959" w:themeColor="text1" w:themeTint="A6"/>
                <w:sz w:val="22"/>
                <w:szCs w:val="22"/>
                <w:lang w:eastAsia="en-GB"/>
              </w:rPr>
              <w:t>External attendee</w:t>
            </w:r>
            <w:r w:rsidR="00E776EE">
              <w:rPr>
                <w:rFonts w:asciiTheme="minorHAnsi" w:hAnsiTheme="minorHAnsi" w:cs="Arial"/>
                <w:color w:val="595959" w:themeColor="text1" w:themeTint="A6"/>
                <w:sz w:val="22"/>
                <w:szCs w:val="22"/>
                <w:lang w:eastAsia="en-GB"/>
              </w:rPr>
              <w:t>s</w:t>
            </w:r>
            <w:r w:rsidRPr="00CC56FB">
              <w:rPr>
                <w:rFonts w:asciiTheme="minorHAnsi" w:hAnsiTheme="minorHAnsi" w:cs="Arial"/>
                <w:color w:val="595959" w:themeColor="text1" w:themeTint="A6"/>
                <w:sz w:val="22"/>
                <w:szCs w:val="22"/>
                <w:lang w:eastAsia="en-GB"/>
              </w:rPr>
              <w:t xml:space="preserve"> – </w:t>
            </w:r>
            <w:r w:rsidR="00E776EE">
              <w:rPr>
                <w:rFonts w:asciiTheme="minorHAnsi" w:hAnsiTheme="minorHAnsi" w:cs="Arial"/>
                <w:color w:val="595959" w:themeColor="text1" w:themeTint="A6"/>
                <w:sz w:val="22"/>
                <w:szCs w:val="22"/>
                <w:lang w:eastAsia="en-GB"/>
              </w:rPr>
              <w:t>Analysts, public health consultants, registrars, practitioners and other stakeholders</w:t>
            </w:r>
            <w:r w:rsidR="00BE694E">
              <w:rPr>
                <w:rFonts w:asciiTheme="minorHAnsi" w:hAnsiTheme="minorHAnsi" w:cs="Arial"/>
                <w:color w:val="595959" w:themeColor="text1" w:themeTint="A6"/>
                <w:sz w:val="22"/>
                <w:szCs w:val="22"/>
                <w:lang w:eastAsia="en-GB"/>
              </w:rPr>
              <w:t xml:space="preserve"> from</w:t>
            </w:r>
            <w:r w:rsidR="00E776EE">
              <w:rPr>
                <w:rFonts w:asciiTheme="minorHAnsi" w:hAnsiTheme="minorHAnsi" w:cs="Arial"/>
                <w:color w:val="595959" w:themeColor="text1" w:themeTint="A6"/>
                <w:sz w:val="22"/>
                <w:szCs w:val="22"/>
                <w:lang w:eastAsia="en-GB"/>
              </w:rPr>
              <w:t xml:space="preserve"> L</w:t>
            </w:r>
            <w:r w:rsidR="00F039F2" w:rsidRPr="00CC56FB">
              <w:rPr>
                <w:rFonts w:asciiTheme="minorHAnsi" w:hAnsiTheme="minorHAnsi" w:cs="Arial"/>
                <w:color w:val="595959" w:themeColor="text1" w:themeTint="A6"/>
                <w:sz w:val="22"/>
                <w:szCs w:val="22"/>
                <w:lang w:eastAsia="en-GB"/>
              </w:rPr>
              <w:t xml:space="preserve">As. </w:t>
            </w:r>
            <w:r w:rsidR="00BE694E">
              <w:rPr>
                <w:rFonts w:asciiTheme="minorHAnsi" w:hAnsiTheme="minorHAnsi" w:cs="Arial"/>
                <w:color w:val="595959" w:themeColor="text1" w:themeTint="A6"/>
                <w:sz w:val="22"/>
                <w:szCs w:val="22"/>
                <w:lang w:eastAsia="en-GB"/>
              </w:rPr>
              <w:t xml:space="preserve">At the end of training external attendees should be able to understand and use </w:t>
            </w:r>
            <w:r w:rsidRPr="00CC56FB">
              <w:rPr>
                <w:rFonts w:asciiTheme="minorHAnsi" w:hAnsiTheme="minorHAnsi" w:cs="Arial"/>
                <w:color w:val="595959" w:themeColor="text1" w:themeTint="A6"/>
                <w:sz w:val="22"/>
                <w:szCs w:val="22"/>
                <w:lang w:eastAsia="en-GB"/>
              </w:rPr>
              <w:t xml:space="preserve">PHE </w:t>
            </w:r>
            <w:r w:rsidR="00BE694E">
              <w:rPr>
                <w:rFonts w:asciiTheme="minorHAnsi" w:hAnsiTheme="minorHAnsi" w:cs="Arial"/>
                <w:color w:val="595959" w:themeColor="text1" w:themeTint="A6"/>
                <w:sz w:val="22"/>
                <w:szCs w:val="22"/>
                <w:lang w:eastAsia="en-GB"/>
              </w:rPr>
              <w:t>health economics tools</w:t>
            </w:r>
            <w:r w:rsidRPr="00CC56FB">
              <w:rPr>
                <w:rFonts w:asciiTheme="minorHAnsi" w:hAnsiTheme="minorHAnsi" w:cs="Arial"/>
                <w:color w:val="595959" w:themeColor="text1" w:themeTint="A6"/>
                <w:sz w:val="22"/>
                <w:szCs w:val="22"/>
                <w:lang w:eastAsia="en-GB"/>
              </w:rPr>
              <w:t>, and discuss health economic concepts with non-technical decision makers.</w:t>
            </w:r>
          </w:p>
          <w:p w:rsidR="00EE00A7" w:rsidRDefault="00EE00A7" w:rsidP="00F039F2">
            <w:pPr>
              <w:pStyle w:val="ListParagraph"/>
              <w:numPr>
                <w:ilvl w:val="0"/>
                <w:numId w:val="25"/>
              </w:numPr>
              <w:spacing w:line="280" w:lineRule="exact"/>
              <w:jc w:val="both"/>
              <w:rPr>
                <w:rFonts w:asciiTheme="minorHAnsi" w:hAnsiTheme="minorHAnsi" w:cs="Arial"/>
                <w:color w:val="595959" w:themeColor="text1" w:themeTint="A6"/>
                <w:sz w:val="22"/>
                <w:szCs w:val="22"/>
                <w:lang w:eastAsia="en-GB"/>
              </w:rPr>
            </w:pPr>
            <w:r w:rsidRPr="00CC56FB">
              <w:rPr>
                <w:rFonts w:asciiTheme="minorHAnsi" w:hAnsiTheme="minorHAnsi" w:cs="Arial"/>
                <w:color w:val="595959" w:themeColor="text1" w:themeTint="A6"/>
                <w:sz w:val="22"/>
                <w:szCs w:val="22"/>
                <w:lang w:eastAsia="en-GB"/>
              </w:rPr>
              <w:t>Internal attendee</w:t>
            </w:r>
            <w:r w:rsidR="00E776EE">
              <w:rPr>
                <w:rFonts w:asciiTheme="minorHAnsi" w:hAnsiTheme="minorHAnsi" w:cs="Arial"/>
                <w:color w:val="595959" w:themeColor="text1" w:themeTint="A6"/>
                <w:sz w:val="22"/>
                <w:szCs w:val="22"/>
                <w:lang w:eastAsia="en-GB"/>
              </w:rPr>
              <w:t>s</w:t>
            </w:r>
            <w:r w:rsidRPr="00CC56FB">
              <w:rPr>
                <w:rFonts w:asciiTheme="minorHAnsi" w:hAnsiTheme="minorHAnsi" w:cs="Arial"/>
                <w:color w:val="595959" w:themeColor="text1" w:themeTint="A6"/>
                <w:sz w:val="22"/>
                <w:szCs w:val="22"/>
                <w:lang w:eastAsia="en-GB"/>
              </w:rPr>
              <w:t xml:space="preserve"> – </w:t>
            </w:r>
            <w:r w:rsidR="00E776EE">
              <w:rPr>
                <w:rFonts w:asciiTheme="minorHAnsi" w:hAnsiTheme="minorHAnsi" w:cs="Arial"/>
                <w:color w:val="595959" w:themeColor="text1" w:themeTint="A6"/>
                <w:sz w:val="22"/>
                <w:szCs w:val="22"/>
                <w:lang w:eastAsia="en-GB"/>
              </w:rPr>
              <w:t xml:space="preserve">Analysts from </w:t>
            </w:r>
            <w:r w:rsidRPr="00CC56FB">
              <w:rPr>
                <w:rFonts w:asciiTheme="minorHAnsi" w:hAnsiTheme="minorHAnsi" w:cs="Arial"/>
                <w:color w:val="595959" w:themeColor="text1" w:themeTint="A6"/>
                <w:sz w:val="22"/>
                <w:szCs w:val="22"/>
                <w:lang w:eastAsia="en-GB"/>
              </w:rPr>
              <w:t xml:space="preserve">within PHE. </w:t>
            </w:r>
            <w:r w:rsidR="00BE694E">
              <w:rPr>
                <w:rFonts w:asciiTheme="minorHAnsi" w:hAnsiTheme="minorHAnsi" w:cs="Arial"/>
                <w:color w:val="595959" w:themeColor="text1" w:themeTint="A6"/>
                <w:sz w:val="22"/>
                <w:szCs w:val="22"/>
                <w:lang w:eastAsia="en-GB"/>
              </w:rPr>
              <w:t>At the end of training internal attendees should be able to facilitate and support the use of PHE health economics tool</w:t>
            </w:r>
            <w:r w:rsidR="00DB66FB">
              <w:rPr>
                <w:rFonts w:asciiTheme="minorHAnsi" w:hAnsiTheme="minorHAnsi" w:cs="Arial"/>
                <w:color w:val="595959" w:themeColor="text1" w:themeTint="A6"/>
                <w:sz w:val="22"/>
                <w:szCs w:val="22"/>
                <w:lang w:eastAsia="en-GB"/>
              </w:rPr>
              <w:t>s</w:t>
            </w:r>
            <w:r w:rsidR="00BE694E">
              <w:rPr>
                <w:rFonts w:asciiTheme="minorHAnsi" w:hAnsiTheme="minorHAnsi" w:cs="Arial"/>
                <w:color w:val="595959" w:themeColor="text1" w:themeTint="A6"/>
                <w:sz w:val="22"/>
                <w:szCs w:val="22"/>
                <w:lang w:eastAsia="en-GB"/>
              </w:rPr>
              <w:t xml:space="preserve"> in LAs. This will require a deeper understanding of the tools, their underlying methodology and health economics principles. </w:t>
            </w:r>
            <w:r w:rsidR="00FD09CC">
              <w:rPr>
                <w:rFonts w:asciiTheme="minorHAnsi" w:hAnsiTheme="minorHAnsi" w:cs="Arial"/>
                <w:color w:val="595959" w:themeColor="text1" w:themeTint="A6"/>
                <w:sz w:val="22"/>
                <w:szCs w:val="22"/>
                <w:lang w:eastAsia="en-GB"/>
              </w:rPr>
              <w:t>This group will have a greater starting understanding of the principles</w:t>
            </w:r>
            <w:r w:rsidR="00DB66FB">
              <w:rPr>
                <w:rFonts w:asciiTheme="minorHAnsi" w:hAnsiTheme="minorHAnsi" w:cs="Arial"/>
                <w:color w:val="595959" w:themeColor="text1" w:themeTint="A6"/>
                <w:sz w:val="22"/>
                <w:szCs w:val="22"/>
                <w:lang w:eastAsia="en-GB"/>
              </w:rPr>
              <w:t xml:space="preserve"> than external attendees</w:t>
            </w:r>
            <w:r w:rsidRPr="00CC56FB">
              <w:rPr>
                <w:rFonts w:asciiTheme="minorHAnsi" w:hAnsiTheme="minorHAnsi" w:cs="Arial"/>
                <w:color w:val="595959" w:themeColor="text1" w:themeTint="A6"/>
                <w:sz w:val="22"/>
                <w:szCs w:val="22"/>
                <w:lang w:eastAsia="en-GB"/>
              </w:rPr>
              <w:t>.</w:t>
            </w:r>
          </w:p>
          <w:p w:rsidR="00FD09CC" w:rsidRDefault="00FD09CC" w:rsidP="00FD09CC">
            <w:pPr>
              <w:spacing w:line="280" w:lineRule="exact"/>
              <w:ind w:left="360"/>
              <w:jc w:val="both"/>
              <w:rPr>
                <w:rFonts w:asciiTheme="minorHAnsi" w:hAnsiTheme="minorHAnsi" w:cs="Arial"/>
                <w:color w:val="595959" w:themeColor="text1" w:themeTint="A6"/>
                <w:sz w:val="22"/>
                <w:szCs w:val="22"/>
                <w:lang w:eastAsia="en-GB"/>
              </w:rPr>
            </w:pPr>
          </w:p>
          <w:p w:rsidR="00C82E13" w:rsidRPr="009C3B08" w:rsidRDefault="00DB66FB" w:rsidP="00DB66FB">
            <w:pPr>
              <w:spacing w:line="280" w:lineRule="exact"/>
              <w:jc w:val="both"/>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The proportion of training time</w:t>
            </w:r>
            <w:r w:rsidR="00FD09CC" w:rsidRPr="00CC56FB">
              <w:rPr>
                <w:rFonts w:asciiTheme="minorHAnsi" w:hAnsiTheme="minorHAnsi" w:cs="Arial"/>
                <w:color w:val="595959" w:themeColor="text1" w:themeTint="A6"/>
                <w:sz w:val="22"/>
                <w:szCs w:val="22"/>
                <w:lang w:eastAsia="en-GB"/>
              </w:rPr>
              <w:t xml:space="preserve"> dedicated to each </w:t>
            </w:r>
            <w:r>
              <w:rPr>
                <w:rFonts w:asciiTheme="minorHAnsi" w:hAnsiTheme="minorHAnsi" w:cs="Arial"/>
                <w:color w:val="595959" w:themeColor="text1" w:themeTint="A6"/>
                <w:sz w:val="22"/>
                <w:szCs w:val="22"/>
                <w:lang w:eastAsia="en-GB"/>
              </w:rPr>
              <w:t xml:space="preserve">attendee type </w:t>
            </w:r>
            <w:r w:rsidR="00FD09CC" w:rsidRPr="00CC56FB">
              <w:rPr>
                <w:rFonts w:asciiTheme="minorHAnsi" w:hAnsiTheme="minorHAnsi" w:cs="Arial"/>
                <w:color w:val="595959" w:themeColor="text1" w:themeTint="A6"/>
                <w:sz w:val="22"/>
                <w:szCs w:val="22"/>
                <w:lang w:eastAsia="en-GB"/>
              </w:rPr>
              <w:t>is to be finalised and subject to change over the duration of contract in order to reflect the needs of PHE.</w:t>
            </w:r>
          </w:p>
        </w:tc>
      </w:tr>
      <w:tr w:rsidR="00C82E13" w:rsidRPr="00346BA0" w:rsidTr="0072462A">
        <w:tc>
          <w:tcPr>
            <w:tcW w:w="396" w:type="pct"/>
          </w:tcPr>
          <w:p w:rsidR="00C82E13" w:rsidRPr="00346BA0" w:rsidRDefault="001E60A1" w:rsidP="00346BA0">
            <w:pPr>
              <w:rPr>
                <w:rFonts w:ascii="Calibri" w:hAnsi="Calibri"/>
                <w:b/>
                <w:color w:val="0070C0"/>
              </w:rPr>
            </w:pPr>
            <w:r>
              <w:rPr>
                <w:rFonts w:ascii="Calibri" w:hAnsi="Calibri"/>
                <w:b/>
                <w:color w:val="0070C0"/>
              </w:rPr>
              <w:t>3</w:t>
            </w:r>
            <w:r w:rsidR="00C82E13">
              <w:rPr>
                <w:rFonts w:ascii="Calibri" w:hAnsi="Calibri"/>
                <w:b/>
                <w:color w:val="0070C0"/>
              </w:rPr>
              <w:t>.2</w:t>
            </w:r>
          </w:p>
        </w:tc>
        <w:tc>
          <w:tcPr>
            <w:tcW w:w="4540" w:type="pct"/>
          </w:tcPr>
          <w:p w:rsidR="00C82E13" w:rsidRPr="00BD59F4" w:rsidRDefault="00C82E13" w:rsidP="00346BA0">
            <w:pPr>
              <w:rPr>
                <w:rFonts w:ascii="Calibri" w:hAnsi="Calibri"/>
                <w:b/>
                <w:color w:val="0070C0"/>
              </w:rPr>
            </w:pPr>
            <w:r w:rsidRPr="00BD59F4">
              <w:rPr>
                <w:rFonts w:ascii="Calibri" w:hAnsi="Calibri"/>
                <w:b/>
                <w:color w:val="0070C0"/>
              </w:rPr>
              <w:t>Service description</w:t>
            </w:r>
          </w:p>
          <w:p w:rsidR="00C82E13" w:rsidRPr="00031E9D" w:rsidRDefault="00FD09CC" w:rsidP="00717B65">
            <w:pPr>
              <w:spacing w:line="280" w:lineRule="exact"/>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 xml:space="preserve">Training will be provided across the </w:t>
            </w:r>
            <w:r w:rsidR="009C3B08">
              <w:rPr>
                <w:rFonts w:asciiTheme="minorHAnsi" w:hAnsiTheme="minorHAnsi" w:cs="Arial"/>
                <w:color w:val="595959" w:themeColor="text1" w:themeTint="A6"/>
                <w:sz w:val="22"/>
                <w:szCs w:val="22"/>
                <w:lang w:eastAsia="en-GB"/>
              </w:rPr>
              <w:t xml:space="preserve">nine </w:t>
            </w:r>
            <w:r w:rsidR="00CC56FB" w:rsidRPr="00031E9D">
              <w:rPr>
                <w:rFonts w:asciiTheme="minorHAnsi" w:hAnsiTheme="minorHAnsi" w:cs="Arial"/>
                <w:color w:val="595959" w:themeColor="text1" w:themeTint="A6"/>
                <w:sz w:val="22"/>
                <w:szCs w:val="22"/>
                <w:lang w:eastAsia="en-GB"/>
              </w:rPr>
              <w:t>PHE centre</w:t>
            </w:r>
            <w:r w:rsidR="009C3B08">
              <w:rPr>
                <w:rFonts w:asciiTheme="minorHAnsi" w:hAnsiTheme="minorHAnsi" w:cs="Arial"/>
                <w:color w:val="595959" w:themeColor="text1" w:themeTint="A6"/>
                <w:sz w:val="22"/>
                <w:szCs w:val="22"/>
                <w:lang w:eastAsia="en-GB"/>
              </w:rPr>
              <w:t>s</w:t>
            </w:r>
            <w:r w:rsidR="00CC56FB" w:rsidRPr="00031E9D">
              <w:rPr>
                <w:rFonts w:asciiTheme="minorHAnsi" w:hAnsiTheme="minorHAnsi" w:cs="Arial"/>
                <w:color w:val="595959" w:themeColor="text1" w:themeTint="A6"/>
                <w:sz w:val="22"/>
                <w:szCs w:val="22"/>
                <w:lang w:eastAsia="en-GB"/>
              </w:rPr>
              <w:t xml:space="preserve">. </w:t>
            </w:r>
          </w:p>
          <w:p w:rsidR="00CC56FB" w:rsidRPr="00031E9D" w:rsidRDefault="00CC56FB" w:rsidP="00717B65">
            <w:pPr>
              <w:spacing w:line="280" w:lineRule="exact"/>
              <w:rPr>
                <w:rFonts w:asciiTheme="minorHAnsi" w:hAnsiTheme="minorHAnsi" w:cs="Arial"/>
                <w:color w:val="595959" w:themeColor="text1" w:themeTint="A6"/>
                <w:sz w:val="22"/>
                <w:szCs w:val="22"/>
                <w:lang w:eastAsia="en-GB"/>
              </w:rPr>
            </w:pPr>
          </w:p>
          <w:p w:rsidR="00CC56FB" w:rsidRPr="00031E9D" w:rsidRDefault="00FD09CC" w:rsidP="00717B65">
            <w:pPr>
              <w:spacing w:line="280" w:lineRule="exact"/>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Given the practical nature of the training material, the provider should ensure that a sufficient number of knowledgeable</w:t>
            </w:r>
            <w:r w:rsidR="00DB66FB">
              <w:rPr>
                <w:rFonts w:asciiTheme="minorHAnsi" w:hAnsiTheme="minorHAnsi" w:cs="Arial"/>
                <w:color w:val="595959" w:themeColor="text1" w:themeTint="A6"/>
                <w:sz w:val="22"/>
                <w:szCs w:val="22"/>
                <w:lang w:eastAsia="en-GB"/>
              </w:rPr>
              <w:t xml:space="preserve"> staff </w:t>
            </w:r>
            <w:proofErr w:type="gramStart"/>
            <w:r w:rsidR="00DB66FB">
              <w:rPr>
                <w:rFonts w:asciiTheme="minorHAnsi" w:hAnsiTheme="minorHAnsi" w:cs="Arial"/>
                <w:color w:val="595959" w:themeColor="text1" w:themeTint="A6"/>
                <w:sz w:val="22"/>
                <w:szCs w:val="22"/>
                <w:lang w:eastAsia="en-GB"/>
              </w:rPr>
              <w:t>are</w:t>
            </w:r>
            <w:proofErr w:type="gramEnd"/>
            <w:r>
              <w:rPr>
                <w:rFonts w:asciiTheme="minorHAnsi" w:hAnsiTheme="minorHAnsi" w:cs="Arial"/>
                <w:color w:val="595959" w:themeColor="text1" w:themeTint="A6"/>
                <w:sz w:val="22"/>
                <w:szCs w:val="22"/>
                <w:lang w:eastAsia="en-GB"/>
              </w:rPr>
              <w:t xml:space="preserve"> present at each session to facilitate learning and development</w:t>
            </w:r>
            <w:r w:rsidR="00384E00">
              <w:rPr>
                <w:rFonts w:asciiTheme="minorHAnsi" w:hAnsiTheme="minorHAnsi" w:cs="Arial"/>
                <w:color w:val="595959" w:themeColor="text1" w:themeTint="A6"/>
                <w:sz w:val="22"/>
                <w:szCs w:val="22"/>
                <w:lang w:eastAsia="en-GB"/>
              </w:rPr>
              <w:t>.</w:t>
            </w:r>
          </w:p>
          <w:p w:rsidR="00031E9D" w:rsidRPr="00031E9D" w:rsidRDefault="00031E9D" w:rsidP="00717B65">
            <w:pPr>
              <w:spacing w:line="280" w:lineRule="exact"/>
              <w:rPr>
                <w:rFonts w:asciiTheme="minorHAnsi" w:hAnsiTheme="minorHAnsi" w:cs="Arial"/>
                <w:color w:val="595959" w:themeColor="text1" w:themeTint="A6"/>
                <w:sz w:val="22"/>
                <w:szCs w:val="22"/>
                <w:lang w:eastAsia="en-GB"/>
              </w:rPr>
            </w:pPr>
          </w:p>
          <w:p w:rsidR="00031E9D" w:rsidRPr="00031E9D" w:rsidRDefault="00031E9D" w:rsidP="00717B65">
            <w:pPr>
              <w:spacing w:line="280" w:lineRule="exact"/>
              <w:rPr>
                <w:rFonts w:asciiTheme="minorHAnsi" w:hAnsiTheme="minorHAnsi" w:cs="Arial"/>
                <w:color w:val="595959" w:themeColor="text1" w:themeTint="A6"/>
                <w:sz w:val="22"/>
                <w:szCs w:val="22"/>
                <w:lang w:eastAsia="en-GB"/>
              </w:rPr>
            </w:pPr>
            <w:r w:rsidRPr="00031E9D">
              <w:rPr>
                <w:rFonts w:asciiTheme="minorHAnsi" w:hAnsiTheme="minorHAnsi" w:cs="Arial"/>
                <w:color w:val="595959" w:themeColor="text1" w:themeTint="A6"/>
                <w:sz w:val="22"/>
                <w:szCs w:val="22"/>
                <w:lang w:eastAsia="en-GB"/>
              </w:rPr>
              <w:t>The provider will have primary responsibility for preparing material and learning resources for all courses, with input and final approval from PHE.</w:t>
            </w:r>
            <w:r w:rsidR="00FD09CC">
              <w:rPr>
                <w:rFonts w:asciiTheme="minorHAnsi" w:hAnsiTheme="minorHAnsi" w:cs="Arial"/>
                <w:color w:val="595959" w:themeColor="text1" w:themeTint="A6"/>
                <w:sz w:val="22"/>
                <w:szCs w:val="22"/>
                <w:lang w:eastAsia="en-GB"/>
              </w:rPr>
              <w:t xml:space="preserve"> Given the rapid turnover of staff within LAs and the rapid need of workforce upskill</w:t>
            </w:r>
            <w:r w:rsidR="00DB66FB">
              <w:rPr>
                <w:rFonts w:asciiTheme="minorHAnsi" w:hAnsiTheme="minorHAnsi" w:cs="Arial"/>
                <w:color w:val="595959" w:themeColor="text1" w:themeTint="A6"/>
                <w:sz w:val="22"/>
                <w:szCs w:val="22"/>
                <w:lang w:eastAsia="en-GB"/>
              </w:rPr>
              <w:t>ing, a train-the-</w:t>
            </w:r>
            <w:r w:rsidR="00FD09CC">
              <w:rPr>
                <w:rFonts w:asciiTheme="minorHAnsi" w:hAnsiTheme="minorHAnsi" w:cs="Arial"/>
                <w:color w:val="595959" w:themeColor="text1" w:themeTint="A6"/>
                <w:sz w:val="22"/>
                <w:szCs w:val="22"/>
                <w:lang w:eastAsia="en-GB"/>
              </w:rPr>
              <w:t>trainer approach should be used. This will be further supported by the development of take-away materials which can solidify the knowledge attendees have gained during training.</w:t>
            </w:r>
          </w:p>
          <w:p w:rsidR="00C82E13" w:rsidRPr="00031E9D" w:rsidRDefault="00C82E13" w:rsidP="00717B65">
            <w:pPr>
              <w:spacing w:line="280" w:lineRule="exact"/>
              <w:rPr>
                <w:rFonts w:asciiTheme="minorHAnsi" w:hAnsiTheme="minorHAnsi" w:cs="Arial"/>
                <w:color w:val="595959" w:themeColor="text1" w:themeTint="A6"/>
                <w:sz w:val="22"/>
                <w:szCs w:val="22"/>
                <w:lang w:eastAsia="en-GB"/>
              </w:rPr>
            </w:pPr>
          </w:p>
          <w:p w:rsidR="00031E9D" w:rsidRDefault="00086FC4" w:rsidP="00031E9D">
            <w:pPr>
              <w:rPr>
                <w:rFonts w:asciiTheme="minorHAnsi" w:hAnsiTheme="minorHAnsi" w:cs="Arial"/>
                <w:color w:val="595959" w:themeColor="text1" w:themeTint="A6"/>
                <w:sz w:val="22"/>
                <w:szCs w:val="22"/>
                <w:lang w:eastAsia="en-GB"/>
              </w:rPr>
            </w:pPr>
            <w:r w:rsidRPr="00031E9D">
              <w:rPr>
                <w:rFonts w:asciiTheme="minorHAnsi" w:hAnsiTheme="minorHAnsi" w:cs="Arial"/>
                <w:color w:val="595959" w:themeColor="text1" w:themeTint="A6"/>
                <w:sz w:val="22"/>
                <w:szCs w:val="22"/>
                <w:lang w:eastAsia="en-GB"/>
              </w:rPr>
              <w:t xml:space="preserve">The </w:t>
            </w:r>
            <w:r w:rsidR="00031E9D" w:rsidRPr="00031E9D">
              <w:rPr>
                <w:rFonts w:asciiTheme="minorHAnsi" w:hAnsiTheme="minorHAnsi" w:cs="Arial"/>
                <w:color w:val="595959" w:themeColor="text1" w:themeTint="A6"/>
                <w:sz w:val="22"/>
                <w:szCs w:val="22"/>
                <w:lang w:eastAsia="en-GB"/>
              </w:rPr>
              <w:t>provider</w:t>
            </w:r>
            <w:r w:rsidRPr="00031E9D">
              <w:rPr>
                <w:rFonts w:asciiTheme="minorHAnsi" w:hAnsiTheme="minorHAnsi" w:cs="Arial"/>
                <w:color w:val="595959" w:themeColor="text1" w:themeTint="A6"/>
                <w:sz w:val="22"/>
                <w:szCs w:val="22"/>
                <w:lang w:eastAsia="en-GB"/>
              </w:rPr>
              <w:t xml:space="preserve"> will be expected to start rolling out courses </w:t>
            </w:r>
            <w:r w:rsidR="00E61E5E">
              <w:rPr>
                <w:rFonts w:asciiTheme="minorHAnsi" w:hAnsiTheme="minorHAnsi" w:cs="Arial"/>
                <w:color w:val="595959" w:themeColor="text1" w:themeTint="A6"/>
                <w:sz w:val="22"/>
                <w:szCs w:val="22"/>
                <w:lang w:eastAsia="en-GB"/>
              </w:rPr>
              <w:t>before the end of</w:t>
            </w:r>
            <w:r w:rsidR="00031E9D" w:rsidRPr="00031E9D">
              <w:rPr>
                <w:rFonts w:asciiTheme="minorHAnsi" w:hAnsiTheme="minorHAnsi" w:cs="Arial"/>
                <w:color w:val="595959" w:themeColor="text1" w:themeTint="A6"/>
                <w:sz w:val="22"/>
                <w:szCs w:val="22"/>
                <w:lang w:eastAsia="en-GB"/>
              </w:rPr>
              <w:t xml:space="preserve"> 2017</w:t>
            </w:r>
            <w:r w:rsidR="009C3B08">
              <w:rPr>
                <w:rFonts w:asciiTheme="minorHAnsi" w:hAnsiTheme="minorHAnsi" w:cs="Arial"/>
                <w:color w:val="595959" w:themeColor="text1" w:themeTint="A6"/>
                <w:sz w:val="22"/>
                <w:szCs w:val="22"/>
                <w:lang w:eastAsia="en-GB"/>
              </w:rPr>
              <w:t xml:space="preserve">, with that </w:t>
            </w:r>
            <w:r w:rsidR="00E61E5E">
              <w:rPr>
                <w:rFonts w:asciiTheme="minorHAnsi" w:hAnsiTheme="minorHAnsi" w:cs="Arial"/>
                <w:color w:val="595959" w:themeColor="text1" w:themeTint="A6"/>
                <w:sz w:val="22"/>
                <w:szCs w:val="22"/>
                <w:lang w:eastAsia="en-GB"/>
              </w:rPr>
              <w:t>years courses completed by June</w:t>
            </w:r>
            <w:r w:rsidR="009C3B08">
              <w:rPr>
                <w:rFonts w:asciiTheme="minorHAnsi" w:hAnsiTheme="minorHAnsi" w:cs="Arial"/>
                <w:color w:val="595959" w:themeColor="text1" w:themeTint="A6"/>
                <w:sz w:val="22"/>
                <w:szCs w:val="22"/>
                <w:lang w:eastAsia="en-GB"/>
              </w:rPr>
              <w:t xml:space="preserve"> 2018. </w:t>
            </w:r>
          </w:p>
          <w:p w:rsidR="00031E9D" w:rsidRDefault="00031E9D" w:rsidP="00031E9D">
            <w:pPr>
              <w:rPr>
                <w:rFonts w:asciiTheme="minorHAnsi" w:hAnsiTheme="minorHAnsi" w:cs="Arial"/>
                <w:color w:val="595959" w:themeColor="text1" w:themeTint="A6"/>
                <w:sz w:val="22"/>
                <w:szCs w:val="22"/>
                <w:lang w:eastAsia="en-GB"/>
              </w:rPr>
            </w:pPr>
          </w:p>
          <w:p w:rsidR="00C82E13" w:rsidRPr="00717B65" w:rsidRDefault="00FD09CC" w:rsidP="00717B65">
            <w:pPr>
              <w:spacing w:line="280" w:lineRule="exact"/>
              <w:jc w:val="both"/>
              <w:rPr>
                <w:rFonts w:asciiTheme="minorHAnsi" w:hAnsiTheme="minorHAnsi" w:cs="Arial"/>
                <w:sz w:val="22"/>
                <w:szCs w:val="22"/>
                <w:lang w:eastAsia="en-GB"/>
              </w:rPr>
            </w:pPr>
            <w:r>
              <w:rPr>
                <w:rFonts w:asciiTheme="minorHAnsi" w:hAnsiTheme="minorHAnsi" w:cs="Arial"/>
                <w:color w:val="595959" w:themeColor="text1" w:themeTint="A6"/>
                <w:sz w:val="22"/>
                <w:szCs w:val="22"/>
                <w:lang w:eastAsia="en-GB"/>
              </w:rPr>
              <w:t xml:space="preserve">In order that the impact of training is understood, an evaluation should be conducted by </w:t>
            </w:r>
            <w:r>
              <w:rPr>
                <w:rFonts w:asciiTheme="minorHAnsi" w:hAnsiTheme="minorHAnsi" w:cs="Arial"/>
                <w:color w:val="595959" w:themeColor="text1" w:themeTint="A6"/>
                <w:sz w:val="22"/>
                <w:szCs w:val="22"/>
                <w:lang w:eastAsia="en-GB"/>
              </w:rPr>
              <w:lastRenderedPageBreak/>
              <w:t xml:space="preserve">the provider at the end of the first year. The focus of the evaluation should be </w:t>
            </w:r>
            <w:r w:rsidR="00DB66FB">
              <w:rPr>
                <w:rFonts w:asciiTheme="minorHAnsi" w:hAnsiTheme="minorHAnsi" w:cs="Arial"/>
                <w:color w:val="595959" w:themeColor="text1" w:themeTint="A6"/>
                <w:sz w:val="22"/>
                <w:szCs w:val="22"/>
                <w:lang w:eastAsia="en-GB"/>
              </w:rPr>
              <w:t xml:space="preserve">on </w:t>
            </w:r>
            <w:r>
              <w:rPr>
                <w:rFonts w:asciiTheme="minorHAnsi" w:hAnsiTheme="minorHAnsi" w:cs="Arial"/>
                <w:color w:val="595959" w:themeColor="text1" w:themeTint="A6"/>
                <w:sz w:val="22"/>
                <w:szCs w:val="22"/>
                <w:lang w:eastAsia="en-GB"/>
              </w:rPr>
              <w:t>whether the training has led to a greater understanding and use of PHE health economics tool in local healthcare decision making.</w:t>
            </w:r>
          </w:p>
        </w:tc>
      </w:tr>
      <w:tr w:rsidR="00C82E13" w:rsidRPr="00346BA0" w:rsidTr="0072462A">
        <w:tc>
          <w:tcPr>
            <w:tcW w:w="396" w:type="pct"/>
          </w:tcPr>
          <w:p w:rsidR="00C82E13" w:rsidRDefault="001E60A1" w:rsidP="00354CF7">
            <w:pPr>
              <w:rPr>
                <w:rFonts w:ascii="Calibri" w:hAnsi="Calibri"/>
                <w:b/>
                <w:color w:val="0070C0"/>
              </w:rPr>
            </w:pPr>
            <w:r>
              <w:rPr>
                <w:rFonts w:ascii="Calibri" w:hAnsi="Calibri"/>
                <w:b/>
                <w:color w:val="0070C0"/>
              </w:rPr>
              <w:lastRenderedPageBreak/>
              <w:t>3.6</w:t>
            </w:r>
          </w:p>
        </w:tc>
        <w:tc>
          <w:tcPr>
            <w:tcW w:w="4540" w:type="pct"/>
          </w:tcPr>
          <w:p w:rsidR="00C82E13" w:rsidRDefault="00C82E13" w:rsidP="00346BA0">
            <w:pPr>
              <w:rPr>
                <w:rFonts w:ascii="Calibri" w:hAnsi="Calibri"/>
                <w:b/>
                <w:color w:val="0070C0"/>
              </w:rPr>
            </w:pPr>
            <w:r>
              <w:rPr>
                <w:rFonts w:ascii="Calibri" w:hAnsi="Calibri"/>
                <w:b/>
                <w:color w:val="0070C0"/>
              </w:rPr>
              <w:t>Contacts and interdependencies</w:t>
            </w:r>
          </w:p>
          <w:p w:rsidR="00C82E13" w:rsidRPr="009C29F5" w:rsidRDefault="00C82E13" w:rsidP="00031E9D">
            <w:pPr>
              <w:spacing w:line="280" w:lineRule="exact"/>
              <w:jc w:val="both"/>
              <w:rPr>
                <w:rFonts w:asciiTheme="minorHAnsi" w:hAnsiTheme="minorHAnsi" w:cs="Arial"/>
                <w:sz w:val="22"/>
                <w:szCs w:val="22"/>
                <w:lang w:eastAsia="en-GB"/>
              </w:rPr>
            </w:pPr>
            <w:r w:rsidRPr="00832CCF">
              <w:rPr>
                <w:rFonts w:ascii="Calibri" w:hAnsi="Calibri"/>
                <w:color w:val="595959" w:themeColor="text1" w:themeTint="A6"/>
                <w:sz w:val="22"/>
                <w:szCs w:val="22"/>
              </w:rPr>
              <w:t xml:space="preserve">It is expected that the </w:t>
            </w:r>
            <w:r>
              <w:rPr>
                <w:rFonts w:asciiTheme="minorHAnsi" w:hAnsiTheme="minorHAnsi" w:cs="Arial"/>
                <w:color w:val="595959" w:themeColor="text1" w:themeTint="A6"/>
                <w:sz w:val="22"/>
                <w:szCs w:val="22"/>
                <w:lang w:eastAsia="en-GB"/>
              </w:rPr>
              <w:t>PHE</w:t>
            </w:r>
            <w:r w:rsidRPr="00832CCF">
              <w:rPr>
                <w:rFonts w:asciiTheme="minorHAnsi" w:hAnsiTheme="minorHAnsi" w:cs="Arial"/>
                <w:color w:val="595959" w:themeColor="text1" w:themeTint="A6"/>
                <w:sz w:val="22"/>
                <w:szCs w:val="22"/>
                <w:lang w:eastAsia="en-GB"/>
              </w:rPr>
              <w:t xml:space="preserve"> </w:t>
            </w:r>
            <w:r>
              <w:rPr>
                <w:rFonts w:asciiTheme="minorHAnsi" w:hAnsiTheme="minorHAnsi" w:cs="Arial"/>
                <w:color w:val="595959" w:themeColor="text1" w:themeTint="A6"/>
                <w:sz w:val="22"/>
                <w:szCs w:val="22"/>
                <w:lang w:eastAsia="en-GB"/>
              </w:rPr>
              <w:t>organisation</w:t>
            </w:r>
            <w:r w:rsidRPr="00717B65">
              <w:rPr>
                <w:rFonts w:asciiTheme="minorHAnsi" w:hAnsiTheme="minorHAnsi" w:cs="Arial"/>
                <w:color w:val="595959" w:themeColor="text1" w:themeTint="A6"/>
                <w:sz w:val="22"/>
                <w:szCs w:val="22"/>
                <w:lang w:eastAsia="en-GB"/>
              </w:rPr>
              <w:t xml:space="preserve"> </w:t>
            </w:r>
            <w:r w:rsidRPr="00832CCF">
              <w:rPr>
                <w:rFonts w:ascii="Calibri" w:hAnsi="Calibri"/>
                <w:color w:val="595959" w:themeColor="text1" w:themeTint="A6"/>
                <w:sz w:val="22"/>
                <w:szCs w:val="22"/>
              </w:rPr>
              <w:t xml:space="preserve">will have mutually dependent working relationships with providers and organisations relevant to the delivery of the service. The provider is also expected to demonstrate a commitment to collaborating effectively and developing excellent working relationships with </w:t>
            </w:r>
            <w:r>
              <w:rPr>
                <w:rFonts w:asciiTheme="minorHAnsi" w:hAnsiTheme="minorHAnsi" w:cs="Arial"/>
                <w:color w:val="595959" w:themeColor="text1" w:themeTint="A6"/>
                <w:sz w:val="22"/>
                <w:szCs w:val="22"/>
                <w:lang w:eastAsia="en-GB"/>
              </w:rPr>
              <w:t>the PHE</w:t>
            </w:r>
            <w:r w:rsidRPr="00832CCF">
              <w:rPr>
                <w:rFonts w:asciiTheme="minorHAnsi" w:hAnsiTheme="minorHAnsi" w:cs="Arial"/>
                <w:color w:val="595959" w:themeColor="text1" w:themeTint="A6"/>
                <w:sz w:val="22"/>
                <w:szCs w:val="22"/>
                <w:lang w:eastAsia="en-GB"/>
              </w:rPr>
              <w:t xml:space="preserve"> </w:t>
            </w:r>
            <w:r>
              <w:rPr>
                <w:rFonts w:asciiTheme="minorHAnsi" w:hAnsiTheme="minorHAnsi" w:cs="Arial"/>
                <w:color w:val="595959" w:themeColor="text1" w:themeTint="A6"/>
                <w:sz w:val="22"/>
                <w:szCs w:val="22"/>
                <w:lang w:eastAsia="en-GB"/>
              </w:rPr>
              <w:t>organisation</w:t>
            </w:r>
            <w:r w:rsidRPr="00717B65">
              <w:rPr>
                <w:rFonts w:asciiTheme="minorHAnsi" w:hAnsiTheme="minorHAnsi" w:cs="Arial"/>
                <w:color w:val="595959" w:themeColor="text1" w:themeTint="A6"/>
                <w:sz w:val="22"/>
                <w:szCs w:val="22"/>
                <w:lang w:eastAsia="en-GB"/>
              </w:rPr>
              <w:t xml:space="preserve"> </w:t>
            </w:r>
            <w:r w:rsidRPr="00832CCF">
              <w:rPr>
                <w:rFonts w:ascii="Calibri" w:hAnsi="Calibri"/>
                <w:color w:val="595959" w:themeColor="text1" w:themeTint="A6"/>
                <w:sz w:val="22"/>
                <w:szCs w:val="22"/>
              </w:rPr>
              <w:t xml:space="preserve">and other relevant professionals and organisations in order to achieve agreed outcomes.  </w:t>
            </w:r>
          </w:p>
        </w:tc>
      </w:tr>
      <w:tr w:rsidR="00C82E13" w:rsidRPr="00346BA0" w:rsidTr="0072462A">
        <w:tc>
          <w:tcPr>
            <w:tcW w:w="396" w:type="pct"/>
          </w:tcPr>
          <w:p w:rsidR="00C82E13" w:rsidRDefault="001E60A1" w:rsidP="00346BA0">
            <w:pPr>
              <w:rPr>
                <w:rFonts w:ascii="Calibri" w:hAnsi="Calibri"/>
                <w:b/>
                <w:color w:val="0070C0"/>
              </w:rPr>
            </w:pPr>
            <w:r>
              <w:rPr>
                <w:rFonts w:ascii="Calibri" w:hAnsi="Calibri"/>
                <w:b/>
                <w:color w:val="0070C0"/>
              </w:rPr>
              <w:t>4</w:t>
            </w:r>
            <w:r w:rsidR="00C82E13">
              <w:rPr>
                <w:rFonts w:ascii="Calibri" w:hAnsi="Calibri"/>
                <w:b/>
                <w:color w:val="0070C0"/>
              </w:rPr>
              <w:t>.</w:t>
            </w:r>
          </w:p>
        </w:tc>
        <w:tc>
          <w:tcPr>
            <w:tcW w:w="4540" w:type="pct"/>
          </w:tcPr>
          <w:p w:rsidR="00C82E13" w:rsidRDefault="00C82E13" w:rsidP="00346BA0">
            <w:pPr>
              <w:rPr>
                <w:rFonts w:ascii="Calibri" w:hAnsi="Calibri"/>
                <w:b/>
                <w:color w:val="0070C0"/>
              </w:rPr>
            </w:pPr>
            <w:r>
              <w:rPr>
                <w:rFonts w:ascii="Calibri" w:hAnsi="Calibri"/>
                <w:b/>
                <w:color w:val="0070C0"/>
              </w:rPr>
              <w:t xml:space="preserve">Service Standards </w:t>
            </w:r>
          </w:p>
          <w:p w:rsidR="00C82E13" w:rsidRPr="009C29F5" w:rsidRDefault="00C82E13" w:rsidP="009A7751">
            <w:pPr>
              <w:ind w:left="24"/>
              <w:jc w:val="both"/>
              <w:rPr>
                <w:rFonts w:ascii="Calibri" w:hAnsi="Calibri"/>
                <w:color w:val="808080" w:themeColor="background1" w:themeShade="80"/>
                <w:sz w:val="22"/>
                <w:szCs w:val="22"/>
              </w:rPr>
            </w:pPr>
          </w:p>
        </w:tc>
      </w:tr>
      <w:tr w:rsidR="00C82E13" w:rsidRPr="00346BA0" w:rsidTr="0072462A">
        <w:tc>
          <w:tcPr>
            <w:tcW w:w="396" w:type="pct"/>
          </w:tcPr>
          <w:p w:rsidR="00C82E13" w:rsidRDefault="001E60A1" w:rsidP="00346BA0">
            <w:pPr>
              <w:rPr>
                <w:rFonts w:ascii="Calibri" w:hAnsi="Calibri"/>
                <w:b/>
                <w:color w:val="0070C0"/>
              </w:rPr>
            </w:pPr>
            <w:r>
              <w:rPr>
                <w:rFonts w:ascii="Calibri" w:hAnsi="Calibri"/>
                <w:b/>
                <w:color w:val="0070C0"/>
              </w:rPr>
              <w:t>4</w:t>
            </w:r>
            <w:r w:rsidR="00C82E13">
              <w:rPr>
                <w:rFonts w:ascii="Calibri" w:hAnsi="Calibri"/>
                <w:b/>
                <w:color w:val="0070C0"/>
              </w:rPr>
              <w:t>.1</w:t>
            </w:r>
          </w:p>
        </w:tc>
        <w:tc>
          <w:tcPr>
            <w:tcW w:w="4540" w:type="pct"/>
          </w:tcPr>
          <w:p w:rsidR="00C82E13" w:rsidRPr="008942A4" w:rsidRDefault="002A30E1" w:rsidP="00346BA0">
            <w:pPr>
              <w:rPr>
                <w:rFonts w:asciiTheme="minorHAnsi" w:hAnsiTheme="minorHAnsi"/>
                <w:b/>
                <w:color w:val="0070C0"/>
              </w:rPr>
            </w:pPr>
            <w:r>
              <w:rPr>
                <w:rFonts w:asciiTheme="minorHAnsi" w:hAnsiTheme="minorHAnsi"/>
                <w:b/>
                <w:color w:val="0070C0"/>
              </w:rPr>
              <w:t>Training Pr</w:t>
            </w:r>
            <w:r w:rsidR="00086FC4">
              <w:rPr>
                <w:rFonts w:asciiTheme="minorHAnsi" w:hAnsiTheme="minorHAnsi"/>
                <w:b/>
                <w:color w:val="0070C0"/>
              </w:rPr>
              <w:t xml:space="preserve">ovision </w:t>
            </w:r>
            <w:r w:rsidR="00C82E13" w:rsidRPr="008942A4">
              <w:rPr>
                <w:rFonts w:asciiTheme="minorHAnsi" w:hAnsiTheme="minorHAnsi"/>
                <w:b/>
                <w:color w:val="0070C0"/>
              </w:rPr>
              <w:t>Criteria</w:t>
            </w:r>
            <w:r w:rsidR="00C82E13">
              <w:rPr>
                <w:rFonts w:asciiTheme="minorHAnsi" w:hAnsiTheme="minorHAnsi"/>
                <w:b/>
                <w:color w:val="0070C0"/>
              </w:rPr>
              <w:t xml:space="preserve"> </w:t>
            </w:r>
          </w:p>
          <w:p w:rsidR="00C82E13" w:rsidRPr="00832CCF" w:rsidRDefault="00C82E13" w:rsidP="00346BA0">
            <w:pPr>
              <w:rPr>
                <w:rFonts w:asciiTheme="minorHAnsi" w:hAnsiTheme="minorHAnsi"/>
                <w:color w:val="595959" w:themeColor="text1" w:themeTint="A6"/>
                <w:sz w:val="22"/>
                <w:szCs w:val="22"/>
              </w:rPr>
            </w:pPr>
            <w:r w:rsidRPr="00832CCF">
              <w:rPr>
                <w:rFonts w:asciiTheme="minorHAnsi" w:hAnsiTheme="minorHAnsi"/>
                <w:color w:val="595959" w:themeColor="text1" w:themeTint="A6"/>
                <w:sz w:val="22"/>
                <w:szCs w:val="22"/>
              </w:rPr>
              <w:t xml:space="preserve">The provider will be able to demonstrate compliance with the </w:t>
            </w:r>
            <w:r>
              <w:rPr>
                <w:rFonts w:asciiTheme="minorHAnsi" w:hAnsiTheme="minorHAnsi"/>
                <w:color w:val="595959" w:themeColor="text1" w:themeTint="A6"/>
                <w:sz w:val="22"/>
                <w:szCs w:val="22"/>
              </w:rPr>
              <w:t xml:space="preserve">some or all of </w:t>
            </w:r>
            <w:r w:rsidRPr="00832CCF">
              <w:rPr>
                <w:rFonts w:asciiTheme="minorHAnsi" w:hAnsiTheme="minorHAnsi"/>
                <w:color w:val="595959" w:themeColor="text1" w:themeTint="A6"/>
                <w:sz w:val="22"/>
                <w:szCs w:val="22"/>
              </w:rPr>
              <w:t>following criteria:</w:t>
            </w:r>
          </w:p>
          <w:p w:rsidR="00C82E13" w:rsidRDefault="00C82E13" w:rsidP="001D54F8">
            <w:pPr>
              <w:jc w:val="both"/>
              <w:rPr>
                <w:rFonts w:asciiTheme="minorHAnsi" w:hAnsiTheme="minorHAnsi"/>
                <w:color w:val="595959" w:themeColor="text1" w:themeTint="A6"/>
                <w:sz w:val="22"/>
                <w:szCs w:val="22"/>
              </w:rPr>
            </w:pPr>
          </w:p>
          <w:p w:rsidR="00C82E13" w:rsidRDefault="00C82E13" w:rsidP="001821B6">
            <w:pPr>
              <w:numPr>
                <w:ilvl w:val="0"/>
                <w:numId w:val="7"/>
              </w:numPr>
              <w:jc w:val="both"/>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 xml:space="preserve">Before commencement of </w:t>
            </w:r>
            <w:r w:rsidR="00086FC4">
              <w:rPr>
                <w:rFonts w:asciiTheme="minorHAnsi" w:hAnsiTheme="minorHAnsi" w:cs="Arial"/>
                <w:color w:val="595959" w:themeColor="text1" w:themeTint="A6"/>
                <w:sz w:val="22"/>
                <w:szCs w:val="22"/>
                <w:lang w:eastAsia="en-GB"/>
              </w:rPr>
              <w:t xml:space="preserve">any training </w:t>
            </w:r>
            <w:r>
              <w:rPr>
                <w:rFonts w:asciiTheme="minorHAnsi" w:hAnsiTheme="minorHAnsi" w:cs="Arial"/>
                <w:color w:val="595959" w:themeColor="text1" w:themeTint="A6"/>
                <w:sz w:val="22"/>
                <w:szCs w:val="22"/>
                <w:lang w:eastAsia="en-GB"/>
              </w:rPr>
              <w:t xml:space="preserve"> the service provider must demonstrate that they are able to provide the relevant subject matter expertise</w:t>
            </w:r>
          </w:p>
          <w:p w:rsidR="009F36EC" w:rsidRPr="001821B6" w:rsidRDefault="009F36EC" w:rsidP="001821B6">
            <w:pPr>
              <w:numPr>
                <w:ilvl w:val="0"/>
                <w:numId w:val="7"/>
              </w:numPr>
              <w:jc w:val="both"/>
              <w:rPr>
                <w:rFonts w:asciiTheme="minorHAnsi" w:hAnsiTheme="minorHAnsi" w:cs="Arial"/>
                <w:color w:val="595959" w:themeColor="text1" w:themeTint="A6"/>
                <w:sz w:val="22"/>
                <w:szCs w:val="22"/>
                <w:lang w:eastAsia="en-GB"/>
              </w:rPr>
            </w:pPr>
            <w:r>
              <w:rPr>
                <w:rFonts w:asciiTheme="minorHAnsi" w:hAnsiTheme="minorHAnsi" w:cs="Arial"/>
                <w:color w:val="595959" w:themeColor="text1" w:themeTint="A6"/>
                <w:sz w:val="22"/>
                <w:szCs w:val="22"/>
                <w:lang w:eastAsia="en-GB"/>
              </w:rPr>
              <w:t>The service providers will agree all materials used for training with PHE Health Economics Programme before using on any courses</w:t>
            </w:r>
          </w:p>
          <w:p w:rsidR="00C82E13" w:rsidRPr="001821B6" w:rsidRDefault="00C82E13" w:rsidP="001821B6">
            <w:pPr>
              <w:numPr>
                <w:ilvl w:val="0"/>
                <w:numId w:val="7"/>
              </w:numPr>
              <w:jc w:val="both"/>
              <w:rPr>
                <w:rFonts w:asciiTheme="minorHAnsi" w:hAnsiTheme="minorHAnsi" w:cs="Arial"/>
                <w:color w:val="595959" w:themeColor="text1" w:themeTint="A6"/>
                <w:sz w:val="22"/>
                <w:szCs w:val="22"/>
                <w:lang w:eastAsia="en-GB"/>
              </w:rPr>
            </w:pPr>
            <w:r w:rsidRPr="009C29F5">
              <w:rPr>
                <w:rFonts w:asciiTheme="minorHAnsi" w:hAnsiTheme="minorHAnsi" w:cs="Arial"/>
                <w:color w:val="595959" w:themeColor="text1" w:themeTint="A6"/>
                <w:sz w:val="22"/>
                <w:szCs w:val="22"/>
                <w:lang w:eastAsia="en-GB"/>
              </w:rPr>
              <w:t xml:space="preserve">The service providers must structure the </w:t>
            </w:r>
            <w:r w:rsidR="00086FC4">
              <w:rPr>
                <w:rFonts w:asciiTheme="minorHAnsi" w:hAnsiTheme="minorHAnsi" w:cs="Arial"/>
                <w:color w:val="595959" w:themeColor="text1" w:themeTint="A6"/>
                <w:sz w:val="22"/>
                <w:szCs w:val="22"/>
                <w:lang w:eastAsia="en-GB"/>
              </w:rPr>
              <w:t>training in accordance with PHE</w:t>
            </w:r>
            <w:r w:rsidR="002A30E1">
              <w:rPr>
                <w:rFonts w:asciiTheme="minorHAnsi" w:hAnsiTheme="minorHAnsi" w:cs="Arial"/>
                <w:color w:val="595959" w:themeColor="text1" w:themeTint="A6"/>
                <w:sz w:val="22"/>
                <w:szCs w:val="22"/>
                <w:lang w:eastAsia="en-GB"/>
              </w:rPr>
              <w:t xml:space="preserve"> Health Economics Programme</w:t>
            </w:r>
            <w:r w:rsidR="00086FC4">
              <w:rPr>
                <w:rFonts w:asciiTheme="minorHAnsi" w:hAnsiTheme="minorHAnsi" w:cs="Arial"/>
                <w:color w:val="595959" w:themeColor="text1" w:themeTint="A6"/>
                <w:sz w:val="22"/>
                <w:szCs w:val="22"/>
                <w:lang w:eastAsia="en-GB"/>
              </w:rPr>
              <w:t xml:space="preserve"> requirements</w:t>
            </w:r>
            <w:r w:rsidRPr="009C29F5">
              <w:rPr>
                <w:rFonts w:asciiTheme="minorHAnsi" w:hAnsiTheme="minorHAnsi" w:cs="Arial"/>
                <w:color w:val="595959" w:themeColor="text1" w:themeTint="A6"/>
                <w:sz w:val="22"/>
                <w:szCs w:val="22"/>
                <w:lang w:eastAsia="en-GB"/>
              </w:rPr>
              <w:t xml:space="preserve"> </w:t>
            </w:r>
          </w:p>
          <w:p w:rsidR="00384E00" w:rsidRDefault="00C82E13" w:rsidP="00384E00">
            <w:pPr>
              <w:numPr>
                <w:ilvl w:val="0"/>
                <w:numId w:val="7"/>
              </w:numPr>
              <w:contextualSpacing/>
              <w:jc w:val="both"/>
              <w:rPr>
                <w:rFonts w:asciiTheme="minorHAnsi" w:hAnsiTheme="minorHAnsi" w:cs="Arial"/>
                <w:color w:val="595959" w:themeColor="text1" w:themeTint="A6"/>
                <w:sz w:val="22"/>
                <w:szCs w:val="22"/>
                <w:lang w:eastAsia="en-GB"/>
              </w:rPr>
            </w:pPr>
            <w:r w:rsidRPr="00832CCF">
              <w:rPr>
                <w:rFonts w:asciiTheme="minorHAnsi" w:hAnsiTheme="minorHAnsi" w:cs="Arial"/>
                <w:color w:val="595959" w:themeColor="text1" w:themeTint="A6"/>
                <w:sz w:val="22"/>
                <w:szCs w:val="22"/>
                <w:lang w:eastAsia="en-GB"/>
              </w:rPr>
              <w:t xml:space="preserve">The service providers must be able </w:t>
            </w:r>
            <w:r w:rsidR="00031E9D">
              <w:rPr>
                <w:rFonts w:asciiTheme="minorHAnsi" w:hAnsiTheme="minorHAnsi" w:cs="Arial"/>
                <w:color w:val="595959" w:themeColor="text1" w:themeTint="A6"/>
                <w:sz w:val="22"/>
                <w:szCs w:val="22"/>
                <w:lang w:eastAsia="en-GB"/>
              </w:rPr>
              <w:t xml:space="preserve">to supply </w:t>
            </w:r>
            <w:r w:rsidRPr="009C29F5">
              <w:rPr>
                <w:rFonts w:asciiTheme="minorHAnsi" w:hAnsiTheme="minorHAnsi" w:cs="Arial"/>
                <w:color w:val="595959" w:themeColor="text1" w:themeTint="A6"/>
                <w:sz w:val="22"/>
                <w:szCs w:val="22"/>
                <w:lang w:eastAsia="en-GB"/>
              </w:rPr>
              <w:t xml:space="preserve">evidence </w:t>
            </w:r>
            <w:r w:rsidR="000E4C94">
              <w:rPr>
                <w:rFonts w:asciiTheme="minorHAnsi" w:hAnsiTheme="minorHAnsi" w:cs="Arial"/>
                <w:color w:val="595959" w:themeColor="text1" w:themeTint="A6"/>
                <w:sz w:val="22"/>
                <w:szCs w:val="22"/>
                <w:lang w:eastAsia="en-GB"/>
              </w:rPr>
              <w:t xml:space="preserve">of </w:t>
            </w:r>
            <w:r w:rsidR="002A30E1">
              <w:rPr>
                <w:rFonts w:asciiTheme="minorHAnsi" w:hAnsiTheme="minorHAnsi" w:cs="Arial"/>
                <w:color w:val="595959" w:themeColor="text1" w:themeTint="A6"/>
                <w:sz w:val="22"/>
                <w:szCs w:val="22"/>
                <w:lang w:eastAsia="en-GB"/>
              </w:rPr>
              <w:t xml:space="preserve">training they have </w:t>
            </w:r>
            <w:r w:rsidR="000E4C94">
              <w:rPr>
                <w:rFonts w:asciiTheme="minorHAnsi" w:hAnsiTheme="minorHAnsi" w:cs="Arial"/>
                <w:color w:val="595959" w:themeColor="text1" w:themeTint="A6"/>
                <w:sz w:val="22"/>
                <w:szCs w:val="22"/>
                <w:lang w:eastAsia="en-GB"/>
              </w:rPr>
              <w:t xml:space="preserve">provided </w:t>
            </w:r>
            <w:r w:rsidR="00031E9D">
              <w:rPr>
                <w:rFonts w:asciiTheme="minorHAnsi" w:hAnsiTheme="minorHAnsi" w:cs="Arial"/>
                <w:color w:val="595959" w:themeColor="text1" w:themeTint="A6"/>
                <w:sz w:val="22"/>
                <w:szCs w:val="22"/>
                <w:lang w:eastAsia="en-GB"/>
              </w:rPr>
              <w:t xml:space="preserve">for </w:t>
            </w:r>
            <w:r w:rsidR="00384E00">
              <w:rPr>
                <w:rFonts w:asciiTheme="minorHAnsi" w:hAnsiTheme="minorHAnsi" w:cs="Arial"/>
                <w:color w:val="595959" w:themeColor="text1" w:themeTint="A6"/>
                <w:sz w:val="22"/>
                <w:szCs w:val="22"/>
                <w:lang w:eastAsia="en-GB"/>
              </w:rPr>
              <w:t>similar h</w:t>
            </w:r>
            <w:r w:rsidR="00031E9D">
              <w:rPr>
                <w:rFonts w:asciiTheme="minorHAnsi" w:hAnsiTheme="minorHAnsi" w:cs="Arial"/>
                <w:color w:val="595959" w:themeColor="text1" w:themeTint="A6"/>
                <w:sz w:val="22"/>
                <w:szCs w:val="22"/>
                <w:lang w:eastAsia="en-GB"/>
              </w:rPr>
              <w:t>ealth</w:t>
            </w:r>
            <w:r w:rsidR="002A30E1">
              <w:rPr>
                <w:rFonts w:asciiTheme="minorHAnsi" w:hAnsiTheme="minorHAnsi" w:cs="Arial"/>
                <w:color w:val="595959" w:themeColor="text1" w:themeTint="A6"/>
                <w:sz w:val="22"/>
                <w:szCs w:val="22"/>
                <w:lang w:eastAsia="en-GB"/>
              </w:rPr>
              <w:t xml:space="preserve"> </w:t>
            </w:r>
            <w:r w:rsidR="000E4C94">
              <w:rPr>
                <w:rFonts w:asciiTheme="minorHAnsi" w:hAnsiTheme="minorHAnsi" w:cs="Arial"/>
                <w:color w:val="595959" w:themeColor="text1" w:themeTint="A6"/>
                <w:sz w:val="22"/>
                <w:szCs w:val="22"/>
                <w:lang w:eastAsia="en-GB"/>
              </w:rPr>
              <w:t xml:space="preserve">and social care </w:t>
            </w:r>
            <w:r w:rsidR="00384E00">
              <w:rPr>
                <w:rFonts w:asciiTheme="minorHAnsi" w:hAnsiTheme="minorHAnsi" w:cs="Arial"/>
                <w:color w:val="595959" w:themeColor="text1" w:themeTint="A6"/>
                <w:sz w:val="22"/>
                <w:szCs w:val="22"/>
                <w:lang w:eastAsia="en-GB"/>
              </w:rPr>
              <w:t>o</w:t>
            </w:r>
            <w:r w:rsidR="002A30E1">
              <w:rPr>
                <w:rFonts w:asciiTheme="minorHAnsi" w:hAnsiTheme="minorHAnsi" w:cs="Arial"/>
                <w:color w:val="595959" w:themeColor="text1" w:themeTint="A6"/>
                <w:sz w:val="22"/>
                <w:szCs w:val="22"/>
                <w:lang w:eastAsia="en-GB"/>
              </w:rPr>
              <w:t xml:space="preserve">rganisations </w:t>
            </w:r>
            <w:r w:rsidR="00384E00">
              <w:rPr>
                <w:rFonts w:asciiTheme="minorHAnsi" w:hAnsiTheme="minorHAnsi" w:cs="Arial"/>
                <w:color w:val="595959" w:themeColor="text1" w:themeTint="A6"/>
                <w:sz w:val="22"/>
                <w:szCs w:val="22"/>
                <w:lang w:eastAsia="en-GB"/>
              </w:rPr>
              <w:t>within the last 3 years.</w:t>
            </w:r>
          </w:p>
          <w:p w:rsidR="009F36EC" w:rsidRPr="00384E00" w:rsidRDefault="007A4724" w:rsidP="00384E00">
            <w:pPr>
              <w:numPr>
                <w:ilvl w:val="0"/>
                <w:numId w:val="7"/>
              </w:numPr>
              <w:contextualSpacing/>
              <w:jc w:val="both"/>
              <w:rPr>
                <w:rFonts w:asciiTheme="minorHAnsi" w:hAnsiTheme="minorHAnsi" w:cs="Arial"/>
                <w:color w:val="595959" w:themeColor="text1" w:themeTint="A6"/>
                <w:sz w:val="22"/>
                <w:szCs w:val="22"/>
                <w:lang w:eastAsia="en-GB"/>
              </w:rPr>
            </w:pPr>
            <w:r w:rsidRPr="00384E00">
              <w:rPr>
                <w:rFonts w:asciiTheme="minorHAnsi" w:hAnsiTheme="minorHAnsi"/>
                <w:color w:val="595959" w:themeColor="text1" w:themeTint="A6"/>
                <w:sz w:val="22"/>
                <w:szCs w:val="22"/>
              </w:rPr>
              <w:t>Evidence of delivering work to the standard required and within the agreed timescales</w:t>
            </w:r>
          </w:p>
        </w:tc>
      </w:tr>
      <w:tr w:rsidR="0072462A" w:rsidRPr="00346BA0" w:rsidTr="0072462A">
        <w:tc>
          <w:tcPr>
            <w:tcW w:w="396" w:type="pct"/>
          </w:tcPr>
          <w:p w:rsidR="0072462A" w:rsidRDefault="001E60A1" w:rsidP="002D412D">
            <w:pPr>
              <w:rPr>
                <w:rFonts w:ascii="Calibri" w:hAnsi="Calibri"/>
                <w:b/>
                <w:color w:val="0070C0"/>
              </w:rPr>
            </w:pPr>
            <w:r>
              <w:rPr>
                <w:rFonts w:ascii="Calibri" w:hAnsi="Calibri"/>
                <w:b/>
                <w:color w:val="0070C0"/>
              </w:rPr>
              <w:t>4</w:t>
            </w:r>
            <w:r w:rsidR="0072462A">
              <w:rPr>
                <w:rFonts w:ascii="Calibri" w:hAnsi="Calibri"/>
                <w:b/>
                <w:color w:val="0070C0"/>
              </w:rPr>
              <w:t>.3</w:t>
            </w:r>
          </w:p>
        </w:tc>
        <w:tc>
          <w:tcPr>
            <w:tcW w:w="4540" w:type="pct"/>
          </w:tcPr>
          <w:p w:rsidR="0072462A" w:rsidRDefault="0072462A" w:rsidP="005A3284">
            <w:pPr>
              <w:rPr>
                <w:rFonts w:ascii="Calibri" w:hAnsi="Calibri"/>
                <w:b/>
                <w:color w:val="0070C0"/>
              </w:rPr>
            </w:pPr>
            <w:r>
              <w:rPr>
                <w:rFonts w:ascii="Calibri" w:hAnsi="Calibri"/>
                <w:b/>
                <w:color w:val="0070C0"/>
              </w:rPr>
              <w:t>Governance</w:t>
            </w:r>
          </w:p>
          <w:p w:rsidR="0072462A" w:rsidRPr="00832CCF" w:rsidRDefault="0072462A" w:rsidP="00E46E4B">
            <w:pPr>
              <w:rPr>
                <w:rFonts w:ascii="Calibri" w:hAnsi="Calibri"/>
                <w:color w:val="595959" w:themeColor="text1" w:themeTint="A6"/>
                <w:sz w:val="22"/>
                <w:szCs w:val="22"/>
              </w:rPr>
            </w:pPr>
            <w:r w:rsidRPr="00832CCF">
              <w:rPr>
                <w:rFonts w:ascii="Calibri" w:hAnsi="Calibri"/>
                <w:color w:val="595959" w:themeColor="text1" w:themeTint="A6"/>
                <w:sz w:val="22"/>
                <w:szCs w:val="22"/>
              </w:rPr>
              <w:t>The provider will have</w:t>
            </w:r>
            <w:r>
              <w:rPr>
                <w:rFonts w:ascii="Calibri" w:hAnsi="Calibri"/>
                <w:color w:val="595959" w:themeColor="text1" w:themeTint="A6"/>
                <w:sz w:val="22"/>
                <w:szCs w:val="22"/>
              </w:rPr>
              <w:t>:</w:t>
            </w:r>
          </w:p>
          <w:p w:rsidR="0072462A" w:rsidRPr="00832CCF" w:rsidRDefault="0072462A" w:rsidP="001821B6">
            <w:pPr>
              <w:pStyle w:val="ListParagraph"/>
              <w:numPr>
                <w:ilvl w:val="0"/>
                <w:numId w:val="2"/>
              </w:numPr>
              <w:ind w:left="591" w:hanging="567"/>
              <w:jc w:val="both"/>
              <w:rPr>
                <w:rFonts w:ascii="Calibri" w:hAnsi="Calibri"/>
                <w:color w:val="595959" w:themeColor="text1" w:themeTint="A6"/>
                <w:sz w:val="22"/>
                <w:szCs w:val="22"/>
              </w:rPr>
            </w:pPr>
            <w:r w:rsidRPr="00832CCF">
              <w:rPr>
                <w:rFonts w:ascii="Calibri" w:hAnsi="Calibri"/>
                <w:color w:val="595959" w:themeColor="text1" w:themeTint="A6"/>
                <w:sz w:val="22"/>
                <w:szCs w:val="22"/>
              </w:rPr>
              <w:t>An organisational structure which enables delivery of the contracted service</w:t>
            </w:r>
          </w:p>
          <w:p w:rsidR="0072462A" w:rsidRPr="00832CCF" w:rsidRDefault="0072462A" w:rsidP="001821B6">
            <w:pPr>
              <w:pStyle w:val="ListParagraph"/>
              <w:numPr>
                <w:ilvl w:val="0"/>
                <w:numId w:val="2"/>
              </w:numPr>
              <w:ind w:left="591" w:hanging="567"/>
              <w:jc w:val="both"/>
              <w:rPr>
                <w:rFonts w:ascii="Calibri" w:hAnsi="Calibri"/>
                <w:color w:val="595959" w:themeColor="text1" w:themeTint="A6"/>
                <w:sz w:val="22"/>
                <w:szCs w:val="22"/>
              </w:rPr>
            </w:pPr>
            <w:r w:rsidRPr="00832CCF">
              <w:rPr>
                <w:rFonts w:ascii="Calibri" w:hAnsi="Calibri"/>
                <w:color w:val="595959" w:themeColor="text1" w:themeTint="A6"/>
                <w:sz w:val="22"/>
                <w:szCs w:val="22"/>
              </w:rPr>
              <w:t>The ability to ensure that employment and best practice are adhered to</w:t>
            </w:r>
          </w:p>
          <w:p w:rsidR="0072462A" w:rsidRPr="00832CCF" w:rsidRDefault="0072462A" w:rsidP="001821B6">
            <w:pPr>
              <w:pStyle w:val="ListParagraph"/>
              <w:numPr>
                <w:ilvl w:val="0"/>
                <w:numId w:val="2"/>
              </w:numPr>
              <w:ind w:left="591" w:hanging="567"/>
              <w:jc w:val="both"/>
              <w:rPr>
                <w:rFonts w:ascii="Calibri" w:hAnsi="Calibri"/>
                <w:color w:val="595959" w:themeColor="text1" w:themeTint="A6"/>
                <w:sz w:val="22"/>
                <w:szCs w:val="22"/>
              </w:rPr>
            </w:pPr>
            <w:r w:rsidRPr="00832CCF">
              <w:rPr>
                <w:rFonts w:ascii="Calibri" w:hAnsi="Calibri"/>
                <w:color w:val="595959" w:themeColor="text1" w:themeTint="A6"/>
                <w:sz w:val="22"/>
                <w:szCs w:val="22"/>
              </w:rPr>
              <w:t>An integrated system of governance (which, where appropriate, incorporates clinical governance)</w:t>
            </w:r>
          </w:p>
          <w:p w:rsidR="0072462A" w:rsidRPr="00832CCF" w:rsidRDefault="0072462A" w:rsidP="001821B6">
            <w:pPr>
              <w:pStyle w:val="ListParagraph"/>
              <w:numPr>
                <w:ilvl w:val="0"/>
                <w:numId w:val="2"/>
              </w:numPr>
              <w:ind w:left="591" w:hanging="567"/>
              <w:jc w:val="both"/>
              <w:rPr>
                <w:rFonts w:ascii="Calibri" w:hAnsi="Calibri"/>
                <w:color w:val="595959" w:themeColor="text1" w:themeTint="A6"/>
                <w:sz w:val="22"/>
                <w:szCs w:val="22"/>
              </w:rPr>
            </w:pPr>
            <w:r w:rsidRPr="00832CCF">
              <w:rPr>
                <w:rFonts w:ascii="Calibri" w:hAnsi="Calibri"/>
                <w:color w:val="595959" w:themeColor="text1" w:themeTint="A6"/>
                <w:sz w:val="22"/>
                <w:szCs w:val="22"/>
              </w:rPr>
              <w:t>Sufficient preparations in place to provide high levels of business continuity</w:t>
            </w:r>
          </w:p>
          <w:p w:rsidR="0072462A" w:rsidRPr="00832CCF" w:rsidRDefault="0072462A" w:rsidP="001821B6">
            <w:pPr>
              <w:pStyle w:val="ListParagraph"/>
              <w:numPr>
                <w:ilvl w:val="0"/>
                <w:numId w:val="2"/>
              </w:numPr>
              <w:ind w:left="591" w:hanging="567"/>
              <w:jc w:val="both"/>
              <w:rPr>
                <w:rFonts w:ascii="Calibri" w:hAnsi="Calibri"/>
                <w:color w:val="595959" w:themeColor="text1" w:themeTint="A6"/>
                <w:sz w:val="22"/>
                <w:szCs w:val="22"/>
              </w:rPr>
            </w:pPr>
            <w:r w:rsidRPr="00832CCF">
              <w:rPr>
                <w:rFonts w:ascii="Calibri" w:hAnsi="Calibri"/>
                <w:color w:val="595959" w:themeColor="text1" w:themeTint="A6"/>
                <w:sz w:val="22"/>
                <w:szCs w:val="22"/>
              </w:rPr>
              <w:t>Robust processes in place to guarantee internal assurance on all the systems of governance</w:t>
            </w:r>
          </w:p>
          <w:p w:rsidR="0072462A" w:rsidRPr="009B5498" w:rsidRDefault="0072462A" w:rsidP="009B5498">
            <w:pPr>
              <w:pStyle w:val="ListParagraph"/>
              <w:numPr>
                <w:ilvl w:val="0"/>
                <w:numId w:val="2"/>
              </w:numPr>
              <w:ind w:left="591" w:hanging="567"/>
              <w:jc w:val="both"/>
              <w:rPr>
                <w:rFonts w:ascii="Calibri" w:hAnsi="Calibri"/>
                <w:color w:val="595959" w:themeColor="text1" w:themeTint="A6"/>
                <w:sz w:val="22"/>
                <w:szCs w:val="22"/>
              </w:rPr>
            </w:pPr>
            <w:r w:rsidRPr="00832CCF">
              <w:rPr>
                <w:rFonts w:ascii="Calibri" w:hAnsi="Calibri"/>
                <w:color w:val="595959" w:themeColor="text1" w:themeTint="A6"/>
                <w:sz w:val="22"/>
                <w:szCs w:val="22"/>
              </w:rPr>
              <w:t>The ability to provide sufficient evidence to assure that its systems of governance are robust and are fully deployed across the organisation</w:t>
            </w:r>
          </w:p>
        </w:tc>
      </w:tr>
      <w:tr w:rsidR="0072462A" w:rsidRPr="00346BA0" w:rsidTr="0072462A">
        <w:tc>
          <w:tcPr>
            <w:tcW w:w="396" w:type="pct"/>
          </w:tcPr>
          <w:p w:rsidR="0072462A" w:rsidRDefault="001E60A1" w:rsidP="002D412D">
            <w:pPr>
              <w:rPr>
                <w:rFonts w:ascii="Calibri" w:hAnsi="Calibri"/>
                <w:b/>
                <w:color w:val="0070C0"/>
              </w:rPr>
            </w:pPr>
            <w:r>
              <w:rPr>
                <w:rFonts w:ascii="Calibri" w:hAnsi="Calibri"/>
                <w:b/>
                <w:color w:val="0070C0"/>
              </w:rPr>
              <w:t>4</w:t>
            </w:r>
            <w:r w:rsidR="0072462A" w:rsidRPr="00CE3861">
              <w:rPr>
                <w:rFonts w:ascii="Calibri" w:hAnsi="Calibri"/>
                <w:b/>
                <w:color w:val="0070C0"/>
              </w:rPr>
              <w:t>.4</w:t>
            </w:r>
          </w:p>
        </w:tc>
        <w:tc>
          <w:tcPr>
            <w:tcW w:w="4540" w:type="pct"/>
          </w:tcPr>
          <w:p w:rsidR="0072462A" w:rsidRPr="00CE3861" w:rsidRDefault="0072462A" w:rsidP="0078366F">
            <w:pPr>
              <w:rPr>
                <w:rFonts w:ascii="Calibri" w:hAnsi="Calibri"/>
                <w:b/>
                <w:color w:val="0070C0"/>
              </w:rPr>
            </w:pPr>
            <w:r w:rsidRPr="00CE3861">
              <w:rPr>
                <w:rFonts w:ascii="Calibri" w:hAnsi="Calibri"/>
                <w:b/>
                <w:color w:val="0070C0"/>
              </w:rPr>
              <w:t>Intellectual Property</w:t>
            </w:r>
          </w:p>
          <w:p w:rsidR="0072462A" w:rsidRPr="00832CCF" w:rsidRDefault="0072462A" w:rsidP="001821B6">
            <w:pPr>
              <w:jc w:val="both"/>
              <w:rPr>
                <w:rFonts w:ascii="Calibri" w:hAnsi="Calibri"/>
                <w:color w:val="595959" w:themeColor="text1" w:themeTint="A6"/>
                <w:sz w:val="22"/>
                <w:szCs w:val="22"/>
              </w:rPr>
            </w:pPr>
            <w:r w:rsidRPr="00832CCF">
              <w:rPr>
                <w:rFonts w:ascii="Calibri" w:hAnsi="Calibri"/>
                <w:color w:val="595959" w:themeColor="text1" w:themeTint="A6"/>
                <w:sz w:val="22"/>
                <w:szCs w:val="22"/>
              </w:rPr>
              <w:t xml:space="preserve">The </w:t>
            </w:r>
            <w:r w:rsidR="00131D1C">
              <w:rPr>
                <w:rFonts w:ascii="Calibri" w:hAnsi="Calibri"/>
                <w:color w:val="595959" w:themeColor="text1" w:themeTint="A6"/>
                <w:sz w:val="22"/>
                <w:szCs w:val="22"/>
              </w:rPr>
              <w:t xml:space="preserve">PHE Health Economics Programme </w:t>
            </w:r>
            <w:r w:rsidRPr="00832CCF">
              <w:rPr>
                <w:rFonts w:ascii="Calibri" w:hAnsi="Calibri"/>
                <w:color w:val="595959" w:themeColor="text1" w:themeTint="A6"/>
                <w:sz w:val="22"/>
                <w:szCs w:val="22"/>
              </w:rPr>
              <w:t>will retain all Intellectual Property Rights to work produced as a result of this contract.</w:t>
            </w:r>
          </w:p>
          <w:p w:rsidR="0072462A" w:rsidRPr="00F9163F" w:rsidRDefault="0072462A" w:rsidP="009F5C28">
            <w:pPr>
              <w:rPr>
                <w:rFonts w:ascii="Calibri" w:hAnsi="Calibri"/>
                <w:color w:val="808080" w:themeColor="background1" w:themeShade="80"/>
              </w:rPr>
            </w:pPr>
          </w:p>
        </w:tc>
      </w:tr>
      <w:tr w:rsidR="0072462A" w:rsidRPr="00346BA0" w:rsidTr="0072462A">
        <w:tc>
          <w:tcPr>
            <w:tcW w:w="396" w:type="pct"/>
          </w:tcPr>
          <w:p w:rsidR="0072462A" w:rsidRDefault="001E60A1" w:rsidP="00346BA0">
            <w:pPr>
              <w:rPr>
                <w:rFonts w:ascii="Calibri" w:hAnsi="Calibri"/>
                <w:b/>
                <w:color w:val="0070C0"/>
              </w:rPr>
            </w:pPr>
            <w:r>
              <w:rPr>
                <w:rFonts w:ascii="Calibri" w:hAnsi="Calibri"/>
                <w:b/>
                <w:color w:val="0070C0"/>
              </w:rPr>
              <w:t>5</w:t>
            </w:r>
            <w:r w:rsidR="0072462A">
              <w:rPr>
                <w:rFonts w:ascii="Calibri" w:hAnsi="Calibri"/>
                <w:b/>
                <w:color w:val="0070C0"/>
              </w:rPr>
              <w:t>.</w:t>
            </w:r>
          </w:p>
        </w:tc>
        <w:tc>
          <w:tcPr>
            <w:tcW w:w="4540" w:type="pct"/>
          </w:tcPr>
          <w:p w:rsidR="0072462A" w:rsidRPr="00726C93" w:rsidRDefault="0072462A" w:rsidP="005311FD">
            <w:pPr>
              <w:rPr>
                <w:rFonts w:ascii="Calibri" w:hAnsi="Calibri"/>
                <w:b/>
                <w:color w:val="0070C0"/>
              </w:rPr>
            </w:pPr>
            <w:r>
              <w:rPr>
                <w:rFonts w:ascii="Calibri" w:hAnsi="Calibri"/>
                <w:b/>
                <w:color w:val="0070C0"/>
              </w:rPr>
              <w:t>Contract length</w:t>
            </w:r>
          </w:p>
          <w:p w:rsidR="0072462A" w:rsidRPr="00384E00" w:rsidRDefault="00384E00" w:rsidP="009C3B08">
            <w:pPr>
              <w:jc w:val="both"/>
              <w:rPr>
                <w:rFonts w:ascii="Calibri" w:hAnsi="Calibri"/>
                <w:color w:val="595959" w:themeColor="text1" w:themeTint="A6"/>
                <w:sz w:val="22"/>
                <w:szCs w:val="22"/>
              </w:rPr>
            </w:pPr>
            <w:r w:rsidRPr="00031E9D">
              <w:rPr>
                <w:rFonts w:asciiTheme="minorHAnsi" w:hAnsiTheme="minorHAnsi" w:cs="Arial"/>
                <w:color w:val="595959" w:themeColor="text1" w:themeTint="A6"/>
                <w:sz w:val="22"/>
                <w:szCs w:val="22"/>
                <w:lang w:eastAsia="en-GB"/>
              </w:rPr>
              <w:t xml:space="preserve">The duration of </w:t>
            </w:r>
            <w:r w:rsidR="009C3B08">
              <w:rPr>
                <w:rFonts w:asciiTheme="minorHAnsi" w:hAnsiTheme="minorHAnsi" w:cs="Arial"/>
                <w:color w:val="595959" w:themeColor="text1" w:themeTint="A6"/>
                <w:sz w:val="22"/>
                <w:szCs w:val="22"/>
                <w:lang w:eastAsia="en-GB"/>
              </w:rPr>
              <w:t xml:space="preserve">contract is three years, although annual break clauses will be included. Continuation of training beyond the break clauses is subject to </w:t>
            </w:r>
            <w:r w:rsidRPr="00031E9D">
              <w:rPr>
                <w:rFonts w:asciiTheme="minorHAnsi" w:hAnsiTheme="minorHAnsi" w:cs="Arial"/>
                <w:color w:val="595959" w:themeColor="text1" w:themeTint="A6"/>
                <w:sz w:val="22"/>
                <w:szCs w:val="22"/>
                <w:lang w:eastAsia="en-GB"/>
              </w:rPr>
              <w:t>budget availability and c</w:t>
            </w:r>
            <w:r w:rsidR="009C3B08">
              <w:rPr>
                <w:rFonts w:asciiTheme="minorHAnsi" w:hAnsiTheme="minorHAnsi" w:cs="Arial"/>
                <w:color w:val="595959" w:themeColor="text1" w:themeTint="A6"/>
                <w:sz w:val="22"/>
                <w:szCs w:val="22"/>
                <w:lang w:eastAsia="en-GB"/>
              </w:rPr>
              <w:t>ontinuing supplier performance.</w:t>
            </w:r>
            <w:r w:rsidR="009B5498">
              <w:rPr>
                <w:rFonts w:asciiTheme="minorHAnsi" w:hAnsiTheme="minorHAnsi" w:cs="Arial"/>
                <w:color w:val="595959" w:themeColor="text1" w:themeTint="A6"/>
                <w:sz w:val="22"/>
                <w:szCs w:val="22"/>
                <w:lang w:eastAsia="en-GB"/>
              </w:rPr>
              <w:t xml:space="preserve"> In addition, continuation of the contract beyond the first year is conditional upon the included evaluation showing that the training received is having a positive impact upon adoption of health economics tools and principles at local level.</w:t>
            </w:r>
          </w:p>
        </w:tc>
      </w:tr>
    </w:tbl>
    <w:p w:rsidR="00131D1C" w:rsidRDefault="00131D1C" w:rsidP="00DB66FB">
      <w:pPr>
        <w:spacing w:after="200" w:line="276" w:lineRule="auto"/>
        <w:rPr>
          <w:rFonts w:ascii="Calibri" w:hAnsi="Calibri"/>
          <w:b/>
          <w:color w:val="0070C0"/>
          <w:sz w:val="32"/>
          <w:szCs w:val="32"/>
        </w:rPr>
      </w:pPr>
    </w:p>
    <w:sectPr w:rsidR="00131D1C" w:rsidSect="00F60EF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28D" w:rsidRDefault="007D628D" w:rsidP="000052F0">
      <w:r>
        <w:separator/>
      </w:r>
    </w:p>
  </w:endnote>
  <w:endnote w:type="continuationSeparator" w:id="0">
    <w:p w:rsidR="007D628D" w:rsidRDefault="007D628D" w:rsidP="0000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94" w:rsidRDefault="000E4C94">
    <w:pPr>
      <w:pStyle w:val="Footer"/>
    </w:pPr>
    <w:r>
      <w:t>PHE</w:t>
    </w:r>
    <w:r w:rsidR="009146DB">
      <w:t xml:space="preserve"> Health Economics Programme 2017/18</w:t>
    </w:r>
  </w:p>
  <w:p w:rsidR="000E4C94" w:rsidRDefault="000E4C94">
    <w:pPr>
      <w:pStyle w:val="Footer"/>
    </w:pPr>
  </w:p>
  <w:p w:rsidR="000E4C94" w:rsidRPr="00613E02" w:rsidRDefault="000E4C94" w:rsidP="00696E78">
    <w:pPr>
      <w:pStyle w:val="Footer"/>
      <w:tabs>
        <w:tab w:val="clear" w:pos="9026"/>
        <w:tab w:val="right" w:pos="14175"/>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28D" w:rsidRDefault="007D628D" w:rsidP="000052F0">
      <w:r>
        <w:separator/>
      </w:r>
    </w:p>
  </w:footnote>
  <w:footnote w:type="continuationSeparator" w:id="0">
    <w:p w:rsidR="007D628D" w:rsidRDefault="007D628D" w:rsidP="00005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94" w:rsidRDefault="000E4C94" w:rsidP="00D8317B">
    <w:pPr>
      <w:tabs>
        <w:tab w:val="center" w:pos="4153"/>
        <w:tab w:val="right" w:pos="14175"/>
      </w:tabs>
      <w:rPr>
        <w:rFonts w:ascii="Calibri" w:hAnsi="Calibri" w:cs="Calibri"/>
        <w:noProof/>
        <w:szCs w:val="32"/>
        <w:lang w:eastAsia="en-GB"/>
      </w:rPr>
    </w:pPr>
  </w:p>
  <w:p w:rsidR="000E4C94" w:rsidRDefault="000E4C94" w:rsidP="000052F0">
    <w:pPr>
      <w:tabs>
        <w:tab w:val="center" w:pos="4153"/>
        <w:tab w:val="right" w:pos="9356"/>
      </w:tabs>
      <w:jc w:val="right"/>
      <w:rPr>
        <w:rFonts w:ascii="Calibri" w:hAnsi="Calibri" w:cs="Calibri"/>
        <w:noProof/>
        <w:szCs w:val="32"/>
        <w:lang w:eastAsia="en-GB"/>
      </w:rPr>
    </w:pPr>
  </w:p>
  <w:p w:rsidR="000E4C94" w:rsidRPr="000052F0" w:rsidRDefault="000E4C94" w:rsidP="000052F0">
    <w:pPr>
      <w:tabs>
        <w:tab w:val="center" w:pos="4153"/>
        <w:tab w:val="right" w:pos="9356"/>
      </w:tabs>
      <w:jc w:val="right"/>
      <w:rPr>
        <w:rFonts w:ascii="Calibri" w:hAnsi="Calibri" w:cs="Calibri"/>
        <w:noProof/>
        <w:szCs w:val="32"/>
        <w:lang w:eastAsia="en-GB"/>
      </w:rPr>
    </w:pPr>
  </w:p>
  <w:p w:rsidR="000E4C94" w:rsidRDefault="000E4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B19"/>
    <w:multiLevelType w:val="hybridMultilevel"/>
    <w:tmpl w:val="2DD8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314F3"/>
    <w:multiLevelType w:val="hybridMultilevel"/>
    <w:tmpl w:val="C964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70631"/>
    <w:multiLevelType w:val="hybridMultilevel"/>
    <w:tmpl w:val="52FAB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6A7BAC"/>
    <w:multiLevelType w:val="hybridMultilevel"/>
    <w:tmpl w:val="89285C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7E47DD"/>
    <w:multiLevelType w:val="hybridMultilevel"/>
    <w:tmpl w:val="7D2EE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A20F90"/>
    <w:multiLevelType w:val="hybridMultilevel"/>
    <w:tmpl w:val="6AAA78E4"/>
    <w:lvl w:ilvl="0" w:tplc="08090001">
      <w:start w:val="1"/>
      <w:numFmt w:val="bullet"/>
      <w:lvlText w:val=""/>
      <w:lvlJc w:val="left"/>
      <w:pPr>
        <w:ind w:left="5528" w:hanging="360"/>
      </w:pPr>
      <w:rPr>
        <w:rFonts w:ascii="Symbol" w:hAnsi="Symbol" w:hint="default"/>
      </w:rPr>
    </w:lvl>
    <w:lvl w:ilvl="1" w:tplc="08090003">
      <w:start w:val="1"/>
      <w:numFmt w:val="bullet"/>
      <w:lvlText w:val="o"/>
      <w:lvlJc w:val="left"/>
      <w:pPr>
        <w:ind w:left="5616" w:hanging="360"/>
      </w:pPr>
      <w:rPr>
        <w:rFonts w:ascii="Courier New" w:hAnsi="Courier New" w:cs="Courier New" w:hint="default"/>
      </w:rPr>
    </w:lvl>
    <w:lvl w:ilvl="2" w:tplc="08090005" w:tentative="1">
      <w:start w:val="1"/>
      <w:numFmt w:val="bullet"/>
      <w:lvlText w:val=""/>
      <w:lvlJc w:val="left"/>
      <w:pPr>
        <w:ind w:left="6336" w:hanging="360"/>
      </w:pPr>
      <w:rPr>
        <w:rFonts w:ascii="Wingdings" w:hAnsi="Wingdings" w:hint="default"/>
      </w:rPr>
    </w:lvl>
    <w:lvl w:ilvl="3" w:tplc="08090001" w:tentative="1">
      <w:start w:val="1"/>
      <w:numFmt w:val="bullet"/>
      <w:lvlText w:val=""/>
      <w:lvlJc w:val="left"/>
      <w:pPr>
        <w:ind w:left="7056" w:hanging="360"/>
      </w:pPr>
      <w:rPr>
        <w:rFonts w:ascii="Symbol" w:hAnsi="Symbol" w:hint="default"/>
      </w:rPr>
    </w:lvl>
    <w:lvl w:ilvl="4" w:tplc="08090003" w:tentative="1">
      <w:start w:val="1"/>
      <w:numFmt w:val="bullet"/>
      <w:lvlText w:val="o"/>
      <w:lvlJc w:val="left"/>
      <w:pPr>
        <w:ind w:left="7776" w:hanging="360"/>
      </w:pPr>
      <w:rPr>
        <w:rFonts w:ascii="Courier New" w:hAnsi="Courier New" w:cs="Courier New" w:hint="default"/>
      </w:rPr>
    </w:lvl>
    <w:lvl w:ilvl="5" w:tplc="08090005" w:tentative="1">
      <w:start w:val="1"/>
      <w:numFmt w:val="bullet"/>
      <w:lvlText w:val=""/>
      <w:lvlJc w:val="left"/>
      <w:pPr>
        <w:ind w:left="8496" w:hanging="360"/>
      </w:pPr>
      <w:rPr>
        <w:rFonts w:ascii="Wingdings" w:hAnsi="Wingdings" w:hint="default"/>
      </w:rPr>
    </w:lvl>
    <w:lvl w:ilvl="6" w:tplc="08090001" w:tentative="1">
      <w:start w:val="1"/>
      <w:numFmt w:val="bullet"/>
      <w:lvlText w:val=""/>
      <w:lvlJc w:val="left"/>
      <w:pPr>
        <w:ind w:left="9216" w:hanging="360"/>
      </w:pPr>
      <w:rPr>
        <w:rFonts w:ascii="Symbol" w:hAnsi="Symbol" w:hint="default"/>
      </w:rPr>
    </w:lvl>
    <w:lvl w:ilvl="7" w:tplc="08090003" w:tentative="1">
      <w:start w:val="1"/>
      <w:numFmt w:val="bullet"/>
      <w:lvlText w:val="o"/>
      <w:lvlJc w:val="left"/>
      <w:pPr>
        <w:ind w:left="9936" w:hanging="360"/>
      </w:pPr>
      <w:rPr>
        <w:rFonts w:ascii="Courier New" w:hAnsi="Courier New" w:cs="Courier New" w:hint="default"/>
      </w:rPr>
    </w:lvl>
    <w:lvl w:ilvl="8" w:tplc="08090005" w:tentative="1">
      <w:start w:val="1"/>
      <w:numFmt w:val="bullet"/>
      <w:lvlText w:val=""/>
      <w:lvlJc w:val="left"/>
      <w:pPr>
        <w:ind w:left="10656" w:hanging="360"/>
      </w:pPr>
      <w:rPr>
        <w:rFonts w:ascii="Wingdings" w:hAnsi="Wingdings" w:hint="default"/>
      </w:rPr>
    </w:lvl>
  </w:abstractNum>
  <w:abstractNum w:abstractNumId="6">
    <w:nsid w:val="1BC04D37"/>
    <w:multiLevelType w:val="hybridMultilevel"/>
    <w:tmpl w:val="147A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801673"/>
    <w:multiLevelType w:val="hybridMultilevel"/>
    <w:tmpl w:val="3F169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54418D"/>
    <w:multiLevelType w:val="hybridMultilevel"/>
    <w:tmpl w:val="14D0E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6516A9"/>
    <w:multiLevelType w:val="hybridMultilevel"/>
    <w:tmpl w:val="2B60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83848"/>
    <w:multiLevelType w:val="hybridMultilevel"/>
    <w:tmpl w:val="3E165976"/>
    <w:lvl w:ilvl="0" w:tplc="08090001">
      <w:start w:val="1"/>
      <w:numFmt w:val="bullet"/>
      <w:lvlText w:val=""/>
      <w:lvlJc w:val="left"/>
      <w:pPr>
        <w:ind w:left="-696" w:hanging="360"/>
      </w:pPr>
      <w:rPr>
        <w:rFonts w:ascii="Symbol" w:hAnsi="Symbol" w:hint="default"/>
      </w:rPr>
    </w:lvl>
    <w:lvl w:ilvl="1" w:tplc="08090019" w:tentative="1">
      <w:start w:val="1"/>
      <w:numFmt w:val="lowerLetter"/>
      <w:lvlText w:val="%2."/>
      <w:lvlJc w:val="left"/>
      <w:pPr>
        <w:ind w:left="24" w:hanging="360"/>
      </w:pPr>
    </w:lvl>
    <w:lvl w:ilvl="2" w:tplc="0809001B" w:tentative="1">
      <w:start w:val="1"/>
      <w:numFmt w:val="lowerRoman"/>
      <w:lvlText w:val="%3."/>
      <w:lvlJc w:val="right"/>
      <w:pPr>
        <w:ind w:left="744" w:hanging="180"/>
      </w:pPr>
    </w:lvl>
    <w:lvl w:ilvl="3" w:tplc="0809000F" w:tentative="1">
      <w:start w:val="1"/>
      <w:numFmt w:val="decimal"/>
      <w:lvlText w:val="%4."/>
      <w:lvlJc w:val="left"/>
      <w:pPr>
        <w:ind w:left="1464" w:hanging="360"/>
      </w:pPr>
    </w:lvl>
    <w:lvl w:ilvl="4" w:tplc="08090019" w:tentative="1">
      <w:start w:val="1"/>
      <w:numFmt w:val="lowerLetter"/>
      <w:lvlText w:val="%5."/>
      <w:lvlJc w:val="left"/>
      <w:pPr>
        <w:ind w:left="2184" w:hanging="360"/>
      </w:pPr>
    </w:lvl>
    <w:lvl w:ilvl="5" w:tplc="0809001B" w:tentative="1">
      <w:start w:val="1"/>
      <w:numFmt w:val="lowerRoman"/>
      <w:lvlText w:val="%6."/>
      <w:lvlJc w:val="right"/>
      <w:pPr>
        <w:ind w:left="2904" w:hanging="180"/>
      </w:pPr>
    </w:lvl>
    <w:lvl w:ilvl="6" w:tplc="0809000F" w:tentative="1">
      <w:start w:val="1"/>
      <w:numFmt w:val="decimal"/>
      <w:lvlText w:val="%7."/>
      <w:lvlJc w:val="left"/>
      <w:pPr>
        <w:ind w:left="3624" w:hanging="360"/>
      </w:pPr>
    </w:lvl>
    <w:lvl w:ilvl="7" w:tplc="08090019" w:tentative="1">
      <w:start w:val="1"/>
      <w:numFmt w:val="lowerLetter"/>
      <w:lvlText w:val="%8."/>
      <w:lvlJc w:val="left"/>
      <w:pPr>
        <w:ind w:left="4344" w:hanging="360"/>
      </w:pPr>
    </w:lvl>
    <w:lvl w:ilvl="8" w:tplc="0809001B" w:tentative="1">
      <w:start w:val="1"/>
      <w:numFmt w:val="lowerRoman"/>
      <w:lvlText w:val="%9."/>
      <w:lvlJc w:val="right"/>
      <w:pPr>
        <w:ind w:left="5064" w:hanging="180"/>
      </w:pPr>
    </w:lvl>
  </w:abstractNum>
  <w:abstractNum w:abstractNumId="11">
    <w:nsid w:val="378E00A5"/>
    <w:multiLevelType w:val="hybridMultilevel"/>
    <w:tmpl w:val="C664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A93043"/>
    <w:multiLevelType w:val="hybridMultilevel"/>
    <w:tmpl w:val="C68EDB5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1D4FD5"/>
    <w:multiLevelType w:val="hybridMultilevel"/>
    <w:tmpl w:val="81A4D0C4"/>
    <w:lvl w:ilvl="0" w:tplc="84FAEF76">
      <w:start w:val="1"/>
      <w:numFmt w:val="decimal"/>
      <w:lvlText w:val="%1."/>
      <w:lvlJc w:val="left"/>
      <w:pPr>
        <w:ind w:left="720" w:hanging="360"/>
      </w:pPr>
      <w:rPr>
        <w:rFonts w:ascii="Calibri" w:eastAsia="Times New Roman" w:hAnsi="Calibri" w:cs="Arial"/>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1B7DB0"/>
    <w:multiLevelType w:val="hybridMultilevel"/>
    <w:tmpl w:val="1AE8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8465C9"/>
    <w:multiLevelType w:val="multilevel"/>
    <w:tmpl w:val="3CE23376"/>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AA2FC7"/>
    <w:multiLevelType w:val="hybridMultilevel"/>
    <w:tmpl w:val="3C3A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D1066C"/>
    <w:multiLevelType w:val="multilevel"/>
    <w:tmpl w:val="167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6D136F"/>
    <w:multiLevelType w:val="hybridMultilevel"/>
    <w:tmpl w:val="5FEA0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987292"/>
    <w:multiLevelType w:val="hybridMultilevel"/>
    <w:tmpl w:val="8EB085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381169"/>
    <w:multiLevelType w:val="hybridMultilevel"/>
    <w:tmpl w:val="51D6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304BA2"/>
    <w:multiLevelType w:val="hybridMultilevel"/>
    <w:tmpl w:val="5A642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DC6F9D"/>
    <w:multiLevelType w:val="hybridMultilevel"/>
    <w:tmpl w:val="49081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D3658AF"/>
    <w:multiLevelType w:val="hybridMultilevel"/>
    <w:tmpl w:val="12465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C962C1"/>
    <w:multiLevelType w:val="hybridMultilevel"/>
    <w:tmpl w:val="A67A4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7"/>
  </w:num>
  <w:num w:numId="5">
    <w:abstractNumId w:val="9"/>
  </w:num>
  <w:num w:numId="6">
    <w:abstractNumId w:val="8"/>
  </w:num>
  <w:num w:numId="7">
    <w:abstractNumId w:val="12"/>
  </w:num>
  <w:num w:numId="8">
    <w:abstractNumId w:val="0"/>
  </w:num>
  <w:num w:numId="9">
    <w:abstractNumId w:val="13"/>
  </w:num>
  <w:num w:numId="10">
    <w:abstractNumId w:val="19"/>
  </w:num>
  <w:num w:numId="11">
    <w:abstractNumId w:val="3"/>
  </w:num>
  <w:num w:numId="12">
    <w:abstractNumId w:val="15"/>
  </w:num>
  <w:num w:numId="13">
    <w:abstractNumId w:val="18"/>
  </w:num>
  <w:num w:numId="14">
    <w:abstractNumId w:val="17"/>
  </w:num>
  <w:num w:numId="15">
    <w:abstractNumId w:val="16"/>
  </w:num>
  <w:num w:numId="16">
    <w:abstractNumId w:val="22"/>
  </w:num>
  <w:num w:numId="17">
    <w:abstractNumId w:val="23"/>
  </w:num>
  <w:num w:numId="18">
    <w:abstractNumId w:val="1"/>
  </w:num>
  <w:num w:numId="19">
    <w:abstractNumId w:val="6"/>
  </w:num>
  <w:num w:numId="20">
    <w:abstractNumId w:val="2"/>
  </w:num>
  <w:num w:numId="21">
    <w:abstractNumId w:val="11"/>
  </w:num>
  <w:num w:numId="22">
    <w:abstractNumId w:val="24"/>
  </w:num>
  <w:num w:numId="23">
    <w:abstractNumId w:val="21"/>
  </w:num>
  <w:num w:numId="24">
    <w:abstractNumId w:val="14"/>
  </w:num>
  <w:num w:numId="2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F0"/>
    <w:rsid w:val="00002041"/>
    <w:rsid w:val="000052F0"/>
    <w:rsid w:val="0001752D"/>
    <w:rsid w:val="000309BB"/>
    <w:rsid w:val="00031E9D"/>
    <w:rsid w:val="00032906"/>
    <w:rsid w:val="00043935"/>
    <w:rsid w:val="00081EEE"/>
    <w:rsid w:val="00085361"/>
    <w:rsid w:val="00086FC4"/>
    <w:rsid w:val="00092B65"/>
    <w:rsid w:val="000B07D7"/>
    <w:rsid w:val="000B0FC4"/>
    <w:rsid w:val="000B1998"/>
    <w:rsid w:val="000B1C22"/>
    <w:rsid w:val="000C0C84"/>
    <w:rsid w:val="000C618F"/>
    <w:rsid w:val="000C7CBE"/>
    <w:rsid w:val="000D2E00"/>
    <w:rsid w:val="000E4C94"/>
    <w:rsid w:val="000E78A8"/>
    <w:rsid w:val="000F3EB9"/>
    <w:rsid w:val="00105773"/>
    <w:rsid w:val="00111CF6"/>
    <w:rsid w:val="001216AD"/>
    <w:rsid w:val="0012690E"/>
    <w:rsid w:val="00131D1C"/>
    <w:rsid w:val="00146DFC"/>
    <w:rsid w:val="00147653"/>
    <w:rsid w:val="00154CAE"/>
    <w:rsid w:val="001800E4"/>
    <w:rsid w:val="001821B6"/>
    <w:rsid w:val="0019150F"/>
    <w:rsid w:val="00196FAD"/>
    <w:rsid w:val="001B6FD9"/>
    <w:rsid w:val="001D26BC"/>
    <w:rsid w:val="001D52E7"/>
    <w:rsid w:val="001D54F8"/>
    <w:rsid w:val="001E0D24"/>
    <w:rsid w:val="001E3104"/>
    <w:rsid w:val="001E60A1"/>
    <w:rsid w:val="001E6E0F"/>
    <w:rsid w:val="001F2669"/>
    <w:rsid w:val="001F2AE5"/>
    <w:rsid w:val="00234240"/>
    <w:rsid w:val="00245BB3"/>
    <w:rsid w:val="00245C8A"/>
    <w:rsid w:val="00246CFE"/>
    <w:rsid w:val="0025563F"/>
    <w:rsid w:val="002609EB"/>
    <w:rsid w:val="00274FEF"/>
    <w:rsid w:val="00292A6F"/>
    <w:rsid w:val="00293012"/>
    <w:rsid w:val="002A2DC6"/>
    <w:rsid w:val="002A30E1"/>
    <w:rsid w:val="002A4B25"/>
    <w:rsid w:val="002B61E6"/>
    <w:rsid w:val="002C06CD"/>
    <w:rsid w:val="002D412D"/>
    <w:rsid w:val="002E0202"/>
    <w:rsid w:val="002F5C71"/>
    <w:rsid w:val="00300C9F"/>
    <w:rsid w:val="00307702"/>
    <w:rsid w:val="003131E1"/>
    <w:rsid w:val="00327A52"/>
    <w:rsid w:val="003313BD"/>
    <w:rsid w:val="00346BA0"/>
    <w:rsid w:val="00354CF7"/>
    <w:rsid w:val="00384E00"/>
    <w:rsid w:val="00390481"/>
    <w:rsid w:val="00392682"/>
    <w:rsid w:val="003B1361"/>
    <w:rsid w:val="00421545"/>
    <w:rsid w:val="00424AEE"/>
    <w:rsid w:val="004251B8"/>
    <w:rsid w:val="00434EC5"/>
    <w:rsid w:val="00450FDD"/>
    <w:rsid w:val="004536D4"/>
    <w:rsid w:val="00463664"/>
    <w:rsid w:val="004666EB"/>
    <w:rsid w:val="00466780"/>
    <w:rsid w:val="0047510F"/>
    <w:rsid w:val="00492C13"/>
    <w:rsid w:val="004A30BC"/>
    <w:rsid w:val="004A3437"/>
    <w:rsid w:val="004A7DA3"/>
    <w:rsid w:val="004C6FDC"/>
    <w:rsid w:val="004F4535"/>
    <w:rsid w:val="004F4664"/>
    <w:rsid w:val="00504184"/>
    <w:rsid w:val="00520883"/>
    <w:rsid w:val="00522FA4"/>
    <w:rsid w:val="005311FD"/>
    <w:rsid w:val="00540BFA"/>
    <w:rsid w:val="00543F20"/>
    <w:rsid w:val="00547B9B"/>
    <w:rsid w:val="005534EA"/>
    <w:rsid w:val="005535E3"/>
    <w:rsid w:val="0056624F"/>
    <w:rsid w:val="0056651B"/>
    <w:rsid w:val="00566B6F"/>
    <w:rsid w:val="00567D86"/>
    <w:rsid w:val="005A086D"/>
    <w:rsid w:val="005A3284"/>
    <w:rsid w:val="005A3C0E"/>
    <w:rsid w:val="005B2216"/>
    <w:rsid w:val="005C3063"/>
    <w:rsid w:val="005D28A1"/>
    <w:rsid w:val="005E070E"/>
    <w:rsid w:val="005F12EA"/>
    <w:rsid w:val="005F61FD"/>
    <w:rsid w:val="0060112A"/>
    <w:rsid w:val="006103C8"/>
    <w:rsid w:val="00612F23"/>
    <w:rsid w:val="00613E02"/>
    <w:rsid w:val="00614087"/>
    <w:rsid w:val="00617E18"/>
    <w:rsid w:val="00621931"/>
    <w:rsid w:val="00622623"/>
    <w:rsid w:val="006321E6"/>
    <w:rsid w:val="006371E5"/>
    <w:rsid w:val="00640F24"/>
    <w:rsid w:val="006429AD"/>
    <w:rsid w:val="006466F9"/>
    <w:rsid w:val="00646BD0"/>
    <w:rsid w:val="006477AA"/>
    <w:rsid w:val="00652DA0"/>
    <w:rsid w:val="00672181"/>
    <w:rsid w:val="0067615B"/>
    <w:rsid w:val="00677D0B"/>
    <w:rsid w:val="0068014C"/>
    <w:rsid w:val="00681E0B"/>
    <w:rsid w:val="00681F2E"/>
    <w:rsid w:val="00683932"/>
    <w:rsid w:val="0069640B"/>
    <w:rsid w:val="00696E78"/>
    <w:rsid w:val="006A3F86"/>
    <w:rsid w:val="006A71A7"/>
    <w:rsid w:val="006A7C6D"/>
    <w:rsid w:val="006B69F6"/>
    <w:rsid w:val="006C0E82"/>
    <w:rsid w:val="006C6E47"/>
    <w:rsid w:val="006D26BE"/>
    <w:rsid w:val="006D4008"/>
    <w:rsid w:val="006D41CF"/>
    <w:rsid w:val="006E59E4"/>
    <w:rsid w:val="007014B6"/>
    <w:rsid w:val="00703789"/>
    <w:rsid w:val="00717B65"/>
    <w:rsid w:val="0072462A"/>
    <w:rsid w:val="00726C93"/>
    <w:rsid w:val="00733267"/>
    <w:rsid w:val="00750872"/>
    <w:rsid w:val="00750D5C"/>
    <w:rsid w:val="007517E6"/>
    <w:rsid w:val="007522C3"/>
    <w:rsid w:val="00755261"/>
    <w:rsid w:val="0077065E"/>
    <w:rsid w:val="0078366F"/>
    <w:rsid w:val="00790B3E"/>
    <w:rsid w:val="007A4724"/>
    <w:rsid w:val="007C43EC"/>
    <w:rsid w:val="007C6AD3"/>
    <w:rsid w:val="007D628D"/>
    <w:rsid w:val="008023A4"/>
    <w:rsid w:val="008045C2"/>
    <w:rsid w:val="00806E30"/>
    <w:rsid w:val="00812906"/>
    <w:rsid w:val="00816F2B"/>
    <w:rsid w:val="00832CCF"/>
    <w:rsid w:val="0084631D"/>
    <w:rsid w:val="0089219E"/>
    <w:rsid w:val="008942A4"/>
    <w:rsid w:val="008B072F"/>
    <w:rsid w:val="008B0B24"/>
    <w:rsid w:val="008B25C8"/>
    <w:rsid w:val="008B364B"/>
    <w:rsid w:val="008B53BB"/>
    <w:rsid w:val="008C4CC8"/>
    <w:rsid w:val="008D09E1"/>
    <w:rsid w:val="008D4F4A"/>
    <w:rsid w:val="008E5BBF"/>
    <w:rsid w:val="00903ACB"/>
    <w:rsid w:val="00904073"/>
    <w:rsid w:val="0090633D"/>
    <w:rsid w:val="00907E23"/>
    <w:rsid w:val="00912589"/>
    <w:rsid w:val="009146DB"/>
    <w:rsid w:val="00917CED"/>
    <w:rsid w:val="00921070"/>
    <w:rsid w:val="00935DDC"/>
    <w:rsid w:val="009400EE"/>
    <w:rsid w:val="00953937"/>
    <w:rsid w:val="00957D3E"/>
    <w:rsid w:val="00962818"/>
    <w:rsid w:val="00970731"/>
    <w:rsid w:val="00971377"/>
    <w:rsid w:val="00973E77"/>
    <w:rsid w:val="0098382D"/>
    <w:rsid w:val="00994839"/>
    <w:rsid w:val="00996D98"/>
    <w:rsid w:val="009A1FCA"/>
    <w:rsid w:val="009A7751"/>
    <w:rsid w:val="009B5498"/>
    <w:rsid w:val="009C29F5"/>
    <w:rsid w:val="009C3B08"/>
    <w:rsid w:val="009D3DE6"/>
    <w:rsid w:val="009E4B1C"/>
    <w:rsid w:val="009E5BE9"/>
    <w:rsid w:val="009F3181"/>
    <w:rsid w:val="009F36EC"/>
    <w:rsid w:val="009F5C28"/>
    <w:rsid w:val="00A017C7"/>
    <w:rsid w:val="00A05EDA"/>
    <w:rsid w:val="00A144F8"/>
    <w:rsid w:val="00A15930"/>
    <w:rsid w:val="00A164C7"/>
    <w:rsid w:val="00A20804"/>
    <w:rsid w:val="00A233BE"/>
    <w:rsid w:val="00A25227"/>
    <w:rsid w:val="00A41477"/>
    <w:rsid w:val="00A53B2E"/>
    <w:rsid w:val="00A540EB"/>
    <w:rsid w:val="00A54932"/>
    <w:rsid w:val="00A5605D"/>
    <w:rsid w:val="00A7545A"/>
    <w:rsid w:val="00A80E04"/>
    <w:rsid w:val="00A82C94"/>
    <w:rsid w:val="00AA1F18"/>
    <w:rsid w:val="00AA298A"/>
    <w:rsid w:val="00AB16B7"/>
    <w:rsid w:val="00AB6D9E"/>
    <w:rsid w:val="00AE0668"/>
    <w:rsid w:val="00AE067A"/>
    <w:rsid w:val="00AF24B3"/>
    <w:rsid w:val="00AF4087"/>
    <w:rsid w:val="00B23814"/>
    <w:rsid w:val="00B40F21"/>
    <w:rsid w:val="00B51088"/>
    <w:rsid w:val="00B70624"/>
    <w:rsid w:val="00B72A82"/>
    <w:rsid w:val="00B80BD1"/>
    <w:rsid w:val="00B906F9"/>
    <w:rsid w:val="00B91F5B"/>
    <w:rsid w:val="00B93666"/>
    <w:rsid w:val="00BA463D"/>
    <w:rsid w:val="00BA5529"/>
    <w:rsid w:val="00BB2CF9"/>
    <w:rsid w:val="00BB79BC"/>
    <w:rsid w:val="00BC4745"/>
    <w:rsid w:val="00BD59F4"/>
    <w:rsid w:val="00BD5F99"/>
    <w:rsid w:val="00BD745D"/>
    <w:rsid w:val="00BE694E"/>
    <w:rsid w:val="00BF0DC1"/>
    <w:rsid w:val="00C006EE"/>
    <w:rsid w:val="00C10376"/>
    <w:rsid w:val="00C15B46"/>
    <w:rsid w:val="00C16483"/>
    <w:rsid w:val="00C20FAC"/>
    <w:rsid w:val="00C24C3D"/>
    <w:rsid w:val="00C63DEC"/>
    <w:rsid w:val="00C64C42"/>
    <w:rsid w:val="00C728F5"/>
    <w:rsid w:val="00C72B84"/>
    <w:rsid w:val="00C820C8"/>
    <w:rsid w:val="00C82C71"/>
    <w:rsid w:val="00C82E13"/>
    <w:rsid w:val="00C87639"/>
    <w:rsid w:val="00C87701"/>
    <w:rsid w:val="00C906CA"/>
    <w:rsid w:val="00CB0140"/>
    <w:rsid w:val="00CB7604"/>
    <w:rsid w:val="00CC268F"/>
    <w:rsid w:val="00CC56FB"/>
    <w:rsid w:val="00CD3920"/>
    <w:rsid w:val="00CD7378"/>
    <w:rsid w:val="00CE3861"/>
    <w:rsid w:val="00D055FA"/>
    <w:rsid w:val="00D13590"/>
    <w:rsid w:val="00D204A2"/>
    <w:rsid w:val="00D20D27"/>
    <w:rsid w:val="00D2427C"/>
    <w:rsid w:val="00D35D61"/>
    <w:rsid w:val="00D407E0"/>
    <w:rsid w:val="00D464B5"/>
    <w:rsid w:val="00D56ACB"/>
    <w:rsid w:val="00D6216D"/>
    <w:rsid w:val="00D644EC"/>
    <w:rsid w:val="00D666B9"/>
    <w:rsid w:val="00D720FD"/>
    <w:rsid w:val="00D8317B"/>
    <w:rsid w:val="00D84B03"/>
    <w:rsid w:val="00DA11BC"/>
    <w:rsid w:val="00DA16A7"/>
    <w:rsid w:val="00DA16FB"/>
    <w:rsid w:val="00DA1C2D"/>
    <w:rsid w:val="00DA2E59"/>
    <w:rsid w:val="00DA741D"/>
    <w:rsid w:val="00DB35DF"/>
    <w:rsid w:val="00DB3DC4"/>
    <w:rsid w:val="00DB480B"/>
    <w:rsid w:val="00DB66FB"/>
    <w:rsid w:val="00DC74D8"/>
    <w:rsid w:val="00DD38CD"/>
    <w:rsid w:val="00DD705E"/>
    <w:rsid w:val="00DE1A79"/>
    <w:rsid w:val="00DF2B64"/>
    <w:rsid w:val="00DF6A70"/>
    <w:rsid w:val="00E0465E"/>
    <w:rsid w:val="00E0473E"/>
    <w:rsid w:val="00E31AD5"/>
    <w:rsid w:val="00E37A82"/>
    <w:rsid w:val="00E46E4B"/>
    <w:rsid w:val="00E509F9"/>
    <w:rsid w:val="00E53E8E"/>
    <w:rsid w:val="00E61E5E"/>
    <w:rsid w:val="00E626BA"/>
    <w:rsid w:val="00E64BA8"/>
    <w:rsid w:val="00E67DD8"/>
    <w:rsid w:val="00E776EE"/>
    <w:rsid w:val="00E91CF3"/>
    <w:rsid w:val="00EA40DE"/>
    <w:rsid w:val="00EB0CF3"/>
    <w:rsid w:val="00EB6F00"/>
    <w:rsid w:val="00EC5B4B"/>
    <w:rsid w:val="00ED7EA3"/>
    <w:rsid w:val="00EE00A7"/>
    <w:rsid w:val="00EF06F4"/>
    <w:rsid w:val="00EF2CEC"/>
    <w:rsid w:val="00EF3EB2"/>
    <w:rsid w:val="00EF48DE"/>
    <w:rsid w:val="00EF4D32"/>
    <w:rsid w:val="00F02942"/>
    <w:rsid w:val="00F039F2"/>
    <w:rsid w:val="00F13B03"/>
    <w:rsid w:val="00F259B6"/>
    <w:rsid w:val="00F2722C"/>
    <w:rsid w:val="00F31DA4"/>
    <w:rsid w:val="00F32178"/>
    <w:rsid w:val="00F324D7"/>
    <w:rsid w:val="00F356A3"/>
    <w:rsid w:val="00F37C11"/>
    <w:rsid w:val="00F41F90"/>
    <w:rsid w:val="00F42F4E"/>
    <w:rsid w:val="00F4684B"/>
    <w:rsid w:val="00F54EFA"/>
    <w:rsid w:val="00F56CBE"/>
    <w:rsid w:val="00F60EFA"/>
    <w:rsid w:val="00F630FA"/>
    <w:rsid w:val="00F72967"/>
    <w:rsid w:val="00F8270D"/>
    <w:rsid w:val="00F9163F"/>
    <w:rsid w:val="00F921E3"/>
    <w:rsid w:val="00F9357E"/>
    <w:rsid w:val="00FA38B9"/>
    <w:rsid w:val="00FA6D69"/>
    <w:rsid w:val="00FC0AD7"/>
    <w:rsid w:val="00FC501B"/>
    <w:rsid w:val="00FD09CC"/>
    <w:rsid w:val="00FF097F"/>
    <w:rsid w:val="00FF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0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F3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2F0"/>
    <w:pPr>
      <w:tabs>
        <w:tab w:val="center" w:pos="4513"/>
        <w:tab w:val="right" w:pos="9026"/>
      </w:tabs>
    </w:pPr>
  </w:style>
  <w:style w:type="character" w:customStyle="1" w:styleId="HeaderChar">
    <w:name w:val="Header Char"/>
    <w:basedOn w:val="DefaultParagraphFont"/>
    <w:link w:val="Header"/>
    <w:uiPriority w:val="99"/>
    <w:rsid w:val="000052F0"/>
  </w:style>
  <w:style w:type="paragraph" w:styleId="Footer">
    <w:name w:val="footer"/>
    <w:basedOn w:val="Normal"/>
    <w:link w:val="FooterChar"/>
    <w:uiPriority w:val="99"/>
    <w:unhideWhenUsed/>
    <w:rsid w:val="000052F0"/>
    <w:pPr>
      <w:tabs>
        <w:tab w:val="center" w:pos="4513"/>
        <w:tab w:val="right" w:pos="9026"/>
      </w:tabs>
    </w:pPr>
  </w:style>
  <w:style w:type="character" w:customStyle="1" w:styleId="FooterChar">
    <w:name w:val="Footer Char"/>
    <w:basedOn w:val="DefaultParagraphFont"/>
    <w:link w:val="Footer"/>
    <w:uiPriority w:val="99"/>
    <w:rsid w:val="000052F0"/>
  </w:style>
  <w:style w:type="paragraph" w:styleId="BalloonText">
    <w:name w:val="Balloon Text"/>
    <w:basedOn w:val="Normal"/>
    <w:link w:val="BalloonTextChar"/>
    <w:uiPriority w:val="99"/>
    <w:semiHidden/>
    <w:unhideWhenUsed/>
    <w:rsid w:val="000052F0"/>
    <w:rPr>
      <w:rFonts w:ascii="Tahoma" w:hAnsi="Tahoma" w:cs="Tahoma"/>
      <w:sz w:val="16"/>
      <w:szCs w:val="16"/>
    </w:rPr>
  </w:style>
  <w:style w:type="character" w:customStyle="1" w:styleId="BalloonTextChar">
    <w:name w:val="Balloon Text Char"/>
    <w:basedOn w:val="DefaultParagraphFont"/>
    <w:link w:val="BalloonText"/>
    <w:uiPriority w:val="99"/>
    <w:semiHidden/>
    <w:rsid w:val="000052F0"/>
    <w:rPr>
      <w:rFonts w:ascii="Tahoma" w:hAnsi="Tahoma" w:cs="Tahoma"/>
      <w:sz w:val="16"/>
      <w:szCs w:val="16"/>
    </w:rPr>
  </w:style>
  <w:style w:type="table" w:styleId="TableGrid">
    <w:name w:val="Table Grid"/>
    <w:basedOn w:val="TableWeb1"/>
    <w:uiPriority w:val="59"/>
    <w:rsid w:val="000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
    <w:name w:val="Style1"/>
    <w:basedOn w:val="TableWeb1"/>
    <w:uiPriority w:val="99"/>
    <w:rsid w:val="00DA11BC"/>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0052F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346BA0"/>
    <w:rPr>
      <w:color w:val="0000FF" w:themeColor="hyperlink"/>
      <w:u w:val="single"/>
    </w:rPr>
  </w:style>
  <w:style w:type="paragraph" w:styleId="ListParagraph">
    <w:name w:val="List Paragraph"/>
    <w:basedOn w:val="Normal"/>
    <w:uiPriority w:val="34"/>
    <w:qFormat/>
    <w:rsid w:val="00346BA0"/>
    <w:pPr>
      <w:ind w:left="720"/>
      <w:contextualSpacing/>
    </w:pPr>
  </w:style>
  <w:style w:type="character" w:styleId="FollowedHyperlink">
    <w:name w:val="FollowedHyperlink"/>
    <w:basedOn w:val="DefaultParagraphFont"/>
    <w:uiPriority w:val="99"/>
    <w:semiHidden/>
    <w:unhideWhenUsed/>
    <w:rsid w:val="00450FDD"/>
    <w:rPr>
      <w:color w:val="800080" w:themeColor="followedHyperlink"/>
      <w:u w:val="single"/>
    </w:rPr>
  </w:style>
  <w:style w:type="character" w:styleId="CommentReference">
    <w:name w:val="annotation reference"/>
    <w:basedOn w:val="DefaultParagraphFont"/>
    <w:uiPriority w:val="99"/>
    <w:semiHidden/>
    <w:unhideWhenUsed/>
    <w:rsid w:val="00EF3EB2"/>
    <w:rPr>
      <w:sz w:val="16"/>
      <w:szCs w:val="16"/>
    </w:rPr>
  </w:style>
  <w:style w:type="paragraph" w:styleId="CommentText">
    <w:name w:val="annotation text"/>
    <w:basedOn w:val="Normal"/>
    <w:link w:val="CommentTextChar"/>
    <w:uiPriority w:val="99"/>
    <w:semiHidden/>
    <w:unhideWhenUsed/>
    <w:rsid w:val="00EF3EB2"/>
    <w:rPr>
      <w:sz w:val="20"/>
      <w:szCs w:val="20"/>
    </w:rPr>
  </w:style>
  <w:style w:type="character" w:customStyle="1" w:styleId="CommentTextChar">
    <w:name w:val="Comment Text Char"/>
    <w:basedOn w:val="DefaultParagraphFont"/>
    <w:link w:val="CommentText"/>
    <w:uiPriority w:val="99"/>
    <w:semiHidden/>
    <w:rsid w:val="00EF3E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EB2"/>
    <w:rPr>
      <w:b/>
      <w:bCs/>
    </w:rPr>
  </w:style>
  <w:style w:type="character" w:customStyle="1" w:styleId="CommentSubjectChar">
    <w:name w:val="Comment Subject Char"/>
    <w:basedOn w:val="CommentTextChar"/>
    <w:link w:val="CommentSubject"/>
    <w:uiPriority w:val="99"/>
    <w:semiHidden/>
    <w:rsid w:val="00EF3EB2"/>
    <w:rPr>
      <w:rFonts w:ascii="Times New Roman" w:eastAsia="Times New Roman" w:hAnsi="Times New Roman" w:cs="Times New Roman"/>
      <w:b/>
      <w:bCs/>
      <w:sz w:val="20"/>
      <w:szCs w:val="20"/>
    </w:rPr>
  </w:style>
  <w:style w:type="paragraph" w:customStyle="1" w:styleId="Default">
    <w:name w:val="Default"/>
    <w:rsid w:val="001F2669"/>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0F3EB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A298A"/>
    <w:pPr>
      <w:spacing w:after="360"/>
    </w:pPr>
    <w:rPr>
      <w:color w:val="232323"/>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0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F3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2F0"/>
    <w:pPr>
      <w:tabs>
        <w:tab w:val="center" w:pos="4513"/>
        <w:tab w:val="right" w:pos="9026"/>
      </w:tabs>
    </w:pPr>
  </w:style>
  <w:style w:type="character" w:customStyle="1" w:styleId="HeaderChar">
    <w:name w:val="Header Char"/>
    <w:basedOn w:val="DefaultParagraphFont"/>
    <w:link w:val="Header"/>
    <w:uiPriority w:val="99"/>
    <w:rsid w:val="000052F0"/>
  </w:style>
  <w:style w:type="paragraph" w:styleId="Footer">
    <w:name w:val="footer"/>
    <w:basedOn w:val="Normal"/>
    <w:link w:val="FooterChar"/>
    <w:uiPriority w:val="99"/>
    <w:unhideWhenUsed/>
    <w:rsid w:val="000052F0"/>
    <w:pPr>
      <w:tabs>
        <w:tab w:val="center" w:pos="4513"/>
        <w:tab w:val="right" w:pos="9026"/>
      </w:tabs>
    </w:pPr>
  </w:style>
  <w:style w:type="character" w:customStyle="1" w:styleId="FooterChar">
    <w:name w:val="Footer Char"/>
    <w:basedOn w:val="DefaultParagraphFont"/>
    <w:link w:val="Footer"/>
    <w:uiPriority w:val="99"/>
    <w:rsid w:val="000052F0"/>
  </w:style>
  <w:style w:type="paragraph" w:styleId="BalloonText">
    <w:name w:val="Balloon Text"/>
    <w:basedOn w:val="Normal"/>
    <w:link w:val="BalloonTextChar"/>
    <w:uiPriority w:val="99"/>
    <w:semiHidden/>
    <w:unhideWhenUsed/>
    <w:rsid w:val="000052F0"/>
    <w:rPr>
      <w:rFonts w:ascii="Tahoma" w:hAnsi="Tahoma" w:cs="Tahoma"/>
      <w:sz w:val="16"/>
      <w:szCs w:val="16"/>
    </w:rPr>
  </w:style>
  <w:style w:type="character" w:customStyle="1" w:styleId="BalloonTextChar">
    <w:name w:val="Balloon Text Char"/>
    <w:basedOn w:val="DefaultParagraphFont"/>
    <w:link w:val="BalloonText"/>
    <w:uiPriority w:val="99"/>
    <w:semiHidden/>
    <w:rsid w:val="000052F0"/>
    <w:rPr>
      <w:rFonts w:ascii="Tahoma" w:hAnsi="Tahoma" w:cs="Tahoma"/>
      <w:sz w:val="16"/>
      <w:szCs w:val="16"/>
    </w:rPr>
  </w:style>
  <w:style w:type="table" w:styleId="TableGrid">
    <w:name w:val="Table Grid"/>
    <w:basedOn w:val="TableWeb1"/>
    <w:uiPriority w:val="59"/>
    <w:rsid w:val="000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
    <w:name w:val="Style1"/>
    <w:basedOn w:val="TableWeb1"/>
    <w:uiPriority w:val="99"/>
    <w:rsid w:val="00DA11BC"/>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0052F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346BA0"/>
    <w:rPr>
      <w:color w:val="0000FF" w:themeColor="hyperlink"/>
      <w:u w:val="single"/>
    </w:rPr>
  </w:style>
  <w:style w:type="paragraph" w:styleId="ListParagraph">
    <w:name w:val="List Paragraph"/>
    <w:basedOn w:val="Normal"/>
    <w:uiPriority w:val="34"/>
    <w:qFormat/>
    <w:rsid w:val="00346BA0"/>
    <w:pPr>
      <w:ind w:left="720"/>
      <w:contextualSpacing/>
    </w:pPr>
  </w:style>
  <w:style w:type="character" w:styleId="FollowedHyperlink">
    <w:name w:val="FollowedHyperlink"/>
    <w:basedOn w:val="DefaultParagraphFont"/>
    <w:uiPriority w:val="99"/>
    <w:semiHidden/>
    <w:unhideWhenUsed/>
    <w:rsid w:val="00450FDD"/>
    <w:rPr>
      <w:color w:val="800080" w:themeColor="followedHyperlink"/>
      <w:u w:val="single"/>
    </w:rPr>
  </w:style>
  <w:style w:type="character" w:styleId="CommentReference">
    <w:name w:val="annotation reference"/>
    <w:basedOn w:val="DefaultParagraphFont"/>
    <w:uiPriority w:val="99"/>
    <w:semiHidden/>
    <w:unhideWhenUsed/>
    <w:rsid w:val="00EF3EB2"/>
    <w:rPr>
      <w:sz w:val="16"/>
      <w:szCs w:val="16"/>
    </w:rPr>
  </w:style>
  <w:style w:type="paragraph" w:styleId="CommentText">
    <w:name w:val="annotation text"/>
    <w:basedOn w:val="Normal"/>
    <w:link w:val="CommentTextChar"/>
    <w:uiPriority w:val="99"/>
    <w:semiHidden/>
    <w:unhideWhenUsed/>
    <w:rsid w:val="00EF3EB2"/>
    <w:rPr>
      <w:sz w:val="20"/>
      <w:szCs w:val="20"/>
    </w:rPr>
  </w:style>
  <w:style w:type="character" w:customStyle="1" w:styleId="CommentTextChar">
    <w:name w:val="Comment Text Char"/>
    <w:basedOn w:val="DefaultParagraphFont"/>
    <w:link w:val="CommentText"/>
    <w:uiPriority w:val="99"/>
    <w:semiHidden/>
    <w:rsid w:val="00EF3E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EB2"/>
    <w:rPr>
      <w:b/>
      <w:bCs/>
    </w:rPr>
  </w:style>
  <w:style w:type="character" w:customStyle="1" w:styleId="CommentSubjectChar">
    <w:name w:val="Comment Subject Char"/>
    <w:basedOn w:val="CommentTextChar"/>
    <w:link w:val="CommentSubject"/>
    <w:uiPriority w:val="99"/>
    <w:semiHidden/>
    <w:rsid w:val="00EF3EB2"/>
    <w:rPr>
      <w:rFonts w:ascii="Times New Roman" w:eastAsia="Times New Roman" w:hAnsi="Times New Roman" w:cs="Times New Roman"/>
      <w:b/>
      <w:bCs/>
      <w:sz w:val="20"/>
      <w:szCs w:val="20"/>
    </w:rPr>
  </w:style>
  <w:style w:type="paragraph" w:customStyle="1" w:styleId="Default">
    <w:name w:val="Default"/>
    <w:rsid w:val="001F2669"/>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0F3EB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A298A"/>
    <w:pPr>
      <w:spacing w:after="360"/>
    </w:pPr>
    <w:rPr>
      <w:color w:val="2323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2856">
      <w:bodyDiv w:val="1"/>
      <w:marLeft w:val="0"/>
      <w:marRight w:val="0"/>
      <w:marTop w:val="0"/>
      <w:marBottom w:val="0"/>
      <w:divBdr>
        <w:top w:val="none" w:sz="0" w:space="0" w:color="auto"/>
        <w:left w:val="none" w:sz="0" w:space="0" w:color="auto"/>
        <w:bottom w:val="none" w:sz="0" w:space="0" w:color="auto"/>
        <w:right w:val="none" w:sz="0" w:space="0" w:color="auto"/>
      </w:divBdr>
    </w:div>
    <w:div w:id="385107587">
      <w:bodyDiv w:val="1"/>
      <w:marLeft w:val="0"/>
      <w:marRight w:val="0"/>
      <w:marTop w:val="0"/>
      <w:marBottom w:val="0"/>
      <w:divBdr>
        <w:top w:val="none" w:sz="0" w:space="0" w:color="auto"/>
        <w:left w:val="none" w:sz="0" w:space="0" w:color="auto"/>
        <w:bottom w:val="none" w:sz="0" w:space="0" w:color="auto"/>
        <w:right w:val="none" w:sz="0" w:space="0" w:color="auto"/>
      </w:divBdr>
    </w:div>
    <w:div w:id="401291137">
      <w:bodyDiv w:val="1"/>
      <w:marLeft w:val="0"/>
      <w:marRight w:val="0"/>
      <w:marTop w:val="0"/>
      <w:marBottom w:val="0"/>
      <w:divBdr>
        <w:top w:val="none" w:sz="0" w:space="0" w:color="auto"/>
        <w:left w:val="none" w:sz="0" w:space="0" w:color="auto"/>
        <w:bottom w:val="none" w:sz="0" w:space="0" w:color="auto"/>
        <w:right w:val="none" w:sz="0" w:space="0" w:color="auto"/>
      </w:divBdr>
    </w:div>
    <w:div w:id="481772443">
      <w:bodyDiv w:val="1"/>
      <w:marLeft w:val="0"/>
      <w:marRight w:val="0"/>
      <w:marTop w:val="0"/>
      <w:marBottom w:val="0"/>
      <w:divBdr>
        <w:top w:val="none" w:sz="0" w:space="0" w:color="auto"/>
        <w:left w:val="none" w:sz="0" w:space="0" w:color="auto"/>
        <w:bottom w:val="none" w:sz="0" w:space="0" w:color="auto"/>
        <w:right w:val="none" w:sz="0" w:space="0" w:color="auto"/>
      </w:divBdr>
    </w:div>
    <w:div w:id="603029322">
      <w:bodyDiv w:val="1"/>
      <w:marLeft w:val="0"/>
      <w:marRight w:val="0"/>
      <w:marTop w:val="0"/>
      <w:marBottom w:val="0"/>
      <w:divBdr>
        <w:top w:val="none" w:sz="0" w:space="0" w:color="auto"/>
        <w:left w:val="none" w:sz="0" w:space="0" w:color="auto"/>
        <w:bottom w:val="none" w:sz="0" w:space="0" w:color="auto"/>
        <w:right w:val="none" w:sz="0" w:space="0" w:color="auto"/>
      </w:divBdr>
      <w:divsChild>
        <w:div w:id="1132476220">
          <w:marLeft w:val="0"/>
          <w:marRight w:val="0"/>
          <w:marTop w:val="100"/>
          <w:marBottom w:val="100"/>
          <w:divBdr>
            <w:top w:val="none" w:sz="0" w:space="0" w:color="auto"/>
            <w:left w:val="none" w:sz="0" w:space="0" w:color="auto"/>
            <w:bottom w:val="none" w:sz="0" w:space="0" w:color="auto"/>
            <w:right w:val="none" w:sz="0" w:space="0" w:color="auto"/>
          </w:divBdr>
          <w:divsChild>
            <w:div w:id="799344809">
              <w:marLeft w:val="0"/>
              <w:marRight w:val="0"/>
              <w:marTop w:val="100"/>
              <w:marBottom w:val="100"/>
              <w:divBdr>
                <w:top w:val="none" w:sz="0" w:space="0" w:color="auto"/>
                <w:left w:val="none" w:sz="0" w:space="0" w:color="auto"/>
                <w:bottom w:val="none" w:sz="0" w:space="0" w:color="auto"/>
                <w:right w:val="none" w:sz="0" w:space="0" w:color="auto"/>
              </w:divBdr>
              <w:divsChild>
                <w:div w:id="454182448">
                  <w:marLeft w:val="0"/>
                  <w:marRight w:val="0"/>
                  <w:marTop w:val="0"/>
                  <w:marBottom w:val="0"/>
                  <w:divBdr>
                    <w:top w:val="none" w:sz="0" w:space="0" w:color="auto"/>
                    <w:left w:val="none" w:sz="0" w:space="0" w:color="auto"/>
                    <w:bottom w:val="none" w:sz="0" w:space="0" w:color="auto"/>
                    <w:right w:val="none" w:sz="0" w:space="0" w:color="auto"/>
                  </w:divBdr>
                  <w:divsChild>
                    <w:div w:id="1981957232">
                      <w:marLeft w:val="0"/>
                      <w:marRight w:val="0"/>
                      <w:marTop w:val="0"/>
                      <w:marBottom w:val="0"/>
                      <w:divBdr>
                        <w:top w:val="none" w:sz="0" w:space="0" w:color="auto"/>
                        <w:left w:val="none" w:sz="0" w:space="0" w:color="auto"/>
                        <w:bottom w:val="none" w:sz="0" w:space="0" w:color="auto"/>
                        <w:right w:val="none" w:sz="0" w:space="0" w:color="auto"/>
                      </w:divBdr>
                      <w:divsChild>
                        <w:div w:id="753474018">
                          <w:marLeft w:val="0"/>
                          <w:marRight w:val="0"/>
                          <w:marTop w:val="0"/>
                          <w:marBottom w:val="0"/>
                          <w:divBdr>
                            <w:top w:val="none" w:sz="0" w:space="0" w:color="auto"/>
                            <w:left w:val="none" w:sz="0" w:space="0" w:color="auto"/>
                            <w:bottom w:val="none" w:sz="0" w:space="0" w:color="auto"/>
                            <w:right w:val="none" w:sz="0" w:space="0" w:color="auto"/>
                          </w:divBdr>
                          <w:divsChild>
                            <w:div w:id="1670862558">
                              <w:marLeft w:val="0"/>
                              <w:marRight w:val="0"/>
                              <w:marTop w:val="0"/>
                              <w:marBottom w:val="0"/>
                              <w:divBdr>
                                <w:top w:val="none" w:sz="0" w:space="0" w:color="auto"/>
                                <w:left w:val="none" w:sz="0" w:space="0" w:color="auto"/>
                                <w:bottom w:val="none" w:sz="0" w:space="0" w:color="auto"/>
                                <w:right w:val="none" w:sz="0" w:space="0" w:color="auto"/>
                              </w:divBdr>
                              <w:divsChild>
                                <w:div w:id="1769079514">
                                  <w:marLeft w:val="0"/>
                                  <w:marRight w:val="0"/>
                                  <w:marTop w:val="0"/>
                                  <w:marBottom w:val="0"/>
                                  <w:divBdr>
                                    <w:top w:val="none" w:sz="0" w:space="0" w:color="auto"/>
                                    <w:left w:val="none" w:sz="0" w:space="0" w:color="auto"/>
                                    <w:bottom w:val="none" w:sz="0" w:space="0" w:color="auto"/>
                                    <w:right w:val="none" w:sz="0" w:space="0" w:color="auto"/>
                                  </w:divBdr>
                                  <w:divsChild>
                                    <w:div w:id="1726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836136">
      <w:bodyDiv w:val="1"/>
      <w:marLeft w:val="0"/>
      <w:marRight w:val="0"/>
      <w:marTop w:val="0"/>
      <w:marBottom w:val="0"/>
      <w:divBdr>
        <w:top w:val="none" w:sz="0" w:space="0" w:color="auto"/>
        <w:left w:val="none" w:sz="0" w:space="0" w:color="auto"/>
        <w:bottom w:val="none" w:sz="0" w:space="0" w:color="auto"/>
        <w:right w:val="none" w:sz="0" w:space="0" w:color="auto"/>
      </w:divBdr>
    </w:div>
    <w:div w:id="952369851">
      <w:bodyDiv w:val="1"/>
      <w:marLeft w:val="0"/>
      <w:marRight w:val="0"/>
      <w:marTop w:val="0"/>
      <w:marBottom w:val="0"/>
      <w:divBdr>
        <w:top w:val="none" w:sz="0" w:space="0" w:color="auto"/>
        <w:left w:val="none" w:sz="0" w:space="0" w:color="auto"/>
        <w:bottom w:val="none" w:sz="0" w:space="0" w:color="auto"/>
        <w:right w:val="none" w:sz="0" w:space="0" w:color="auto"/>
      </w:divBdr>
      <w:divsChild>
        <w:div w:id="933128564">
          <w:marLeft w:val="0"/>
          <w:marRight w:val="0"/>
          <w:marTop w:val="0"/>
          <w:marBottom w:val="0"/>
          <w:divBdr>
            <w:top w:val="none" w:sz="0" w:space="0" w:color="auto"/>
            <w:left w:val="none" w:sz="0" w:space="0" w:color="auto"/>
            <w:bottom w:val="none" w:sz="0" w:space="0" w:color="auto"/>
            <w:right w:val="none" w:sz="0" w:space="0" w:color="auto"/>
          </w:divBdr>
          <w:divsChild>
            <w:div w:id="2122606477">
              <w:marLeft w:val="0"/>
              <w:marRight w:val="0"/>
              <w:marTop w:val="450"/>
              <w:marBottom w:val="0"/>
              <w:divBdr>
                <w:top w:val="none" w:sz="0" w:space="0" w:color="auto"/>
                <w:left w:val="none" w:sz="0" w:space="0" w:color="auto"/>
                <w:bottom w:val="none" w:sz="0" w:space="0" w:color="auto"/>
                <w:right w:val="none" w:sz="0" w:space="0" w:color="auto"/>
              </w:divBdr>
              <w:divsChild>
                <w:div w:id="1316252970">
                  <w:marLeft w:val="0"/>
                  <w:marRight w:val="0"/>
                  <w:marTop w:val="0"/>
                  <w:marBottom w:val="0"/>
                  <w:divBdr>
                    <w:top w:val="none" w:sz="0" w:space="0" w:color="auto"/>
                    <w:left w:val="none" w:sz="0" w:space="0" w:color="auto"/>
                    <w:bottom w:val="none" w:sz="0" w:space="0" w:color="auto"/>
                    <w:right w:val="none" w:sz="0" w:space="0" w:color="auto"/>
                  </w:divBdr>
                  <w:divsChild>
                    <w:div w:id="1840848333">
                      <w:marLeft w:val="0"/>
                      <w:marRight w:val="0"/>
                      <w:marTop w:val="0"/>
                      <w:marBottom w:val="0"/>
                      <w:divBdr>
                        <w:top w:val="none" w:sz="0" w:space="0" w:color="auto"/>
                        <w:left w:val="none" w:sz="0" w:space="0" w:color="auto"/>
                        <w:bottom w:val="none" w:sz="0" w:space="0" w:color="auto"/>
                        <w:right w:val="none" w:sz="0" w:space="0" w:color="auto"/>
                      </w:divBdr>
                      <w:divsChild>
                        <w:div w:id="4917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78996">
      <w:bodyDiv w:val="1"/>
      <w:marLeft w:val="0"/>
      <w:marRight w:val="0"/>
      <w:marTop w:val="0"/>
      <w:marBottom w:val="0"/>
      <w:divBdr>
        <w:top w:val="none" w:sz="0" w:space="0" w:color="auto"/>
        <w:left w:val="none" w:sz="0" w:space="0" w:color="auto"/>
        <w:bottom w:val="none" w:sz="0" w:space="0" w:color="auto"/>
        <w:right w:val="none" w:sz="0" w:space="0" w:color="auto"/>
      </w:divBdr>
      <w:divsChild>
        <w:div w:id="1815296876">
          <w:marLeft w:val="0"/>
          <w:marRight w:val="0"/>
          <w:marTop w:val="100"/>
          <w:marBottom w:val="100"/>
          <w:divBdr>
            <w:top w:val="none" w:sz="0" w:space="0" w:color="auto"/>
            <w:left w:val="none" w:sz="0" w:space="0" w:color="auto"/>
            <w:bottom w:val="none" w:sz="0" w:space="0" w:color="auto"/>
            <w:right w:val="none" w:sz="0" w:space="0" w:color="auto"/>
          </w:divBdr>
          <w:divsChild>
            <w:div w:id="1351685628">
              <w:marLeft w:val="0"/>
              <w:marRight w:val="0"/>
              <w:marTop w:val="100"/>
              <w:marBottom w:val="100"/>
              <w:divBdr>
                <w:top w:val="none" w:sz="0" w:space="0" w:color="auto"/>
                <w:left w:val="none" w:sz="0" w:space="0" w:color="auto"/>
                <w:bottom w:val="none" w:sz="0" w:space="0" w:color="auto"/>
                <w:right w:val="none" w:sz="0" w:space="0" w:color="auto"/>
              </w:divBdr>
              <w:divsChild>
                <w:div w:id="1799372253">
                  <w:marLeft w:val="0"/>
                  <w:marRight w:val="0"/>
                  <w:marTop w:val="0"/>
                  <w:marBottom w:val="0"/>
                  <w:divBdr>
                    <w:top w:val="none" w:sz="0" w:space="0" w:color="auto"/>
                    <w:left w:val="none" w:sz="0" w:space="0" w:color="auto"/>
                    <w:bottom w:val="none" w:sz="0" w:space="0" w:color="auto"/>
                    <w:right w:val="none" w:sz="0" w:space="0" w:color="auto"/>
                  </w:divBdr>
                  <w:divsChild>
                    <w:div w:id="1403984150">
                      <w:marLeft w:val="0"/>
                      <w:marRight w:val="0"/>
                      <w:marTop w:val="0"/>
                      <w:marBottom w:val="0"/>
                      <w:divBdr>
                        <w:top w:val="none" w:sz="0" w:space="0" w:color="auto"/>
                        <w:left w:val="none" w:sz="0" w:space="0" w:color="auto"/>
                        <w:bottom w:val="none" w:sz="0" w:space="0" w:color="auto"/>
                        <w:right w:val="none" w:sz="0" w:space="0" w:color="auto"/>
                      </w:divBdr>
                      <w:divsChild>
                        <w:div w:id="1993830360">
                          <w:marLeft w:val="0"/>
                          <w:marRight w:val="0"/>
                          <w:marTop w:val="0"/>
                          <w:marBottom w:val="0"/>
                          <w:divBdr>
                            <w:top w:val="none" w:sz="0" w:space="0" w:color="auto"/>
                            <w:left w:val="none" w:sz="0" w:space="0" w:color="auto"/>
                            <w:bottom w:val="none" w:sz="0" w:space="0" w:color="auto"/>
                            <w:right w:val="none" w:sz="0" w:space="0" w:color="auto"/>
                          </w:divBdr>
                          <w:divsChild>
                            <w:div w:id="1125735380">
                              <w:marLeft w:val="0"/>
                              <w:marRight w:val="0"/>
                              <w:marTop w:val="0"/>
                              <w:marBottom w:val="0"/>
                              <w:divBdr>
                                <w:top w:val="none" w:sz="0" w:space="0" w:color="auto"/>
                                <w:left w:val="none" w:sz="0" w:space="0" w:color="auto"/>
                                <w:bottom w:val="none" w:sz="0" w:space="0" w:color="auto"/>
                                <w:right w:val="none" w:sz="0" w:space="0" w:color="auto"/>
                              </w:divBdr>
                              <w:divsChild>
                                <w:div w:id="1758865593">
                                  <w:marLeft w:val="0"/>
                                  <w:marRight w:val="0"/>
                                  <w:marTop w:val="0"/>
                                  <w:marBottom w:val="0"/>
                                  <w:divBdr>
                                    <w:top w:val="none" w:sz="0" w:space="0" w:color="auto"/>
                                    <w:left w:val="none" w:sz="0" w:space="0" w:color="auto"/>
                                    <w:bottom w:val="none" w:sz="0" w:space="0" w:color="auto"/>
                                    <w:right w:val="none" w:sz="0" w:space="0" w:color="auto"/>
                                  </w:divBdr>
                                  <w:divsChild>
                                    <w:div w:id="9963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764649">
      <w:bodyDiv w:val="1"/>
      <w:marLeft w:val="0"/>
      <w:marRight w:val="0"/>
      <w:marTop w:val="0"/>
      <w:marBottom w:val="0"/>
      <w:divBdr>
        <w:top w:val="none" w:sz="0" w:space="0" w:color="auto"/>
        <w:left w:val="none" w:sz="0" w:space="0" w:color="auto"/>
        <w:bottom w:val="none" w:sz="0" w:space="0" w:color="auto"/>
        <w:right w:val="none" w:sz="0" w:space="0" w:color="auto"/>
      </w:divBdr>
    </w:div>
    <w:div w:id="1554654298">
      <w:bodyDiv w:val="1"/>
      <w:marLeft w:val="0"/>
      <w:marRight w:val="0"/>
      <w:marTop w:val="0"/>
      <w:marBottom w:val="0"/>
      <w:divBdr>
        <w:top w:val="none" w:sz="0" w:space="0" w:color="auto"/>
        <w:left w:val="none" w:sz="0" w:space="0" w:color="auto"/>
        <w:bottom w:val="none" w:sz="0" w:space="0" w:color="auto"/>
        <w:right w:val="none" w:sz="0" w:space="0" w:color="auto"/>
      </w:divBdr>
      <w:divsChild>
        <w:div w:id="959842814">
          <w:marLeft w:val="0"/>
          <w:marRight w:val="0"/>
          <w:marTop w:val="0"/>
          <w:marBottom w:val="0"/>
          <w:divBdr>
            <w:top w:val="none" w:sz="0" w:space="0" w:color="auto"/>
            <w:left w:val="none" w:sz="0" w:space="0" w:color="auto"/>
            <w:bottom w:val="none" w:sz="0" w:space="0" w:color="auto"/>
            <w:right w:val="none" w:sz="0" w:space="0" w:color="auto"/>
          </w:divBdr>
          <w:divsChild>
            <w:div w:id="713425862">
              <w:marLeft w:val="0"/>
              <w:marRight w:val="0"/>
              <w:marTop w:val="0"/>
              <w:marBottom w:val="0"/>
              <w:divBdr>
                <w:top w:val="none" w:sz="0" w:space="0" w:color="auto"/>
                <w:left w:val="none" w:sz="0" w:space="0" w:color="auto"/>
                <w:bottom w:val="none" w:sz="0" w:space="0" w:color="auto"/>
                <w:right w:val="none" w:sz="0" w:space="0" w:color="auto"/>
              </w:divBdr>
              <w:divsChild>
                <w:div w:id="1417047419">
                  <w:marLeft w:val="0"/>
                  <w:marRight w:val="0"/>
                  <w:marTop w:val="0"/>
                  <w:marBottom w:val="0"/>
                  <w:divBdr>
                    <w:top w:val="none" w:sz="0" w:space="0" w:color="auto"/>
                    <w:left w:val="none" w:sz="0" w:space="0" w:color="auto"/>
                    <w:bottom w:val="none" w:sz="0" w:space="0" w:color="auto"/>
                    <w:right w:val="none" w:sz="0" w:space="0" w:color="auto"/>
                  </w:divBdr>
                  <w:divsChild>
                    <w:div w:id="1991670198">
                      <w:marLeft w:val="0"/>
                      <w:marRight w:val="0"/>
                      <w:marTop w:val="0"/>
                      <w:marBottom w:val="0"/>
                      <w:divBdr>
                        <w:top w:val="none" w:sz="0" w:space="0" w:color="auto"/>
                        <w:left w:val="none" w:sz="0" w:space="0" w:color="auto"/>
                        <w:bottom w:val="none" w:sz="0" w:space="0" w:color="auto"/>
                        <w:right w:val="none" w:sz="0" w:space="0" w:color="auto"/>
                      </w:divBdr>
                      <w:divsChild>
                        <w:div w:id="1997608321">
                          <w:marLeft w:val="0"/>
                          <w:marRight w:val="0"/>
                          <w:marTop w:val="0"/>
                          <w:marBottom w:val="0"/>
                          <w:divBdr>
                            <w:top w:val="none" w:sz="0" w:space="0" w:color="auto"/>
                            <w:left w:val="none" w:sz="0" w:space="0" w:color="auto"/>
                            <w:bottom w:val="none" w:sz="0" w:space="0" w:color="auto"/>
                            <w:right w:val="none" w:sz="0" w:space="0" w:color="auto"/>
                          </w:divBdr>
                          <w:divsChild>
                            <w:div w:id="580722747">
                              <w:marLeft w:val="0"/>
                              <w:marRight w:val="0"/>
                              <w:marTop w:val="0"/>
                              <w:marBottom w:val="0"/>
                              <w:divBdr>
                                <w:top w:val="none" w:sz="0" w:space="0" w:color="auto"/>
                                <w:left w:val="none" w:sz="0" w:space="0" w:color="auto"/>
                                <w:bottom w:val="none" w:sz="0" w:space="0" w:color="auto"/>
                                <w:right w:val="none" w:sz="0" w:space="0" w:color="auto"/>
                              </w:divBdr>
                              <w:divsChild>
                                <w:div w:id="16947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91477">
      <w:bodyDiv w:val="1"/>
      <w:marLeft w:val="0"/>
      <w:marRight w:val="0"/>
      <w:marTop w:val="0"/>
      <w:marBottom w:val="0"/>
      <w:divBdr>
        <w:top w:val="none" w:sz="0" w:space="0" w:color="auto"/>
        <w:left w:val="none" w:sz="0" w:space="0" w:color="auto"/>
        <w:bottom w:val="none" w:sz="0" w:space="0" w:color="auto"/>
        <w:right w:val="none" w:sz="0" w:space="0" w:color="auto"/>
      </w:divBdr>
      <w:divsChild>
        <w:div w:id="369452859">
          <w:marLeft w:val="0"/>
          <w:marRight w:val="0"/>
          <w:marTop w:val="0"/>
          <w:marBottom w:val="0"/>
          <w:divBdr>
            <w:top w:val="none" w:sz="0" w:space="0" w:color="auto"/>
            <w:left w:val="none" w:sz="0" w:space="0" w:color="auto"/>
            <w:bottom w:val="none" w:sz="0" w:space="0" w:color="auto"/>
            <w:right w:val="none" w:sz="0" w:space="0" w:color="auto"/>
          </w:divBdr>
          <w:divsChild>
            <w:div w:id="310600621">
              <w:marLeft w:val="0"/>
              <w:marRight w:val="0"/>
              <w:marTop w:val="450"/>
              <w:marBottom w:val="0"/>
              <w:divBdr>
                <w:top w:val="none" w:sz="0" w:space="0" w:color="auto"/>
                <w:left w:val="none" w:sz="0" w:space="0" w:color="auto"/>
                <w:bottom w:val="none" w:sz="0" w:space="0" w:color="auto"/>
                <w:right w:val="none" w:sz="0" w:space="0" w:color="auto"/>
              </w:divBdr>
              <w:divsChild>
                <w:div w:id="1564755052">
                  <w:marLeft w:val="0"/>
                  <w:marRight w:val="0"/>
                  <w:marTop w:val="0"/>
                  <w:marBottom w:val="0"/>
                  <w:divBdr>
                    <w:top w:val="none" w:sz="0" w:space="0" w:color="auto"/>
                    <w:left w:val="none" w:sz="0" w:space="0" w:color="auto"/>
                    <w:bottom w:val="none" w:sz="0" w:space="0" w:color="auto"/>
                    <w:right w:val="none" w:sz="0" w:space="0" w:color="auto"/>
                  </w:divBdr>
                  <w:divsChild>
                    <w:div w:id="1322931699">
                      <w:marLeft w:val="0"/>
                      <w:marRight w:val="0"/>
                      <w:marTop w:val="0"/>
                      <w:marBottom w:val="0"/>
                      <w:divBdr>
                        <w:top w:val="none" w:sz="0" w:space="0" w:color="auto"/>
                        <w:left w:val="none" w:sz="0" w:space="0" w:color="auto"/>
                        <w:bottom w:val="none" w:sz="0" w:space="0" w:color="auto"/>
                        <w:right w:val="none" w:sz="0" w:space="0" w:color="auto"/>
                      </w:divBdr>
                      <w:divsChild>
                        <w:div w:id="9423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15970">
      <w:bodyDiv w:val="1"/>
      <w:marLeft w:val="0"/>
      <w:marRight w:val="0"/>
      <w:marTop w:val="0"/>
      <w:marBottom w:val="0"/>
      <w:divBdr>
        <w:top w:val="none" w:sz="0" w:space="0" w:color="auto"/>
        <w:left w:val="none" w:sz="0" w:space="0" w:color="auto"/>
        <w:bottom w:val="none" w:sz="0" w:space="0" w:color="auto"/>
        <w:right w:val="none" w:sz="0" w:space="0" w:color="auto"/>
      </w:divBdr>
    </w:div>
    <w:div w:id="1749379885">
      <w:bodyDiv w:val="1"/>
      <w:marLeft w:val="0"/>
      <w:marRight w:val="0"/>
      <w:marTop w:val="0"/>
      <w:marBottom w:val="0"/>
      <w:divBdr>
        <w:top w:val="none" w:sz="0" w:space="0" w:color="auto"/>
        <w:left w:val="none" w:sz="0" w:space="0" w:color="auto"/>
        <w:bottom w:val="none" w:sz="0" w:space="0" w:color="auto"/>
        <w:right w:val="none" w:sz="0" w:space="0" w:color="auto"/>
      </w:divBdr>
    </w:div>
    <w:div w:id="1769696911">
      <w:bodyDiv w:val="1"/>
      <w:marLeft w:val="0"/>
      <w:marRight w:val="0"/>
      <w:marTop w:val="0"/>
      <w:marBottom w:val="0"/>
      <w:divBdr>
        <w:top w:val="none" w:sz="0" w:space="0" w:color="auto"/>
        <w:left w:val="none" w:sz="0" w:space="0" w:color="auto"/>
        <w:bottom w:val="none" w:sz="0" w:space="0" w:color="auto"/>
        <w:right w:val="none" w:sz="0" w:space="0" w:color="auto"/>
      </w:divBdr>
      <w:divsChild>
        <w:div w:id="1140465245">
          <w:marLeft w:val="0"/>
          <w:marRight w:val="0"/>
          <w:marTop w:val="0"/>
          <w:marBottom w:val="0"/>
          <w:divBdr>
            <w:top w:val="none" w:sz="0" w:space="0" w:color="auto"/>
            <w:left w:val="none" w:sz="0" w:space="0" w:color="auto"/>
            <w:bottom w:val="none" w:sz="0" w:space="0" w:color="auto"/>
            <w:right w:val="none" w:sz="0" w:space="0" w:color="auto"/>
          </w:divBdr>
          <w:divsChild>
            <w:div w:id="1374378349">
              <w:marLeft w:val="0"/>
              <w:marRight w:val="0"/>
              <w:marTop w:val="0"/>
              <w:marBottom w:val="0"/>
              <w:divBdr>
                <w:top w:val="none" w:sz="0" w:space="0" w:color="auto"/>
                <w:left w:val="none" w:sz="0" w:space="0" w:color="auto"/>
                <w:bottom w:val="none" w:sz="0" w:space="0" w:color="auto"/>
                <w:right w:val="none" w:sz="0" w:space="0" w:color="auto"/>
              </w:divBdr>
              <w:divsChild>
                <w:div w:id="226500678">
                  <w:marLeft w:val="0"/>
                  <w:marRight w:val="0"/>
                  <w:marTop w:val="0"/>
                  <w:marBottom w:val="0"/>
                  <w:divBdr>
                    <w:top w:val="none" w:sz="0" w:space="0" w:color="auto"/>
                    <w:left w:val="none" w:sz="0" w:space="0" w:color="auto"/>
                    <w:bottom w:val="none" w:sz="0" w:space="0" w:color="auto"/>
                    <w:right w:val="none" w:sz="0" w:space="0" w:color="auto"/>
                  </w:divBdr>
                  <w:divsChild>
                    <w:div w:id="127818598">
                      <w:marLeft w:val="0"/>
                      <w:marRight w:val="0"/>
                      <w:marTop w:val="0"/>
                      <w:marBottom w:val="0"/>
                      <w:divBdr>
                        <w:top w:val="none" w:sz="0" w:space="0" w:color="auto"/>
                        <w:left w:val="none" w:sz="0" w:space="0" w:color="auto"/>
                        <w:bottom w:val="none" w:sz="0" w:space="0" w:color="auto"/>
                        <w:right w:val="none" w:sz="0" w:space="0" w:color="auto"/>
                      </w:divBdr>
                    </w:div>
                  </w:divsChild>
                </w:div>
                <w:div w:id="760446753">
                  <w:marLeft w:val="0"/>
                  <w:marRight w:val="0"/>
                  <w:marTop w:val="0"/>
                  <w:marBottom w:val="0"/>
                  <w:divBdr>
                    <w:top w:val="none" w:sz="0" w:space="0" w:color="auto"/>
                    <w:left w:val="none" w:sz="0" w:space="0" w:color="auto"/>
                    <w:bottom w:val="none" w:sz="0" w:space="0" w:color="auto"/>
                    <w:right w:val="none" w:sz="0" w:space="0" w:color="auto"/>
                  </w:divBdr>
                  <w:divsChild>
                    <w:div w:id="19187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3190">
              <w:marLeft w:val="0"/>
              <w:marRight w:val="0"/>
              <w:marTop w:val="450"/>
              <w:marBottom w:val="0"/>
              <w:divBdr>
                <w:top w:val="none" w:sz="0" w:space="0" w:color="auto"/>
                <w:left w:val="none" w:sz="0" w:space="0" w:color="auto"/>
                <w:bottom w:val="none" w:sz="0" w:space="0" w:color="auto"/>
                <w:right w:val="none" w:sz="0" w:space="0" w:color="auto"/>
              </w:divBdr>
              <w:divsChild>
                <w:div w:id="1544900894">
                  <w:marLeft w:val="0"/>
                  <w:marRight w:val="0"/>
                  <w:marTop w:val="0"/>
                  <w:marBottom w:val="0"/>
                  <w:divBdr>
                    <w:top w:val="none" w:sz="0" w:space="0" w:color="auto"/>
                    <w:left w:val="none" w:sz="0" w:space="0" w:color="auto"/>
                    <w:bottom w:val="none" w:sz="0" w:space="0" w:color="auto"/>
                    <w:right w:val="none" w:sz="0" w:space="0" w:color="auto"/>
                  </w:divBdr>
                  <w:divsChild>
                    <w:div w:id="1549954859">
                      <w:marLeft w:val="0"/>
                      <w:marRight w:val="0"/>
                      <w:marTop w:val="0"/>
                      <w:marBottom w:val="0"/>
                      <w:divBdr>
                        <w:top w:val="none" w:sz="0" w:space="0" w:color="auto"/>
                        <w:left w:val="none" w:sz="0" w:space="0" w:color="auto"/>
                        <w:bottom w:val="none" w:sz="0" w:space="0" w:color="auto"/>
                        <w:right w:val="none" w:sz="0" w:space="0" w:color="auto"/>
                      </w:divBdr>
                      <w:divsChild>
                        <w:div w:id="1884126779">
                          <w:marLeft w:val="0"/>
                          <w:marRight w:val="0"/>
                          <w:marTop w:val="0"/>
                          <w:marBottom w:val="0"/>
                          <w:divBdr>
                            <w:top w:val="none" w:sz="0" w:space="0" w:color="auto"/>
                            <w:left w:val="none" w:sz="0" w:space="0" w:color="auto"/>
                            <w:bottom w:val="none" w:sz="0" w:space="0" w:color="auto"/>
                            <w:right w:val="none" w:sz="0" w:space="0" w:color="auto"/>
                          </w:divBdr>
                          <w:divsChild>
                            <w:div w:id="10949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2351">
                      <w:marLeft w:val="0"/>
                      <w:marRight w:val="0"/>
                      <w:marTop w:val="0"/>
                      <w:marBottom w:val="0"/>
                      <w:divBdr>
                        <w:top w:val="none" w:sz="0" w:space="0" w:color="auto"/>
                        <w:left w:val="none" w:sz="0" w:space="0" w:color="auto"/>
                        <w:bottom w:val="none" w:sz="0" w:space="0" w:color="auto"/>
                        <w:right w:val="none" w:sz="0" w:space="0" w:color="auto"/>
                      </w:divBdr>
                      <w:divsChild>
                        <w:div w:id="77857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01887">
      <w:bodyDiv w:val="1"/>
      <w:marLeft w:val="0"/>
      <w:marRight w:val="0"/>
      <w:marTop w:val="0"/>
      <w:marBottom w:val="0"/>
      <w:divBdr>
        <w:top w:val="none" w:sz="0" w:space="0" w:color="auto"/>
        <w:left w:val="none" w:sz="0" w:space="0" w:color="auto"/>
        <w:bottom w:val="none" w:sz="0" w:space="0" w:color="auto"/>
        <w:right w:val="none" w:sz="0" w:space="0" w:color="auto"/>
      </w:divBdr>
    </w:div>
    <w:div w:id="21427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8227-7846-41DE-84AE-01DB1D84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Streeter Fiona (EH&amp;S, HR CCG)</dc:creator>
  <cp:lastModifiedBy>Timothy Purchase</cp:lastModifiedBy>
  <cp:revision>2</cp:revision>
  <cp:lastPrinted>2017-06-12T16:06:00Z</cp:lastPrinted>
  <dcterms:created xsi:type="dcterms:W3CDTF">2017-07-24T13:49:00Z</dcterms:created>
  <dcterms:modified xsi:type="dcterms:W3CDTF">2017-07-24T13:49:00Z</dcterms:modified>
</cp:coreProperties>
</file>