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B63B3" w14:textId="77777777" w:rsidR="000407E4" w:rsidRPr="00481BA6" w:rsidRDefault="000407E4" w:rsidP="00710B15">
      <w:pPr>
        <w:rPr>
          <w:lang w:val="en-GB"/>
        </w:rPr>
      </w:pPr>
    </w:p>
    <w:p w14:paraId="6DFC939B" w14:textId="77777777" w:rsidR="000407E4" w:rsidRPr="00481BA6" w:rsidRDefault="000407E4" w:rsidP="00710B15">
      <w:pPr>
        <w:rPr>
          <w:lang w:val="en-GB"/>
        </w:rPr>
      </w:pPr>
    </w:p>
    <w:p w14:paraId="0DB78963" w14:textId="77777777" w:rsidR="000407E4" w:rsidRPr="00481BA6" w:rsidRDefault="000407E4" w:rsidP="00710B15">
      <w:pPr>
        <w:rPr>
          <w:lang w:val="en-GB"/>
        </w:rPr>
      </w:pPr>
    </w:p>
    <w:p w14:paraId="551E59FB" w14:textId="77777777" w:rsidR="000407E4" w:rsidRPr="00481BA6" w:rsidRDefault="000407E4" w:rsidP="00710B15">
      <w:pPr>
        <w:rPr>
          <w:lang w:val="en-GB"/>
        </w:rPr>
      </w:pPr>
    </w:p>
    <w:p w14:paraId="3C285907" w14:textId="4E4146AD" w:rsidR="00461B1B" w:rsidRDefault="00461B1B" w:rsidP="00461B1B">
      <w:pPr>
        <w:jc w:val="center"/>
        <w:outlineLvl w:val="0"/>
        <w:rPr>
          <w:rFonts w:ascii="Arial" w:hAnsi="Arial" w:cs="Arial"/>
          <w:b/>
          <w:sz w:val="36"/>
          <w:szCs w:val="36"/>
          <w:lang w:val="en-GB"/>
        </w:rPr>
      </w:pPr>
      <w:bookmarkStart w:id="0" w:name="_Hlk104469206"/>
      <w:r>
        <w:rPr>
          <w:rFonts w:ascii="Arial" w:hAnsi="Arial" w:cs="Arial"/>
          <w:b/>
          <w:sz w:val="36"/>
          <w:szCs w:val="36"/>
          <w:lang w:val="en-GB"/>
        </w:rPr>
        <w:t>NATIONAL INSTITUTE FOR HEALTH AND CARE EXCELLENCE</w:t>
      </w:r>
    </w:p>
    <w:p w14:paraId="68001AB1" w14:textId="77777777" w:rsidR="00461B1B" w:rsidRDefault="00461B1B" w:rsidP="00B3570A">
      <w:pPr>
        <w:outlineLvl w:val="0"/>
        <w:rPr>
          <w:rFonts w:ascii="Arial" w:hAnsi="Arial" w:cs="Arial"/>
          <w:b/>
          <w:sz w:val="36"/>
          <w:szCs w:val="36"/>
          <w:lang w:val="en-GB"/>
        </w:rPr>
      </w:pPr>
    </w:p>
    <w:p w14:paraId="7239CCFD" w14:textId="77777777" w:rsidR="00BD1B49" w:rsidRPr="00D51AB6" w:rsidRDefault="00BD1B49" w:rsidP="00BD1B49">
      <w:pPr>
        <w:pStyle w:val="ITTTitle"/>
      </w:pPr>
      <w:r w:rsidRPr="00D51AB6">
        <w:t>C</w:t>
      </w:r>
      <w:r>
        <w:t xml:space="preserve">linical </w:t>
      </w:r>
      <w:r w:rsidRPr="00D51AB6">
        <w:t>K</w:t>
      </w:r>
      <w:r>
        <w:t xml:space="preserve">nowledge </w:t>
      </w:r>
      <w:r w:rsidRPr="00D51AB6">
        <w:t>S</w:t>
      </w:r>
      <w:r>
        <w:t xml:space="preserve">ummaries: </w:t>
      </w:r>
      <w:proofErr w:type="gramStart"/>
      <w:r>
        <w:t>an</w:t>
      </w:r>
      <w:proofErr w:type="gramEnd"/>
      <w:r>
        <w:t xml:space="preserve"> Evidence Based</w:t>
      </w:r>
      <w:r w:rsidRPr="00D51AB6">
        <w:t xml:space="preserve"> Resource for Primary Care</w:t>
      </w:r>
    </w:p>
    <w:p w14:paraId="1C3443C3" w14:textId="7748D27C" w:rsidR="000407E4" w:rsidRPr="00461B1B" w:rsidRDefault="00F735D3" w:rsidP="00BD1B49">
      <w:pPr>
        <w:jc w:val="center"/>
        <w:rPr>
          <w:rFonts w:ascii="Arial" w:hAnsi="Arial" w:cs="Arial"/>
          <w:sz w:val="36"/>
          <w:szCs w:val="36"/>
          <w:lang w:val="en-GB"/>
        </w:rPr>
      </w:pPr>
      <w:r w:rsidRPr="00461B1B">
        <w:rPr>
          <w:rFonts w:ascii="Arial" w:hAnsi="Arial" w:cs="Arial"/>
          <w:sz w:val="36"/>
          <w:szCs w:val="36"/>
          <w:lang w:val="en-GB"/>
        </w:rPr>
        <w:t>Tender Submission</w:t>
      </w:r>
      <w:r w:rsidRPr="00461B1B">
        <w:rPr>
          <w:rFonts w:ascii="Arial" w:hAnsi="Arial" w:cs="Arial"/>
          <w:sz w:val="36"/>
          <w:szCs w:val="36"/>
          <w:lang w:val="en-GB"/>
        </w:rPr>
        <w:br/>
      </w:r>
      <w:r w:rsidR="001701DF" w:rsidRPr="00461B1B">
        <w:rPr>
          <w:rFonts w:ascii="Arial" w:hAnsi="Arial" w:cs="Arial"/>
          <w:sz w:val="36"/>
          <w:szCs w:val="36"/>
          <w:lang w:val="en-GB"/>
        </w:rPr>
        <w:t>In</w:t>
      </w:r>
      <w:r w:rsidRPr="00461B1B">
        <w:rPr>
          <w:rFonts w:ascii="Arial" w:hAnsi="Arial" w:cs="Arial"/>
          <w:sz w:val="36"/>
          <w:szCs w:val="36"/>
          <w:lang w:val="en-GB"/>
        </w:rPr>
        <w:t>structions and Guidance</w:t>
      </w:r>
      <w:bookmarkEnd w:id="0"/>
    </w:p>
    <w:p w14:paraId="1F55DC6F" w14:textId="77777777" w:rsidR="007626A7" w:rsidRDefault="007626A7" w:rsidP="00461B1B">
      <w:pPr>
        <w:pStyle w:val="ITTgenericheading"/>
        <w:outlineLvl w:val="0"/>
        <w:rPr>
          <w:sz w:val="36"/>
          <w:szCs w:val="36"/>
          <w:lang w:val="en-GB"/>
        </w:rPr>
      </w:pPr>
    </w:p>
    <w:p w14:paraId="7B57CF35" w14:textId="77777777" w:rsidR="007E348D" w:rsidRPr="00461B1B" w:rsidRDefault="007E348D" w:rsidP="00461B1B">
      <w:pPr>
        <w:jc w:val="center"/>
        <w:rPr>
          <w:rFonts w:ascii="Arial" w:hAnsi="Arial" w:cs="Arial"/>
          <w:sz w:val="36"/>
          <w:szCs w:val="36"/>
          <w:lang w:val="en-GB"/>
        </w:rPr>
      </w:pPr>
    </w:p>
    <w:p w14:paraId="72B51910" w14:textId="77777777" w:rsidR="000407E4" w:rsidRPr="00461B1B" w:rsidRDefault="000407E4" w:rsidP="00710B15">
      <w:pPr>
        <w:rPr>
          <w:rFonts w:ascii="Arial" w:hAnsi="Arial" w:cs="Arial"/>
          <w:sz w:val="36"/>
          <w:szCs w:val="36"/>
          <w:lang w:val="en-GB"/>
        </w:rPr>
      </w:pPr>
    </w:p>
    <w:p w14:paraId="288F81E9" w14:textId="77777777" w:rsidR="00414826" w:rsidRPr="00461B1B" w:rsidRDefault="00414826" w:rsidP="00CE256C">
      <w:pPr>
        <w:tabs>
          <w:tab w:val="left" w:pos="0"/>
        </w:tabs>
        <w:rPr>
          <w:rFonts w:ascii="Arial" w:hAnsi="Arial" w:cs="Arial"/>
          <w:sz w:val="36"/>
          <w:szCs w:val="36"/>
          <w:lang w:val="en-GB"/>
        </w:rPr>
        <w:sectPr w:rsidR="00414826" w:rsidRPr="00461B1B" w:rsidSect="00D06E36">
          <w:headerReference w:type="default" r:id="rId8"/>
          <w:footerReference w:type="default" r:id="rId9"/>
          <w:type w:val="oddPage"/>
          <w:pgSz w:w="12240" w:h="15840"/>
          <w:pgMar w:top="1438" w:right="1800" w:bottom="360" w:left="1800" w:header="708" w:footer="708" w:gutter="0"/>
          <w:cols w:space="708"/>
          <w:titlePg/>
          <w:docGrid w:linePitch="360"/>
        </w:sectPr>
      </w:pPr>
      <w:bookmarkStart w:id="1" w:name="_Toc142451954"/>
      <w:bookmarkStart w:id="2" w:name="_Toc147288617"/>
      <w:bookmarkStart w:id="3" w:name="_Toc147289230"/>
      <w:bookmarkStart w:id="4" w:name="_Toc248202963"/>
      <w:bookmarkStart w:id="5" w:name="_Toc250536875"/>
    </w:p>
    <w:p w14:paraId="24778E4E" w14:textId="77777777" w:rsidR="00BD2477" w:rsidRPr="00481BA6" w:rsidRDefault="00C43BF2" w:rsidP="00886CC8">
      <w:pPr>
        <w:pStyle w:val="ITTHeading1"/>
      </w:pPr>
      <w:bookmarkStart w:id="6" w:name="_Toc104474030"/>
      <w:r w:rsidRPr="00481BA6">
        <w:lastRenderedPageBreak/>
        <w:t>Contents</w:t>
      </w:r>
      <w:bookmarkEnd w:id="1"/>
      <w:bookmarkEnd w:id="2"/>
      <w:bookmarkEnd w:id="3"/>
      <w:bookmarkEnd w:id="4"/>
      <w:bookmarkEnd w:id="5"/>
      <w:bookmarkEnd w:id="6"/>
    </w:p>
    <w:bookmarkStart w:id="7" w:name="_Toc304983222"/>
    <w:bookmarkStart w:id="8" w:name="_Toc305151711"/>
    <w:bookmarkStart w:id="9" w:name="_Toc304987718"/>
    <w:bookmarkStart w:id="10" w:name="_Toc306113811"/>
    <w:p w14:paraId="79B2E7C7" w14:textId="3DE4A959" w:rsidR="00EA5A6A" w:rsidRPr="003C55A3" w:rsidRDefault="00D82541">
      <w:pPr>
        <w:pStyle w:val="TOC1"/>
        <w:tabs>
          <w:tab w:val="left" w:pos="480"/>
          <w:tab w:val="right" w:leader="dot" w:pos="8630"/>
        </w:tabs>
        <w:rPr>
          <w:rFonts w:eastAsiaTheme="minorEastAsia" w:cs="Arial"/>
          <w:noProof/>
          <w:lang w:val="en-GB" w:eastAsia="en-GB" w:bidi="ar-SA"/>
        </w:rPr>
      </w:pPr>
      <w:r w:rsidRPr="00F326A7">
        <w:rPr>
          <w:rFonts w:cs="Arial"/>
          <w:sz w:val="28"/>
          <w:szCs w:val="28"/>
          <w:lang w:val="en-GB"/>
        </w:rPr>
        <w:fldChar w:fldCharType="begin"/>
      </w:r>
      <w:r w:rsidR="001F3CB9" w:rsidRPr="00481BA6">
        <w:rPr>
          <w:rFonts w:cs="Arial"/>
          <w:sz w:val="28"/>
          <w:szCs w:val="28"/>
          <w:lang w:val="en-GB"/>
        </w:rPr>
        <w:instrText xml:space="preserve"> TOC \h \z \t "Style2,1,ITT Heading 1,1,ITT heading 2,2" </w:instrText>
      </w:r>
      <w:r w:rsidRPr="00F326A7">
        <w:rPr>
          <w:rFonts w:cs="Arial"/>
          <w:sz w:val="28"/>
          <w:szCs w:val="28"/>
          <w:lang w:val="en-GB"/>
        </w:rPr>
        <w:fldChar w:fldCharType="separate"/>
      </w:r>
      <w:hyperlink w:anchor="_Toc104474030" w:history="1">
        <w:r w:rsidR="00EA5A6A" w:rsidRPr="003C55A3">
          <w:rPr>
            <w:rStyle w:val="Hyperlink"/>
            <w:rFonts w:cs="Arial"/>
            <w:noProof/>
          </w:rPr>
          <w:t>1.</w:t>
        </w:r>
        <w:r w:rsidR="00EA5A6A" w:rsidRPr="003C55A3">
          <w:rPr>
            <w:rFonts w:eastAsiaTheme="minorEastAsia" w:cs="Arial"/>
            <w:noProof/>
            <w:lang w:val="en-GB" w:eastAsia="en-GB" w:bidi="ar-SA"/>
          </w:rPr>
          <w:tab/>
        </w:r>
        <w:r w:rsidR="00EA5A6A" w:rsidRPr="003C55A3">
          <w:rPr>
            <w:rStyle w:val="Hyperlink"/>
            <w:rFonts w:cs="Arial"/>
            <w:noProof/>
          </w:rPr>
          <w:t>Contents</w:t>
        </w:r>
        <w:r w:rsidR="00EA5A6A" w:rsidRPr="003C55A3">
          <w:rPr>
            <w:rFonts w:cs="Arial"/>
            <w:noProof/>
            <w:webHidden/>
          </w:rPr>
          <w:tab/>
        </w:r>
        <w:r w:rsidR="00EA5A6A" w:rsidRPr="003C55A3">
          <w:rPr>
            <w:rFonts w:cs="Arial"/>
            <w:noProof/>
            <w:webHidden/>
          </w:rPr>
          <w:fldChar w:fldCharType="begin"/>
        </w:r>
        <w:r w:rsidR="00EA5A6A" w:rsidRPr="003C55A3">
          <w:rPr>
            <w:rFonts w:cs="Arial"/>
            <w:noProof/>
            <w:webHidden/>
          </w:rPr>
          <w:instrText xml:space="preserve"> PAGEREF _Toc104474030 \h </w:instrText>
        </w:r>
        <w:r w:rsidR="00EA5A6A" w:rsidRPr="003C55A3">
          <w:rPr>
            <w:rFonts w:cs="Arial"/>
            <w:noProof/>
            <w:webHidden/>
          </w:rPr>
        </w:r>
        <w:r w:rsidR="00EA5A6A" w:rsidRPr="003C55A3">
          <w:rPr>
            <w:rFonts w:cs="Arial"/>
            <w:noProof/>
            <w:webHidden/>
          </w:rPr>
          <w:fldChar w:fldCharType="separate"/>
        </w:r>
        <w:r w:rsidR="00EA5A6A" w:rsidRPr="003C55A3">
          <w:rPr>
            <w:rFonts w:cs="Arial"/>
            <w:noProof/>
            <w:webHidden/>
          </w:rPr>
          <w:t>2</w:t>
        </w:r>
        <w:r w:rsidR="00EA5A6A" w:rsidRPr="003C55A3">
          <w:rPr>
            <w:rFonts w:cs="Arial"/>
            <w:noProof/>
            <w:webHidden/>
          </w:rPr>
          <w:fldChar w:fldCharType="end"/>
        </w:r>
      </w:hyperlink>
    </w:p>
    <w:p w14:paraId="5F72B121" w14:textId="1DB62DD4" w:rsidR="00EA5A6A" w:rsidRPr="003C55A3" w:rsidRDefault="003C55A3">
      <w:pPr>
        <w:pStyle w:val="TOC1"/>
        <w:tabs>
          <w:tab w:val="left" w:pos="480"/>
          <w:tab w:val="right" w:leader="dot" w:pos="8630"/>
        </w:tabs>
        <w:rPr>
          <w:rFonts w:eastAsiaTheme="minorEastAsia" w:cs="Arial"/>
          <w:noProof/>
          <w:lang w:val="en-GB" w:eastAsia="en-GB" w:bidi="ar-SA"/>
        </w:rPr>
      </w:pPr>
      <w:hyperlink w:anchor="_Toc104474031" w:history="1">
        <w:r w:rsidR="00EA5A6A" w:rsidRPr="003C55A3">
          <w:rPr>
            <w:rStyle w:val="Hyperlink"/>
            <w:rFonts w:cs="Arial"/>
            <w:noProof/>
          </w:rPr>
          <w:t>2.</w:t>
        </w:r>
        <w:r w:rsidR="00EA5A6A" w:rsidRPr="003C55A3">
          <w:rPr>
            <w:rFonts w:eastAsiaTheme="minorEastAsia" w:cs="Arial"/>
            <w:noProof/>
            <w:lang w:val="en-GB" w:eastAsia="en-GB" w:bidi="ar-SA"/>
          </w:rPr>
          <w:tab/>
        </w:r>
        <w:r w:rsidR="00EA5A6A" w:rsidRPr="003C55A3">
          <w:rPr>
            <w:rStyle w:val="Hyperlink"/>
            <w:rFonts w:cs="Arial"/>
            <w:noProof/>
          </w:rPr>
          <w:t>Introduction</w:t>
        </w:r>
        <w:r w:rsidR="00EA5A6A" w:rsidRPr="003C55A3">
          <w:rPr>
            <w:rFonts w:cs="Arial"/>
            <w:noProof/>
            <w:webHidden/>
          </w:rPr>
          <w:tab/>
        </w:r>
        <w:r w:rsidR="00EA5A6A" w:rsidRPr="003C55A3">
          <w:rPr>
            <w:rFonts w:cs="Arial"/>
            <w:noProof/>
            <w:webHidden/>
          </w:rPr>
          <w:fldChar w:fldCharType="begin"/>
        </w:r>
        <w:r w:rsidR="00EA5A6A" w:rsidRPr="003C55A3">
          <w:rPr>
            <w:rFonts w:cs="Arial"/>
            <w:noProof/>
            <w:webHidden/>
          </w:rPr>
          <w:instrText xml:space="preserve"> PAGEREF _Toc104474031 \h </w:instrText>
        </w:r>
        <w:r w:rsidR="00EA5A6A" w:rsidRPr="003C55A3">
          <w:rPr>
            <w:rFonts w:cs="Arial"/>
            <w:noProof/>
            <w:webHidden/>
          </w:rPr>
        </w:r>
        <w:r w:rsidR="00EA5A6A" w:rsidRPr="003C55A3">
          <w:rPr>
            <w:rFonts w:cs="Arial"/>
            <w:noProof/>
            <w:webHidden/>
          </w:rPr>
          <w:fldChar w:fldCharType="separate"/>
        </w:r>
        <w:r w:rsidR="00EA5A6A" w:rsidRPr="003C55A3">
          <w:rPr>
            <w:rFonts w:cs="Arial"/>
            <w:noProof/>
            <w:webHidden/>
          </w:rPr>
          <w:t>3</w:t>
        </w:r>
        <w:r w:rsidR="00EA5A6A" w:rsidRPr="003C55A3">
          <w:rPr>
            <w:rFonts w:cs="Arial"/>
            <w:noProof/>
            <w:webHidden/>
          </w:rPr>
          <w:fldChar w:fldCharType="end"/>
        </w:r>
      </w:hyperlink>
    </w:p>
    <w:p w14:paraId="4E02384C" w14:textId="22A2FD20" w:rsidR="00EA5A6A" w:rsidRPr="003C55A3" w:rsidRDefault="003C55A3">
      <w:pPr>
        <w:pStyle w:val="TOC1"/>
        <w:tabs>
          <w:tab w:val="left" w:pos="480"/>
          <w:tab w:val="right" w:leader="dot" w:pos="8630"/>
        </w:tabs>
        <w:rPr>
          <w:rFonts w:eastAsiaTheme="minorEastAsia" w:cs="Arial"/>
          <w:noProof/>
          <w:lang w:val="en-GB" w:eastAsia="en-GB" w:bidi="ar-SA"/>
        </w:rPr>
      </w:pPr>
      <w:hyperlink w:anchor="_Toc104474032" w:history="1">
        <w:r w:rsidR="00EA5A6A" w:rsidRPr="003C55A3">
          <w:rPr>
            <w:rStyle w:val="Hyperlink"/>
            <w:rFonts w:cs="Arial"/>
            <w:noProof/>
          </w:rPr>
          <w:t>3.</w:t>
        </w:r>
        <w:r w:rsidR="00EA5A6A" w:rsidRPr="003C55A3">
          <w:rPr>
            <w:rFonts w:eastAsiaTheme="minorEastAsia" w:cs="Arial"/>
            <w:noProof/>
            <w:lang w:val="en-GB" w:eastAsia="en-GB" w:bidi="ar-SA"/>
          </w:rPr>
          <w:tab/>
        </w:r>
        <w:r w:rsidR="00EA5A6A" w:rsidRPr="003C55A3">
          <w:rPr>
            <w:rStyle w:val="Hyperlink"/>
            <w:rFonts w:cs="Arial"/>
            <w:noProof/>
          </w:rPr>
          <w:t>Contract Details</w:t>
        </w:r>
        <w:r w:rsidR="00EA5A6A" w:rsidRPr="003C55A3">
          <w:rPr>
            <w:rFonts w:cs="Arial"/>
            <w:noProof/>
            <w:webHidden/>
          </w:rPr>
          <w:tab/>
        </w:r>
        <w:r w:rsidR="00EA5A6A" w:rsidRPr="003C55A3">
          <w:rPr>
            <w:rFonts w:cs="Arial"/>
            <w:noProof/>
            <w:webHidden/>
          </w:rPr>
          <w:fldChar w:fldCharType="begin"/>
        </w:r>
        <w:r w:rsidR="00EA5A6A" w:rsidRPr="003C55A3">
          <w:rPr>
            <w:rFonts w:cs="Arial"/>
            <w:noProof/>
            <w:webHidden/>
          </w:rPr>
          <w:instrText xml:space="preserve"> PAGEREF _Toc104474032 \h </w:instrText>
        </w:r>
        <w:r w:rsidR="00EA5A6A" w:rsidRPr="003C55A3">
          <w:rPr>
            <w:rFonts w:cs="Arial"/>
            <w:noProof/>
            <w:webHidden/>
          </w:rPr>
        </w:r>
        <w:r w:rsidR="00EA5A6A" w:rsidRPr="003C55A3">
          <w:rPr>
            <w:rFonts w:cs="Arial"/>
            <w:noProof/>
            <w:webHidden/>
          </w:rPr>
          <w:fldChar w:fldCharType="separate"/>
        </w:r>
        <w:r w:rsidR="00EA5A6A" w:rsidRPr="003C55A3">
          <w:rPr>
            <w:rFonts w:cs="Arial"/>
            <w:noProof/>
            <w:webHidden/>
          </w:rPr>
          <w:t>3</w:t>
        </w:r>
        <w:r w:rsidR="00EA5A6A" w:rsidRPr="003C55A3">
          <w:rPr>
            <w:rFonts w:cs="Arial"/>
            <w:noProof/>
            <w:webHidden/>
          </w:rPr>
          <w:fldChar w:fldCharType="end"/>
        </w:r>
      </w:hyperlink>
    </w:p>
    <w:p w14:paraId="4636985F" w14:textId="6E83440A" w:rsidR="00EA5A6A" w:rsidRPr="003C55A3" w:rsidRDefault="003C55A3">
      <w:pPr>
        <w:pStyle w:val="TOC1"/>
        <w:tabs>
          <w:tab w:val="left" w:pos="480"/>
          <w:tab w:val="right" w:leader="dot" w:pos="8630"/>
        </w:tabs>
        <w:rPr>
          <w:rFonts w:eastAsiaTheme="minorEastAsia" w:cs="Arial"/>
          <w:noProof/>
          <w:lang w:val="en-GB" w:eastAsia="en-GB" w:bidi="ar-SA"/>
        </w:rPr>
      </w:pPr>
      <w:hyperlink w:anchor="_Toc104474033" w:history="1">
        <w:r w:rsidR="00EA5A6A" w:rsidRPr="003C55A3">
          <w:rPr>
            <w:rStyle w:val="Hyperlink"/>
            <w:rFonts w:cs="Arial"/>
            <w:noProof/>
          </w:rPr>
          <w:t>4.</w:t>
        </w:r>
        <w:r w:rsidR="00EA5A6A" w:rsidRPr="003C55A3">
          <w:rPr>
            <w:rFonts w:eastAsiaTheme="minorEastAsia" w:cs="Arial"/>
            <w:noProof/>
            <w:lang w:val="en-GB" w:eastAsia="en-GB" w:bidi="ar-SA"/>
          </w:rPr>
          <w:tab/>
        </w:r>
        <w:r w:rsidR="00EA5A6A" w:rsidRPr="003C55A3">
          <w:rPr>
            <w:rStyle w:val="Hyperlink"/>
            <w:rFonts w:cs="Arial"/>
            <w:noProof/>
          </w:rPr>
          <w:t>Contract Value</w:t>
        </w:r>
        <w:r w:rsidR="00EA5A6A" w:rsidRPr="003C55A3">
          <w:rPr>
            <w:rFonts w:cs="Arial"/>
            <w:noProof/>
            <w:webHidden/>
          </w:rPr>
          <w:tab/>
        </w:r>
        <w:r w:rsidR="00EA5A6A" w:rsidRPr="003C55A3">
          <w:rPr>
            <w:rFonts w:cs="Arial"/>
            <w:noProof/>
            <w:webHidden/>
          </w:rPr>
          <w:fldChar w:fldCharType="begin"/>
        </w:r>
        <w:r w:rsidR="00EA5A6A" w:rsidRPr="003C55A3">
          <w:rPr>
            <w:rFonts w:cs="Arial"/>
            <w:noProof/>
            <w:webHidden/>
          </w:rPr>
          <w:instrText xml:space="preserve"> PAGEREF _Toc104474033 \h </w:instrText>
        </w:r>
        <w:r w:rsidR="00EA5A6A" w:rsidRPr="003C55A3">
          <w:rPr>
            <w:rFonts w:cs="Arial"/>
            <w:noProof/>
            <w:webHidden/>
          </w:rPr>
        </w:r>
        <w:r w:rsidR="00EA5A6A" w:rsidRPr="003C55A3">
          <w:rPr>
            <w:rFonts w:cs="Arial"/>
            <w:noProof/>
            <w:webHidden/>
          </w:rPr>
          <w:fldChar w:fldCharType="separate"/>
        </w:r>
        <w:r w:rsidR="00EA5A6A" w:rsidRPr="003C55A3">
          <w:rPr>
            <w:rFonts w:cs="Arial"/>
            <w:noProof/>
            <w:webHidden/>
          </w:rPr>
          <w:t>3</w:t>
        </w:r>
        <w:r w:rsidR="00EA5A6A" w:rsidRPr="003C55A3">
          <w:rPr>
            <w:rFonts w:cs="Arial"/>
            <w:noProof/>
            <w:webHidden/>
          </w:rPr>
          <w:fldChar w:fldCharType="end"/>
        </w:r>
      </w:hyperlink>
    </w:p>
    <w:p w14:paraId="37804968" w14:textId="14A8EB93" w:rsidR="00EA5A6A" w:rsidRPr="003C55A3" w:rsidRDefault="003C55A3">
      <w:pPr>
        <w:pStyle w:val="TOC1"/>
        <w:tabs>
          <w:tab w:val="left" w:pos="480"/>
          <w:tab w:val="right" w:leader="dot" w:pos="8630"/>
        </w:tabs>
        <w:rPr>
          <w:rFonts w:eastAsiaTheme="minorEastAsia" w:cs="Arial"/>
          <w:noProof/>
          <w:lang w:val="en-GB" w:eastAsia="en-GB" w:bidi="ar-SA"/>
        </w:rPr>
      </w:pPr>
      <w:hyperlink w:anchor="_Toc104474034" w:history="1">
        <w:r w:rsidR="00EA5A6A" w:rsidRPr="003C55A3">
          <w:rPr>
            <w:rStyle w:val="Hyperlink"/>
            <w:rFonts w:cs="Arial"/>
            <w:noProof/>
          </w:rPr>
          <w:t>5.</w:t>
        </w:r>
        <w:r w:rsidR="00EA5A6A" w:rsidRPr="003C55A3">
          <w:rPr>
            <w:rFonts w:eastAsiaTheme="minorEastAsia" w:cs="Arial"/>
            <w:noProof/>
            <w:lang w:val="en-GB" w:eastAsia="en-GB" w:bidi="ar-SA"/>
          </w:rPr>
          <w:tab/>
        </w:r>
        <w:r w:rsidR="00EA5A6A" w:rsidRPr="003C55A3">
          <w:rPr>
            <w:rStyle w:val="Hyperlink"/>
            <w:rFonts w:cs="Arial"/>
            <w:noProof/>
          </w:rPr>
          <w:t>Invitation to Tender Pack</w:t>
        </w:r>
        <w:r w:rsidR="00EA5A6A" w:rsidRPr="003C55A3">
          <w:rPr>
            <w:rFonts w:cs="Arial"/>
            <w:noProof/>
            <w:webHidden/>
          </w:rPr>
          <w:tab/>
        </w:r>
        <w:r w:rsidR="00EA5A6A" w:rsidRPr="003C55A3">
          <w:rPr>
            <w:rFonts w:cs="Arial"/>
            <w:noProof/>
            <w:webHidden/>
          </w:rPr>
          <w:fldChar w:fldCharType="begin"/>
        </w:r>
        <w:r w:rsidR="00EA5A6A" w:rsidRPr="003C55A3">
          <w:rPr>
            <w:rFonts w:cs="Arial"/>
            <w:noProof/>
            <w:webHidden/>
          </w:rPr>
          <w:instrText xml:space="preserve"> PAGEREF _Toc104474034 \h </w:instrText>
        </w:r>
        <w:r w:rsidR="00EA5A6A" w:rsidRPr="003C55A3">
          <w:rPr>
            <w:rFonts w:cs="Arial"/>
            <w:noProof/>
            <w:webHidden/>
          </w:rPr>
        </w:r>
        <w:r w:rsidR="00EA5A6A" w:rsidRPr="003C55A3">
          <w:rPr>
            <w:rFonts w:cs="Arial"/>
            <w:noProof/>
            <w:webHidden/>
          </w:rPr>
          <w:fldChar w:fldCharType="separate"/>
        </w:r>
        <w:r w:rsidR="00EA5A6A" w:rsidRPr="003C55A3">
          <w:rPr>
            <w:rFonts w:cs="Arial"/>
            <w:noProof/>
            <w:webHidden/>
          </w:rPr>
          <w:t>3</w:t>
        </w:r>
        <w:r w:rsidR="00EA5A6A" w:rsidRPr="003C55A3">
          <w:rPr>
            <w:rFonts w:cs="Arial"/>
            <w:noProof/>
            <w:webHidden/>
          </w:rPr>
          <w:fldChar w:fldCharType="end"/>
        </w:r>
      </w:hyperlink>
    </w:p>
    <w:p w14:paraId="4F8CECE7" w14:textId="167833F5" w:rsidR="00EA5A6A" w:rsidRPr="003C55A3" w:rsidRDefault="003C55A3">
      <w:pPr>
        <w:pStyle w:val="TOC1"/>
        <w:tabs>
          <w:tab w:val="left" w:pos="480"/>
          <w:tab w:val="right" w:leader="dot" w:pos="8630"/>
        </w:tabs>
        <w:rPr>
          <w:rFonts w:eastAsiaTheme="minorEastAsia" w:cs="Arial"/>
          <w:noProof/>
          <w:lang w:val="en-GB" w:eastAsia="en-GB" w:bidi="ar-SA"/>
        </w:rPr>
      </w:pPr>
      <w:hyperlink w:anchor="_Toc104474035" w:history="1">
        <w:r w:rsidR="00EA5A6A" w:rsidRPr="003C55A3">
          <w:rPr>
            <w:rStyle w:val="Hyperlink"/>
            <w:rFonts w:cs="Arial"/>
            <w:noProof/>
          </w:rPr>
          <w:t>6.</w:t>
        </w:r>
        <w:r w:rsidR="00EA5A6A" w:rsidRPr="003C55A3">
          <w:rPr>
            <w:rFonts w:eastAsiaTheme="minorEastAsia" w:cs="Arial"/>
            <w:noProof/>
            <w:lang w:val="en-GB" w:eastAsia="en-GB" w:bidi="ar-SA"/>
          </w:rPr>
          <w:tab/>
        </w:r>
        <w:r w:rsidR="00EA5A6A" w:rsidRPr="003C55A3">
          <w:rPr>
            <w:rStyle w:val="Hyperlink"/>
            <w:rFonts w:cs="Arial"/>
            <w:noProof/>
          </w:rPr>
          <w:t>Instructions and Guidance</w:t>
        </w:r>
        <w:r w:rsidR="00EA5A6A" w:rsidRPr="003C55A3">
          <w:rPr>
            <w:rFonts w:cs="Arial"/>
            <w:noProof/>
            <w:webHidden/>
          </w:rPr>
          <w:tab/>
        </w:r>
        <w:r w:rsidR="00EA5A6A" w:rsidRPr="003C55A3">
          <w:rPr>
            <w:rFonts w:cs="Arial"/>
            <w:noProof/>
            <w:webHidden/>
          </w:rPr>
          <w:fldChar w:fldCharType="begin"/>
        </w:r>
        <w:r w:rsidR="00EA5A6A" w:rsidRPr="003C55A3">
          <w:rPr>
            <w:rFonts w:cs="Arial"/>
            <w:noProof/>
            <w:webHidden/>
          </w:rPr>
          <w:instrText xml:space="preserve"> PAGEREF _Toc104474035 \h </w:instrText>
        </w:r>
        <w:r w:rsidR="00EA5A6A" w:rsidRPr="003C55A3">
          <w:rPr>
            <w:rFonts w:cs="Arial"/>
            <w:noProof/>
            <w:webHidden/>
          </w:rPr>
        </w:r>
        <w:r w:rsidR="00EA5A6A" w:rsidRPr="003C55A3">
          <w:rPr>
            <w:rFonts w:cs="Arial"/>
            <w:noProof/>
            <w:webHidden/>
          </w:rPr>
          <w:fldChar w:fldCharType="separate"/>
        </w:r>
        <w:r w:rsidR="00EA5A6A" w:rsidRPr="003C55A3">
          <w:rPr>
            <w:rFonts w:cs="Arial"/>
            <w:noProof/>
            <w:webHidden/>
          </w:rPr>
          <w:t>4</w:t>
        </w:r>
        <w:r w:rsidR="00EA5A6A" w:rsidRPr="003C55A3">
          <w:rPr>
            <w:rFonts w:cs="Arial"/>
            <w:noProof/>
            <w:webHidden/>
          </w:rPr>
          <w:fldChar w:fldCharType="end"/>
        </w:r>
      </w:hyperlink>
    </w:p>
    <w:p w14:paraId="6C6936C0" w14:textId="08BE29B5" w:rsidR="00EA5A6A" w:rsidRPr="003C55A3" w:rsidRDefault="003C55A3">
      <w:pPr>
        <w:pStyle w:val="TOC2"/>
        <w:tabs>
          <w:tab w:val="left" w:pos="880"/>
          <w:tab w:val="right" w:leader="dot" w:pos="8630"/>
        </w:tabs>
        <w:rPr>
          <w:rFonts w:ascii="Arial" w:eastAsiaTheme="minorEastAsia" w:hAnsi="Arial" w:cs="Arial"/>
          <w:noProof/>
          <w:lang w:val="en-GB" w:eastAsia="en-GB" w:bidi="ar-SA"/>
        </w:rPr>
      </w:pPr>
      <w:hyperlink w:anchor="_Toc104474036" w:history="1">
        <w:r w:rsidR="00EA5A6A" w:rsidRPr="003C55A3">
          <w:rPr>
            <w:rStyle w:val="Hyperlink"/>
            <w:rFonts w:ascii="Arial" w:hAnsi="Arial" w:cs="Arial"/>
            <w:noProof/>
          </w:rPr>
          <w:t>6.1.</w:t>
        </w:r>
        <w:r w:rsidR="00EA5A6A" w:rsidRPr="003C55A3">
          <w:rPr>
            <w:rFonts w:ascii="Arial" w:eastAsiaTheme="minorEastAsia" w:hAnsi="Arial" w:cs="Arial"/>
            <w:noProof/>
            <w:lang w:val="en-GB" w:eastAsia="en-GB" w:bidi="ar-SA"/>
          </w:rPr>
          <w:tab/>
        </w:r>
        <w:r w:rsidR="00EA5A6A" w:rsidRPr="003C55A3">
          <w:rPr>
            <w:rStyle w:val="Hyperlink"/>
            <w:rFonts w:ascii="Arial" w:hAnsi="Arial" w:cs="Arial"/>
            <w:noProof/>
          </w:rPr>
          <w:t>Supplier Invitation to Tender</w:t>
        </w:r>
        <w:r w:rsidR="00EA5A6A" w:rsidRPr="003C55A3">
          <w:rPr>
            <w:rFonts w:ascii="Arial" w:hAnsi="Arial" w:cs="Arial"/>
            <w:noProof/>
            <w:webHidden/>
          </w:rPr>
          <w:tab/>
        </w:r>
        <w:r w:rsidR="00EA5A6A" w:rsidRPr="003C55A3">
          <w:rPr>
            <w:rFonts w:ascii="Arial" w:hAnsi="Arial" w:cs="Arial"/>
            <w:noProof/>
            <w:webHidden/>
          </w:rPr>
          <w:fldChar w:fldCharType="begin"/>
        </w:r>
        <w:r w:rsidR="00EA5A6A" w:rsidRPr="003C55A3">
          <w:rPr>
            <w:rFonts w:ascii="Arial" w:hAnsi="Arial" w:cs="Arial"/>
            <w:noProof/>
            <w:webHidden/>
          </w:rPr>
          <w:instrText xml:space="preserve"> PAGEREF _Toc104474036 \h </w:instrText>
        </w:r>
        <w:r w:rsidR="00EA5A6A" w:rsidRPr="003C55A3">
          <w:rPr>
            <w:rFonts w:ascii="Arial" w:hAnsi="Arial" w:cs="Arial"/>
            <w:noProof/>
            <w:webHidden/>
          </w:rPr>
        </w:r>
        <w:r w:rsidR="00EA5A6A" w:rsidRPr="003C55A3">
          <w:rPr>
            <w:rFonts w:ascii="Arial" w:hAnsi="Arial" w:cs="Arial"/>
            <w:noProof/>
            <w:webHidden/>
          </w:rPr>
          <w:fldChar w:fldCharType="separate"/>
        </w:r>
        <w:r w:rsidR="00EA5A6A" w:rsidRPr="003C55A3">
          <w:rPr>
            <w:rFonts w:ascii="Arial" w:hAnsi="Arial" w:cs="Arial"/>
            <w:noProof/>
            <w:webHidden/>
          </w:rPr>
          <w:t>4</w:t>
        </w:r>
        <w:r w:rsidR="00EA5A6A" w:rsidRPr="003C55A3">
          <w:rPr>
            <w:rFonts w:ascii="Arial" w:hAnsi="Arial" w:cs="Arial"/>
            <w:noProof/>
            <w:webHidden/>
          </w:rPr>
          <w:fldChar w:fldCharType="end"/>
        </w:r>
      </w:hyperlink>
    </w:p>
    <w:p w14:paraId="1B6665FA" w14:textId="710D3D7F" w:rsidR="00EA5A6A" w:rsidRPr="003C55A3" w:rsidRDefault="003C55A3">
      <w:pPr>
        <w:pStyle w:val="TOC2"/>
        <w:tabs>
          <w:tab w:val="left" w:pos="880"/>
          <w:tab w:val="right" w:leader="dot" w:pos="8630"/>
        </w:tabs>
        <w:rPr>
          <w:rFonts w:ascii="Arial" w:eastAsiaTheme="minorEastAsia" w:hAnsi="Arial" w:cs="Arial"/>
          <w:noProof/>
          <w:lang w:val="en-GB" w:eastAsia="en-GB" w:bidi="ar-SA"/>
        </w:rPr>
      </w:pPr>
      <w:hyperlink w:anchor="_Toc104474037" w:history="1">
        <w:r w:rsidR="00EA5A6A" w:rsidRPr="003C55A3">
          <w:rPr>
            <w:rStyle w:val="Hyperlink"/>
            <w:rFonts w:ascii="Arial" w:hAnsi="Arial" w:cs="Arial"/>
            <w:noProof/>
          </w:rPr>
          <w:t>6.2.</w:t>
        </w:r>
        <w:r w:rsidR="00EA5A6A" w:rsidRPr="003C55A3">
          <w:rPr>
            <w:rFonts w:ascii="Arial" w:eastAsiaTheme="minorEastAsia" w:hAnsi="Arial" w:cs="Arial"/>
            <w:noProof/>
            <w:lang w:val="en-GB" w:eastAsia="en-GB" w:bidi="ar-SA"/>
          </w:rPr>
          <w:tab/>
        </w:r>
        <w:r w:rsidR="00EA5A6A" w:rsidRPr="003C55A3">
          <w:rPr>
            <w:rStyle w:val="Hyperlink"/>
            <w:rFonts w:ascii="Arial" w:hAnsi="Arial" w:cs="Arial"/>
            <w:noProof/>
          </w:rPr>
          <w:t>Short-listed Suppliers for Interview</w:t>
        </w:r>
        <w:r w:rsidR="00EA5A6A" w:rsidRPr="003C55A3">
          <w:rPr>
            <w:rFonts w:ascii="Arial" w:hAnsi="Arial" w:cs="Arial"/>
            <w:noProof/>
            <w:webHidden/>
          </w:rPr>
          <w:tab/>
        </w:r>
        <w:r w:rsidR="00EA5A6A" w:rsidRPr="003C55A3">
          <w:rPr>
            <w:rFonts w:ascii="Arial" w:hAnsi="Arial" w:cs="Arial"/>
            <w:noProof/>
            <w:webHidden/>
          </w:rPr>
          <w:fldChar w:fldCharType="begin"/>
        </w:r>
        <w:r w:rsidR="00EA5A6A" w:rsidRPr="003C55A3">
          <w:rPr>
            <w:rFonts w:ascii="Arial" w:hAnsi="Arial" w:cs="Arial"/>
            <w:noProof/>
            <w:webHidden/>
          </w:rPr>
          <w:instrText xml:space="preserve"> PAGEREF _Toc104474037 \h </w:instrText>
        </w:r>
        <w:r w:rsidR="00EA5A6A" w:rsidRPr="003C55A3">
          <w:rPr>
            <w:rFonts w:ascii="Arial" w:hAnsi="Arial" w:cs="Arial"/>
            <w:noProof/>
            <w:webHidden/>
          </w:rPr>
        </w:r>
        <w:r w:rsidR="00EA5A6A" w:rsidRPr="003C55A3">
          <w:rPr>
            <w:rFonts w:ascii="Arial" w:hAnsi="Arial" w:cs="Arial"/>
            <w:noProof/>
            <w:webHidden/>
          </w:rPr>
          <w:fldChar w:fldCharType="separate"/>
        </w:r>
        <w:r w:rsidR="00EA5A6A" w:rsidRPr="003C55A3">
          <w:rPr>
            <w:rFonts w:ascii="Arial" w:hAnsi="Arial" w:cs="Arial"/>
            <w:noProof/>
            <w:webHidden/>
          </w:rPr>
          <w:t>4</w:t>
        </w:r>
        <w:r w:rsidR="00EA5A6A" w:rsidRPr="003C55A3">
          <w:rPr>
            <w:rFonts w:ascii="Arial" w:hAnsi="Arial" w:cs="Arial"/>
            <w:noProof/>
            <w:webHidden/>
          </w:rPr>
          <w:fldChar w:fldCharType="end"/>
        </w:r>
      </w:hyperlink>
    </w:p>
    <w:p w14:paraId="4262F5F8" w14:textId="423F6ADC" w:rsidR="00EA5A6A" w:rsidRPr="003C55A3" w:rsidRDefault="003C55A3">
      <w:pPr>
        <w:pStyle w:val="TOC2"/>
        <w:tabs>
          <w:tab w:val="left" w:pos="880"/>
          <w:tab w:val="right" w:leader="dot" w:pos="8630"/>
        </w:tabs>
        <w:rPr>
          <w:rFonts w:ascii="Arial" w:eastAsiaTheme="minorEastAsia" w:hAnsi="Arial" w:cs="Arial"/>
          <w:noProof/>
          <w:lang w:val="en-GB" w:eastAsia="en-GB" w:bidi="ar-SA"/>
        </w:rPr>
      </w:pPr>
      <w:hyperlink w:anchor="_Toc104474038" w:history="1">
        <w:r w:rsidR="00EA5A6A" w:rsidRPr="003C55A3">
          <w:rPr>
            <w:rStyle w:val="Hyperlink"/>
            <w:rFonts w:ascii="Arial" w:hAnsi="Arial" w:cs="Arial"/>
            <w:noProof/>
          </w:rPr>
          <w:t>6.3.</w:t>
        </w:r>
        <w:r w:rsidR="00EA5A6A" w:rsidRPr="003C55A3">
          <w:rPr>
            <w:rFonts w:ascii="Arial" w:eastAsiaTheme="minorEastAsia" w:hAnsi="Arial" w:cs="Arial"/>
            <w:noProof/>
            <w:lang w:val="en-GB" w:eastAsia="en-GB" w:bidi="ar-SA"/>
          </w:rPr>
          <w:tab/>
        </w:r>
        <w:r w:rsidR="00EA5A6A" w:rsidRPr="003C55A3">
          <w:rPr>
            <w:rStyle w:val="Hyperlink"/>
            <w:rFonts w:ascii="Arial" w:hAnsi="Arial" w:cs="Arial"/>
            <w:noProof/>
          </w:rPr>
          <w:t>Procurement Timetable</w:t>
        </w:r>
        <w:r w:rsidR="00EA5A6A" w:rsidRPr="003C55A3">
          <w:rPr>
            <w:rFonts w:ascii="Arial" w:hAnsi="Arial" w:cs="Arial"/>
            <w:noProof/>
            <w:webHidden/>
          </w:rPr>
          <w:tab/>
        </w:r>
        <w:r w:rsidR="00EA5A6A" w:rsidRPr="003C55A3">
          <w:rPr>
            <w:rFonts w:ascii="Arial" w:hAnsi="Arial" w:cs="Arial"/>
            <w:noProof/>
            <w:webHidden/>
          </w:rPr>
          <w:fldChar w:fldCharType="begin"/>
        </w:r>
        <w:r w:rsidR="00EA5A6A" w:rsidRPr="003C55A3">
          <w:rPr>
            <w:rFonts w:ascii="Arial" w:hAnsi="Arial" w:cs="Arial"/>
            <w:noProof/>
            <w:webHidden/>
          </w:rPr>
          <w:instrText xml:space="preserve"> PAGEREF _Toc104474038 \h </w:instrText>
        </w:r>
        <w:r w:rsidR="00EA5A6A" w:rsidRPr="003C55A3">
          <w:rPr>
            <w:rFonts w:ascii="Arial" w:hAnsi="Arial" w:cs="Arial"/>
            <w:noProof/>
            <w:webHidden/>
          </w:rPr>
        </w:r>
        <w:r w:rsidR="00EA5A6A" w:rsidRPr="003C55A3">
          <w:rPr>
            <w:rFonts w:ascii="Arial" w:hAnsi="Arial" w:cs="Arial"/>
            <w:noProof/>
            <w:webHidden/>
          </w:rPr>
          <w:fldChar w:fldCharType="separate"/>
        </w:r>
        <w:r w:rsidR="00EA5A6A" w:rsidRPr="003C55A3">
          <w:rPr>
            <w:rFonts w:ascii="Arial" w:hAnsi="Arial" w:cs="Arial"/>
            <w:noProof/>
            <w:webHidden/>
          </w:rPr>
          <w:t>5</w:t>
        </w:r>
        <w:r w:rsidR="00EA5A6A" w:rsidRPr="003C55A3">
          <w:rPr>
            <w:rFonts w:ascii="Arial" w:hAnsi="Arial" w:cs="Arial"/>
            <w:noProof/>
            <w:webHidden/>
          </w:rPr>
          <w:fldChar w:fldCharType="end"/>
        </w:r>
      </w:hyperlink>
    </w:p>
    <w:p w14:paraId="6983163D" w14:textId="2FEE4900" w:rsidR="00EA5A6A" w:rsidRPr="003C55A3" w:rsidRDefault="003C55A3">
      <w:pPr>
        <w:pStyle w:val="TOC1"/>
        <w:tabs>
          <w:tab w:val="left" w:pos="480"/>
          <w:tab w:val="right" w:leader="dot" w:pos="8630"/>
        </w:tabs>
        <w:rPr>
          <w:rFonts w:eastAsiaTheme="minorEastAsia" w:cs="Arial"/>
          <w:noProof/>
          <w:lang w:val="en-GB" w:eastAsia="en-GB" w:bidi="ar-SA"/>
        </w:rPr>
      </w:pPr>
      <w:hyperlink w:anchor="_Toc104474039" w:history="1">
        <w:r w:rsidR="00EA5A6A" w:rsidRPr="003C55A3">
          <w:rPr>
            <w:rStyle w:val="Hyperlink"/>
            <w:rFonts w:cs="Arial"/>
            <w:noProof/>
          </w:rPr>
          <w:t>7.</w:t>
        </w:r>
        <w:r w:rsidR="00EA5A6A" w:rsidRPr="003C55A3">
          <w:rPr>
            <w:rFonts w:eastAsiaTheme="minorEastAsia" w:cs="Arial"/>
            <w:noProof/>
            <w:lang w:val="en-GB" w:eastAsia="en-GB" w:bidi="ar-SA"/>
          </w:rPr>
          <w:tab/>
        </w:r>
        <w:r w:rsidR="00EA5A6A" w:rsidRPr="003C55A3">
          <w:rPr>
            <w:rStyle w:val="Hyperlink"/>
            <w:rFonts w:cs="Arial"/>
            <w:noProof/>
          </w:rPr>
          <w:t>Suppliers Instructions</w:t>
        </w:r>
        <w:r w:rsidR="00EA5A6A" w:rsidRPr="003C55A3">
          <w:rPr>
            <w:rFonts w:cs="Arial"/>
            <w:noProof/>
            <w:webHidden/>
          </w:rPr>
          <w:tab/>
        </w:r>
        <w:r w:rsidR="00EA5A6A" w:rsidRPr="003C55A3">
          <w:rPr>
            <w:rFonts w:cs="Arial"/>
            <w:noProof/>
            <w:webHidden/>
          </w:rPr>
          <w:fldChar w:fldCharType="begin"/>
        </w:r>
        <w:r w:rsidR="00EA5A6A" w:rsidRPr="003C55A3">
          <w:rPr>
            <w:rFonts w:cs="Arial"/>
            <w:noProof/>
            <w:webHidden/>
          </w:rPr>
          <w:instrText xml:space="preserve"> PAGEREF _Toc104474039 \h </w:instrText>
        </w:r>
        <w:r w:rsidR="00EA5A6A" w:rsidRPr="003C55A3">
          <w:rPr>
            <w:rFonts w:cs="Arial"/>
            <w:noProof/>
            <w:webHidden/>
          </w:rPr>
        </w:r>
        <w:r w:rsidR="00EA5A6A" w:rsidRPr="003C55A3">
          <w:rPr>
            <w:rFonts w:cs="Arial"/>
            <w:noProof/>
            <w:webHidden/>
          </w:rPr>
          <w:fldChar w:fldCharType="separate"/>
        </w:r>
        <w:r w:rsidR="00EA5A6A" w:rsidRPr="003C55A3">
          <w:rPr>
            <w:rFonts w:cs="Arial"/>
            <w:noProof/>
            <w:webHidden/>
          </w:rPr>
          <w:t>5</w:t>
        </w:r>
        <w:r w:rsidR="00EA5A6A" w:rsidRPr="003C55A3">
          <w:rPr>
            <w:rFonts w:cs="Arial"/>
            <w:noProof/>
            <w:webHidden/>
          </w:rPr>
          <w:fldChar w:fldCharType="end"/>
        </w:r>
      </w:hyperlink>
    </w:p>
    <w:p w14:paraId="64F9189F" w14:textId="4C7E4874" w:rsidR="00EA5A6A" w:rsidRPr="003C55A3" w:rsidRDefault="003C55A3">
      <w:pPr>
        <w:pStyle w:val="TOC2"/>
        <w:tabs>
          <w:tab w:val="left" w:pos="1100"/>
          <w:tab w:val="right" w:leader="dot" w:pos="8630"/>
        </w:tabs>
        <w:rPr>
          <w:rFonts w:ascii="Arial" w:eastAsiaTheme="minorEastAsia" w:hAnsi="Arial" w:cs="Arial"/>
          <w:noProof/>
          <w:lang w:val="en-GB" w:eastAsia="en-GB" w:bidi="ar-SA"/>
        </w:rPr>
      </w:pPr>
      <w:hyperlink w:anchor="_Toc104474040" w:history="1">
        <w:r w:rsidR="00EA5A6A" w:rsidRPr="003C55A3">
          <w:rPr>
            <w:rStyle w:val="Hyperlink"/>
            <w:rFonts w:ascii="Arial" w:hAnsi="Arial" w:cs="Arial"/>
            <w:noProof/>
          </w:rPr>
          <w:t>7.14.</w:t>
        </w:r>
        <w:r w:rsidR="00EA5A6A" w:rsidRPr="003C55A3">
          <w:rPr>
            <w:rFonts w:ascii="Arial" w:eastAsiaTheme="minorEastAsia" w:hAnsi="Arial" w:cs="Arial"/>
            <w:noProof/>
            <w:lang w:val="en-GB" w:eastAsia="en-GB" w:bidi="ar-SA"/>
          </w:rPr>
          <w:tab/>
        </w:r>
        <w:r w:rsidR="00EA5A6A" w:rsidRPr="003C55A3">
          <w:rPr>
            <w:rStyle w:val="Hyperlink"/>
            <w:rFonts w:ascii="Arial" w:hAnsi="Arial" w:cs="Arial"/>
            <w:noProof/>
          </w:rPr>
          <w:t>Non Compliance and/or disqualification</w:t>
        </w:r>
        <w:r w:rsidR="00EA5A6A" w:rsidRPr="003C55A3">
          <w:rPr>
            <w:rFonts w:ascii="Arial" w:hAnsi="Arial" w:cs="Arial"/>
            <w:noProof/>
            <w:webHidden/>
          </w:rPr>
          <w:tab/>
        </w:r>
        <w:r w:rsidR="00EA5A6A" w:rsidRPr="003C55A3">
          <w:rPr>
            <w:rFonts w:ascii="Arial" w:hAnsi="Arial" w:cs="Arial"/>
            <w:noProof/>
            <w:webHidden/>
          </w:rPr>
          <w:fldChar w:fldCharType="begin"/>
        </w:r>
        <w:r w:rsidR="00EA5A6A" w:rsidRPr="003C55A3">
          <w:rPr>
            <w:rFonts w:ascii="Arial" w:hAnsi="Arial" w:cs="Arial"/>
            <w:noProof/>
            <w:webHidden/>
          </w:rPr>
          <w:instrText xml:space="preserve"> PAGEREF _Toc104474040 \h </w:instrText>
        </w:r>
        <w:r w:rsidR="00EA5A6A" w:rsidRPr="003C55A3">
          <w:rPr>
            <w:rFonts w:ascii="Arial" w:hAnsi="Arial" w:cs="Arial"/>
            <w:noProof/>
            <w:webHidden/>
          </w:rPr>
        </w:r>
        <w:r w:rsidR="00EA5A6A" w:rsidRPr="003C55A3">
          <w:rPr>
            <w:rFonts w:ascii="Arial" w:hAnsi="Arial" w:cs="Arial"/>
            <w:noProof/>
            <w:webHidden/>
          </w:rPr>
          <w:fldChar w:fldCharType="separate"/>
        </w:r>
        <w:r w:rsidR="00EA5A6A" w:rsidRPr="003C55A3">
          <w:rPr>
            <w:rFonts w:ascii="Arial" w:hAnsi="Arial" w:cs="Arial"/>
            <w:noProof/>
            <w:webHidden/>
          </w:rPr>
          <w:t>7</w:t>
        </w:r>
        <w:r w:rsidR="00EA5A6A" w:rsidRPr="003C55A3">
          <w:rPr>
            <w:rFonts w:ascii="Arial" w:hAnsi="Arial" w:cs="Arial"/>
            <w:noProof/>
            <w:webHidden/>
          </w:rPr>
          <w:fldChar w:fldCharType="end"/>
        </w:r>
      </w:hyperlink>
    </w:p>
    <w:p w14:paraId="43326C45" w14:textId="62AD85F1" w:rsidR="00EA5A6A" w:rsidRPr="003C55A3" w:rsidRDefault="003C55A3">
      <w:pPr>
        <w:pStyle w:val="TOC1"/>
        <w:tabs>
          <w:tab w:val="left" w:pos="480"/>
          <w:tab w:val="right" w:leader="dot" w:pos="8630"/>
        </w:tabs>
        <w:rPr>
          <w:rFonts w:eastAsiaTheme="minorEastAsia" w:cs="Arial"/>
          <w:noProof/>
          <w:lang w:val="en-GB" w:eastAsia="en-GB" w:bidi="ar-SA"/>
        </w:rPr>
      </w:pPr>
      <w:hyperlink w:anchor="_Toc104474041" w:history="1">
        <w:r w:rsidR="00EA5A6A" w:rsidRPr="003C55A3">
          <w:rPr>
            <w:rStyle w:val="Hyperlink"/>
            <w:rFonts w:cs="Arial"/>
            <w:noProof/>
          </w:rPr>
          <w:t>8.</w:t>
        </w:r>
        <w:r w:rsidR="00EA5A6A" w:rsidRPr="003C55A3">
          <w:rPr>
            <w:rFonts w:eastAsiaTheme="minorEastAsia" w:cs="Arial"/>
            <w:noProof/>
            <w:lang w:val="en-GB" w:eastAsia="en-GB" w:bidi="ar-SA"/>
          </w:rPr>
          <w:tab/>
        </w:r>
        <w:r w:rsidR="00EA5A6A" w:rsidRPr="003C55A3">
          <w:rPr>
            <w:rStyle w:val="Hyperlink"/>
            <w:rFonts w:cs="Arial"/>
            <w:noProof/>
          </w:rPr>
          <w:t>Queries about the Procurement</w:t>
        </w:r>
        <w:r w:rsidR="00EA5A6A" w:rsidRPr="003C55A3">
          <w:rPr>
            <w:rFonts w:cs="Arial"/>
            <w:noProof/>
            <w:webHidden/>
          </w:rPr>
          <w:tab/>
        </w:r>
        <w:r w:rsidR="00EA5A6A" w:rsidRPr="003C55A3">
          <w:rPr>
            <w:rFonts w:cs="Arial"/>
            <w:noProof/>
            <w:webHidden/>
          </w:rPr>
          <w:fldChar w:fldCharType="begin"/>
        </w:r>
        <w:r w:rsidR="00EA5A6A" w:rsidRPr="003C55A3">
          <w:rPr>
            <w:rFonts w:cs="Arial"/>
            <w:noProof/>
            <w:webHidden/>
          </w:rPr>
          <w:instrText xml:space="preserve"> PAGEREF _Toc104474041 \h </w:instrText>
        </w:r>
        <w:r w:rsidR="00EA5A6A" w:rsidRPr="003C55A3">
          <w:rPr>
            <w:rFonts w:cs="Arial"/>
            <w:noProof/>
            <w:webHidden/>
          </w:rPr>
        </w:r>
        <w:r w:rsidR="00EA5A6A" w:rsidRPr="003C55A3">
          <w:rPr>
            <w:rFonts w:cs="Arial"/>
            <w:noProof/>
            <w:webHidden/>
          </w:rPr>
          <w:fldChar w:fldCharType="separate"/>
        </w:r>
        <w:r w:rsidR="00EA5A6A" w:rsidRPr="003C55A3">
          <w:rPr>
            <w:rFonts w:cs="Arial"/>
            <w:noProof/>
            <w:webHidden/>
          </w:rPr>
          <w:t>7</w:t>
        </w:r>
        <w:r w:rsidR="00EA5A6A" w:rsidRPr="003C55A3">
          <w:rPr>
            <w:rFonts w:cs="Arial"/>
            <w:noProof/>
            <w:webHidden/>
          </w:rPr>
          <w:fldChar w:fldCharType="end"/>
        </w:r>
      </w:hyperlink>
    </w:p>
    <w:p w14:paraId="00706B1D" w14:textId="51B15D07" w:rsidR="00EA5A6A" w:rsidRPr="003C55A3" w:rsidRDefault="003C55A3">
      <w:pPr>
        <w:pStyle w:val="TOC1"/>
        <w:tabs>
          <w:tab w:val="left" w:pos="480"/>
          <w:tab w:val="right" w:leader="dot" w:pos="8630"/>
        </w:tabs>
        <w:rPr>
          <w:rFonts w:eastAsiaTheme="minorEastAsia" w:cs="Arial"/>
          <w:noProof/>
          <w:lang w:val="en-GB" w:eastAsia="en-GB" w:bidi="ar-SA"/>
        </w:rPr>
      </w:pPr>
      <w:hyperlink w:anchor="_Toc104474042" w:history="1">
        <w:r w:rsidR="00EA5A6A" w:rsidRPr="003C55A3">
          <w:rPr>
            <w:rStyle w:val="Hyperlink"/>
            <w:rFonts w:cs="Arial"/>
            <w:noProof/>
          </w:rPr>
          <w:t>9.</w:t>
        </w:r>
        <w:r w:rsidR="00EA5A6A" w:rsidRPr="003C55A3">
          <w:rPr>
            <w:rFonts w:eastAsiaTheme="minorEastAsia" w:cs="Arial"/>
            <w:noProof/>
            <w:lang w:val="en-GB" w:eastAsia="en-GB" w:bidi="ar-SA"/>
          </w:rPr>
          <w:tab/>
        </w:r>
        <w:r w:rsidR="00EA5A6A" w:rsidRPr="003C55A3">
          <w:rPr>
            <w:rStyle w:val="Hyperlink"/>
            <w:rFonts w:cs="Arial"/>
            <w:noProof/>
          </w:rPr>
          <w:t>Terms and Conditions queries</w:t>
        </w:r>
        <w:r w:rsidR="00EA5A6A" w:rsidRPr="003C55A3">
          <w:rPr>
            <w:rFonts w:cs="Arial"/>
            <w:noProof/>
            <w:webHidden/>
          </w:rPr>
          <w:tab/>
        </w:r>
        <w:r w:rsidR="00EA5A6A" w:rsidRPr="003C55A3">
          <w:rPr>
            <w:rFonts w:cs="Arial"/>
            <w:noProof/>
            <w:webHidden/>
          </w:rPr>
          <w:fldChar w:fldCharType="begin"/>
        </w:r>
        <w:r w:rsidR="00EA5A6A" w:rsidRPr="003C55A3">
          <w:rPr>
            <w:rFonts w:cs="Arial"/>
            <w:noProof/>
            <w:webHidden/>
          </w:rPr>
          <w:instrText xml:space="preserve"> PAGEREF _Toc104474042 \h </w:instrText>
        </w:r>
        <w:r w:rsidR="00EA5A6A" w:rsidRPr="003C55A3">
          <w:rPr>
            <w:rFonts w:cs="Arial"/>
            <w:noProof/>
            <w:webHidden/>
          </w:rPr>
        </w:r>
        <w:r w:rsidR="00EA5A6A" w:rsidRPr="003C55A3">
          <w:rPr>
            <w:rFonts w:cs="Arial"/>
            <w:noProof/>
            <w:webHidden/>
          </w:rPr>
          <w:fldChar w:fldCharType="separate"/>
        </w:r>
        <w:r w:rsidR="00EA5A6A" w:rsidRPr="003C55A3">
          <w:rPr>
            <w:rFonts w:cs="Arial"/>
            <w:noProof/>
            <w:webHidden/>
          </w:rPr>
          <w:t>8</w:t>
        </w:r>
        <w:r w:rsidR="00EA5A6A" w:rsidRPr="003C55A3">
          <w:rPr>
            <w:rFonts w:cs="Arial"/>
            <w:noProof/>
            <w:webHidden/>
          </w:rPr>
          <w:fldChar w:fldCharType="end"/>
        </w:r>
      </w:hyperlink>
    </w:p>
    <w:p w14:paraId="73C9D50E" w14:textId="2C72DBFF" w:rsidR="00EA5A6A" w:rsidRPr="003C55A3" w:rsidRDefault="003C55A3">
      <w:pPr>
        <w:pStyle w:val="TOC1"/>
        <w:tabs>
          <w:tab w:val="left" w:pos="660"/>
          <w:tab w:val="right" w:leader="dot" w:pos="8630"/>
        </w:tabs>
        <w:rPr>
          <w:rFonts w:eastAsiaTheme="minorEastAsia" w:cs="Arial"/>
          <w:noProof/>
          <w:lang w:val="en-GB" w:eastAsia="en-GB" w:bidi="ar-SA"/>
        </w:rPr>
      </w:pPr>
      <w:hyperlink w:anchor="_Toc104474043" w:history="1">
        <w:r w:rsidR="00EA5A6A" w:rsidRPr="003C55A3">
          <w:rPr>
            <w:rStyle w:val="Hyperlink"/>
            <w:rFonts w:cs="Arial"/>
            <w:noProof/>
          </w:rPr>
          <w:t>10.</w:t>
        </w:r>
        <w:r w:rsidR="00EA5A6A" w:rsidRPr="003C55A3">
          <w:rPr>
            <w:rFonts w:eastAsiaTheme="minorEastAsia" w:cs="Arial"/>
            <w:noProof/>
            <w:lang w:val="en-GB" w:eastAsia="en-GB" w:bidi="ar-SA"/>
          </w:rPr>
          <w:tab/>
        </w:r>
        <w:r w:rsidR="00EA5A6A" w:rsidRPr="003C55A3">
          <w:rPr>
            <w:rStyle w:val="Hyperlink"/>
            <w:rFonts w:cs="Arial"/>
            <w:noProof/>
          </w:rPr>
          <w:t>NICE’s Named Point of Contact</w:t>
        </w:r>
        <w:r w:rsidR="00EA5A6A" w:rsidRPr="003C55A3">
          <w:rPr>
            <w:rFonts w:cs="Arial"/>
            <w:noProof/>
            <w:webHidden/>
          </w:rPr>
          <w:tab/>
        </w:r>
        <w:r w:rsidR="00EA5A6A" w:rsidRPr="003C55A3">
          <w:rPr>
            <w:rFonts w:cs="Arial"/>
            <w:noProof/>
            <w:webHidden/>
          </w:rPr>
          <w:fldChar w:fldCharType="begin"/>
        </w:r>
        <w:r w:rsidR="00EA5A6A" w:rsidRPr="003C55A3">
          <w:rPr>
            <w:rFonts w:cs="Arial"/>
            <w:noProof/>
            <w:webHidden/>
          </w:rPr>
          <w:instrText xml:space="preserve"> PAGEREF _Toc104474043 \h </w:instrText>
        </w:r>
        <w:r w:rsidR="00EA5A6A" w:rsidRPr="003C55A3">
          <w:rPr>
            <w:rFonts w:cs="Arial"/>
            <w:noProof/>
            <w:webHidden/>
          </w:rPr>
        </w:r>
        <w:r w:rsidR="00EA5A6A" w:rsidRPr="003C55A3">
          <w:rPr>
            <w:rFonts w:cs="Arial"/>
            <w:noProof/>
            <w:webHidden/>
          </w:rPr>
          <w:fldChar w:fldCharType="separate"/>
        </w:r>
        <w:r w:rsidR="00EA5A6A" w:rsidRPr="003C55A3">
          <w:rPr>
            <w:rFonts w:cs="Arial"/>
            <w:noProof/>
            <w:webHidden/>
          </w:rPr>
          <w:t>9</w:t>
        </w:r>
        <w:r w:rsidR="00EA5A6A" w:rsidRPr="003C55A3">
          <w:rPr>
            <w:rFonts w:cs="Arial"/>
            <w:noProof/>
            <w:webHidden/>
          </w:rPr>
          <w:fldChar w:fldCharType="end"/>
        </w:r>
      </w:hyperlink>
    </w:p>
    <w:p w14:paraId="20FF69A8" w14:textId="33C62D9C" w:rsidR="00EA5A6A" w:rsidRPr="003C55A3" w:rsidRDefault="003C55A3">
      <w:pPr>
        <w:pStyle w:val="TOC1"/>
        <w:tabs>
          <w:tab w:val="left" w:pos="660"/>
          <w:tab w:val="right" w:leader="dot" w:pos="8630"/>
        </w:tabs>
        <w:rPr>
          <w:rFonts w:eastAsiaTheme="minorEastAsia" w:cs="Arial"/>
          <w:noProof/>
          <w:lang w:val="en-GB" w:eastAsia="en-GB" w:bidi="ar-SA"/>
        </w:rPr>
      </w:pPr>
      <w:hyperlink w:anchor="_Toc104474044" w:history="1">
        <w:r w:rsidR="00EA5A6A" w:rsidRPr="003C55A3">
          <w:rPr>
            <w:rStyle w:val="Hyperlink"/>
            <w:rFonts w:cs="Arial"/>
            <w:noProof/>
          </w:rPr>
          <w:t>11.</w:t>
        </w:r>
        <w:r w:rsidR="00EA5A6A" w:rsidRPr="003C55A3">
          <w:rPr>
            <w:rFonts w:eastAsiaTheme="minorEastAsia" w:cs="Arial"/>
            <w:noProof/>
            <w:lang w:val="en-GB" w:eastAsia="en-GB" w:bidi="ar-SA"/>
          </w:rPr>
          <w:tab/>
        </w:r>
        <w:r w:rsidR="00EA5A6A" w:rsidRPr="003C55A3">
          <w:rPr>
            <w:rStyle w:val="Hyperlink"/>
            <w:rFonts w:cs="Arial"/>
            <w:noProof/>
          </w:rPr>
          <w:t>Suppliers Named Point of Contact</w:t>
        </w:r>
        <w:r w:rsidR="00EA5A6A" w:rsidRPr="003C55A3">
          <w:rPr>
            <w:rFonts w:cs="Arial"/>
            <w:noProof/>
            <w:webHidden/>
          </w:rPr>
          <w:tab/>
        </w:r>
        <w:r w:rsidR="00EA5A6A" w:rsidRPr="003C55A3">
          <w:rPr>
            <w:rFonts w:cs="Arial"/>
            <w:noProof/>
            <w:webHidden/>
          </w:rPr>
          <w:fldChar w:fldCharType="begin"/>
        </w:r>
        <w:r w:rsidR="00EA5A6A" w:rsidRPr="003C55A3">
          <w:rPr>
            <w:rFonts w:cs="Arial"/>
            <w:noProof/>
            <w:webHidden/>
          </w:rPr>
          <w:instrText xml:space="preserve"> PAGEREF _Toc104474044 \h </w:instrText>
        </w:r>
        <w:r w:rsidR="00EA5A6A" w:rsidRPr="003C55A3">
          <w:rPr>
            <w:rFonts w:cs="Arial"/>
            <w:noProof/>
            <w:webHidden/>
          </w:rPr>
        </w:r>
        <w:r w:rsidR="00EA5A6A" w:rsidRPr="003C55A3">
          <w:rPr>
            <w:rFonts w:cs="Arial"/>
            <w:noProof/>
            <w:webHidden/>
          </w:rPr>
          <w:fldChar w:fldCharType="separate"/>
        </w:r>
        <w:r w:rsidR="00EA5A6A" w:rsidRPr="003C55A3">
          <w:rPr>
            <w:rFonts w:cs="Arial"/>
            <w:noProof/>
            <w:webHidden/>
          </w:rPr>
          <w:t>9</w:t>
        </w:r>
        <w:r w:rsidR="00EA5A6A" w:rsidRPr="003C55A3">
          <w:rPr>
            <w:rFonts w:cs="Arial"/>
            <w:noProof/>
            <w:webHidden/>
          </w:rPr>
          <w:fldChar w:fldCharType="end"/>
        </w:r>
      </w:hyperlink>
    </w:p>
    <w:p w14:paraId="018522E2" w14:textId="64FAA67D" w:rsidR="00EA5A6A" w:rsidRPr="003C55A3" w:rsidRDefault="003C55A3">
      <w:pPr>
        <w:pStyle w:val="TOC1"/>
        <w:tabs>
          <w:tab w:val="left" w:pos="660"/>
          <w:tab w:val="right" w:leader="dot" w:pos="8630"/>
        </w:tabs>
        <w:rPr>
          <w:rFonts w:eastAsiaTheme="minorEastAsia" w:cs="Arial"/>
          <w:noProof/>
          <w:lang w:val="en-GB" w:eastAsia="en-GB" w:bidi="ar-SA"/>
        </w:rPr>
      </w:pPr>
      <w:hyperlink w:anchor="_Toc104474045" w:history="1">
        <w:r w:rsidR="00EA5A6A" w:rsidRPr="003C55A3">
          <w:rPr>
            <w:rStyle w:val="Hyperlink"/>
            <w:rFonts w:cs="Arial"/>
            <w:noProof/>
          </w:rPr>
          <w:t>12.</w:t>
        </w:r>
        <w:r w:rsidR="00EA5A6A" w:rsidRPr="003C55A3">
          <w:rPr>
            <w:rFonts w:eastAsiaTheme="minorEastAsia" w:cs="Arial"/>
            <w:noProof/>
            <w:lang w:val="en-GB" w:eastAsia="en-GB" w:bidi="ar-SA"/>
          </w:rPr>
          <w:tab/>
        </w:r>
        <w:r w:rsidR="00EA5A6A" w:rsidRPr="003C55A3">
          <w:rPr>
            <w:rStyle w:val="Hyperlink"/>
            <w:rFonts w:cs="Arial"/>
            <w:noProof/>
          </w:rPr>
          <w:t>Additional Information</w:t>
        </w:r>
        <w:r w:rsidR="00EA5A6A" w:rsidRPr="003C55A3">
          <w:rPr>
            <w:rFonts w:cs="Arial"/>
            <w:noProof/>
            <w:webHidden/>
          </w:rPr>
          <w:tab/>
        </w:r>
        <w:r w:rsidR="00EA5A6A" w:rsidRPr="003C55A3">
          <w:rPr>
            <w:rFonts w:cs="Arial"/>
            <w:noProof/>
            <w:webHidden/>
          </w:rPr>
          <w:fldChar w:fldCharType="begin"/>
        </w:r>
        <w:r w:rsidR="00EA5A6A" w:rsidRPr="003C55A3">
          <w:rPr>
            <w:rFonts w:cs="Arial"/>
            <w:noProof/>
            <w:webHidden/>
          </w:rPr>
          <w:instrText xml:space="preserve"> PAGEREF _Toc104474045 \h </w:instrText>
        </w:r>
        <w:r w:rsidR="00EA5A6A" w:rsidRPr="003C55A3">
          <w:rPr>
            <w:rFonts w:cs="Arial"/>
            <w:noProof/>
            <w:webHidden/>
          </w:rPr>
        </w:r>
        <w:r w:rsidR="00EA5A6A" w:rsidRPr="003C55A3">
          <w:rPr>
            <w:rFonts w:cs="Arial"/>
            <w:noProof/>
            <w:webHidden/>
          </w:rPr>
          <w:fldChar w:fldCharType="separate"/>
        </w:r>
        <w:r w:rsidR="00EA5A6A" w:rsidRPr="003C55A3">
          <w:rPr>
            <w:rFonts w:cs="Arial"/>
            <w:noProof/>
            <w:webHidden/>
          </w:rPr>
          <w:t>9</w:t>
        </w:r>
        <w:r w:rsidR="00EA5A6A" w:rsidRPr="003C55A3">
          <w:rPr>
            <w:rFonts w:cs="Arial"/>
            <w:noProof/>
            <w:webHidden/>
          </w:rPr>
          <w:fldChar w:fldCharType="end"/>
        </w:r>
      </w:hyperlink>
    </w:p>
    <w:p w14:paraId="6B97EB33" w14:textId="2344F5CD" w:rsidR="00EA5A6A" w:rsidRPr="003C55A3" w:rsidRDefault="003C55A3">
      <w:pPr>
        <w:pStyle w:val="TOC1"/>
        <w:tabs>
          <w:tab w:val="left" w:pos="660"/>
          <w:tab w:val="right" w:leader="dot" w:pos="8630"/>
        </w:tabs>
        <w:rPr>
          <w:rFonts w:eastAsiaTheme="minorEastAsia" w:cs="Arial"/>
          <w:noProof/>
          <w:lang w:val="en-GB" w:eastAsia="en-GB" w:bidi="ar-SA"/>
        </w:rPr>
      </w:pPr>
      <w:hyperlink w:anchor="_Toc104474046" w:history="1">
        <w:r w:rsidR="00EA5A6A" w:rsidRPr="003C55A3">
          <w:rPr>
            <w:rStyle w:val="Hyperlink"/>
            <w:rFonts w:cs="Arial"/>
            <w:noProof/>
          </w:rPr>
          <w:t>13.</w:t>
        </w:r>
        <w:r w:rsidR="00EA5A6A" w:rsidRPr="003C55A3">
          <w:rPr>
            <w:rFonts w:eastAsiaTheme="minorEastAsia" w:cs="Arial"/>
            <w:noProof/>
            <w:lang w:val="en-GB" w:eastAsia="en-GB" w:bidi="ar-SA"/>
          </w:rPr>
          <w:tab/>
        </w:r>
        <w:r w:rsidR="00EA5A6A" w:rsidRPr="003C55A3">
          <w:rPr>
            <w:rStyle w:val="Hyperlink"/>
            <w:rFonts w:cs="Arial"/>
            <w:noProof/>
          </w:rPr>
          <w:t>Freedom of Information</w:t>
        </w:r>
        <w:r w:rsidR="00EA5A6A" w:rsidRPr="003C55A3">
          <w:rPr>
            <w:rFonts w:cs="Arial"/>
            <w:noProof/>
            <w:webHidden/>
          </w:rPr>
          <w:tab/>
        </w:r>
        <w:r w:rsidR="00EA5A6A" w:rsidRPr="003C55A3">
          <w:rPr>
            <w:rFonts w:cs="Arial"/>
            <w:noProof/>
            <w:webHidden/>
          </w:rPr>
          <w:fldChar w:fldCharType="begin"/>
        </w:r>
        <w:r w:rsidR="00EA5A6A" w:rsidRPr="003C55A3">
          <w:rPr>
            <w:rFonts w:cs="Arial"/>
            <w:noProof/>
            <w:webHidden/>
          </w:rPr>
          <w:instrText xml:space="preserve"> PAGEREF _Toc104474046 \h </w:instrText>
        </w:r>
        <w:r w:rsidR="00EA5A6A" w:rsidRPr="003C55A3">
          <w:rPr>
            <w:rFonts w:cs="Arial"/>
            <w:noProof/>
            <w:webHidden/>
          </w:rPr>
        </w:r>
        <w:r w:rsidR="00EA5A6A" w:rsidRPr="003C55A3">
          <w:rPr>
            <w:rFonts w:cs="Arial"/>
            <w:noProof/>
            <w:webHidden/>
          </w:rPr>
          <w:fldChar w:fldCharType="separate"/>
        </w:r>
        <w:r w:rsidR="00EA5A6A" w:rsidRPr="003C55A3">
          <w:rPr>
            <w:rFonts w:cs="Arial"/>
            <w:noProof/>
            <w:webHidden/>
          </w:rPr>
          <w:t>9</w:t>
        </w:r>
        <w:r w:rsidR="00EA5A6A" w:rsidRPr="003C55A3">
          <w:rPr>
            <w:rFonts w:cs="Arial"/>
            <w:noProof/>
            <w:webHidden/>
          </w:rPr>
          <w:fldChar w:fldCharType="end"/>
        </w:r>
      </w:hyperlink>
    </w:p>
    <w:p w14:paraId="3E26FF16" w14:textId="1E656CC6" w:rsidR="00EA5A6A" w:rsidRPr="003C55A3" w:rsidRDefault="003C55A3">
      <w:pPr>
        <w:pStyle w:val="TOC1"/>
        <w:tabs>
          <w:tab w:val="left" w:pos="660"/>
          <w:tab w:val="right" w:leader="dot" w:pos="8630"/>
        </w:tabs>
        <w:rPr>
          <w:rFonts w:eastAsiaTheme="minorEastAsia" w:cs="Arial"/>
          <w:noProof/>
          <w:lang w:val="en-GB" w:eastAsia="en-GB" w:bidi="ar-SA"/>
        </w:rPr>
      </w:pPr>
      <w:hyperlink w:anchor="_Toc104474047" w:history="1">
        <w:r w:rsidR="00EA5A6A" w:rsidRPr="003C55A3">
          <w:rPr>
            <w:rStyle w:val="Hyperlink"/>
            <w:rFonts w:cs="Arial"/>
            <w:noProof/>
          </w:rPr>
          <w:t>14.</w:t>
        </w:r>
        <w:r w:rsidR="00EA5A6A" w:rsidRPr="003C55A3">
          <w:rPr>
            <w:rFonts w:eastAsiaTheme="minorEastAsia" w:cs="Arial"/>
            <w:noProof/>
            <w:lang w:val="en-GB" w:eastAsia="en-GB" w:bidi="ar-SA"/>
          </w:rPr>
          <w:tab/>
        </w:r>
        <w:r w:rsidR="00EA5A6A" w:rsidRPr="003C55A3">
          <w:rPr>
            <w:rStyle w:val="Hyperlink"/>
            <w:rFonts w:cs="Arial"/>
            <w:noProof/>
          </w:rPr>
          <w:t>Procurement Transparency</w:t>
        </w:r>
        <w:r w:rsidR="00EA5A6A" w:rsidRPr="003C55A3">
          <w:rPr>
            <w:rFonts w:cs="Arial"/>
            <w:noProof/>
            <w:webHidden/>
          </w:rPr>
          <w:tab/>
        </w:r>
        <w:r w:rsidR="00EA5A6A" w:rsidRPr="003C55A3">
          <w:rPr>
            <w:rFonts w:cs="Arial"/>
            <w:noProof/>
            <w:webHidden/>
          </w:rPr>
          <w:fldChar w:fldCharType="begin"/>
        </w:r>
        <w:r w:rsidR="00EA5A6A" w:rsidRPr="003C55A3">
          <w:rPr>
            <w:rFonts w:cs="Arial"/>
            <w:noProof/>
            <w:webHidden/>
          </w:rPr>
          <w:instrText xml:space="preserve"> PAGEREF _Toc104474047 \h </w:instrText>
        </w:r>
        <w:r w:rsidR="00EA5A6A" w:rsidRPr="003C55A3">
          <w:rPr>
            <w:rFonts w:cs="Arial"/>
            <w:noProof/>
            <w:webHidden/>
          </w:rPr>
        </w:r>
        <w:r w:rsidR="00EA5A6A" w:rsidRPr="003C55A3">
          <w:rPr>
            <w:rFonts w:cs="Arial"/>
            <w:noProof/>
            <w:webHidden/>
          </w:rPr>
          <w:fldChar w:fldCharType="separate"/>
        </w:r>
        <w:r w:rsidR="00EA5A6A" w:rsidRPr="003C55A3">
          <w:rPr>
            <w:rFonts w:cs="Arial"/>
            <w:noProof/>
            <w:webHidden/>
          </w:rPr>
          <w:t>10</w:t>
        </w:r>
        <w:r w:rsidR="00EA5A6A" w:rsidRPr="003C55A3">
          <w:rPr>
            <w:rFonts w:cs="Arial"/>
            <w:noProof/>
            <w:webHidden/>
          </w:rPr>
          <w:fldChar w:fldCharType="end"/>
        </w:r>
      </w:hyperlink>
    </w:p>
    <w:p w14:paraId="7914C23C" w14:textId="2F3640EB" w:rsidR="00EA5A6A" w:rsidRPr="003C55A3" w:rsidRDefault="003C55A3">
      <w:pPr>
        <w:pStyle w:val="TOC1"/>
        <w:tabs>
          <w:tab w:val="left" w:pos="660"/>
          <w:tab w:val="right" w:leader="dot" w:pos="8630"/>
        </w:tabs>
        <w:rPr>
          <w:rFonts w:eastAsiaTheme="minorEastAsia" w:cs="Arial"/>
          <w:noProof/>
          <w:lang w:val="en-GB" w:eastAsia="en-GB" w:bidi="ar-SA"/>
        </w:rPr>
      </w:pPr>
      <w:hyperlink w:anchor="_Toc104474048" w:history="1">
        <w:r w:rsidR="00EA5A6A" w:rsidRPr="003C55A3">
          <w:rPr>
            <w:rStyle w:val="Hyperlink"/>
            <w:rFonts w:cs="Arial"/>
            <w:noProof/>
          </w:rPr>
          <w:t>15.</w:t>
        </w:r>
        <w:r w:rsidR="00EA5A6A" w:rsidRPr="003C55A3">
          <w:rPr>
            <w:rFonts w:eastAsiaTheme="minorEastAsia" w:cs="Arial"/>
            <w:noProof/>
            <w:lang w:val="en-GB" w:eastAsia="en-GB" w:bidi="ar-SA"/>
          </w:rPr>
          <w:tab/>
        </w:r>
        <w:r w:rsidR="00EA5A6A" w:rsidRPr="003C55A3">
          <w:rPr>
            <w:rStyle w:val="Hyperlink"/>
            <w:rFonts w:cs="Arial"/>
            <w:noProof/>
          </w:rPr>
          <w:t>Tender Evaluation and Selection Criteria</w:t>
        </w:r>
        <w:r w:rsidR="00EA5A6A" w:rsidRPr="003C55A3">
          <w:rPr>
            <w:rFonts w:cs="Arial"/>
            <w:noProof/>
            <w:webHidden/>
          </w:rPr>
          <w:tab/>
        </w:r>
        <w:r w:rsidR="00EA5A6A" w:rsidRPr="003C55A3">
          <w:rPr>
            <w:rFonts w:cs="Arial"/>
            <w:noProof/>
            <w:webHidden/>
          </w:rPr>
          <w:fldChar w:fldCharType="begin"/>
        </w:r>
        <w:r w:rsidR="00EA5A6A" w:rsidRPr="003C55A3">
          <w:rPr>
            <w:rFonts w:cs="Arial"/>
            <w:noProof/>
            <w:webHidden/>
          </w:rPr>
          <w:instrText xml:space="preserve"> PAGEREF _Toc104474048 \h </w:instrText>
        </w:r>
        <w:r w:rsidR="00EA5A6A" w:rsidRPr="003C55A3">
          <w:rPr>
            <w:rFonts w:cs="Arial"/>
            <w:noProof/>
            <w:webHidden/>
          </w:rPr>
        </w:r>
        <w:r w:rsidR="00EA5A6A" w:rsidRPr="003C55A3">
          <w:rPr>
            <w:rFonts w:cs="Arial"/>
            <w:noProof/>
            <w:webHidden/>
          </w:rPr>
          <w:fldChar w:fldCharType="separate"/>
        </w:r>
        <w:r w:rsidR="00EA5A6A" w:rsidRPr="003C55A3">
          <w:rPr>
            <w:rFonts w:cs="Arial"/>
            <w:noProof/>
            <w:webHidden/>
          </w:rPr>
          <w:t>10</w:t>
        </w:r>
        <w:r w:rsidR="00EA5A6A" w:rsidRPr="003C55A3">
          <w:rPr>
            <w:rFonts w:cs="Arial"/>
            <w:noProof/>
            <w:webHidden/>
          </w:rPr>
          <w:fldChar w:fldCharType="end"/>
        </w:r>
      </w:hyperlink>
    </w:p>
    <w:p w14:paraId="2C6C706F" w14:textId="4390B395" w:rsidR="00EA5A6A" w:rsidRPr="003C55A3" w:rsidRDefault="003C55A3">
      <w:pPr>
        <w:pStyle w:val="TOC2"/>
        <w:tabs>
          <w:tab w:val="left" w:pos="1100"/>
          <w:tab w:val="right" w:leader="dot" w:pos="8630"/>
        </w:tabs>
        <w:rPr>
          <w:rFonts w:ascii="Arial" w:eastAsiaTheme="minorEastAsia" w:hAnsi="Arial" w:cs="Arial"/>
          <w:noProof/>
          <w:lang w:val="en-GB" w:eastAsia="en-GB" w:bidi="ar-SA"/>
        </w:rPr>
      </w:pPr>
      <w:hyperlink w:anchor="_Toc104474049" w:history="1">
        <w:r w:rsidR="00EA5A6A" w:rsidRPr="003C55A3">
          <w:rPr>
            <w:rStyle w:val="Hyperlink"/>
            <w:rFonts w:ascii="Arial" w:hAnsi="Arial" w:cs="Arial"/>
            <w:noProof/>
          </w:rPr>
          <w:t>15.1.</w:t>
        </w:r>
        <w:r w:rsidR="00EA5A6A" w:rsidRPr="003C55A3">
          <w:rPr>
            <w:rFonts w:ascii="Arial" w:eastAsiaTheme="minorEastAsia" w:hAnsi="Arial" w:cs="Arial"/>
            <w:noProof/>
            <w:lang w:val="en-GB" w:eastAsia="en-GB" w:bidi="ar-SA"/>
          </w:rPr>
          <w:tab/>
        </w:r>
        <w:r w:rsidR="00EA5A6A" w:rsidRPr="003C55A3">
          <w:rPr>
            <w:rStyle w:val="Hyperlink"/>
            <w:rFonts w:ascii="Arial" w:hAnsi="Arial" w:cs="Arial"/>
            <w:noProof/>
          </w:rPr>
          <w:t>Evaluation</w:t>
        </w:r>
        <w:r w:rsidR="00EA5A6A" w:rsidRPr="003C55A3">
          <w:rPr>
            <w:rFonts w:ascii="Arial" w:hAnsi="Arial" w:cs="Arial"/>
            <w:noProof/>
            <w:webHidden/>
          </w:rPr>
          <w:tab/>
        </w:r>
        <w:r w:rsidR="00EA5A6A" w:rsidRPr="003C55A3">
          <w:rPr>
            <w:rFonts w:ascii="Arial" w:hAnsi="Arial" w:cs="Arial"/>
            <w:noProof/>
            <w:webHidden/>
          </w:rPr>
          <w:fldChar w:fldCharType="begin"/>
        </w:r>
        <w:r w:rsidR="00EA5A6A" w:rsidRPr="003C55A3">
          <w:rPr>
            <w:rFonts w:ascii="Arial" w:hAnsi="Arial" w:cs="Arial"/>
            <w:noProof/>
            <w:webHidden/>
          </w:rPr>
          <w:instrText xml:space="preserve"> PAGEREF _Toc104474049 \h </w:instrText>
        </w:r>
        <w:r w:rsidR="00EA5A6A" w:rsidRPr="003C55A3">
          <w:rPr>
            <w:rFonts w:ascii="Arial" w:hAnsi="Arial" w:cs="Arial"/>
            <w:noProof/>
            <w:webHidden/>
          </w:rPr>
        </w:r>
        <w:r w:rsidR="00EA5A6A" w:rsidRPr="003C55A3">
          <w:rPr>
            <w:rFonts w:ascii="Arial" w:hAnsi="Arial" w:cs="Arial"/>
            <w:noProof/>
            <w:webHidden/>
          </w:rPr>
          <w:fldChar w:fldCharType="separate"/>
        </w:r>
        <w:r w:rsidR="00EA5A6A" w:rsidRPr="003C55A3">
          <w:rPr>
            <w:rFonts w:ascii="Arial" w:hAnsi="Arial" w:cs="Arial"/>
            <w:noProof/>
            <w:webHidden/>
          </w:rPr>
          <w:t>11</w:t>
        </w:r>
        <w:r w:rsidR="00EA5A6A" w:rsidRPr="003C55A3">
          <w:rPr>
            <w:rFonts w:ascii="Arial" w:hAnsi="Arial" w:cs="Arial"/>
            <w:noProof/>
            <w:webHidden/>
          </w:rPr>
          <w:fldChar w:fldCharType="end"/>
        </w:r>
      </w:hyperlink>
    </w:p>
    <w:p w14:paraId="572216E2" w14:textId="318DD2CE" w:rsidR="00EA5A6A" w:rsidRPr="003C55A3" w:rsidRDefault="003C55A3">
      <w:pPr>
        <w:pStyle w:val="TOC2"/>
        <w:tabs>
          <w:tab w:val="left" w:pos="1100"/>
          <w:tab w:val="right" w:leader="dot" w:pos="8630"/>
        </w:tabs>
        <w:rPr>
          <w:rFonts w:ascii="Arial" w:eastAsiaTheme="minorEastAsia" w:hAnsi="Arial" w:cs="Arial"/>
          <w:noProof/>
          <w:lang w:val="en-GB" w:eastAsia="en-GB" w:bidi="ar-SA"/>
        </w:rPr>
      </w:pPr>
      <w:hyperlink w:anchor="_Toc104474050" w:history="1">
        <w:r w:rsidR="00EA5A6A" w:rsidRPr="003C55A3">
          <w:rPr>
            <w:rStyle w:val="Hyperlink"/>
            <w:rFonts w:ascii="Arial" w:hAnsi="Arial" w:cs="Arial"/>
            <w:noProof/>
          </w:rPr>
          <w:t>15.2.</w:t>
        </w:r>
        <w:r w:rsidR="00EA5A6A" w:rsidRPr="003C55A3">
          <w:rPr>
            <w:rFonts w:ascii="Arial" w:eastAsiaTheme="minorEastAsia" w:hAnsi="Arial" w:cs="Arial"/>
            <w:noProof/>
            <w:lang w:val="en-GB" w:eastAsia="en-GB" w:bidi="ar-SA"/>
          </w:rPr>
          <w:tab/>
        </w:r>
        <w:r w:rsidR="00EA5A6A" w:rsidRPr="003C55A3">
          <w:rPr>
            <w:rStyle w:val="Hyperlink"/>
            <w:rFonts w:ascii="Arial" w:hAnsi="Arial" w:cs="Arial"/>
            <w:noProof/>
          </w:rPr>
          <w:t>Cost Evaluation</w:t>
        </w:r>
        <w:r w:rsidR="00EA5A6A" w:rsidRPr="003C55A3">
          <w:rPr>
            <w:rFonts w:ascii="Arial" w:hAnsi="Arial" w:cs="Arial"/>
            <w:noProof/>
            <w:webHidden/>
          </w:rPr>
          <w:tab/>
        </w:r>
        <w:r w:rsidR="00EA5A6A" w:rsidRPr="003C55A3">
          <w:rPr>
            <w:rFonts w:ascii="Arial" w:hAnsi="Arial" w:cs="Arial"/>
            <w:noProof/>
            <w:webHidden/>
          </w:rPr>
          <w:fldChar w:fldCharType="begin"/>
        </w:r>
        <w:r w:rsidR="00EA5A6A" w:rsidRPr="003C55A3">
          <w:rPr>
            <w:rFonts w:ascii="Arial" w:hAnsi="Arial" w:cs="Arial"/>
            <w:noProof/>
            <w:webHidden/>
          </w:rPr>
          <w:instrText xml:space="preserve"> PAGEREF _Toc104474050 \h </w:instrText>
        </w:r>
        <w:r w:rsidR="00EA5A6A" w:rsidRPr="003C55A3">
          <w:rPr>
            <w:rFonts w:ascii="Arial" w:hAnsi="Arial" w:cs="Arial"/>
            <w:noProof/>
            <w:webHidden/>
          </w:rPr>
        </w:r>
        <w:r w:rsidR="00EA5A6A" w:rsidRPr="003C55A3">
          <w:rPr>
            <w:rFonts w:ascii="Arial" w:hAnsi="Arial" w:cs="Arial"/>
            <w:noProof/>
            <w:webHidden/>
          </w:rPr>
          <w:fldChar w:fldCharType="separate"/>
        </w:r>
        <w:r w:rsidR="00EA5A6A" w:rsidRPr="003C55A3">
          <w:rPr>
            <w:rFonts w:ascii="Arial" w:hAnsi="Arial" w:cs="Arial"/>
            <w:noProof/>
            <w:webHidden/>
          </w:rPr>
          <w:t>11</w:t>
        </w:r>
        <w:r w:rsidR="00EA5A6A" w:rsidRPr="003C55A3">
          <w:rPr>
            <w:rFonts w:ascii="Arial" w:hAnsi="Arial" w:cs="Arial"/>
            <w:noProof/>
            <w:webHidden/>
          </w:rPr>
          <w:fldChar w:fldCharType="end"/>
        </w:r>
      </w:hyperlink>
    </w:p>
    <w:p w14:paraId="51D4BDA8" w14:textId="6D868D5B" w:rsidR="00EA5A6A" w:rsidRPr="003C55A3" w:rsidRDefault="003C55A3">
      <w:pPr>
        <w:pStyle w:val="TOC2"/>
        <w:tabs>
          <w:tab w:val="left" w:pos="1100"/>
          <w:tab w:val="right" w:leader="dot" w:pos="8630"/>
        </w:tabs>
        <w:rPr>
          <w:rFonts w:ascii="Arial" w:eastAsiaTheme="minorEastAsia" w:hAnsi="Arial" w:cs="Arial"/>
          <w:noProof/>
          <w:lang w:val="en-GB" w:eastAsia="en-GB" w:bidi="ar-SA"/>
        </w:rPr>
      </w:pPr>
      <w:hyperlink w:anchor="_Toc104474051" w:history="1">
        <w:r w:rsidR="00EA5A6A" w:rsidRPr="003C55A3">
          <w:rPr>
            <w:rStyle w:val="Hyperlink"/>
            <w:rFonts w:ascii="Arial" w:hAnsi="Arial" w:cs="Arial"/>
            <w:noProof/>
          </w:rPr>
          <w:t>15.3.</w:t>
        </w:r>
        <w:r w:rsidR="00EA5A6A" w:rsidRPr="003C55A3">
          <w:rPr>
            <w:rFonts w:ascii="Arial" w:eastAsiaTheme="minorEastAsia" w:hAnsi="Arial" w:cs="Arial"/>
            <w:noProof/>
            <w:lang w:val="en-GB" w:eastAsia="en-GB" w:bidi="ar-SA"/>
          </w:rPr>
          <w:tab/>
        </w:r>
        <w:r w:rsidR="00EA5A6A" w:rsidRPr="003C55A3">
          <w:rPr>
            <w:rStyle w:val="Hyperlink"/>
            <w:rFonts w:ascii="Arial" w:hAnsi="Arial" w:cs="Arial"/>
            <w:noProof/>
          </w:rPr>
          <w:t>Criteria and Scoring Guide</w:t>
        </w:r>
        <w:r w:rsidR="00EA5A6A" w:rsidRPr="003C55A3">
          <w:rPr>
            <w:rFonts w:ascii="Arial" w:hAnsi="Arial" w:cs="Arial"/>
            <w:noProof/>
            <w:webHidden/>
          </w:rPr>
          <w:tab/>
        </w:r>
        <w:r w:rsidR="00EA5A6A" w:rsidRPr="003C55A3">
          <w:rPr>
            <w:rFonts w:ascii="Arial" w:hAnsi="Arial" w:cs="Arial"/>
            <w:noProof/>
            <w:webHidden/>
          </w:rPr>
          <w:fldChar w:fldCharType="begin"/>
        </w:r>
        <w:r w:rsidR="00EA5A6A" w:rsidRPr="003C55A3">
          <w:rPr>
            <w:rFonts w:ascii="Arial" w:hAnsi="Arial" w:cs="Arial"/>
            <w:noProof/>
            <w:webHidden/>
          </w:rPr>
          <w:instrText xml:space="preserve"> PAGEREF _Toc104474051 \h </w:instrText>
        </w:r>
        <w:r w:rsidR="00EA5A6A" w:rsidRPr="003C55A3">
          <w:rPr>
            <w:rFonts w:ascii="Arial" w:hAnsi="Arial" w:cs="Arial"/>
            <w:noProof/>
            <w:webHidden/>
          </w:rPr>
        </w:r>
        <w:r w:rsidR="00EA5A6A" w:rsidRPr="003C55A3">
          <w:rPr>
            <w:rFonts w:ascii="Arial" w:hAnsi="Arial" w:cs="Arial"/>
            <w:noProof/>
            <w:webHidden/>
          </w:rPr>
          <w:fldChar w:fldCharType="separate"/>
        </w:r>
        <w:r w:rsidR="00EA5A6A" w:rsidRPr="003C55A3">
          <w:rPr>
            <w:rFonts w:ascii="Arial" w:hAnsi="Arial" w:cs="Arial"/>
            <w:noProof/>
            <w:webHidden/>
          </w:rPr>
          <w:t>11</w:t>
        </w:r>
        <w:r w:rsidR="00EA5A6A" w:rsidRPr="003C55A3">
          <w:rPr>
            <w:rFonts w:ascii="Arial" w:hAnsi="Arial" w:cs="Arial"/>
            <w:noProof/>
            <w:webHidden/>
          </w:rPr>
          <w:fldChar w:fldCharType="end"/>
        </w:r>
      </w:hyperlink>
    </w:p>
    <w:p w14:paraId="697CC2E6" w14:textId="54EC5E9F" w:rsidR="00EA5A6A" w:rsidRPr="003C55A3" w:rsidRDefault="003C55A3">
      <w:pPr>
        <w:pStyle w:val="TOC2"/>
        <w:tabs>
          <w:tab w:val="left" w:pos="1100"/>
          <w:tab w:val="right" w:leader="dot" w:pos="8630"/>
        </w:tabs>
        <w:rPr>
          <w:rFonts w:ascii="Arial" w:eastAsiaTheme="minorEastAsia" w:hAnsi="Arial" w:cs="Arial"/>
          <w:noProof/>
          <w:lang w:val="en-GB" w:eastAsia="en-GB" w:bidi="ar-SA"/>
        </w:rPr>
      </w:pPr>
      <w:hyperlink w:anchor="_Toc104474052" w:history="1">
        <w:r w:rsidR="00EA5A6A" w:rsidRPr="003C55A3">
          <w:rPr>
            <w:rStyle w:val="Hyperlink"/>
            <w:rFonts w:ascii="Arial" w:hAnsi="Arial" w:cs="Arial"/>
            <w:noProof/>
          </w:rPr>
          <w:t>15.4.</w:t>
        </w:r>
        <w:r w:rsidR="00EA5A6A" w:rsidRPr="003C55A3">
          <w:rPr>
            <w:rFonts w:ascii="Arial" w:eastAsiaTheme="minorEastAsia" w:hAnsi="Arial" w:cs="Arial"/>
            <w:noProof/>
            <w:lang w:val="en-GB" w:eastAsia="en-GB" w:bidi="ar-SA"/>
          </w:rPr>
          <w:tab/>
        </w:r>
        <w:r w:rsidR="00EA5A6A" w:rsidRPr="003C55A3">
          <w:rPr>
            <w:rStyle w:val="Hyperlink"/>
            <w:rFonts w:ascii="Arial" w:hAnsi="Arial" w:cs="Arial"/>
            <w:noProof/>
          </w:rPr>
          <w:t>Criteria and scoring</w:t>
        </w:r>
        <w:r w:rsidR="00EA5A6A" w:rsidRPr="003C55A3">
          <w:rPr>
            <w:rFonts w:ascii="Arial" w:hAnsi="Arial" w:cs="Arial"/>
            <w:noProof/>
            <w:webHidden/>
          </w:rPr>
          <w:tab/>
        </w:r>
        <w:r w:rsidR="00EA5A6A" w:rsidRPr="003C55A3">
          <w:rPr>
            <w:rFonts w:ascii="Arial" w:hAnsi="Arial" w:cs="Arial"/>
            <w:noProof/>
            <w:webHidden/>
          </w:rPr>
          <w:fldChar w:fldCharType="begin"/>
        </w:r>
        <w:r w:rsidR="00EA5A6A" w:rsidRPr="003C55A3">
          <w:rPr>
            <w:rFonts w:ascii="Arial" w:hAnsi="Arial" w:cs="Arial"/>
            <w:noProof/>
            <w:webHidden/>
          </w:rPr>
          <w:instrText xml:space="preserve"> PAGEREF _Toc104474052 \h </w:instrText>
        </w:r>
        <w:r w:rsidR="00EA5A6A" w:rsidRPr="003C55A3">
          <w:rPr>
            <w:rFonts w:ascii="Arial" w:hAnsi="Arial" w:cs="Arial"/>
            <w:noProof/>
            <w:webHidden/>
          </w:rPr>
        </w:r>
        <w:r w:rsidR="00EA5A6A" w:rsidRPr="003C55A3">
          <w:rPr>
            <w:rFonts w:ascii="Arial" w:hAnsi="Arial" w:cs="Arial"/>
            <w:noProof/>
            <w:webHidden/>
          </w:rPr>
          <w:fldChar w:fldCharType="separate"/>
        </w:r>
        <w:r w:rsidR="00EA5A6A" w:rsidRPr="003C55A3">
          <w:rPr>
            <w:rFonts w:ascii="Arial" w:hAnsi="Arial" w:cs="Arial"/>
            <w:noProof/>
            <w:webHidden/>
          </w:rPr>
          <w:t>12</w:t>
        </w:r>
        <w:r w:rsidR="00EA5A6A" w:rsidRPr="003C55A3">
          <w:rPr>
            <w:rFonts w:ascii="Arial" w:hAnsi="Arial" w:cs="Arial"/>
            <w:noProof/>
            <w:webHidden/>
          </w:rPr>
          <w:fldChar w:fldCharType="end"/>
        </w:r>
      </w:hyperlink>
    </w:p>
    <w:p w14:paraId="724DEED5" w14:textId="707697FD" w:rsidR="00EA5A6A" w:rsidRPr="003C55A3" w:rsidRDefault="003C55A3">
      <w:pPr>
        <w:pStyle w:val="TOC2"/>
        <w:tabs>
          <w:tab w:val="left" w:pos="1100"/>
          <w:tab w:val="right" w:leader="dot" w:pos="8630"/>
        </w:tabs>
        <w:rPr>
          <w:rFonts w:ascii="Arial" w:eastAsiaTheme="minorEastAsia" w:hAnsi="Arial" w:cs="Arial"/>
          <w:noProof/>
          <w:lang w:val="en-GB" w:eastAsia="en-GB" w:bidi="ar-SA"/>
        </w:rPr>
      </w:pPr>
      <w:hyperlink w:anchor="_Toc104474053" w:history="1">
        <w:r w:rsidR="00EA5A6A" w:rsidRPr="003C55A3">
          <w:rPr>
            <w:rStyle w:val="Hyperlink"/>
            <w:rFonts w:ascii="Arial" w:hAnsi="Arial" w:cs="Arial"/>
            <w:noProof/>
          </w:rPr>
          <w:t>15.5.</w:t>
        </w:r>
        <w:r w:rsidR="00EA5A6A" w:rsidRPr="003C55A3">
          <w:rPr>
            <w:rFonts w:ascii="Arial" w:eastAsiaTheme="minorEastAsia" w:hAnsi="Arial" w:cs="Arial"/>
            <w:noProof/>
            <w:lang w:val="en-GB" w:eastAsia="en-GB" w:bidi="ar-SA"/>
          </w:rPr>
          <w:tab/>
        </w:r>
        <w:r w:rsidR="00EA5A6A" w:rsidRPr="003C55A3">
          <w:rPr>
            <w:rStyle w:val="Hyperlink"/>
            <w:rFonts w:ascii="Arial" w:hAnsi="Arial" w:cs="Arial"/>
            <w:noProof/>
          </w:rPr>
          <w:t>Short Listed Suppliers for Interview and Evaluation</w:t>
        </w:r>
        <w:r w:rsidR="00EA5A6A" w:rsidRPr="003C55A3">
          <w:rPr>
            <w:rFonts w:ascii="Arial" w:hAnsi="Arial" w:cs="Arial"/>
            <w:noProof/>
            <w:webHidden/>
          </w:rPr>
          <w:tab/>
        </w:r>
        <w:r w:rsidR="00EA5A6A" w:rsidRPr="003C55A3">
          <w:rPr>
            <w:rFonts w:ascii="Arial" w:hAnsi="Arial" w:cs="Arial"/>
            <w:noProof/>
            <w:webHidden/>
          </w:rPr>
          <w:fldChar w:fldCharType="begin"/>
        </w:r>
        <w:r w:rsidR="00EA5A6A" w:rsidRPr="003C55A3">
          <w:rPr>
            <w:rFonts w:ascii="Arial" w:hAnsi="Arial" w:cs="Arial"/>
            <w:noProof/>
            <w:webHidden/>
          </w:rPr>
          <w:instrText xml:space="preserve"> PAGEREF _Toc104474053 \h </w:instrText>
        </w:r>
        <w:r w:rsidR="00EA5A6A" w:rsidRPr="003C55A3">
          <w:rPr>
            <w:rFonts w:ascii="Arial" w:hAnsi="Arial" w:cs="Arial"/>
            <w:noProof/>
            <w:webHidden/>
          </w:rPr>
        </w:r>
        <w:r w:rsidR="00EA5A6A" w:rsidRPr="003C55A3">
          <w:rPr>
            <w:rFonts w:ascii="Arial" w:hAnsi="Arial" w:cs="Arial"/>
            <w:noProof/>
            <w:webHidden/>
          </w:rPr>
          <w:fldChar w:fldCharType="separate"/>
        </w:r>
        <w:r w:rsidR="00EA5A6A" w:rsidRPr="003C55A3">
          <w:rPr>
            <w:rFonts w:ascii="Arial" w:hAnsi="Arial" w:cs="Arial"/>
            <w:noProof/>
            <w:webHidden/>
          </w:rPr>
          <w:t>12</w:t>
        </w:r>
        <w:r w:rsidR="00EA5A6A" w:rsidRPr="003C55A3">
          <w:rPr>
            <w:rFonts w:ascii="Arial" w:hAnsi="Arial" w:cs="Arial"/>
            <w:noProof/>
            <w:webHidden/>
          </w:rPr>
          <w:fldChar w:fldCharType="end"/>
        </w:r>
      </w:hyperlink>
    </w:p>
    <w:p w14:paraId="32D05631" w14:textId="4B23C0BF" w:rsidR="00EA5A6A" w:rsidRDefault="003C55A3">
      <w:pPr>
        <w:pStyle w:val="TOC1"/>
        <w:tabs>
          <w:tab w:val="left" w:pos="660"/>
          <w:tab w:val="right" w:leader="dot" w:pos="8630"/>
        </w:tabs>
        <w:rPr>
          <w:rFonts w:asciiTheme="minorHAnsi" w:eastAsiaTheme="minorEastAsia" w:hAnsiTheme="minorHAnsi" w:cstheme="minorBidi"/>
          <w:noProof/>
          <w:lang w:val="en-GB" w:eastAsia="en-GB" w:bidi="ar-SA"/>
        </w:rPr>
      </w:pPr>
      <w:hyperlink w:anchor="_Toc104474054" w:history="1">
        <w:r w:rsidR="00EA5A6A" w:rsidRPr="003C55A3">
          <w:rPr>
            <w:rStyle w:val="Hyperlink"/>
            <w:rFonts w:cs="Arial"/>
            <w:noProof/>
          </w:rPr>
          <w:t>16.</w:t>
        </w:r>
        <w:r w:rsidR="00EA5A6A" w:rsidRPr="003C55A3">
          <w:rPr>
            <w:rFonts w:eastAsiaTheme="minorEastAsia" w:cs="Arial"/>
            <w:noProof/>
            <w:lang w:val="en-GB" w:eastAsia="en-GB" w:bidi="ar-SA"/>
          </w:rPr>
          <w:tab/>
        </w:r>
        <w:r w:rsidR="00EA5A6A" w:rsidRPr="003C55A3">
          <w:rPr>
            <w:rStyle w:val="Hyperlink"/>
            <w:rFonts w:cs="Arial"/>
            <w:noProof/>
          </w:rPr>
          <w:t>Your Response Pack</w:t>
        </w:r>
        <w:r w:rsidR="00EA5A6A" w:rsidRPr="003C55A3">
          <w:rPr>
            <w:rFonts w:cs="Arial"/>
            <w:noProof/>
            <w:webHidden/>
          </w:rPr>
          <w:tab/>
        </w:r>
        <w:r w:rsidR="00EA5A6A" w:rsidRPr="003C55A3">
          <w:rPr>
            <w:rFonts w:cs="Arial"/>
            <w:noProof/>
            <w:webHidden/>
          </w:rPr>
          <w:fldChar w:fldCharType="begin"/>
        </w:r>
        <w:r w:rsidR="00EA5A6A" w:rsidRPr="003C55A3">
          <w:rPr>
            <w:rFonts w:cs="Arial"/>
            <w:noProof/>
            <w:webHidden/>
          </w:rPr>
          <w:instrText xml:space="preserve"> PAGEREF _Toc104474054 \h </w:instrText>
        </w:r>
        <w:r w:rsidR="00EA5A6A" w:rsidRPr="003C55A3">
          <w:rPr>
            <w:rFonts w:cs="Arial"/>
            <w:noProof/>
            <w:webHidden/>
          </w:rPr>
        </w:r>
        <w:r w:rsidR="00EA5A6A" w:rsidRPr="003C55A3">
          <w:rPr>
            <w:rFonts w:cs="Arial"/>
            <w:noProof/>
            <w:webHidden/>
          </w:rPr>
          <w:fldChar w:fldCharType="separate"/>
        </w:r>
        <w:r w:rsidR="00EA5A6A" w:rsidRPr="003C55A3">
          <w:rPr>
            <w:rFonts w:cs="Arial"/>
            <w:noProof/>
            <w:webHidden/>
          </w:rPr>
          <w:t>13</w:t>
        </w:r>
        <w:r w:rsidR="00EA5A6A" w:rsidRPr="003C55A3">
          <w:rPr>
            <w:rFonts w:cs="Arial"/>
            <w:noProof/>
            <w:webHidden/>
          </w:rPr>
          <w:fldChar w:fldCharType="end"/>
        </w:r>
      </w:hyperlink>
    </w:p>
    <w:p w14:paraId="70FF7E1F" w14:textId="7D877688" w:rsidR="001F3CB9" w:rsidRPr="00F326A7" w:rsidRDefault="00D82541" w:rsidP="00BF69B5">
      <w:pPr>
        <w:rPr>
          <w:lang w:val="en-GB"/>
        </w:rPr>
        <w:sectPr w:rsidR="001F3CB9" w:rsidRPr="00F326A7" w:rsidSect="0044087E">
          <w:footerReference w:type="default" r:id="rId10"/>
          <w:pgSz w:w="12240" w:h="15840"/>
          <w:pgMar w:top="1438" w:right="1800" w:bottom="360" w:left="1800" w:header="708" w:footer="708" w:gutter="0"/>
          <w:cols w:space="708"/>
          <w:docGrid w:linePitch="360"/>
        </w:sectPr>
      </w:pPr>
      <w:r w:rsidRPr="00F326A7">
        <w:rPr>
          <w:rFonts w:ascii="Arial" w:hAnsi="Arial" w:cs="Arial"/>
          <w:lang w:val="en-GB"/>
        </w:rPr>
        <w:fldChar w:fldCharType="end"/>
      </w:r>
    </w:p>
    <w:p w14:paraId="002D3B81" w14:textId="77777777" w:rsidR="00DE56F0" w:rsidRPr="00481BA6" w:rsidRDefault="00DE56F0" w:rsidP="00886CC8">
      <w:pPr>
        <w:pStyle w:val="ITTHeading1"/>
      </w:pPr>
      <w:bookmarkStart w:id="11" w:name="_Toc313605714"/>
      <w:bookmarkStart w:id="12" w:name="_Toc313629874"/>
      <w:bookmarkStart w:id="13" w:name="_Toc104474031"/>
      <w:bookmarkStart w:id="14" w:name="_Toc268272697"/>
      <w:bookmarkStart w:id="15" w:name="_Toc268686431"/>
      <w:bookmarkStart w:id="16" w:name="_Toc276475360"/>
      <w:bookmarkStart w:id="17" w:name="_Toc297644410"/>
      <w:bookmarkStart w:id="18" w:name="_Toc297644396"/>
      <w:bookmarkEnd w:id="7"/>
      <w:bookmarkEnd w:id="8"/>
      <w:bookmarkEnd w:id="9"/>
      <w:bookmarkEnd w:id="10"/>
      <w:r w:rsidRPr="00481BA6">
        <w:lastRenderedPageBreak/>
        <w:t>Introduction</w:t>
      </w:r>
      <w:bookmarkEnd w:id="11"/>
      <w:bookmarkEnd w:id="12"/>
      <w:bookmarkEnd w:id="13"/>
      <w:r w:rsidRPr="00481BA6">
        <w:t xml:space="preserve"> </w:t>
      </w:r>
    </w:p>
    <w:p w14:paraId="625065F4" w14:textId="63A03636" w:rsidR="00DE56F0" w:rsidRPr="00136B05" w:rsidRDefault="00DE56F0" w:rsidP="00FC4CC9">
      <w:pPr>
        <w:pStyle w:val="ITTBody"/>
      </w:pPr>
      <w:r w:rsidRPr="00136B05">
        <w:t xml:space="preserve">On </w:t>
      </w:r>
      <w:r w:rsidR="005323B2">
        <w:t>31</w:t>
      </w:r>
      <w:r w:rsidRPr="00E73015">
        <w:t>/</w:t>
      </w:r>
      <w:r w:rsidR="005323B2">
        <w:t>05</w:t>
      </w:r>
      <w:r w:rsidRPr="00E73015">
        <w:t>/</w:t>
      </w:r>
      <w:r w:rsidR="00F429DE" w:rsidRPr="00E73015">
        <w:t>202</w:t>
      </w:r>
      <w:r w:rsidR="005323B2">
        <w:t>2</w:t>
      </w:r>
      <w:r w:rsidR="00F429DE" w:rsidRPr="00136B05">
        <w:t xml:space="preserve"> </w:t>
      </w:r>
      <w:r w:rsidR="000E3398" w:rsidRPr="00136B05">
        <w:t xml:space="preserve">NICE </w:t>
      </w:r>
      <w:r w:rsidR="00136B05">
        <w:t>released the Contract Notice on Find a Tender and Contracts Finder</w:t>
      </w:r>
      <w:r w:rsidR="003717C6" w:rsidRPr="00136B05">
        <w:t xml:space="preserve">, </w:t>
      </w:r>
      <w:r w:rsidRPr="00136B05">
        <w:t xml:space="preserve">inviting expressions of interest from </w:t>
      </w:r>
      <w:r w:rsidR="00BB66E6" w:rsidRPr="00136B05">
        <w:t>P</w:t>
      </w:r>
      <w:r w:rsidRPr="00136B05">
        <w:t xml:space="preserve">otential </w:t>
      </w:r>
      <w:r w:rsidR="00BB66E6" w:rsidRPr="00136B05">
        <w:t>P</w:t>
      </w:r>
      <w:r w:rsidRPr="00136B05">
        <w:t xml:space="preserve">roviders of </w:t>
      </w:r>
      <w:r w:rsidR="005442CC" w:rsidRPr="005442CC">
        <w:t>an Evidence Based Resource for Primary Care</w:t>
      </w:r>
      <w:r w:rsidR="005442CC">
        <w:t xml:space="preserve"> </w:t>
      </w:r>
      <w:r w:rsidR="00136B05">
        <w:t>who</w:t>
      </w:r>
      <w:r w:rsidR="00023DD5" w:rsidRPr="00136B05">
        <w:t xml:space="preserve"> are invited to submit a formal offer in response to this Invitation to Tender</w:t>
      </w:r>
      <w:r w:rsidR="000E3398" w:rsidRPr="00136B05">
        <w:t xml:space="preserve">. </w:t>
      </w:r>
    </w:p>
    <w:p w14:paraId="41643448" w14:textId="77777777" w:rsidR="00957F97" w:rsidRPr="00481BA6" w:rsidRDefault="00957F97" w:rsidP="00886CC8">
      <w:pPr>
        <w:pStyle w:val="ITTHeading1"/>
      </w:pPr>
      <w:bookmarkStart w:id="19" w:name="_Toc104474032"/>
      <w:bookmarkStart w:id="20" w:name="_Toc313629875"/>
      <w:r w:rsidRPr="00481BA6">
        <w:t>Contract Details</w:t>
      </w:r>
      <w:bookmarkEnd w:id="19"/>
    </w:p>
    <w:p w14:paraId="3C3692EF" w14:textId="152E0A4B" w:rsidR="00957F97" w:rsidRPr="00481BA6" w:rsidRDefault="00957F97" w:rsidP="007C25F0">
      <w:pPr>
        <w:pStyle w:val="ITTHyperlink"/>
        <w:tabs>
          <w:tab w:val="left" w:pos="1134"/>
          <w:tab w:val="left" w:pos="4678"/>
        </w:tabs>
        <w:spacing w:after="240"/>
        <w:ind w:left="0"/>
        <w:rPr>
          <w:lang w:val="en-GB"/>
        </w:rPr>
      </w:pPr>
      <w:r w:rsidRPr="00481BA6">
        <w:rPr>
          <w:lang w:val="en-GB"/>
        </w:rPr>
        <w:tab/>
        <w:t xml:space="preserve">Contract: </w:t>
      </w:r>
      <w:r w:rsidRPr="00481BA6">
        <w:rPr>
          <w:lang w:val="en-GB"/>
        </w:rPr>
        <w:tab/>
      </w:r>
      <w:r w:rsidR="005323B2">
        <w:rPr>
          <w:rFonts w:cs="Arial"/>
          <w:lang w:val="en-GB"/>
        </w:rPr>
        <w:t>Clinical Knowledge Summaries</w:t>
      </w:r>
    </w:p>
    <w:p w14:paraId="14AFC06E" w14:textId="1BCBAB9C" w:rsidR="00957F97" w:rsidRPr="008142D2" w:rsidRDefault="00957F97" w:rsidP="007C25F0">
      <w:pPr>
        <w:pStyle w:val="ITTHyperlink"/>
        <w:tabs>
          <w:tab w:val="left" w:pos="1134"/>
          <w:tab w:val="left" w:pos="4678"/>
        </w:tabs>
        <w:spacing w:after="0"/>
        <w:ind w:left="720" w:hanging="720"/>
        <w:rPr>
          <w:lang w:val="en-GB"/>
        </w:rPr>
      </w:pPr>
      <w:r w:rsidRPr="00481BA6">
        <w:rPr>
          <w:lang w:val="en-GB"/>
        </w:rPr>
        <w:tab/>
      </w:r>
      <w:r w:rsidRPr="00481BA6">
        <w:rPr>
          <w:lang w:val="en-GB"/>
        </w:rPr>
        <w:tab/>
        <w:t>Contract Duration:</w:t>
      </w:r>
      <w:r w:rsidRPr="00481BA6">
        <w:rPr>
          <w:lang w:val="en-GB"/>
        </w:rPr>
        <w:tab/>
      </w:r>
      <w:r w:rsidR="005323B2" w:rsidRPr="008142D2">
        <w:rPr>
          <w:lang w:val="en-GB"/>
        </w:rPr>
        <w:t>36</w:t>
      </w:r>
      <w:r w:rsidR="00F429DE" w:rsidRPr="008142D2">
        <w:rPr>
          <w:lang w:val="en-GB"/>
        </w:rPr>
        <w:t xml:space="preserve"> </w:t>
      </w:r>
      <w:r w:rsidRPr="008142D2">
        <w:rPr>
          <w:lang w:val="en-GB"/>
        </w:rPr>
        <w:t>months with options to extend for</w:t>
      </w:r>
    </w:p>
    <w:p w14:paraId="3575FB20" w14:textId="229A0684" w:rsidR="00957F97" w:rsidRPr="00481BA6" w:rsidRDefault="00957F97" w:rsidP="007C25F0">
      <w:pPr>
        <w:pStyle w:val="ITTHyperlink"/>
        <w:tabs>
          <w:tab w:val="left" w:pos="1134"/>
          <w:tab w:val="left" w:pos="4678"/>
        </w:tabs>
        <w:spacing w:after="240"/>
        <w:ind w:left="4678" w:hanging="3686"/>
        <w:rPr>
          <w:lang w:val="en-GB"/>
        </w:rPr>
      </w:pPr>
      <w:r w:rsidRPr="008142D2">
        <w:rPr>
          <w:lang w:val="en-GB"/>
        </w:rPr>
        <w:tab/>
      </w:r>
      <w:r w:rsidRPr="008142D2">
        <w:rPr>
          <w:lang w:val="en-GB"/>
        </w:rPr>
        <w:tab/>
      </w:r>
      <w:r w:rsidR="005323B2" w:rsidRPr="008142D2">
        <w:rPr>
          <w:lang w:val="en-GB"/>
        </w:rPr>
        <w:t>2</w:t>
      </w:r>
      <w:r w:rsidRPr="008142D2">
        <w:rPr>
          <w:lang w:val="en-GB"/>
        </w:rPr>
        <w:t xml:space="preserve"> x 12</w:t>
      </w:r>
      <w:r w:rsidR="00D843AF" w:rsidRPr="008142D2">
        <w:rPr>
          <w:lang w:val="en-GB"/>
        </w:rPr>
        <w:t>-</w:t>
      </w:r>
      <w:r w:rsidRPr="008142D2">
        <w:rPr>
          <w:lang w:val="en-GB"/>
        </w:rPr>
        <w:t>month period</w:t>
      </w:r>
    </w:p>
    <w:p w14:paraId="0A2FD930" w14:textId="2BDA93B3" w:rsidR="00957F97" w:rsidRPr="007C25F0" w:rsidRDefault="00957F97" w:rsidP="007C25F0">
      <w:pPr>
        <w:pStyle w:val="ITTHyperlink"/>
        <w:tabs>
          <w:tab w:val="left" w:pos="1134"/>
          <w:tab w:val="left" w:pos="4678"/>
        </w:tabs>
        <w:spacing w:after="240"/>
        <w:ind w:left="0"/>
        <w:rPr>
          <w:lang w:val="en-GB"/>
        </w:rPr>
      </w:pPr>
      <w:r w:rsidRPr="00F326A7">
        <w:rPr>
          <w:lang w:val="en-GB"/>
        </w:rPr>
        <w:tab/>
        <w:t>Contract Commences:</w:t>
      </w:r>
      <w:r w:rsidRPr="00F326A7">
        <w:rPr>
          <w:lang w:val="en-GB"/>
        </w:rPr>
        <w:tab/>
      </w:r>
      <w:r w:rsidR="008142D2">
        <w:rPr>
          <w:lang w:val="en-GB"/>
        </w:rPr>
        <w:t>6</w:t>
      </w:r>
      <w:r w:rsidR="007C25F0" w:rsidRPr="007C25F0">
        <w:rPr>
          <w:vertAlign w:val="superscript"/>
          <w:lang w:val="en-GB"/>
        </w:rPr>
        <w:t>th</w:t>
      </w:r>
      <w:r w:rsidR="00BE2F08" w:rsidRPr="007C25F0">
        <w:rPr>
          <w:lang w:val="en-GB"/>
        </w:rPr>
        <w:t xml:space="preserve"> </w:t>
      </w:r>
      <w:r w:rsidR="008142D2">
        <w:rPr>
          <w:lang w:val="en-GB"/>
        </w:rPr>
        <w:t>September</w:t>
      </w:r>
      <w:r w:rsidR="00487914" w:rsidRPr="007C25F0">
        <w:rPr>
          <w:lang w:val="en-GB"/>
        </w:rPr>
        <w:t xml:space="preserve"> 2022</w:t>
      </w:r>
    </w:p>
    <w:p w14:paraId="6E70D649" w14:textId="427BD053" w:rsidR="007C25F0" w:rsidRPr="007C25F0" w:rsidRDefault="007C25F0" w:rsidP="007C25F0">
      <w:pPr>
        <w:pStyle w:val="ITTHyperlink"/>
        <w:tabs>
          <w:tab w:val="left" w:pos="1134"/>
          <w:tab w:val="left" w:pos="4678"/>
        </w:tabs>
        <w:spacing w:after="240"/>
        <w:ind w:left="0"/>
        <w:rPr>
          <w:lang w:val="en-GB"/>
        </w:rPr>
      </w:pPr>
      <w:r w:rsidRPr="007C25F0">
        <w:rPr>
          <w:lang w:val="en-GB"/>
        </w:rPr>
        <w:tab/>
        <w:t>Implementation Commences:</w:t>
      </w:r>
      <w:r w:rsidRPr="007C25F0">
        <w:rPr>
          <w:lang w:val="en-GB"/>
        </w:rPr>
        <w:tab/>
      </w:r>
      <w:r w:rsidR="00F0634E">
        <w:rPr>
          <w:lang w:val="en-GB"/>
        </w:rPr>
        <w:t>4</w:t>
      </w:r>
      <w:r w:rsidRPr="007C25F0">
        <w:rPr>
          <w:vertAlign w:val="superscript"/>
          <w:lang w:val="en-GB"/>
        </w:rPr>
        <w:t>th</w:t>
      </w:r>
      <w:r w:rsidRPr="007C25F0">
        <w:rPr>
          <w:lang w:val="en-GB"/>
        </w:rPr>
        <w:t xml:space="preserve"> </w:t>
      </w:r>
      <w:r w:rsidR="00F0634E">
        <w:rPr>
          <w:lang w:val="en-GB"/>
        </w:rPr>
        <w:t>November</w:t>
      </w:r>
      <w:r w:rsidRPr="007C25F0">
        <w:rPr>
          <w:lang w:val="en-GB"/>
        </w:rPr>
        <w:t xml:space="preserve"> 2022</w:t>
      </w:r>
    </w:p>
    <w:p w14:paraId="4151B1E4" w14:textId="5114D8D6" w:rsidR="007C25F0" w:rsidRDefault="007C25F0" w:rsidP="007C25F0">
      <w:pPr>
        <w:pStyle w:val="ITTHyperlink"/>
        <w:tabs>
          <w:tab w:val="left" w:pos="1134"/>
          <w:tab w:val="left" w:pos="4678"/>
        </w:tabs>
        <w:spacing w:after="240"/>
        <w:ind w:left="0"/>
        <w:rPr>
          <w:lang w:val="en-GB"/>
        </w:rPr>
      </w:pPr>
      <w:r w:rsidRPr="007C25F0">
        <w:rPr>
          <w:lang w:val="en-GB"/>
        </w:rPr>
        <w:tab/>
        <w:t>Service Commences:</w:t>
      </w:r>
      <w:r w:rsidRPr="007C25F0">
        <w:rPr>
          <w:lang w:val="en-GB"/>
        </w:rPr>
        <w:tab/>
        <w:t>8</w:t>
      </w:r>
      <w:r w:rsidRPr="007C25F0">
        <w:rPr>
          <w:vertAlign w:val="superscript"/>
          <w:lang w:val="en-GB"/>
        </w:rPr>
        <w:t>th</w:t>
      </w:r>
      <w:r w:rsidRPr="007C25F0">
        <w:rPr>
          <w:lang w:val="en-GB"/>
        </w:rPr>
        <w:t xml:space="preserve"> April 2023</w:t>
      </w:r>
    </w:p>
    <w:p w14:paraId="68ABC2C1" w14:textId="6CF6D899" w:rsidR="00957F97" w:rsidRPr="00481BA6" w:rsidRDefault="00957F97" w:rsidP="007C25F0">
      <w:pPr>
        <w:pStyle w:val="ITTHyperlink"/>
        <w:tabs>
          <w:tab w:val="left" w:pos="1134"/>
          <w:tab w:val="left" w:pos="4678"/>
        </w:tabs>
        <w:spacing w:after="240"/>
        <w:ind w:left="0"/>
        <w:rPr>
          <w:b/>
          <w:sz w:val="36"/>
          <w:szCs w:val="36"/>
          <w:lang w:val="en-GB"/>
        </w:rPr>
      </w:pPr>
      <w:r w:rsidRPr="00481BA6">
        <w:rPr>
          <w:lang w:val="en-GB"/>
        </w:rPr>
        <w:tab/>
        <w:t>Procedure:</w:t>
      </w:r>
      <w:r w:rsidRPr="00481BA6">
        <w:rPr>
          <w:lang w:val="en-GB"/>
        </w:rPr>
        <w:tab/>
      </w:r>
      <w:r w:rsidR="00E3742E" w:rsidRPr="00481BA6">
        <w:rPr>
          <w:lang w:val="en-GB"/>
        </w:rPr>
        <w:t>Open</w:t>
      </w:r>
      <w:r w:rsidRPr="00481BA6">
        <w:rPr>
          <w:lang w:val="en-GB"/>
        </w:rPr>
        <w:t xml:space="preserve"> Procedure</w:t>
      </w:r>
      <w:bookmarkStart w:id="21" w:name="_Toc268272698"/>
      <w:bookmarkStart w:id="22" w:name="_Toc268686432"/>
    </w:p>
    <w:p w14:paraId="205B486C" w14:textId="6B2B1BD4" w:rsidR="00957F97" w:rsidRPr="00481BA6" w:rsidRDefault="005323B2" w:rsidP="00886CC8">
      <w:pPr>
        <w:pStyle w:val="ITTHeading1"/>
      </w:pPr>
      <w:bookmarkStart w:id="23" w:name="_Toc104474033"/>
      <w:bookmarkStart w:id="24" w:name="_Toc304987724"/>
      <w:bookmarkEnd w:id="21"/>
      <w:bookmarkEnd w:id="22"/>
      <w:r>
        <w:t>Contract Value</w:t>
      </w:r>
      <w:bookmarkEnd w:id="23"/>
      <w:r w:rsidR="0020384B">
        <w:t xml:space="preserve"> </w:t>
      </w:r>
      <w:r w:rsidR="00957F97" w:rsidRPr="00481BA6">
        <w:t xml:space="preserve"> </w:t>
      </w:r>
    </w:p>
    <w:p w14:paraId="46C88267" w14:textId="1231F592" w:rsidR="00EA5A6A" w:rsidRDefault="00EA5A6A" w:rsidP="00EA5A6A">
      <w:pPr>
        <w:pStyle w:val="ITTBody"/>
      </w:pPr>
      <w:bookmarkStart w:id="25" w:name="_Hlk104475076"/>
      <w:r>
        <w:t>The total budget is £441,000 (excluding VAT) per annum</w:t>
      </w:r>
      <w:r w:rsidR="00F54878">
        <w:t xml:space="preserve"> (years 2023-24, 2024-25, 2025-</w:t>
      </w:r>
      <w:r w:rsidR="00CD124A">
        <w:t>2</w:t>
      </w:r>
      <w:r w:rsidR="00F54878">
        <w:t>6)</w:t>
      </w:r>
      <w:r>
        <w:t>.</w:t>
      </w:r>
      <w:r w:rsidR="00F54878">
        <w:t xml:space="preserve"> Total 3</w:t>
      </w:r>
      <w:r w:rsidR="0050614C">
        <w:t>-</w:t>
      </w:r>
      <w:r w:rsidR="00F54878">
        <w:t>year budget is £1,</w:t>
      </w:r>
      <w:r w:rsidR="0050614C">
        <w:t>3</w:t>
      </w:r>
      <w:r w:rsidR="00F54878">
        <w:t>23,000.</w:t>
      </w:r>
      <w:r>
        <w:t xml:space="preserve"> Submissions exceeding this value will not be accepted. The c</w:t>
      </w:r>
      <w:r w:rsidRPr="00D513E4">
        <w:t>ontract</w:t>
      </w:r>
      <w:r w:rsidRPr="008E4407">
        <w:t xml:space="preserve"> </w:t>
      </w:r>
      <w:r w:rsidR="00F54878">
        <w:t>term is three (3) years from 8</w:t>
      </w:r>
      <w:r w:rsidR="00F54878" w:rsidRPr="00F54878">
        <w:rPr>
          <w:vertAlign w:val="superscript"/>
        </w:rPr>
        <w:t>th</w:t>
      </w:r>
      <w:r w:rsidR="00F54878">
        <w:t xml:space="preserve"> April 2023 to 7</w:t>
      </w:r>
      <w:r w:rsidR="00F54878" w:rsidRPr="00F54878">
        <w:rPr>
          <w:vertAlign w:val="superscript"/>
        </w:rPr>
        <w:t>th</w:t>
      </w:r>
      <w:r w:rsidR="00F54878">
        <w:t xml:space="preserve"> April 2026</w:t>
      </w:r>
      <w:r w:rsidR="00C21A95">
        <w:t>),</w:t>
      </w:r>
      <w:r>
        <w:t xml:space="preserve"> with options to extend for additional </w:t>
      </w:r>
      <w:r w:rsidR="00C21A95">
        <w:t>2x</w:t>
      </w:r>
      <w:r>
        <w:t>12-month periods</w:t>
      </w:r>
      <w:r w:rsidR="00C21A95">
        <w:t xml:space="preserve"> (8</w:t>
      </w:r>
      <w:r w:rsidR="00C21A95" w:rsidRPr="00C21A95">
        <w:rPr>
          <w:vertAlign w:val="superscript"/>
        </w:rPr>
        <w:t>th</w:t>
      </w:r>
      <w:r w:rsidR="00C21A95">
        <w:t xml:space="preserve"> April 2026 to 7</w:t>
      </w:r>
      <w:r w:rsidR="00C21A95" w:rsidRPr="00C21A95">
        <w:rPr>
          <w:vertAlign w:val="superscript"/>
        </w:rPr>
        <w:t>th</w:t>
      </w:r>
      <w:r w:rsidR="00C21A95">
        <w:t xml:space="preserve"> April 2028)</w:t>
      </w:r>
      <w:r>
        <w:t xml:space="preserve"> at £441,000 (excluding VAT) per annum</w:t>
      </w:r>
      <w:r w:rsidR="00C21A95">
        <w:t>, total 24</w:t>
      </w:r>
      <w:r w:rsidR="0050614C">
        <w:t>-</w:t>
      </w:r>
      <w:r w:rsidR="00C21A95">
        <w:t>month extension £882,000</w:t>
      </w:r>
      <w:r>
        <w:t>.</w:t>
      </w:r>
      <w:bookmarkEnd w:id="25"/>
    </w:p>
    <w:p w14:paraId="7AF72D7A" w14:textId="5420371C" w:rsidR="00F54878" w:rsidRPr="00C53AEF" w:rsidRDefault="00F54878" w:rsidP="00EA5A6A">
      <w:pPr>
        <w:pStyle w:val="ITTBody"/>
      </w:pPr>
      <w:bookmarkStart w:id="26" w:name="_Hlk104475111"/>
      <w:r>
        <w:t>Where implementation costs are relevant, NICE will pay implementation costs in April 2023 on full acceptance and delivery of the implementation phase. Implementation costs need to be covered in the year 1 budget</w:t>
      </w:r>
      <w:r w:rsidR="00C21A95">
        <w:t xml:space="preserve"> (2023-2024)</w:t>
      </w:r>
      <w:r>
        <w:t>.</w:t>
      </w:r>
    </w:p>
    <w:p w14:paraId="68F616B2" w14:textId="423910DA" w:rsidR="00957F97" w:rsidRDefault="00296648" w:rsidP="00136B05">
      <w:pPr>
        <w:pStyle w:val="ITTBodyLevel2"/>
      </w:pPr>
      <w:r w:rsidRPr="004E1118">
        <w:t>Supplier</w:t>
      </w:r>
      <w:r w:rsidR="00957F97" w:rsidRPr="004E1118">
        <w:t>s will</w:t>
      </w:r>
      <w:r w:rsidR="00957F97" w:rsidRPr="00481BA6">
        <w:t xml:space="preserve"> be fully aware of the changing structural and financial climate in which the NHS is now operating and the impact that this will inevitably have on future NHS budgets for purchasing.</w:t>
      </w:r>
      <w:bookmarkEnd w:id="24"/>
      <w:bookmarkEnd w:id="26"/>
      <w:r w:rsidR="00867586">
        <w:t xml:space="preserve"> </w:t>
      </w:r>
    </w:p>
    <w:p w14:paraId="43D1A519" w14:textId="77777777" w:rsidR="00222501" w:rsidRPr="00E73015" w:rsidRDefault="00822D34" w:rsidP="00886CC8">
      <w:pPr>
        <w:pStyle w:val="ITTHeading1"/>
      </w:pPr>
      <w:bookmarkStart w:id="27" w:name="_Toc104474034"/>
      <w:bookmarkStart w:id="28" w:name="_Toc276388981"/>
      <w:bookmarkStart w:id="29" w:name="_Toc268272705"/>
      <w:bookmarkStart w:id="30" w:name="_Toc268686439"/>
      <w:bookmarkStart w:id="31" w:name="_Toc297644411"/>
      <w:bookmarkEnd w:id="14"/>
      <w:bookmarkEnd w:id="15"/>
      <w:bookmarkEnd w:id="16"/>
      <w:bookmarkEnd w:id="17"/>
      <w:bookmarkEnd w:id="20"/>
      <w:r w:rsidRPr="00E73015">
        <w:t>Invitation to Tender</w:t>
      </w:r>
      <w:r w:rsidR="00222501" w:rsidRPr="00E73015">
        <w:t xml:space="preserve"> Pack</w:t>
      </w:r>
      <w:bookmarkEnd w:id="27"/>
    </w:p>
    <w:p w14:paraId="5CB78247" w14:textId="77777777" w:rsidR="00222501" w:rsidRPr="004E1118" w:rsidRDefault="00222501" w:rsidP="00FC4CC9">
      <w:pPr>
        <w:pStyle w:val="ITTBody"/>
      </w:pPr>
      <w:r w:rsidRPr="004E1118">
        <w:t xml:space="preserve">The following documents </w:t>
      </w:r>
      <w:r w:rsidR="004C157E" w:rsidRPr="004E1118">
        <w:t xml:space="preserve">are included in the </w:t>
      </w:r>
      <w:r w:rsidR="00822D34" w:rsidRPr="004E1118">
        <w:t>Invitation to Tender</w:t>
      </w:r>
      <w:r w:rsidR="004C157E" w:rsidRPr="004E1118">
        <w:t xml:space="preserve"> pack</w:t>
      </w:r>
      <w:r w:rsidRPr="004E1118">
        <w:t>:</w:t>
      </w:r>
    </w:p>
    <w:p w14:paraId="01D3DAB7" w14:textId="567DEE6D" w:rsidR="00461B1B" w:rsidRPr="00461B1B" w:rsidRDefault="00F54575" w:rsidP="002407F5">
      <w:pPr>
        <w:pStyle w:val="ITTBullet"/>
        <w:rPr>
          <w:b/>
        </w:rPr>
      </w:pPr>
      <w:r>
        <w:rPr>
          <w:b/>
        </w:rPr>
        <w:t>01_</w:t>
      </w:r>
      <w:r w:rsidR="00F735D3" w:rsidRPr="00461B1B">
        <w:rPr>
          <w:b/>
        </w:rPr>
        <w:t xml:space="preserve">Tender Submission </w:t>
      </w:r>
      <w:r w:rsidR="00222501" w:rsidRPr="00461B1B">
        <w:rPr>
          <w:b/>
        </w:rPr>
        <w:t>Instructions and Guidance</w:t>
      </w:r>
      <w:r w:rsidR="00461B1B" w:rsidRPr="00461B1B">
        <w:rPr>
          <w:b/>
        </w:rPr>
        <w:t xml:space="preserve"> </w:t>
      </w:r>
    </w:p>
    <w:p w14:paraId="2734B922" w14:textId="377A3E40" w:rsidR="00461B1B" w:rsidRDefault="00461B1B" w:rsidP="00BC66B5">
      <w:pPr>
        <w:pStyle w:val="ITTBullet"/>
        <w:tabs>
          <w:tab w:val="clear" w:pos="1435"/>
        </w:tabs>
        <w:ind w:left="1134" w:firstLine="0"/>
      </w:pPr>
      <w:r w:rsidRPr="00481BA6">
        <w:lastRenderedPageBreak/>
        <w:t>Provides the Supplier with instructions to tendering, submission guidance and evaluation procedures</w:t>
      </w:r>
    </w:p>
    <w:p w14:paraId="070DC19A" w14:textId="23BCDBF2" w:rsidR="00F46968" w:rsidRDefault="00F54575" w:rsidP="00C21A95">
      <w:pPr>
        <w:pStyle w:val="ITTBullet"/>
        <w:tabs>
          <w:tab w:val="clear" w:pos="1435"/>
        </w:tabs>
        <w:ind w:left="1134" w:hanging="16"/>
      </w:pPr>
      <w:r>
        <w:rPr>
          <w:b/>
        </w:rPr>
        <w:t>02_</w:t>
      </w:r>
      <w:r w:rsidR="00E3742E" w:rsidRPr="00461B1B">
        <w:rPr>
          <w:b/>
        </w:rPr>
        <w:t>Statement of Requirements</w:t>
      </w:r>
      <w:r w:rsidR="00BC66B5">
        <w:rPr>
          <w:b/>
        </w:rPr>
        <w:t xml:space="preserve"> </w:t>
      </w:r>
      <w:r w:rsidR="00C21A95">
        <w:rPr>
          <w:b/>
        </w:rPr>
        <w:t xml:space="preserve">- </w:t>
      </w:r>
      <w:r w:rsidR="00461B1B">
        <w:t>O</w:t>
      </w:r>
      <w:r w:rsidR="00E3742E" w:rsidRPr="00481BA6">
        <w:t>utlines the requirements of NICE for the provision of the Service</w:t>
      </w:r>
    </w:p>
    <w:p w14:paraId="35C8E253" w14:textId="0DE7A2FC" w:rsidR="00AA2CF5" w:rsidRDefault="00F54575" w:rsidP="00C21A95">
      <w:pPr>
        <w:pStyle w:val="ITTBullet"/>
        <w:tabs>
          <w:tab w:val="clear" w:pos="1435"/>
        </w:tabs>
        <w:ind w:left="1134" w:firstLine="0"/>
      </w:pPr>
      <w:r>
        <w:rPr>
          <w:b/>
        </w:rPr>
        <w:t>03_</w:t>
      </w:r>
      <w:r w:rsidR="00F46968" w:rsidRPr="00461B1B">
        <w:rPr>
          <w:b/>
        </w:rPr>
        <w:t>Tender</w:t>
      </w:r>
      <w:r w:rsidR="00AA2CF5" w:rsidRPr="00461B1B">
        <w:rPr>
          <w:b/>
        </w:rPr>
        <w:t xml:space="preserve"> </w:t>
      </w:r>
      <w:r w:rsidR="000D22FA" w:rsidRPr="00461B1B">
        <w:rPr>
          <w:b/>
        </w:rPr>
        <w:t>Response Document</w:t>
      </w:r>
      <w:r w:rsidR="00C21A95">
        <w:rPr>
          <w:b/>
        </w:rPr>
        <w:t xml:space="preserve"> - </w:t>
      </w:r>
      <w:r w:rsidR="00E3742E" w:rsidRPr="00481BA6">
        <w:t>The response document</w:t>
      </w:r>
      <w:r w:rsidR="00F46968" w:rsidRPr="00481BA6">
        <w:t xml:space="preserve"> </w:t>
      </w:r>
      <w:r w:rsidR="00F54FE6" w:rsidRPr="00481BA6">
        <w:t xml:space="preserve">of the </w:t>
      </w:r>
      <w:r w:rsidR="00296648" w:rsidRPr="00481BA6">
        <w:t>Supplier</w:t>
      </w:r>
      <w:r w:rsidR="00F54FE6" w:rsidRPr="00481BA6">
        <w:t>s formal offer</w:t>
      </w:r>
      <w:r w:rsidR="00F46968" w:rsidRPr="00481BA6">
        <w:t>.</w:t>
      </w:r>
    </w:p>
    <w:p w14:paraId="2CAA2F8F" w14:textId="6CBCD76D" w:rsidR="00423C0A" w:rsidRDefault="00F54575" w:rsidP="00423C0A">
      <w:pPr>
        <w:pStyle w:val="ITTBullet"/>
        <w:tabs>
          <w:tab w:val="clear" w:pos="1435"/>
        </w:tabs>
        <w:ind w:left="1134" w:firstLine="0"/>
      </w:pPr>
      <w:r>
        <w:rPr>
          <w:b/>
        </w:rPr>
        <w:t>04_</w:t>
      </w:r>
      <w:r w:rsidR="00423C0A" w:rsidRPr="00423C0A">
        <w:rPr>
          <w:b/>
        </w:rPr>
        <w:t>CKS guidance development process assessment form</w:t>
      </w:r>
      <w:r w:rsidR="00423C0A">
        <w:rPr>
          <w:b/>
        </w:rPr>
        <w:t xml:space="preserve"> - </w:t>
      </w:r>
      <w:r w:rsidR="00423C0A" w:rsidRPr="00481BA6">
        <w:t xml:space="preserve">The response document of the Suppliers </w:t>
      </w:r>
      <w:r w:rsidR="00423C0A">
        <w:t>NICE Accreditation/Self-Assessment</w:t>
      </w:r>
      <w:r w:rsidR="00423C0A" w:rsidRPr="00481BA6">
        <w:t>.</w:t>
      </w:r>
    </w:p>
    <w:p w14:paraId="4221EFA0" w14:textId="657253BB" w:rsidR="00BC66B5" w:rsidRPr="002B0090" w:rsidRDefault="00F54575" w:rsidP="00C21A95">
      <w:pPr>
        <w:pStyle w:val="ITTBullet"/>
        <w:tabs>
          <w:tab w:val="clear" w:pos="1435"/>
        </w:tabs>
        <w:ind w:left="1134" w:firstLine="0"/>
      </w:pPr>
      <w:r>
        <w:rPr>
          <w:b/>
        </w:rPr>
        <w:t>05_</w:t>
      </w:r>
      <w:r w:rsidR="00580F8A" w:rsidRPr="00580F8A">
        <w:rPr>
          <w:b/>
        </w:rPr>
        <w:t>Pricing a Schedule Response Document</w:t>
      </w:r>
      <w:r w:rsidR="00C21A95">
        <w:rPr>
          <w:b/>
        </w:rPr>
        <w:t xml:space="preserve"> - </w:t>
      </w:r>
      <w:r w:rsidR="008F32D6">
        <w:t>Breakdown of costs and final pricing off</w:t>
      </w:r>
      <w:r w:rsidR="002B0090">
        <w:t>er</w:t>
      </w:r>
    </w:p>
    <w:p w14:paraId="4FA100F1" w14:textId="168F085D" w:rsidR="00461B1B" w:rsidRPr="00461B1B" w:rsidRDefault="00F54575" w:rsidP="00C21A95">
      <w:pPr>
        <w:pStyle w:val="ITTBullet"/>
        <w:tabs>
          <w:tab w:val="clear" w:pos="1435"/>
        </w:tabs>
        <w:ind w:left="1134" w:firstLine="0"/>
      </w:pPr>
      <w:r>
        <w:rPr>
          <w:b/>
        </w:rPr>
        <w:t>06_</w:t>
      </w:r>
      <w:r w:rsidR="00461B1B" w:rsidRPr="00461B1B">
        <w:rPr>
          <w:b/>
        </w:rPr>
        <w:t>Supplier Vetting Questionnaire Response Document (SVQ)</w:t>
      </w:r>
      <w:r w:rsidR="00C21A95">
        <w:rPr>
          <w:b/>
        </w:rPr>
        <w:t xml:space="preserve"> - </w:t>
      </w:r>
      <w:r w:rsidR="00461B1B">
        <w:t xml:space="preserve">Details the Suppliers company details, </w:t>
      </w:r>
      <w:proofErr w:type="gramStart"/>
      <w:r w:rsidR="00461B1B">
        <w:t>structure</w:t>
      </w:r>
      <w:proofErr w:type="gramEnd"/>
      <w:r w:rsidR="00461B1B">
        <w:t xml:space="preserve"> and experience.</w:t>
      </w:r>
    </w:p>
    <w:p w14:paraId="488C07DF" w14:textId="0759B9AB" w:rsidR="00461B1B" w:rsidRDefault="00F54575" w:rsidP="00C21A95">
      <w:pPr>
        <w:pStyle w:val="ITTBullet"/>
        <w:tabs>
          <w:tab w:val="clear" w:pos="1435"/>
        </w:tabs>
        <w:ind w:left="1134" w:firstLine="0"/>
      </w:pPr>
      <w:r>
        <w:rPr>
          <w:b/>
        </w:rPr>
        <w:t>07_</w:t>
      </w:r>
      <w:r w:rsidR="00461B1B" w:rsidRPr="00461B1B">
        <w:rPr>
          <w:b/>
        </w:rPr>
        <w:t>Mandatory and Discretionary Exclusions Response Document</w:t>
      </w:r>
      <w:r w:rsidR="00C21A95">
        <w:rPr>
          <w:b/>
        </w:rPr>
        <w:t xml:space="preserve"> - </w:t>
      </w:r>
      <w:r w:rsidR="00461B1B">
        <w:t>Details the requirements of the formal Suppliers company checks</w:t>
      </w:r>
    </w:p>
    <w:p w14:paraId="769F5886" w14:textId="5E2A23CE" w:rsidR="005275CB" w:rsidRDefault="00F54575" w:rsidP="00C21A95">
      <w:pPr>
        <w:pStyle w:val="ITTBullet"/>
        <w:tabs>
          <w:tab w:val="clear" w:pos="1435"/>
        </w:tabs>
        <w:ind w:left="1134" w:firstLine="0"/>
      </w:pPr>
      <w:r>
        <w:rPr>
          <w:b/>
        </w:rPr>
        <w:t>08_</w:t>
      </w:r>
      <w:r w:rsidR="005275CB" w:rsidRPr="00461B1B">
        <w:rPr>
          <w:b/>
        </w:rPr>
        <w:t>Terms and Conditions of Contract</w:t>
      </w:r>
      <w:r w:rsidR="00C21A95">
        <w:rPr>
          <w:b/>
        </w:rPr>
        <w:t xml:space="preserve"> - </w:t>
      </w:r>
      <w:r w:rsidR="005275CB" w:rsidRPr="00481BA6">
        <w:t xml:space="preserve">The terms on which this contract will be </w:t>
      </w:r>
      <w:proofErr w:type="gramStart"/>
      <w:r w:rsidR="005275CB" w:rsidRPr="00481BA6">
        <w:t>awarded</w:t>
      </w:r>
      <w:proofErr w:type="gramEnd"/>
      <w:r w:rsidR="005275CB" w:rsidRPr="00481BA6">
        <w:t xml:space="preserve"> and the service provided throughout the full life cycle of the contract</w:t>
      </w:r>
    </w:p>
    <w:p w14:paraId="464DAC5B" w14:textId="40B9A36F" w:rsidR="0095182C" w:rsidRPr="002B0090" w:rsidRDefault="0095182C" w:rsidP="0095182C">
      <w:pPr>
        <w:pStyle w:val="ITTBullet"/>
        <w:rPr>
          <w:b/>
          <w:highlight w:val="yellow"/>
        </w:rPr>
      </w:pPr>
      <w:r w:rsidRPr="00CA3568">
        <w:rPr>
          <w:b/>
        </w:rPr>
        <w:t>0</w:t>
      </w:r>
      <w:r w:rsidR="00F54575" w:rsidRPr="00CA3568">
        <w:rPr>
          <w:b/>
        </w:rPr>
        <w:t>9</w:t>
      </w:r>
      <w:r w:rsidRPr="00CA3568">
        <w:rPr>
          <w:b/>
        </w:rPr>
        <w:t>_</w:t>
      </w:r>
      <w:r w:rsidR="00894A62" w:rsidRPr="00CA3568">
        <w:rPr>
          <w:b/>
        </w:rPr>
        <w:t xml:space="preserve"> </w:t>
      </w:r>
      <w:proofErr w:type="spellStart"/>
      <w:r w:rsidRPr="00CA3568">
        <w:rPr>
          <w:b/>
        </w:rPr>
        <w:t>T&amp;Cs_SLAs</w:t>
      </w:r>
      <w:proofErr w:type="spellEnd"/>
      <w:r w:rsidRPr="00CA3568">
        <w:rPr>
          <w:b/>
        </w:rPr>
        <w:t xml:space="preserve"> KPIs and Reporting</w:t>
      </w:r>
      <w:r w:rsidR="00894A62">
        <w:rPr>
          <w:b/>
        </w:rPr>
        <w:t xml:space="preserve"> Template</w:t>
      </w:r>
    </w:p>
    <w:p w14:paraId="68AA3C9D" w14:textId="04925F31" w:rsidR="00461B1B" w:rsidRDefault="00F54575" w:rsidP="00461B1B">
      <w:pPr>
        <w:pStyle w:val="ITTBullet"/>
        <w:rPr>
          <w:b/>
        </w:rPr>
      </w:pPr>
      <w:r>
        <w:rPr>
          <w:b/>
        </w:rPr>
        <w:t>10_</w:t>
      </w:r>
      <w:r w:rsidR="00461B1B" w:rsidRPr="00461B1B">
        <w:rPr>
          <w:b/>
        </w:rPr>
        <w:t>Forms requiring signatures</w:t>
      </w:r>
      <w:r w:rsidR="00136B05">
        <w:rPr>
          <w:b/>
        </w:rPr>
        <w:t xml:space="preserve"> </w:t>
      </w:r>
    </w:p>
    <w:p w14:paraId="6629310A" w14:textId="574692F7" w:rsidR="00BC66B5" w:rsidRDefault="00BC66B5" w:rsidP="00423C0A">
      <w:pPr>
        <w:pStyle w:val="ITTBullet"/>
        <w:numPr>
          <w:ilvl w:val="0"/>
          <w:numId w:val="22"/>
        </w:numPr>
        <w:tabs>
          <w:tab w:val="clear" w:pos="1435"/>
        </w:tabs>
        <w:ind w:left="1560"/>
      </w:pPr>
      <w:r w:rsidRPr="00BC66B5">
        <w:t xml:space="preserve">Confidentiality Agreement </w:t>
      </w:r>
    </w:p>
    <w:p w14:paraId="40E78FDB" w14:textId="49810192" w:rsidR="00BC66B5" w:rsidRDefault="00BC66B5" w:rsidP="00423C0A">
      <w:pPr>
        <w:pStyle w:val="ITTBullet"/>
        <w:numPr>
          <w:ilvl w:val="0"/>
          <w:numId w:val="22"/>
        </w:numPr>
        <w:tabs>
          <w:tab w:val="clear" w:pos="1435"/>
        </w:tabs>
        <w:ind w:left="1560"/>
      </w:pPr>
      <w:r w:rsidRPr="00BC66B5">
        <w:t>Conflicts of Interest</w:t>
      </w:r>
    </w:p>
    <w:p w14:paraId="660DD083" w14:textId="752610D5" w:rsidR="00BC66B5" w:rsidRDefault="00BC66B5" w:rsidP="00423C0A">
      <w:pPr>
        <w:pStyle w:val="ITTBullet"/>
        <w:numPr>
          <w:ilvl w:val="0"/>
          <w:numId w:val="22"/>
        </w:numPr>
        <w:tabs>
          <w:tab w:val="clear" w:pos="1435"/>
        </w:tabs>
        <w:ind w:left="1560"/>
      </w:pPr>
      <w:r w:rsidRPr="00BC66B5">
        <w:t>Form of Offer</w:t>
      </w:r>
    </w:p>
    <w:p w14:paraId="6544CA13" w14:textId="5060B091" w:rsidR="00BC66B5" w:rsidRDefault="00BC66B5" w:rsidP="00423C0A">
      <w:pPr>
        <w:pStyle w:val="ITTBullet"/>
        <w:numPr>
          <w:ilvl w:val="0"/>
          <w:numId w:val="22"/>
        </w:numPr>
        <w:tabs>
          <w:tab w:val="clear" w:pos="1435"/>
        </w:tabs>
        <w:ind w:left="1560"/>
      </w:pPr>
      <w:r w:rsidRPr="00BC66B5">
        <w:t>Redaction Requests</w:t>
      </w:r>
    </w:p>
    <w:p w14:paraId="2F228064" w14:textId="77777777" w:rsidR="002B0090" w:rsidRDefault="00BC66B5" w:rsidP="00423C0A">
      <w:pPr>
        <w:pStyle w:val="ITTBullet"/>
        <w:numPr>
          <w:ilvl w:val="0"/>
          <w:numId w:val="22"/>
        </w:numPr>
        <w:tabs>
          <w:tab w:val="clear" w:pos="1435"/>
        </w:tabs>
        <w:ind w:left="1560"/>
      </w:pPr>
      <w:r w:rsidRPr="00BC66B5">
        <w:t>Terms and Conditions Queries</w:t>
      </w:r>
    </w:p>
    <w:p w14:paraId="44740EB1" w14:textId="64E9CC7C" w:rsidR="00BC66B5" w:rsidRDefault="00BC66B5" w:rsidP="00423C0A">
      <w:pPr>
        <w:pStyle w:val="ITTBullet"/>
        <w:numPr>
          <w:ilvl w:val="0"/>
          <w:numId w:val="22"/>
        </w:numPr>
        <w:tabs>
          <w:tab w:val="clear" w:pos="1435"/>
        </w:tabs>
        <w:ind w:left="1560"/>
      </w:pPr>
      <w:r w:rsidRPr="00BC66B5">
        <w:t xml:space="preserve">TUPE </w:t>
      </w:r>
      <w:r w:rsidR="002B0090">
        <w:t>Non-Disclosure</w:t>
      </w:r>
      <w:r w:rsidRPr="00BC66B5">
        <w:t xml:space="preserve"> Agreement</w:t>
      </w:r>
    </w:p>
    <w:p w14:paraId="05D06302" w14:textId="7015B94D" w:rsidR="00710B15" w:rsidRPr="00481BA6" w:rsidRDefault="00710B15" w:rsidP="00886CC8">
      <w:pPr>
        <w:pStyle w:val="ITTHeading1"/>
      </w:pPr>
      <w:bookmarkStart w:id="32" w:name="_Toc462060408"/>
      <w:bookmarkStart w:id="33" w:name="_Toc104474035"/>
      <w:bookmarkStart w:id="34" w:name="_Toc276388983"/>
      <w:bookmarkEnd w:id="28"/>
      <w:r w:rsidRPr="00481BA6">
        <w:t>Instructions and Guidance</w:t>
      </w:r>
      <w:bookmarkEnd w:id="32"/>
      <w:bookmarkEnd w:id="33"/>
    </w:p>
    <w:p w14:paraId="26730A03" w14:textId="77777777" w:rsidR="00296648" w:rsidRPr="00481BA6" w:rsidRDefault="00296648" w:rsidP="00886CC8">
      <w:pPr>
        <w:pStyle w:val="ITTheading2"/>
      </w:pPr>
      <w:bookmarkStart w:id="35" w:name="_Toc104474036"/>
      <w:r w:rsidRPr="00481BA6">
        <w:t>Supplier</w:t>
      </w:r>
      <w:r w:rsidR="00AF55E5" w:rsidRPr="00481BA6">
        <w:t xml:space="preserve"> </w:t>
      </w:r>
      <w:r w:rsidR="00096A6D" w:rsidRPr="00FC4CC9">
        <w:t>Invitation</w:t>
      </w:r>
      <w:r w:rsidR="00096A6D" w:rsidRPr="00481BA6">
        <w:t xml:space="preserve"> to Tender</w:t>
      </w:r>
      <w:bookmarkEnd w:id="35"/>
    </w:p>
    <w:p w14:paraId="2653D71B" w14:textId="3E2343A3" w:rsidR="00A645D5" w:rsidRPr="004E1118" w:rsidRDefault="00A645D5" w:rsidP="00136B05">
      <w:pPr>
        <w:pStyle w:val="ITTBodyLevel2"/>
      </w:pPr>
      <w:r w:rsidRPr="004E1118">
        <w:t xml:space="preserve">Submission of final offers to this ITT shall be in accordance with </w:t>
      </w:r>
      <w:r w:rsidR="006964EA" w:rsidRPr="004E1118">
        <w:t xml:space="preserve">Section </w:t>
      </w:r>
      <w:r w:rsidR="00867586">
        <w:t>9</w:t>
      </w:r>
      <w:r w:rsidR="00CD3CDA" w:rsidRPr="004E1118">
        <w:t>.</w:t>
      </w:r>
    </w:p>
    <w:p w14:paraId="796FDB41" w14:textId="50474560" w:rsidR="009D5DF9" w:rsidRPr="004E1118" w:rsidRDefault="00A645D5" w:rsidP="00136B05">
      <w:pPr>
        <w:pStyle w:val="ITTBodyLevel2"/>
      </w:pPr>
      <w:r w:rsidRPr="004E1118">
        <w:t xml:space="preserve">On receipt of final offers from </w:t>
      </w:r>
      <w:r w:rsidR="00296648" w:rsidRPr="004E1118">
        <w:t>Supplier</w:t>
      </w:r>
      <w:r w:rsidR="00023DD5" w:rsidRPr="004E1118">
        <w:t>s in response to this</w:t>
      </w:r>
      <w:r w:rsidRPr="004E1118">
        <w:t xml:space="preserve"> ITT, NICE will evaluate each response using the Evaluation Methodology set out in section </w:t>
      </w:r>
      <w:r w:rsidR="008F32D6" w:rsidRPr="008F4C0B">
        <w:t>1</w:t>
      </w:r>
      <w:r w:rsidR="00867586" w:rsidRPr="008F4C0B">
        <w:t>5</w:t>
      </w:r>
      <w:r w:rsidRPr="008F4C0B">
        <w:t>.</w:t>
      </w:r>
    </w:p>
    <w:p w14:paraId="533B5282" w14:textId="4A7501C0" w:rsidR="009D5DF9" w:rsidRDefault="00A645D5" w:rsidP="00136B05">
      <w:pPr>
        <w:pStyle w:val="ITTBodyLevel2"/>
      </w:pPr>
      <w:r w:rsidRPr="00481BA6">
        <w:lastRenderedPageBreak/>
        <w:t xml:space="preserve">The evaluation will form the basis of NICE’s decision to proceed to interview </w:t>
      </w:r>
      <w:r w:rsidR="00023DD5" w:rsidRPr="00481BA6">
        <w:t>or Contract Award</w:t>
      </w:r>
      <w:r w:rsidRPr="00481BA6">
        <w:t xml:space="preserve">. Should NICE deem that interviews are required prior to </w:t>
      </w:r>
      <w:r w:rsidR="00023DD5" w:rsidRPr="00481BA6">
        <w:t>finalis</w:t>
      </w:r>
      <w:r w:rsidR="00AF55E5" w:rsidRPr="00481BA6">
        <w:t>ing</w:t>
      </w:r>
      <w:r w:rsidRPr="00481BA6">
        <w:t xml:space="preserve"> its decision to </w:t>
      </w:r>
      <w:r w:rsidRPr="00BC66B5">
        <w:t xml:space="preserve">proceed to </w:t>
      </w:r>
      <w:r w:rsidR="00CD3CDA" w:rsidRPr="00BC66B5">
        <w:t>awarding the contract</w:t>
      </w:r>
      <w:r w:rsidR="00023DD5" w:rsidRPr="00BC66B5">
        <w:t>,</w:t>
      </w:r>
      <w:r w:rsidR="00CD3CDA" w:rsidRPr="00BC66B5">
        <w:t xml:space="preserve"> </w:t>
      </w:r>
      <w:r w:rsidRPr="00BC66B5">
        <w:t>the following procedure will be followed (</w:t>
      </w:r>
      <w:r w:rsidR="00BC66B5" w:rsidRPr="00BC66B5">
        <w:t>15.5</w:t>
      </w:r>
      <w:r w:rsidR="00F71F88" w:rsidRPr="00BC66B5">
        <w:t xml:space="preserve"> b</w:t>
      </w:r>
      <w:r w:rsidRPr="00BC66B5">
        <w:t>elow).</w:t>
      </w:r>
    </w:p>
    <w:p w14:paraId="25D935D9" w14:textId="77777777" w:rsidR="00574E4C" w:rsidRPr="00481BA6" w:rsidRDefault="00574E4C">
      <w:pPr>
        <w:pStyle w:val="ITTheading2"/>
      </w:pPr>
      <w:bookmarkStart w:id="36" w:name="_Toc104474037"/>
      <w:r w:rsidRPr="00481BA6">
        <w:t xml:space="preserve">Short-listed </w:t>
      </w:r>
      <w:r w:rsidR="00296648" w:rsidRPr="00481BA6">
        <w:t>Supplier</w:t>
      </w:r>
      <w:r w:rsidR="000B01E8" w:rsidRPr="00481BA6">
        <w:t>s</w:t>
      </w:r>
      <w:r w:rsidRPr="00481BA6">
        <w:t xml:space="preserve"> for Interview</w:t>
      </w:r>
      <w:bookmarkEnd w:id="34"/>
      <w:bookmarkEnd w:id="36"/>
      <w:r w:rsidRPr="00481BA6">
        <w:t xml:space="preserve"> </w:t>
      </w:r>
    </w:p>
    <w:p w14:paraId="18F37989" w14:textId="4617392A" w:rsidR="00574E4C" w:rsidRPr="00481BA6" w:rsidRDefault="00CD3CDA" w:rsidP="00136B05">
      <w:pPr>
        <w:pStyle w:val="ITTBodyLevel2"/>
      </w:pPr>
      <w:r w:rsidRPr="00481BA6">
        <w:t>NICE</w:t>
      </w:r>
      <w:r w:rsidR="00574E4C" w:rsidRPr="00481BA6">
        <w:t xml:space="preserve"> </w:t>
      </w:r>
      <w:r w:rsidR="00F735D3" w:rsidRPr="00481BA6">
        <w:t>envisage</w:t>
      </w:r>
      <w:r w:rsidRPr="00481BA6">
        <w:t>s</w:t>
      </w:r>
      <w:r w:rsidR="00574E4C" w:rsidRPr="00481BA6">
        <w:t xml:space="preserve"> that </w:t>
      </w:r>
      <w:proofErr w:type="gramStart"/>
      <w:r w:rsidR="00574E4C" w:rsidRPr="00481BA6">
        <w:t xml:space="preserve">a </w:t>
      </w:r>
      <w:r w:rsidR="00F735D3" w:rsidRPr="00481BA6">
        <w:t>number of</w:t>
      </w:r>
      <w:proofErr w:type="gramEnd"/>
      <w:r w:rsidR="00F735D3" w:rsidRPr="00481BA6">
        <w:t xml:space="preserve"> </w:t>
      </w:r>
      <w:r w:rsidR="00296648" w:rsidRPr="00481BA6">
        <w:t>Supplier</w:t>
      </w:r>
      <w:r w:rsidR="000B01E8" w:rsidRPr="00481BA6">
        <w:t>s</w:t>
      </w:r>
      <w:r w:rsidR="00574E4C" w:rsidRPr="00481BA6">
        <w:t xml:space="preserve"> could be selected to attend a further interview post the tender </w:t>
      </w:r>
      <w:r w:rsidR="00B66F91" w:rsidRPr="00481BA6">
        <w:t xml:space="preserve">evaluation. </w:t>
      </w:r>
      <w:r w:rsidR="00574E4C" w:rsidRPr="00481BA6">
        <w:t>The shortlist for interview will be determined by the evaluation procedure</w:t>
      </w:r>
      <w:r w:rsidRPr="00481BA6">
        <w:t>,</w:t>
      </w:r>
      <w:r w:rsidR="00574E4C" w:rsidRPr="00481BA6">
        <w:t xml:space="preserve"> applying the criteria</w:t>
      </w:r>
      <w:r w:rsidR="00020565" w:rsidRPr="00481BA6">
        <w:t xml:space="preserve"> as described in </w:t>
      </w:r>
      <w:r w:rsidR="00020565" w:rsidRPr="004E1118">
        <w:t xml:space="preserve">section </w:t>
      </w:r>
      <w:r w:rsidR="00020565" w:rsidRPr="008F4C0B">
        <w:t>1</w:t>
      </w:r>
      <w:r w:rsidR="008F4C0B">
        <w:t>5</w:t>
      </w:r>
      <w:r w:rsidR="00020565" w:rsidRPr="004E1118">
        <w:t xml:space="preserve"> of this document</w:t>
      </w:r>
      <w:r w:rsidR="00574E4C" w:rsidRPr="00481BA6">
        <w:t xml:space="preserve">. </w:t>
      </w:r>
      <w:r w:rsidR="00296648" w:rsidRPr="00481BA6">
        <w:t>Supplier</w:t>
      </w:r>
      <w:r w:rsidR="000B01E8" w:rsidRPr="00481BA6">
        <w:t>s</w:t>
      </w:r>
      <w:r w:rsidR="00574E4C" w:rsidRPr="00481BA6">
        <w:t xml:space="preserve"> must ensure they are available to attend the interviews on the dates stated below.  </w:t>
      </w:r>
    </w:p>
    <w:p w14:paraId="4F8A3CFC" w14:textId="50A22851" w:rsidR="009D5DF9" w:rsidRPr="00481BA6" w:rsidRDefault="00C6010F" w:rsidP="00136B05">
      <w:pPr>
        <w:pStyle w:val="ITTBodyLevel2"/>
      </w:pPr>
      <w:r w:rsidRPr="00481BA6">
        <w:t xml:space="preserve">The evaluation methodology applied to such interviews is detailed in section </w:t>
      </w:r>
      <w:r w:rsidR="00296648" w:rsidRPr="008F4C0B">
        <w:t>1</w:t>
      </w:r>
      <w:r w:rsidR="00867586" w:rsidRPr="008F4C0B">
        <w:t>5</w:t>
      </w:r>
      <w:r w:rsidRPr="00481BA6">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1843"/>
        <w:gridCol w:w="2275"/>
      </w:tblGrid>
      <w:tr w:rsidR="00E73015" w:rsidRPr="00136B05" w14:paraId="5973516C" w14:textId="77777777" w:rsidTr="00741B3B">
        <w:trPr>
          <w:jc w:val="center"/>
        </w:trPr>
        <w:tc>
          <w:tcPr>
            <w:tcW w:w="3969" w:type="dxa"/>
          </w:tcPr>
          <w:p w14:paraId="43B642C0" w14:textId="77777777" w:rsidR="00E73015" w:rsidRPr="00136B05" w:rsidRDefault="00E73015" w:rsidP="009C1117">
            <w:pPr>
              <w:ind w:left="176"/>
              <w:rPr>
                <w:rFonts w:ascii="Arial" w:hAnsi="Arial" w:cs="Arial"/>
                <w:lang w:val="en-GB"/>
              </w:rPr>
            </w:pPr>
            <w:bookmarkStart w:id="37" w:name="_Toc276388977"/>
            <w:bookmarkStart w:id="38" w:name="_Toc268272706"/>
            <w:bookmarkStart w:id="39" w:name="_Toc268686440"/>
            <w:bookmarkStart w:id="40" w:name="_Toc297644412"/>
            <w:bookmarkEnd w:id="29"/>
            <w:bookmarkEnd w:id="30"/>
            <w:bookmarkEnd w:id="31"/>
            <w:r w:rsidRPr="00136B05">
              <w:rPr>
                <w:rFonts w:ascii="Arial" w:hAnsi="Arial" w:cs="Arial"/>
                <w:lang w:val="en-GB"/>
              </w:rPr>
              <w:t>DATE</w:t>
            </w:r>
          </w:p>
        </w:tc>
        <w:tc>
          <w:tcPr>
            <w:tcW w:w="1843" w:type="dxa"/>
          </w:tcPr>
          <w:p w14:paraId="422BA74D" w14:textId="77777777" w:rsidR="00E73015" w:rsidRPr="00136B05" w:rsidRDefault="00E73015" w:rsidP="009C1117">
            <w:pPr>
              <w:ind w:left="176"/>
              <w:rPr>
                <w:rFonts w:ascii="Arial" w:hAnsi="Arial" w:cs="Arial"/>
                <w:lang w:val="en-GB"/>
              </w:rPr>
            </w:pPr>
            <w:r w:rsidRPr="00136B05">
              <w:rPr>
                <w:rFonts w:ascii="Arial" w:hAnsi="Arial" w:cs="Arial"/>
                <w:lang w:val="en-GB"/>
              </w:rPr>
              <w:t>TIME</w:t>
            </w:r>
          </w:p>
        </w:tc>
        <w:tc>
          <w:tcPr>
            <w:tcW w:w="2275" w:type="dxa"/>
          </w:tcPr>
          <w:p w14:paraId="1FBE0FDD" w14:textId="77777777" w:rsidR="00E73015" w:rsidRPr="00136B05" w:rsidRDefault="00E73015" w:rsidP="009C1117">
            <w:pPr>
              <w:ind w:left="176"/>
              <w:rPr>
                <w:rFonts w:ascii="Arial" w:hAnsi="Arial" w:cs="Arial"/>
                <w:lang w:val="en-GB"/>
              </w:rPr>
            </w:pPr>
            <w:r w:rsidRPr="00136B05">
              <w:rPr>
                <w:rFonts w:ascii="Arial" w:hAnsi="Arial" w:cs="Arial"/>
                <w:lang w:val="en-GB"/>
              </w:rPr>
              <w:t>LOCATION</w:t>
            </w:r>
          </w:p>
        </w:tc>
      </w:tr>
      <w:tr w:rsidR="00E73015" w:rsidRPr="00136B05" w14:paraId="6DF50964" w14:textId="77777777" w:rsidTr="00B377B0">
        <w:trPr>
          <w:jc w:val="center"/>
        </w:trPr>
        <w:tc>
          <w:tcPr>
            <w:tcW w:w="3969" w:type="dxa"/>
          </w:tcPr>
          <w:p w14:paraId="14126881" w14:textId="4DC26D04" w:rsidR="00E73015" w:rsidRPr="00136B05" w:rsidRDefault="00BB4E40" w:rsidP="007626A7">
            <w:pPr>
              <w:ind w:left="176"/>
              <w:rPr>
                <w:rFonts w:ascii="Arial" w:hAnsi="Arial" w:cs="Arial"/>
                <w:lang w:val="en-GB"/>
              </w:rPr>
            </w:pPr>
            <w:r>
              <w:rPr>
                <w:rFonts w:ascii="Arial" w:hAnsi="Arial" w:cs="Arial"/>
                <w:lang w:val="en-GB"/>
              </w:rPr>
              <w:t>2</w:t>
            </w:r>
            <w:r w:rsidR="00423C0A">
              <w:rPr>
                <w:rFonts w:ascii="Arial" w:hAnsi="Arial" w:cs="Arial"/>
                <w:lang w:val="en-GB"/>
              </w:rPr>
              <w:t>7</w:t>
            </w:r>
            <w:r>
              <w:rPr>
                <w:rFonts w:ascii="Arial" w:hAnsi="Arial" w:cs="Arial"/>
                <w:lang w:val="en-GB"/>
              </w:rPr>
              <w:t xml:space="preserve"> </w:t>
            </w:r>
            <w:r w:rsidR="00423C0A">
              <w:rPr>
                <w:rFonts w:ascii="Arial" w:hAnsi="Arial" w:cs="Arial"/>
                <w:lang w:val="en-GB"/>
              </w:rPr>
              <w:t>July</w:t>
            </w:r>
            <w:r>
              <w:rPr>
                <w:rFonts w:ascii="Arial" w:hAnsi="Arial" w:cs="Arial"/>
                <w:lang w:val="en-GB"/>
              </w:rPr>
              <w:t xml:space="preserve"> 202</w:t>
            </w:r>
            <w:r w:rsidR="00423C0A">
              <w:rPr>
                <w:rFonts w:ascii="Arial" w:hAnsi="Arial" w:cs="Arial"/>
                <w:lang w:val="en-GB"/>
              </w:rPr>
              <w:t>2</w:t>
            </w:r>
          </w:p>
        </w:tc>
        <w:tc>
          <w:tcPr>
            <w:tcW w:w="1843" w:type="dxa"/>
          </w:tcPr>
          <w:p w14:paraId="213FDDAE" w14:textId="3A2403D7" w:rsidR="00E73015" w:rsidRPr="00136B05" w:rsidRDefault="00E73015" w:rsidP="009C1117">
            <w:pPr>
              <w:ind w:left="176"/>
              <w:rPr>
                <w:rFonts w:ascii="Arial" w:hAnsi="Arial" w:cs="Arial"/>
                <w:lang w:val="en-GB"/>
              </w:rPr>
            </w:pPr>
            <w:r w:rsidRPr="00136B05">
              <w:rPr>
                <w:rFonts w:ascii="Arial" w:hAnsi="Arial" w:cs="Arial"/>
                <w:lang w:val="en-GB"/>
              </w:rPr>
              <w:t>9 – 5pm</w:t>
            </w:r>
          </w:p>
        </w:tc>
        <w:tc>
          <w:tcPr>
            <w:tcW w:w="2275" w:type="dxa"/>
          </w:tcPr>
          <w:p w14:paraId="5E9DFCB8" w14:textId="234B3FA8" w:rsidR="00E73015" w:rsidRPr="00136B05" w:rsidRDefault="00E73015" w:rsidP="009C1117">
            <w:pPr>
              <w:spacing w:after="0" w:line="240" w:lineRule="auto"/>
              <w:ind w:left="176"/>
              <w:rPr>
                <w:rFonts w:ascii="Arial" w:hAnsi="Arial" w:cs="Arial"/>
                <w:lang w:val="en-GB"/>
              </w:rPr>
            </w:pPr>
            <w:r w:rsidRPr="00136B05">
              <w:rPr>
                <w:rFonts w:ascii="Arial" w:hAnsi="Arial" w:cs="Arial"/>
                <w:lang w:val="en-GB"/>
              </w:rPr>
              <w:t>Virtual by Zoom</w:t>
            </w:r>
          </w:p>
        </w:tc>
      </w:tr>
    </w:tbl>
    <w:p w14:paraId="099A70C4" w14:textId="77777777" w:rsidR="00106C51" w:rsidRDefault="00106C51" w:rsidP="00886CC8">
      <w:pPr>
        <w:pStyle w:val="ITTheading2"/>
        <w:numPr>
          <w:ilvl w:val="0"/>
          <w:numId w:val="0"/>
        </w:numPr>
        <w:ind w:left="1163"/>
      </w:pPr>
    </w:p>
    <w:p w14:paraId="6C762667" w14:textId="77777777" w:rsidR="00DE513D" w:rsidRPr="007126F7" w:rsidRDefault="00DE513D">
      <w:pPr>
        <w:pStyle w:val="ITTheading2"/>
      </w:pPr>
      <w:bookmarkStart w:id="41" w:name="_Toc104474038"/>
      <w:r w:rsidRPr="00481BA6">
        <w:t>Procurement Timetable</w:t>
      </w:r>
      <w:bookmarkEnd w:id="37"/>
      <w:bookmarkEnd w:id="41"/>
    </w:p>
    <w:p w14:paraId="0BAC3EF9" w14:textId="77777777" w:rsidR="00DE513D" w:rsidRPr="00481BA6" w:rsidRDefault="00DE513D" w:rsidP="00136B05">
      <w:pPr>
        <w:pStyle w:val="ITTBodyLevel2"/>
      </w:pPr>
      <w:r w:rsidRPr="00F326A7">
        <w:t>The estimated timetable</w:t>
      </w:r>
      <w:r w:rsidR="00A17B47" w:rsidRPr="00481BA6">
        <w:t xml:space="preserve"> for the remainder of this</w:t>
      </w:r>
      <w:r w:rsidRPr="00481BA6">
        <w:t xml:space="preserve"> procurement is as follows: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2977"/>
      </w:tblGrid>
      <w:tr w:rsidR="00DE513D" w:rsidRPr="00481BA6" w14:paraId="085FB540" w14:textId="77777777" w:rsidTr="006242B8">
        <w:tc>
          <w:tcPr>
            <w:tcW w:w="5103" w:type="dxa"/>
          </w:tcPr>
          <w:p w14:paraId="69F88C2E" w14:textId="77777777" w:rsidR="00DE513D" w:rsidRPr="00481BA6" w:rsidRDefault="00DE513D" w:rsidP="00DE513D">
            <w:pPr>
              <w:pStyle w:val="ITTTable1"/>
              <w:tabs>
                <w:tab w:val="left" w:pos="0"/>
              </w:tabs>
              <w:spacing w:before="0" w:after="0"/>
              <w:jc w:val="center"/>
              <w:rPr>
                <w:b/>
              </w:rPr>
            </w:pPr>
            <w:r w:rsidRPr="00481BA6">
              <w:tab/>
            </w:r>
            <w:r w:rsidRPr="00481BA6">
              <w:rPr>
                <w:b/>
              </w:rPr>
              <w:t>Stage</w:t>
            </w:r>
          </w:p>
        </w:tc>
        <w:tc>
          <w:tcPr>
            <w:tcW w:w="2977" w:type="dxa"/>
          </w:tcPr>
          <w:p w14:paraId="7F26A39D" w14:textId="77777777" w:rsidR="00DE513D" w:rsidRPr="00481BA6" w:rsidRDefault="00DE513D" w:rsidP="00DE513D">
            <w:pPr>
              <w:pStyle w:val="ITTTable1"/>
              <w:tabs>
                <w:tab w:val="left" w:pos="0"/>
              </w:tabs>
              <w:spacing w:before="0" w:after="0"/>
              <w:jc w:val="center"/>
              <w:rPr>
                <w:b/>
              </w:rPr>
            </w:pPr>
            <w:r w:rsidRPr="00481BA6">
              <w:rPr>
                <w:b/>
              </w:rPr>
              <w:t>Date</w:t>
            </w:r>
          </w:p>
        </w:tc>
      </w:tr>
      <w:tr w:rsidR="00DE513D" w:rsidRPr="00481BA6" w14:paraId="57736C59" w14:textId="77777777" w:rsidTr="006242B8">
        <w:tc>
          <w:tcPr>
            <w:tcW w:w="5103" w:type="dxa"/>
            <w:vAlign w:val="center"/>
          </w:tcPr>
          <w:p w14:paraId="5AB90B6D" w14:textId="77777777" w:rsidR="00DE513D" w:rsidRPr="00481BA6" w:rsidRDefault="00DE513D" w:rsidP="00A17B47">
            <w:pPr>
              <w:pStyle w:val="ITTTable1"/>
              <w:tabs>
                <w:tab w:val="left" w:pos="0"/>
              </w:tabs>
              <w:spacing w:before="0" w:after="0"/>
            </w:pPr>
            <w:r w:rsidRPr="00481BA6">
              <w:t>Issue final ITT documentation</w:t>
            </w:r>
          </w:p>
        </w:tc>
        <w:tc>
          <w:tcPr>
            <w:tcW w:w="2977" w:type="dxa"/>
            <w:vAlign w:val="center"/>
          </w:tcPr>
          <w:p w14:paraId="07F830C3" w14:textId="4FCCE9D0" w:rsidR="00DE513D" w:rsidRPr="00CA3568" w:rsidRDefault="00423C0A" w:rsidP="00E47032">
            <w:pPr>
              <w:pStyle w:val="ITTTable1"/>
              <w:tabs>
                <w:tab w:val="left" w:pos="0"/>
              </w:tabs>
              <w:spacing w:before="0" w:after="0"/>
            </w:pPr>
            <w:r w:rsidRPr="00CA3568">
              <w:t>31</w:t>
            </w:r>
            <w:r w:rsidRPr="00CA3568">
              <w:rPr>
                <w:vertAlign w:val="superscript"/>
              </w:rPr>
              <w:t>st</w:t>
            </w:r>
            <w:r w:rsidRPr="00CA3568">
              <w:t xml:space="preserve"> May 2022</w:t>
            </w:r>
          </w:p>
        </w:tc>
      </w:tr>
      <w:tr w:rsidR="002D2E7E" w:rsidRPr="00481BA6" w14:paraId="01943974" w14:textId="77777777" w:rsidTr="006242B8">
        <w:tc>
          <w:tcPr>
            <w:tcW w:w="5103" w:type="dxa"/>
            <w:vAlign w:val="center"/>
          </w:tcPr>
          <w:p w14:paraId="270FA8E3" w14:textId="6FFEA77E" w:rsidR="002D2E7E" w:rsidRPr="00481BA6" w:rsidRDefault="002D2E7E" w:rsidP="0065674A">
            <w:pPr>
              <w:pStyle w:val="ITTTable1"/>
              <w:tabs>
                <w:tab w:val="left" w:pos="0"/>
              </w:tabs>
              <w:spacing w:before="0" w:after="0"/>
            </w:pPr>
            <w:r>
              <w:t>Expression of Interests</w:t>
            </w:r>
            <w:r w:rsidR="00EA789F">
              <w:t xml:space="preserve"> &amp; Signed </w:t>
            </w:r>
            <w:r w:rsidR="0065674A">
              <w:t xml:space="preserve">TUPE </w:t>
            </w:r>
            <w:r w:rsidR="00423C0A">
              <w:t>NDA</w:t>
            </w:r>
          </w:p>
        </w:tc>
        <w:tc>
          <w:tcPr>
            <w:tcW w:w="2977" w:type="dxa"/>
            <w:vAlign w:val="center"/>
          </w:tcPr>
          <w:p w14:paraId="1ECEE0D6" w14:textId="75C0DF60" w:rsidR="002D2E7E" w:rsidRPr="00CA3568" w:rsidRDefault="00423C0A" w:rsidP="00607745">
            <w:pPr>
              <w:pStyle w:val="ITTTable1"/>
              <w:tabs>
                <w:tab w:val="left" w:pos="0"/>
              </w:tabs>
              <w:spacing w:before="0" w:after="0"/>
            </w:pPr>
            <w:r w:rsidRPr="00CA3568">
              <w:t>5pm - 17</w:t>
            </w:r>
            <w:r w:rsidRPr="00CA3568">
              <w:rPr>
                <w:vertAlign w:val="superscript"/>
              </w:rPr>
              <w:t>th</w:t>
            </w:r>
            <w:r w:rsidRPr="00CA3568">
              <w:t xml:space="preserve"> June 2022</w:t>
            </w:r>
          </w:p>
        </w:tc>
      </w:tr>
      <w:tr w:rsidR="00DE3C7B" w:rsidRPr="00481BA6" w14:paraId="20B5CD65" w14:textId="77777777" w:rsidTr="006242B8">
        <w:tc>
          <w:tcPr>
            <w:tcW w:w="5103" w:type="dxa"/>
            <w:vAlign w:val="center"/>
          </w:tcPr>
          <w:p w14:paraId="3F3B5129" w14:textId="178CF8B1" w:rsidR="00DE3C7B" w:rsidRPr="00481BA6" w:rsidRDefault="00DE3C7B" w:rsidP="00DE513D">
            <w:pPr>
              <w:pStyle w:val="ITTTable1"/>
              <w:tabs>
                <w:tab w:val="left" w:pos="0"/>
              </w:tabs>
              <w:spacing w:before="0" w:after="0"/>
            </w:pPr>
            <w:r>
              <w:rPr>
                <w:color w:val="000000"/>
                <w:lang w:eastAsia="en-GB"/>
              </w:rPr>
              <w:t>Deadline for bidder questions</w:t>
            </w:r>
          </w:p>
        </w:tc>
        <w:tc>
          <w:tcPr>
            <w:tcW w:w="2977" w:type="dxa"/>
            <w:vAlign w:val="center"/>
          </w:tcPr>
          <w:p w14:paraId="61A56237" w14:textId="4FD51B2D" w:rsidR="00DE3C7B" w:rsidRPr="00CA3568" w:rsidRDefault="00753CB3" w:rsidP="00FC5299">
            <w:pPr>
              <w:pStyle w:val="ITTTable1"/>
              <w:tabs>
                <w:tab w:val="left" w:pos="0"/>
              </w:tabs>
              <w:spacing w:before="0" w:after="0"/>
            </w:pPr>
            <w:r w:rsidRPr="00CA3568">
              <w:t>5pm - 17</w:t>
            </w:r>
            <w:r w:rsidRPr="00CA3568">
              <w:rPr>
                <w:vertAlign w:val="superscript"/>
              </w:rPr>
              <w:t>th</w:t>
            </w:r>
            <w:r w:rsidRPr="00CA3568">
              <w:t xml:space="preserve"> June 2022</w:t>
            </w:r>
          </w:p>
        </w:tc>
      </w:tr>
      <w:tr w:rsidR="00DE3C7B" w:rsidRPr="00481BA6" w14:paraId="78CFEAA3" w14:textId="77777777" w:rsidTr="006242B8">
        <w:tc>
          <w:tcPr>
            <w:tcW w:w="5103" w:type="dxa"/>
            <w:vAlign w:val="center"/>
          </w:tcPr>
          <w:p w14:paraId="0CC4742E" w14:textId="26DD0ECE" w:rsidR="00DE3C7B" w:rsidRPr="00481BA6" w:rsidRDefault="00DE3C7B" w:rsidP="00DE513D">
            <w:pPr>
              <w:pStyle w:val="ITTTable1"/>
              <w:tabs>
                <w:tab w:val="left" w:pos="0"/>
              </w:tabs>
              <w:spacing w:before="0" w:after="0"/>
            </w:pPr>
            <w:r>
              <w:rPr>
                <w:color w:val="000000"/>
                <w:lang w:eastAsia="en-GB"/>
              </w:rPr>
              <w:t>NICE final response to questions deadline</w:t>
            </w:r>
          </w:p>
        </w:tc>
        <w:tc>
          <w:tcPr>
            <w:tcW w:w="2977" w:type="dxa"/>
            <w:vAlign w:val="center"/>
          </w:tcPr>
          <w:p w14:paraId="67A9D150" w14:textId="13A4E7AF" w:rsidR="00DE3C7B" w:rsidRPr="00CA3568" w:rsidRDefault="00753CB3" w:rsidP="00043410">
            <w:pPr>
              <w:pStyle w:val="ITTTable1"/>
              <w:tabs>
                <w:tab w:val="left" w:pos="0"/>
              </w:tabs>
              <w:spacing w:before="0" w:after="0"/>
            </w:pPr>
            <w:r w:rsidRPr="00CA3568">
              <w:t>27</w:t>
            </w:r>
            <w:r w:rsidRPr="00CA3568">
              <w:rPr>
                <w:vertAlign w:val="superscript"/>
              </w:rPr>
              <w:t>th</w:t>
            </w:r>
            <w:r w:rsidRPr="00CA3568">
              <w:t xml:space="preserve"> June 2022</w:t>
            </w:r>
          </w:p>
        </w:tc>
      </w:tr>
      <w:tr w:rsidR="00DE513D" w:rsidRPr="00D97D71" w14:paraId="501B5C93" w14:textId="77777777" w:rsidTr="006242B8">
        <w:tc>
          <w:tcPr>
            <w:tcW w:w="5103" w:type="dxa"/>
            <w:vAlign w:val="center"/>
          </w:tcPr>
          <w:p w14:paraId="0210856D" w14:textId="77777777" w:rsidR="00DE513D" w:rsidRPr="00D97D71" w:rsidRDefault="00DE513D" w:rsidP="00DE513D">
            <w:pPr>
              <w:pStyle w:val="ITTTable1"/>
              <w:tabs>
                <w:tab w:val="left" w:pos="0"/>
              </w:tabs>
              <w:spacing w:before="0" w:after="0"/>
              <w:rPr>
                <w:b/>
              </w:rPr>
            </w:pPr>
            <w:r w:rsidRPr="00D97D71">
              <w:rPr>
                <w:b/>
              </w:rPr>
              <w:t>Tender Responses</w:t>
            </w:r>
          </w:p>
        </w:tc>
        <w:tc>
          <w:tcPr>
            <w:tcW w:w="2977" w:type="dxa"/>
            <w:vAlign w:val="center"/>
          </w:tcPr>
          <w:p w14:paraId="4EDB5A13" w14:textId="0D3F96D4" w:rsidR="00DE513D" w:rsidRPr="00CA3568" w:rsidRDefault="00753CB3" w:rsidP="00E2409E">
            <w:pPr>
              <w:pStyle w:val="ITTTable1"/>
              <w:tabs>
                <w:tab w:val="left" w:pos="0"/>
              </w:tabs>
              <w:spacing w:before="0" w:after="0"/>
              <w:rPr>
                <w:b/>
              </w:rPr>
            </w:pPr>
            <w:r w:rsidRPr="00CA3568">
              <w:rPr>
                <w:b/>
              </w:rPr>
              <w:t>5pm - 5</w:t>
            </w:r>
            <w:r w:rsidRPr="00CA3568">
              <w:rPr>
                <w:b/>
                <w:vertAlign w:val="superscript"/>
              </w:rPr>
              <w:t>th</w:t>
            </w:r>
            <w:r w:rsidRPr="00CA3568">
              <w:rPr>
                <w:b/>
              </w:rPr>
              <w:t xml:space="preserve"> July 2022</w:t>
            </w:r>
          </w:p>
        </w:tc>
      </w:tr>
      <w:tr w:rsidR="00DE513D" w:rsidRPr="00481BA6" w14:paraId="14F779A5" w14:textId="77777777" w:rsidTr="006242B8">
        <w:tc>
          <w:tcPr>
            <w:tcW w:w="5103" w:type="dxa"/>
            <w:vAlign w:val="center"/>
          </w:tcPr>
          <w:p w14:paraId="44BB63CB" w14:textId="77777777" w:rsidR="00DE513D" w:rsidRPr="00481BA6" w:rsidRDefault="00DE513D" w:rsidP="00DE513D">
            <w:pPr>
              <w:pStyle w:val="ITTTable1"/>
              <w:tabs>
                <w:tab w:val="left" w:pos="0"/>
              </w:tabs>
              <w:spacing w:before="0" w:after="0"/>
            </w:pPr>
            <w:r w:rsidRPr="00481BA6">
              <w:t>Tender Evaluation</w:t>
            </w:r>
          </w:p>
        </w:tc>
        <w:tc>
          <w:tcPr>
            <w:tcW w:w="2977" w:type="dxa"/>
            <w:vAlign w:val="center"/>
          </w:tcPr>
          <w:p w14:paraId="63F04E44" w14:textId="7117A922" w:rsidR="00DE513D" w:rsidRPr="00CA3568" w:rsidRDefault="00753CB3" w:rsidP="00DE3C7B">
            <w:pPr>
              <w:pStyle w:val="ITTTable1"/>
              <w:tabs>
                <w:tab w:val="left" w:pos="0"/>
              </w:tabs>
              <w:spacing w:before="0" w:after="0"/>
            </w:pPr>
            <w:r w:rsidRPr="00CA3568">
              <w:t>6</w:t>
            </w:r>
            <w:r w:rsidRPr="00CA3568">
              <w:rPr>
                <w:vertAlign w:val="superscript"/>
              </w:rPr>
              <w:t>th</w:t>
            </w:r>
            <w:r w:rsidRPr="00CA3568">
              <w:t xml:space="preserve"> – </w:t>
            </w:r>
            <w:r w:rsidR="000323C2" w:rsidRPr="00CA3568">
              <w:t>20</w:t>
            </w:r>
            <w:r w:rsidRPr="00CA3568">
              <w:rPr>
                <w:vertAlign w:val="superscript"/>
              </w:rPr>
              <w:t>th</w:t>
            </w:r>
            <w:r w:rsidRPr="00CA3568">
              <w:t xml:space="preserve"> July 2022</w:t>
            </w:r>
          </w:p>
        </w:tc>
      </w:tr>
      <w:tr w:rsidR="00DE513D" w:rsidRPr="00481BA6" w14:paraId="69DCAA3D" w14:textId="77777777" w:rsidTr="006242B8">
        <w:tc>
          <w:tcPr>
            <w:tcW w:w="5103" w:type="dxa"/>
            <w:vAlign w:val="center"/>
          </w:tcPr>
          <w:p w14:paraId="75027AD7" w14:textId="77777777" w:rsidR="00DE513D" w:rsidRPr="00F326A7" w:rsidRDefault="00A17B47" w:rsidP="00E51C9D">
            <w:pPr>
              <w:pStyle w:val="ITTTable1"/>
              <w:tabs>
                <w:tab w:val="left" w:pos="0"/>
              </w:tabs>
              <w:spacing w:before="0" w:after="0"/>
            </w:pPr>
            <w:r w:rsidRPr="00481BA6">
              <w:t>Notify shortl</w:t>
            </w:r>
            <w:r w:rsidR="00DE513D" w:rsidRPr="00481BA6">
              <w:t xml:space="preserve">isted </w:t>
            </w:r>
            <w:r w:rsidR="00296648" w:rsidRPr="00481BA6">
              <w:t>Supplier</w:t>
            </w:r>
            <w:r w:rsidR="00DE513D" w:rsidRPr="007126F7">
              <w:t xml:space="preserve">s </w:t>
            </w:r>
            <w:r w:rsidRPr="007126F7">
              <w:t xml:space="preserve">of </w:t>
            </w:r>
            <w:r w:rsidR="00E51C9D" w:rsidRPr="007126F7">
              <w:t>Interview (if required)</w:t>
            </w:r>
          </w:p>
        </w:tc>
        <w:tc>
          <w:tcPr>
            <w:tcW w:w="2977" w:type="dxa"/>
            <w:vAlign w:val="center"/>
          </w:tcPr>
          <w:p w14:paraId="7B2F8A61" w14:textId="2346D212" w:rsidR="00DE513D" w:rsidRPr="00CA3568" w:rsidRDefault="000323C2" w:rsidP="003A039D">
            <w:pPr>
              <w:pStyle w:val="ITTTable1"/>
              <w:tabs>
                <w:tab w:val="left" w:pos="0"/>
              </w:tabs>
              <w:spacing w:before="0" w:after="0"/>
            </w:pPr>
            <w:r w:rsidRPr="00CA3568">
              <w:t>20</w:t>
            </w:r>
            <w:r w:rsidR="00753CB3" w:rsidRPr="00CA3568">
              <w:rPr>
                <w:vertAlign w:val="superscript"/>
              </w:rPr>
              <w:t>th</w:t>
            </w:r>
            <w:r w:rsidR="00753CB3" w:rsidRPr="00CA3568">
              <w:t xml:space="preserve"> July 2022</w:t>
            </w:r>
          </w:p>
        </w:tc>
      </w:tr>
      <w:tr w:rsidR="00DE513D" w:rsidRPr="00481BA6" w14:paraId="21114375" w14:textId="77777777" w:rsidTr="006242B8">
        <w:tc>
          <w:tcPr>
            <w:tcW w:w="5103" w:type="dxa"/>
            <w:vAlign w:val="center"/>
          </w:tcPr>
          <w:p w14:paraId="517BE1DE" w14:textId="77777777" w:rsidR="00DE513D" w:rsidRPr="00481BA6" w:rsidRDefault="00DE513D" w:rsidP="00DE513D">
            <w:pPr>
              <w:pStyle w:val="ITTTable1"/>
              <w:tabs>
                <w:tab w:val="left" w:pos="0"/>
              </w:tabs>
              <w:spacing w:before="0" w:after="0"/>
            </w:pPr>
            <w:r w:rsidRPr="00481BA6">
              <w:t>Interviews</w:t>
            </w:r>
          </w:p>
        </w:tc>
        <w:tc>
          <w:tcPr>
            <w:tcW w:w="2977" w:type="dxa"/>
            <w:vAlign w:val="center"/>
          </w:tcPr>
          <w:p w14:paraId="1894D738" w14:textId="0AB59297" w:rsidR="00DE513D" w:rsidRPr="00CA3568" w:rsidRDefault="00753CB3" w:rsidP="007626A7">
            <w:pPr>
              <w:pStyle w:val="ITTTable1"/>
              <w:tabs>
                <w:tab w:val="left" w:pos="0"/>
              </w:tabs>
              <w:spacing w:before="0" w:after="0"/>
            </w:pPr>
            <w:r w:rsidRPr="00CA3568">
              <w:t>27</w:t>
            </w:r>
            <w:r w:rsidRPr="00CA3568">
              <w:rPr>
                <w:vertAlign w:val="superscript"/>
              </w:rPr>
              <w:t>th</w:t>
            </w:r>
            <w:r w:rsidRPr="00CA3568">
              <w:t xml:space="preserve"> July 2022</w:t>
            </w:r>
          </w:p>
        </w:tc>
      </w:tr>
      <w:tr w:rsidR="00DE513D" w:rsidRPr="00481BA6" w14:paraId="027AD6B8" w14:textId="77777777" w:rsidTr="006242B8">
        <w:tc>
          <w:tcPr>
            <w:tcW w:w="5103" w:type="dxa"/>
            <w:vAlign w:val="center"/>
          </w:tcPr>
          <w:p w14:paraId="2E559741" w14:textId="77777777" w:rsidR="00DE513D" w:rsidRPr="00481BA6" w:rsidRDefault="006242B8" w:rsidP="00DE513D">
            <w:pPr>
              <w:pStyle w:val="ITTTable1"/>
              <w:tabs>
                <w:tab w:val="left" w:pos="0"/>
              </w:tabs>
              <w:spacing w:before="0" w:after="0"/>
            </w:pPr>
            <w:r w:rsidRPr="00481BA6">
              <w:t>Preferred Bidder</w:t>
            </w:r>
            <w:r w:rsidR="00DE513D" w:rsidRPr="00481BA6">
              <w:t xml:space="preserve"> Notice and Losing </w:t>
            </w:r>
            <w:r w:rsidR="00296648" w:rsidRPr="00481BA6">
              <w:t>Supplier</w:t>
            </w:r>
            <w:r w:rsidR="00DE513D" w:rsidRPr="00481BA6">
              <w:t>s Debriefed</w:t>
            </w:r>
          </w:p>
        </w:tc>
        <w:tc>
          <w:tcPr>
            <w:tcW w:w="2977" w:type="dxa"/>
            <w:vAlign w:val="center"/>
          </w:tcPr>
          <w:p w14:paraId="2498517C" w14:textId="625F2A36" w:rsidR="00DE513D" w:rsidRPr="00CA3568" w:rsidRDefault="00FF2017" w:rsidP="00D97D71">
            <w:pPr>
              <w:pStyle w:val="ITTTable1"/>
              <w:tabs>
                <w:tab w:val="left" w:pos="0"/>
              </w:tabs>
              <w:spacing w:before="0" w:after="0"/>
            </w:pPr>
            <w:r w:rsidRPr="00CA3568">
              <w:t>29</w:t>
            </w:r>
            <w:r w:rsidRPr="00CA3568">
              <w:rPr>
                <w:vertAlign w:val="superscript"/>
              </w:rPr>
              <w:t>th</w:t>
            </w:r>
            <w:r w:rsidRPr="00CA3568">
              <w:t xml:space="preserve"> July 2022</w:t>
            </w:r>
          </w:p>
        </w:tc>
      </w:tr>
      <w:tr w:rsidR="00DE513D" w:rsidRPr="00481BA6" w14:paraId="2E4FCD35" w14:textId="77777777" w:rsidTr="006242B8">
        <w:tc>
          <w:tcPr>
            <w:tcW w:w="5103" w:type="dxa"/>
            <w:vAlign w:val="center"/>
          </w:tcPr>
          <w:p w14:paraId="7C07EE9C" w14:textId="77777777" w:rsidR="00DE513D" w:rsidRPr="00481BA6" w:rsidRDefault="00DE513D" w:rsidP="00DE513D">
            <w:pPr>
              <w:pStyle w:val="ITTTable1"/>
              <w:tabs>
                <w:tab w:val="left" w:pos="0"/>
              </w:tabs>
              <w:spacing w:before="0" w:after="0"/>
            </w:pPr>
            <w:r w:rsidRPr="00481BA6">
              <w:t>Alcatel Period (10 days)</w:t>
            </w:r>
          </w:p>
        </w:tc>
        <w:tc>
          <w:tcPr>
            <w:tcW w:w="2977" w:type="dxa"/>
            <w:vAlign w:val="center"/>
          </w:tcPr>
          <w:p w14:paraId="5759E269" w14:textId="23519652" w:rsidR="00DE513D" w:rsidRPr="00CA3568" w:rsidRDefault="00FF2017" w:rsidP="00D97D71">
            <w:pPr>
              <w:pStyle w:val="ITTTable1"/>
              <w:tabs>
                <w:tab w:val="left" w:pos="0"/>
              </w:tabs>
              <w:spacing w:before="0" w:after="0"/>
            </w:pPr>
            <w:r w:rsidRPr="00CA3568">
              <w:t>30</w:t>
            </w:r>
            <w:r w:rsidRPr="00CA3568">
              <w:rPr>
                <w:vertAlign w:val="superscript"/>
              </w:rPr>
              <w:t>th</w:t>
            </w:r>
            <w:r w:rsidRPr="00CA3568">
              <w:t xml:space="preserve"> July – midnight </w:t>
            </w:r>
            <w:r w:rsidR="00E91BB2" w:rsidRPr="00CA3568">
              <w:t>9</w:t>
            </w:r>
            <w:r w:rsidRPr="00CA3568">
              <w:rPr>
                <w:vertAlign w:val="superscript"/>
              </w:rPr>
              <w:t>th</w:t>
            </w:r>
            <w:r w:rsidRPr="00CA3568">
              <w:t xml:space="preserve"> August 2022</w:t>
            </w:r>
          </w:p>
        </w:tc>
      </w:tr>
      <w:tr w:rsidR="00D97D71" w:rsidRPr="00481BA6" w14:paraId="78214E47" w14:textId="77777777" w:rsidTr="006242B8">
        <w:tc>
          <w:tcPr>
            <w:tcW w:w="5103" w:type="dxa"/>
            <w:vAlign w:val="center"/>
          </w:tcPr>
          <w:p w14:paraId="71969E95" w14:textId="56087587" w:rsidR="00D97D71" w:rsidRPr="00481BA6" w:rsidRDefault="00D97D71" w:rsidP="00DE513D">
            <w:pPr>
              <w:pStyle w:val="ITTTable1"/>
              <w:tabs>
                <w:tab w:val="left" w:pos="0"/>
              </w:tabs>
              <w:spacing w:before="0" w:after="0"/>
            </w:pPr>
            <w:r w:rsidRPr="00481BA6">
              <w:t>Contract Award</w:t>
            </w:r>
          </w:p>
        </w:tc>
        <w:tc>
          <w:tcPr>
            <w:tcW w:w="2977" w:type="dxa"/>
            <w:vAlign w:val="center"/>
          </w:tcPr>
          <w:p w14:paraId="3A4EB277" w14:textId="3261EA45" w:rsidR="00D97D71" w:rsidRPr="00CA3568" w:rsidRDefault="00E91BB2" w:rsidP="00D97D71">
            <w:pPr>
              <w:pStyle w:val="ITTTable1"/>
              <w:tabs>
                <w:tab w:val="left" w:pos="0"/>
              </w:tabs>
              <w:spacing w:before="0" w:after="0"/>
            </w:pPr>
            <w:r w:rsidRPr="00CA3568">
              <w:t>10</w:t>
            </w:r>
            <w:r w:rsidR="00FF2017" w:rsidRPr="00CA3568">
              <w:rPr>
                <w:vertAlign w:val="superscript"/>
              </w:rPr>
              <w:t>th</w:t>
            </w:r>
            <w:r w:rsidR="00FF2017" w:rsidRPr="00CA3568">
              <w:t xml:space="preserve"> August 2022</w:t>
            </w:r>
          </w:p>
        </w:tc>
      </w:tr>
      <w:tr w:rsidR="00DE513D" w:rsidRPr="00481BA6" w14:paraId="622EBA99" w14:textId="77777777" w:rsidTr="006242B8">
        <w:tc>
          <w:tcPr>
            <w:tcW w:w="5103" w:type="dxa"/>
            <w:vAlign w:val="center"/>
          </w:tcPr>
          <w:p w14:paraId="468035C8" w14:textId="61F8AD3B" w:rsidR="00DE513D" w:rsidRPr="00481BA6" w:rsidRDefault="00DE513D" w:rsidP="00D97D71">
            <w:pPr>
              <w:pStyle w:val="ITTTable1"/>
              <w:tabs>
                <w:tab w:val="left" w:pos="0"/>
              </w:tabs>
              <w:spacing w:before="0" w:after="0"/>
            </w:pPr>
            <w:r w:rsidRPr="00481BA6">
              <w:t>Contract</w:t>
            </w:r>
            <w:r w:rsidR="00D97D71">
              <w:t xml:space="preserve"> drafting and s</w:t>
            </w:r>
            <w:r w:rsidRPr="00481BA6">
              <w:t>igning</w:t>
            </w:r>
          </w:p>
        </w:tc>
        <w:tc>
          <w:tcPr>
            <w:tcW w:w="2977" w:type="dxa"/>
            <w:vAlign w:val="center"/>
          </w:tcPr>
          <w:p w14:paraId="3F9C1718" w14:textId="0CAAD44D" w:rsidR="00DE513D" w:rsidRPr="00CA3568" w:rsidRDefault="00FF2017" w:rsidP="00F71E0B">
            <w:pPr>
              <w:pStyle w:val="ITTTable1"/>
              <w:tabs>
                <w:tab w:val="left" w:pos="0"/>
              </w:tabs>
              <w:spacing w:before="0" w:after="0"/>
            </w:pPr>
            <w:r w:rsidRPr="00CA3568">
              <w:t>11</w:t>
            </w:r>
            <w:r w:rsidRPr="00CA3568">
              <w:rPr>
                <w:vertAlign w:val="superscript"/>
              </w:rPr>
              <w:t>th</w:t>
            </w:r>
            <w:r w:rsidRPr="00CA3568">
              <w:t xml:space="preserve"> August – 6</w:t>
            </w:r>
            <w:r w:rsidRPr="00CA3568">
              <w:rPr>
                <w:vertAlign w:val="superscript"/>
              </w:rPr>
              <w:t>th</w:t>
            </w:r>
            <w:r w:rsidRPr="00CA3568">
              <w:t xml:space="preserve"> September 2022</w:t>
            </w:r>
          </w:p>
        </w:tc>
      </w:tr>
      <w:tr w:rsidR="00FF2017" w:rsidRPr="00481BA6" w14:paraId="1E748FD3" w14:textId="77777777" w:rsidTr="006242B8">
        <w:tc>
          <w:tcPr>
            <w:tcW w:w="5103" w:type="dxa"/>
            <w:vAlign w:val="center"/>
          </w:tcPr>
          <w:p w14:paraId="2C079F9A" w14:textId="5AD8FD18" w:rsidR="00FF2017" w:rsidRPr="00481BA6" w:rsidRDefault="00FF2017" w:rsidP="00DE513D">
            <w:pPr>
              <w:pStyle w:val="ITTTable1"/>
              <w:tabs>
                <w:tab w:val="left" w:pos="0"/>
              </w:tabs>
              <w:spacing w:before="0" w:after="0"/>
            </w:pPr>
            <w:r>
              <w:t>TUPE</w:t>
            </w:r>
          </w:p>
        </w:tc>
        <w:tc>
          <w:tcPr>
            <w:tcW w:w="2977" w:type="dxa"/>
            <w:vAlign w:val="center"/>
          </w:tcPr>
          <w:p w14:paraId="3B82A805" w14:textId="15CB458B" w:rsidR="00FF2017" w:rsidRPr="00CA3568" w:rsidRDefault="00FF2017" w:rsidP="009F1398">
            <w:pPr>
              <w:pStyle w:val="ITTTable1"/>
              <w:tabs>
                <w:tab w:val="left" w:pos="0"/>
              </w:tabs>
              <w:spacing w:before="0" w:after="0"/>
            </w:pPr>
            <w:r w:rsidRPr="00CA3568">
              <w:t>11</w:t>
            </w:r>
            <w:r w:rsidRPr="00CA3568">
              <w:rPr>
                <w:vertAlign w:val="superscript"/>
              </w:rPr>
              <w:t>th</w:t>
            </w:r>
            <w:r w:rsidRPr="00CA3568">
              <w:t xml:space="preserve"> August 2022 – 3</w:t>
            </w:r>
            <w:r w:rsidRPr="00CA3568">
              <w:rPr>
                <w:vertAlign w:val="superscript"/>
              </w:rPr>
              <w:t>rd</w:t>
            </w:r>
            <w:r w:rsidRPr="00CA3568">
              <w:t xml:space="preserve"> November 2022</w:t>
            </w:r>
          </w:p>
        </w:tc>
      </w:tr>
      <w:tr w:rsidR="00DE513D" w:rsidRPr="00481BA6" w14:paraId="3020B418" w14:textId="77777777" w:rsidTr="006242B8">
        <w:tc>
          <w:tcPr>
            <w:tcW w:w="5103" w:type="dxa"/>
            <w:vAlign w:val="center"/>
          </w:tcPr>
          <w:p w14:paraId="35B97957" w14:textId="13265B85" w:rsidR="00DE513D" w:rsidRPr="00481BA6" w:rsidRDefault="00DE513D" w:rsidP="00DE513D">
            <w:pPr>
              <w:pStyle w:val="ITTTable1"/>
              <w:tabs>
                <w:tab w:val="left" w:pos="0"/>
              </w:tabs>
              <w:spacing w:before="0" w:after="0"/>
            </w:pPr>
            <w:r w:rsidRPr="00481BA6">
              <w:t xml:space="preserve">Contract </w:t>
            </w:r>
            <w:r w:rsidR="00423C0A">
              <w:t>c</w:t>
            </w:r>
            <w:r w:rsidRPr="00481BA6">
              <w:t>ommences</w:t>
            </w:r>
          </w:p>
        </w:tc>
        <w:tc>
          <w:tcPr>
            <w:tcW w:w="2977" w:type="dxa"/>
            <w:vAlign w:val="center"/>
          </w:tcPr>
          <w:p w14:paraId="2770DED1" w14:textId="457D32CA" w:rsidR="00DE513D" w:rsidRPr="00CA3568" w:rsidRDefault="00FF2017" w:rsidP="009F1398">
            <w:pPr>
              <w:pStyle w:val="ITTTable1"/>
              <w:tabs>
                <w:tab w:val="left" w:pos="0"/>
              </w:tabs>
              <w:spacing w:before="0" w:after="0"/>
            </w:pPr>
            <w:r w:rsidRPr="00CA3568">
              <w:t>4</w:t>
            </w:r>
            <w:r w:rsidRPr="00CA3568">
              <w:rPr>
                <w:vertAlign w:val="superscript"/>
              </w:rPr>
              <w:t>th</w:t>
            </w:r>
            <w:r w:rsidRPr="00CA3568">
              <w:t xml:space="preserve"> November 2022</w:t>
            </w:r>
          </w:p>
        </w:tc>
      </w:tr>
      <w:tr w:rsidR="00423C0A" w:rsidRPr="00481BA6" w14:paraId="7600F9D8" w14:textId="77777777" w:rsidTr="006242B8">
        <w:tc>
          <w:tcPr>
            <w:tcW w:w="5103" w:type="dxa"/>
            <w:vAlign w:val="center"/>
          </w:tcPr>
          <w:p w14:paraId="4AE94895" w14:textId="186780CD" w:rsidR="00423C0A" w:rsidRPr="00481BA6" w:rsidRDefault="00423C0A" w:rsidP="00DE513D">
            <w:pPr>
              <w:pStyle w:val="ITTTable1"/>
              <w:tabs>
                <w:tab w:val="left" w:pos="0"/>
              </w:tabs>
              <w:spacing w:before="0" w:after="0"/>
            </w:pPr>
            <w:r>
              <w:t>Implementation commences</w:t>
            </w:r>
          </w:p>
        </w:tc>
        <w:tc>
          <w:tcPr>
            <w:tcW w:w="2977" w:type="dxa"/>
            <w:vAlign w:val="center"/>
          </w:tcPr>
          <w:p w14:paraId="72926A32" w14:textId="644B2F0B" w:rsidR="00423C0A" w:rsidRPr="00CA3568" w:rsidRDefault="00FF2017" w:rsidP="009F1398">
            <w:pPr>
              <w:pStyle w:val="ITTTable1"/>
              <w:tabs>
                <w:tab w:val="left" w:pos="0"/>
              </w:tabs>
              <w:spacing w:before="0" w:after="0"/>
            </w:pPr>
            <w:r w:rsidRPr="00CA3568">
              <w:t>4</w:t>
            </w:r>
            <w:r w:rsidRPr="00CA3568">
              <w:rPr>
                <w:vertAlign w:val="superscript"/>
              </w:rPr>
              <w:t>th</w:t>
            </w:r>
            <w:r w:rsidRPr="00CA3568">
              <w:t xml:space="preserve"> November 2022</w:t>
            </w:r>
          </w:p>
        </w:tc>
      </w:tr>
      <w:tr w:rsidR="00423C0A" w:rsidRPr="00481BA6" w14:paraId="5EFDE75F" w14:textId="77777777" w:rsidTr="006242B8">
        <w:tc>
          <w:tcPr>
            <w:tcW w:w="5103" w:type="dxa"/>
            <w:vAlign w:val="center"/>
          </w:tcPr>
          <w:p w14:paraId="03094BAC" w14:textId="236DB781" w:rsidR="00423C0A" w:rsidRPr="00481BA6" w:rsidRDefault="00423C0A" w:rsidP="00DE513D">
            <w:pPr>
              <w:pStyle w:val="ITTTable1"/>
              <w:tabs>
                <w:tab w:val="left" w:pos="0"/>
              </w:tabs>
              <w:spacing w:before="0" w:after="0"/>
            </w:pPr>
            <w:r>
              <w:t>Service commences</w:t>
            </w:r>
          </w:p>
        </w:tc>
        <w:tc>
          <w:tcPr>
            <w:tcW w:w="2977" w:type="dxa"/>
            <w:vAlign w:val="center"/>
          </w:tcPr>
          <w:p w14:paraId="16A8A63B" w14:textId="198C00AB" w:rsidR="00423C0A" w:rsidRPr="00CA3568" w:rsidRDefault="009540BD" w:rsidP="009F1398">
            <w:pPr>
              <w:pStyle w:val="ITTTable1"/>
              <w:tabs>
                <w:tab w:val="left" w:pos="0"/>
              </w:tabs>
              <w:spacing w:before="0" w:after="0"/>
            </w:pPr>
            <w:r w:rsidRPr="00CA3568">
              <w:t>8</w:t>
            </w:r>
            <w:r w:rsidRPr="00CA3568">
              <w:rPr>
                <w:vertAlign w:val="superscript"/>
              </w:rPr>
              <w:t>th</w:t>
            </w:r>
            <w:r w:rsidRPr="00CA3568">
              <w:t xml:space="preserve"> April 2023</w:t>
            </w:r>
          </w:p>
        </w:tc>
      </w:tr>
    </w:tbl>
    <w:p w14:paraId="16280568" w14:textId="77777777" w:rsidR="009540BD" w:rsidRDefault="009540BD" w:rsidP="009540BD">
      <w:pPr>
        <w:pStyle w:val="ITTHeading1"/>
        <w:numPr>
          <w:ilvl w:val="0"/>
          <w:numId w:val="0"/>
        </w:numPr>
        <w:ind w:left="1134"/>
      </w:pPr>
      <w:bookmarkStart w:id="42" w:name="_Toc104474039"/>
    </w:p>
    <w:p w14:paraId="71A9D116" w14:textId="2B0266A1" w:rsidR="005E786A" w:rsidRPr="00481BA6" w:rsidRDefault="00296648" w:rsidP="00886CC8">
      <w:pPr>
        <w:pStyle w:val="ITTHeading1"/>
      </w:pPr>
      <w:r w:rsidRPr="00481BA6">
        <w:lastRenderedPageBreak/>
        <w:t>Supplier</w:t>
      </w:r>
      <w:r w:rsidR="005E786A" w:rsidRPr="00481BA6">
        <w:t>s Instructions</w:t>
      </w:r>
      <w:bookmarkEnd w:id="42"/>
    </w:p>
    <w:p w14:paraId="1AC72710" w14:textId="77777777" w:rsidR="005E786A" w:rsidRPr="00481BA6" w:rsidRDefault="00F55E87" w:rsidP="00FC4CC9">
      <w:pPr>
        <w:pStyle w:val="ITTBody"/>
      </w:pPr>
      <w:r w:rsidRPr="00F326A7">
        <w:t xml:space="preserve">This section </w:t>
      </w:r>
      <w:r w:rsidRPr="004E1118">
        <w:t>sets</w:t>
      </w:r>
      <w:r w:rsidRPr="00F326A7">
        <w:t xml:space="preserve"> out the general instructions for the submission of the tender</w:t>
      </w:r>
      <w:r w:rsidR="0092582E" w:rsidRPr="00481BA6">
        <w:t xml:space="preserve"> / final offer</w:t>
      </w:r>
      <w:r w:rsidRPr="00481BA6">
        <w:t xml:space="preserve"> </w:t>
      </w:r>
      <w:r w:rsidR="0092582E" w:rsidRPr="00481BA6">
        <w:t xml:space="preserve">from </w:t>
      </w:r>
      <w:r w:rsidR="00296648" w:rsidRPr="00481BA6">
        <w:t>the Suppliers</w:t>
      </w:r>
      <w:r w:rsidR="0092582E" w:rsidRPr="00481BA6">
        <w:t xml:space="preserve"> i</w:t>
      </w:r>
      <w:r w:rsidR="005141A5" w:rsidRPr="00481BA6">
        <w:t>n</w:t>
      </w:r>
      <w:r w:rsidR="0092582E" w:rsidRPr="00481BA6">
        <w:t xml:space="preserve"> response to th</w:t>
      </w:r>
      <w:r w:rsidR="004122C6" w:rsidRPr="00481BA6">
        <w:t>is</w:t>
      </w:r>
      <w:r w:rsidR="0092582E" w:rsidRPr="00481BA6">
        <w:t xml:space="preserve"> ITT</w:t>
      </w:r>
      <w:r w:rsidRPr="00481BA6">
        <w:t xml:space="preserve">. </w:t>
      </w:r>
      <w:r w:rsidR="005E786A" w:rsidRPr="00481BA6">
        <w:t xml:space="preserve">These instructions must be followed and adhered to. Any deviation from these instructions may result in your tender being rejected. </w:t>
      </w:r>
    </w:p>
    <w:p w14:paraId="37D1845A" w14:textId="324BE6B4" w:rsidR="00D76669" w:rsidRDefault="00D97D71" w:rsidP="00886CC8">
      <w:pPr>
        <w:pStyle w:val="ITTBody"/>
      </w:pPr>
      <w:r w:rsidRPr="008A6B44">
        <w:t>Bidders must provide an Expression of Interest (EOI) to this tender</w:t>
      </w:r>
      <w:r w:rsidRPr="00B747BC">
        <w:t>. Bidder</w:t>
      </w:r>
      <w:r>
        <w:t>s</w:t>
      </w:r>
      <w:r w:rsidRPr="00B747BC">
        <w:t xml:space="preserve"> must email </w:t>
      </w:r>
      <w:hyperlink r:id="rId11" w:history="1">
        <w:r w:rsidR="009540BD" w:rsidRPr="004778A3">
          <w:rPr>
            <w:rStyle w:val="Hyperlink"/>
            <w:b/>
          </w:rPr>
          <w:t>sharon.martin@nice.org.uk</w:t>
        </w:r>
      </w:hyperlink>
      <w:r w:rsidRPr="00B747BC">
        <w:t xml:space="preserve"> with a statement of interest in this tender no later than</w:t>
      </w:r>
      <w:r>
        <w:t xml:space="preserve"> </w:t>
      </w:r>
      <w:r w:rsidRPr="00FB14C8">
        <w:rPr>
          <w:b/>
          <w:bCs/>
        </w:rPr>
        <w:t>17:00</w:t>
      </w:r>
      <w:r w:rsidR="00FB14C8">
        <w:rPr>
          <w:b/>
          <w:bCs/>
        </w:rPr>
        <w:t xml:space="preserve"> (5:00pm)</w:t>
      </w:r>
      <w:r w:rsidRPr="00FB14C8">
        <w:rPr>
          <w:b/>
          <w:bCs/>
        </w:rPr>
        <w:t xml:space="preserve"> UK time on </w:t>
      </w:r>
      <w:r w:rsidR="009540BD">
        <w:rPr>
          <w:b/>
          <w:bCs/>
        </w:rPr>
        <w:t>17</w:t>
      </w:r>
      <w:r w:rsidR="009540BD" w:rsidRPr="009540BD">
        <w:rPr>
          <w:b/>
          <w:bCs/>
          <w:vertAlign w:val="superscript"/>
        </w:rPr>
        <w:t>th</w:t>
      </w:r>
      <w:r w:rsidR="00FB14C8" w:rsidRPr="00FB14C8">
        <w:rPr>
          <w:b/>
          <w:bCs/>
        </w:rPr>
        <w:t xml:space="preserve"> </w:t>
      </w:r>
      <w:r w:rsidR="009540BD">
        <w:rPr>
          <w:b/>
          <w:bCs/>
        </w:rPr>
        <w:t>June</w:t>
      </w:r>
      <w:r w:rsidR="00FB14C8" w:rsidRPr="00FB14C8">
        <w:rPr>
          <w:b/>
          <w:bCs/>
        </w:rPr>
        <w:t xml:space="preserve"> 202</w:t>
      </w:r>
      <w:r w:rsidR="009540BD">
        <w:rPr>
          <w:b/>
          <w:bCs/>
        </w:rPr>
        <w:t>2</w:t>
      </w:r>
      <w:r w:rsidRPr="00FB14C8">
        <w:t>.</w:t>
      </w:r>
      <w:r w:rsidRPr="00B747BC">
        <w:t xml:space="preserve">  Failure to EOI may result in your tender being rejected</w:t>
      </w:r>
      <w:r>
        <w:t>.</w:t>
      </w:r>
    </w:p>
    <w:p w14:paraId="70E81634" w14:textId="038C3D44" w:rsidR="00FB14C8" w:rsidRDefault="00D76669" w:rsidP="00FB14C8">
      <w:pPr>
        <w:pStyle w:val="ITTBody"/>
      </w:pPr>
      <w:r w:rsidRPr="008A6B44">
        <w:rPr>
          <w:b/>
        </w:rPr>
        <w:t>Bidders must provide a</w:t>
      </w:r>
      <w:r>
        <w:rPr>
          <w:b/>
        </w:rPr>
        <w:t xml:space="preserve"> signed NDA for TUPE data</w:t>
      </w:r>
      <w:r w:rsidRPr="00B747BC">
        <w:t>. Bidder</w:t>
      </w:r>
      <w:r>
        <w:t>s</w:t>
      </w:r>
      <w:r w:rsidRPr="00B747BC">
        <w:t xml:space="preserve"> must email </w:t>
      </w:r>
      <w:hyperlink r:id="rId12" w:history="1">
        <w:r w:rsidR="009540BD" w:rsidRPr="004778A3">
          <w:rPr>
            <w:rStyle w:val="Hyperlink"/>
            <w:b/>
          </w:rPr>
          <w:t>sharon.martin@nice.org.uk</w:t>
        </w:r>
      </w:hyperlink>
      <w:r w:rsidRPr="00B747BC">
        <w:t xml:space="preserve"> with </w:t>
      </w:r>
      <w:r>
        <w:t>the signed NDA</w:t>
      </w:r>
      <w:r w:rsidRPr="00B747BC">
        <w:t xml:space="preserve"> no later than</w:t>
      </w:r>
      <w:r>
        <w:t xml:space="preserve"> </w:t>
      </w:r>
      <w:r w:rsidR="009540BD" w:rsidRPr="00FB14C8">
        <w:rPr>
          <w:b/>
          <w:bCs/>
        </w:rPr>
        <w:t>17:00</w:t>
      </w:r>
      <w:r w:rsidR="009540BD">
        <w:rPr>
          <w:b/>
          <w:bCs/>
        </w:rPr>
        <w:t xml:space="preserve"> (5:00pm)</w:t>
      </w:r>
      <w:r w:rsidR="009540BD" w:rsidRPr="00FB14C8">
        <w:rPr>
          <w:b/>
          <w:bCs/>
        </w:rPr>
        <w:t xml:space="preserve"> UK time on </w:t>
      </w:r>
      <w:r w:rsidR="009540BD">
        <w:rPr>
          <w:b/>
          <w:bCs/>
        </w:rPr>
        <w:t>17</w:t>
      </w:r>
      <w:r w:rsidR="009540BD" w:rsidRPr="009540BD">
        <w:rPr>
          <w:b/>
          <w:bCs/>
          <w:vertAlign w:val="superscript"/>
        </w:rPr>
        <w:t>th</w:t>
      </w:r>
      <w:r w:rsidR="009540BD" w:rsidRPr="00FB14C8">
        <w:rPr>
          <w:b/>
          <w:bCs/>
        </w:rPr>
        <w:t xml:space="preserve"> </w:t>
      </w:r>
      <w:r w:rsidR="009540BD">
        <w:rPr>
          <w:b/>
          <w:bCs/>
        </w:rPr>
        <w:t>June</w:t>
      </w:r>
      <w:r w:rsidR="009540BD" w:rsidRPr="00FB14C8">
        <w:rPr>
          <w:b/>
          <w:bCs/>
        </w:rPr>
        <w:t xml:space="preserve"> 202</w:t>
      </w:r>
      <w:r w:rsidR="009540BD">
        <w:rPr>
          <w:b/>
          <w:bCs/>
        </w:rPr>
        <w:t>2</w:t>
      </w:r>
      <w:r w:rsidRPr="00FB14C8">
        <w:t>.</w:t>
      </w:r>
      <w:r w:rsidRPr="00B747BC">
        <w:t xml:space="preserve">  </w:t>
      </w:r>
      <w:r>
        <w:t>On receipt of a signed NDA, NICE will provide the bidder with the confidential TUPE data.</w:t>
      </w:r>
    </w:p>
    <w:p w14:paraId="65326435" w14:textId="6EE2359B" w:rsidR="005E786A" w:rsidRPr="00FB14C8" w:rsidRDefault="005E786A" w:rsidP="00FB14C8">
      <w:pPr>
        <w:pStyle w:val="ITTBody"/>
      </w:pPr>
      <w:r w:rsidRPr="00481BA6">
        <w:t xml:space="preserve">The tender submission offer must be returned no later than </w:t>
      </w:r>
      <w:r w:rsidR="00D97D71" w:rsidRPr="00FB14C8">
        <w:rPr>
          <w:b/>
        </w:rPr>
        <w:t>17</w:t>
      </w:r>
      <w:r w:rsidRPr="00FB14C8">
        <w:rPr>
          <w:b/>
        </w:rPr>
        <w:t>:00 (</w:t>
      </w:r>
      <w:r w:rsidR="00D97D71" w:rsidRPr="00FB14C8">
        <w:rPr>
          <w:b/>
        </w:rPr>
        <w:t>5</w:t>
      </w:r>
      <w:r w:rsidRPr="00FB14C8">
        <w:rPr>
          <w:b/>
        </w:rPr>
        <w:t>.00</w:t>
      </w:r>
      <w:r w:rsidR="00D97D71" w:rsidRPr="00FB14C8">
        <w:rPr>
          <w:b/>
        </w:rPr>
        <w:t>pm</w:t>
      </w:r>
      <w:r w:rsidRPr="00FB14C8">
        <w:rPr>
          <w:b/>
        </w:rPr>
        <w:t xml:space="preserve">) UK time on </w:t>
      </w:r>
      <w:r w:rsidR="009540BD">
        <w:rPr>
          <w:b/>
        </w:rPr>
        <w:t>5</w:t>
      </w:r>
      <w:r w:rsidR="009540BD" w:rsidRPr="009540BD">
        <w:rPr>
          <w:b/>
          <w:vertAlign w:val="superscript"/>
        </w:rPr>
        <w:t>th</w:t>
      </w:r>
      <w:r w:rsidR="009540BD">
        <w:rPr>
          <w:b/>
        </w:rPr>
        <w:t xml:space="preserve"> July 2022.</w:t>
      </w:r>
    </w:p>
    <w:p w14:paraId="593B2576" w14:textId="5FBF4EEA" w:rsidR="005E786A" w:rsidRPr="009540BD" w:rsidRDefault="005E786A">
      <w:pPr>
        <w:pStyle w:val="ITTBody"/>
        <w:rPr>
          <w:b/>
          <w:bCs/>
        </w:rPr>
      </w:pPr>
      <w:r w:rsidRPr="00481BA6">
        <w:t xml:space="preserve">All </w:t>
      </w:r>
      <w:r w:rsidRPr="00481BA6">
        <w:rPr>
          <w:b/>
        </w:rPr>
        <w:t>tender submission</w:t>
      </w:r>
      <w:r w:rsidR="001D0DA8" w:rsidRPr="00481BA6">
        <w:rPr>
          <w:b/>
        </w:rPr>
        <w:t xml:space="preserve"> and final offers</w:t>
      </w:r>
      <w:r w:rsidRPr="00481BA6">
        <w:t xml:space="preserve"> must be written in English and to be submitted electronically by email in a Microsoft word format to: </w:t>
      </w:r>
      <w:hyperlink r:id="rId13" w:history="1">
        <w:r w:rsidRPr="00481BA6">
          <w:rPr>
            <w:rStyle w:val="Hyperlink"/>
          </w:rPr>
          <w:t>contract.bids@nice.org.uk</w:t>
        </w:r>
      </w:hyperlink>
      <w:r w:rsidR="00751C1E">
        <w:rPr>
          <w:rStyle w:val="Hyperlink"/>
        </w:rPr>
        <w:t xml:space="preserve">. </w:t>
      </w:r>
      <w:r w:rsidR="00751C1E" w:rsidRPr="009540BD">
        <w:rPr>
          <w:b/>
          <w:bCs/>
        </w:rPr>
        <w:t xml:space="preserve">Please use as the subject title: NICE </w:t>
      </w:r>
      <w:r w:rsidR="009540BD" w:rsidRPr="009540BD">
        <w:rPr>
          <w:b/>
          <w:bCs/>
        </w:rPr>
        <w:t>CKS</w:t>
      </w:r>
      <w:proofErr w:type="gramStart"/>
      <w:r w:rsidR="00751C1E" w:rsidRPr="009540BD">
        <w:rPr>
          <w:b/>
          <w:bCs/>
        </w:rPr>
        <w:t>_[</w:t>
      </w:r>
      <w:proofErr w:type="gramEnd"/>
      <w:r w:rsidR="00751C1E" w:rsidRPr="009540BD">
        <w:rPr>
          <w:b/>
          <w:bCs/>
        </w:rPr>
        <w:t>company name]</w:t>
      </w:r>
    </w:p>
    <w:p w14:paraId="4275A7CE" w14:textId="77777777" w:rsidR="005E786A" w:rsidRPr="00481BA6" w:rsidRDefault="005E786A" w:rsidP="00886CC8">
      <w:pPr>
        <w:pStyle w:val="ITTBody"/>
      </w:pPr>
      <w:r w:rsidRPr="00481BA6">
        <w:t xml:space="preserve">All responses must be referenced </w:t>
      </w:r>
      <w:r w:rsidR="0092582E" w:rsidRPr="00481BA6">
        <w:t>as detailed in</w:t>
      </w:r>
      <w:r w:rsidRPr="00481BA6">
        <w:t xml:space="preserve"> </w:t>
      </w:r>
      <w:r w:rsidR="00F55E87" w:rsidRPr="00481BA6">
        <w:t xml:space="preserve">the </w:t>
      </w:r>
      <w:r w:rsidR="0092582E" w:rsidRPr="00481BA6">
        <w:t xml:space="preserve">final </w:t>
      </w:r>
      <w:r w:rsidR="00F55E87" w:rsidRPr="00481BA6">
        <w:t>ITT</w:t>
      </w:r>
      <w:r w:rsidRPr="00481BA6">
        <w:t xml:space="preserve"> for ease of evaluation.</w:t>
      </w:r>
    </w:p>
    <w:p w14:paraId="36B36134" w14:textId="77777777" w:rsidR="005E786A" w:rsidRPr="00481BA6" w:rsidRDefault="005E786A" w:rsidP="00886CC8">
      <w:pPr>
        <w:pStyle w:val="ITTBody"/>
      </w:pPr>
      <w:r w:rsidRPr="00481BA6">
        <w:t>All offers must be submitted in GBP sterling and must be exclusive of Value Added Tax (VAT).</w:t>
      </w:r>
    </w:p>
    <w:p w14:paraId="1AA4D9CA" w14:textId="77777777" w:rsidR="005E786A" w:rsidRPr="00481BA6" w:rsidRDefault="00296648">
      <w:pPr>
        <w:pStyle w:val="ITTBody"/>
      </w:pPr>
      <w:r w:rsidRPr="00481BA6">
        <w:t>Supplier</w:t>
      </w:r>
      <w:r w:rsidR="005E786A" w:rsidRPr="00481BA6">
        <w:t xml:space="preserve">s should answer all questions as accurately and concisely as possible in the same order as the questions are presented. Where a question is not relevant to the </w:t>
      </w:r>
      <w:r w:rsidRPr="00481BA6">
        <w:t>Supplier</w:t>
      </w:r>
      <w:r w:rsidR="005E786A" w:rsidRPr="00481BA6">
        <w:t>, this should be indicated, with an explanation.</w:t>
      </w:r>
    </w:p>
    <w:p w14:paraId="4143E250" w14:textId="77777777" w:rsidR="005E786A" w:rsidRPr="00481BA6" w:rsidRDefault="00296648">
      <w:pPr>
        <w:pStyle w:val="ITTBody"/>
      </w:pPr>
      <w:r w:rsidRPr="00481BA6">
        <w:t>Supplier</w:t>
      </w:r>
      <w:r w:rsidR="005E786A" w:rsidRPr="00481BA6">
        <w:t>s must be explicit and comprehensive in their responses to th</w:t>
      </w:r>
      <w:r w:rsidR="004122C6" w:rsidRPr="00481BA6">
        <w:t>is</w:t>
      </w:r>
      <w:r w:rsidR="005E786A" w:rsidRPr="00481BA6">
        <w:t xml:space="preserve"> ITT as this will be the single source of information on which responses will be scored and ranked.  </w:t>
      </w:r>
      <w:r w:rsidRPr="00481BA6">
        <w:t>Supplier</w:t>
      </w:r>
      <w:r w:rsidR="005E786A" w:rsidRPr="00481BA6">
        <w:t xml:space="preserve">s are advised neither to make any assumptions about their past or current supplier relationships with NICE, nor to assume that such prior business relationships will be </w:t>
      </w:r>
      <w:proofErr w:type="gramStart"/>
      <w:r w:rsidR="005E786A" w:rsidRPr="00481BA6">
        <w:t>taken into account</w:t>
      </w:r>
      <w:proofErr w:type="gramEnd"/>
      <w:r w:rsidR="005E786A" w:rsidRPr="00481BA6">
        <w:t xml:space="preserve"> in the evaluation procedure.</w:t>
      </w:r>
    </w:p>
    <w:p w14:paraId="644DFF49" w14:textId="77777777" w:rsidR="00E3450D" w:rsidRPr="00481BA6" w:rsidRDefault="00E3450D">
      <w:pPr>
        <w:pStyle w:val="ITTBody"/>
      </w:pPr>
      <w:r w:rsidRPr="00481BA6">
        <w:t>NICE reserves the right at any time:</w:t>
      </w:r>
    </w:p>
    <w:p w14:paraId="1F4786C3" w14:textId="77777777" w:rsidR="00E3450D" w:rsidRPr="004E1118" w:rsidRDefault="0092582E" w:rsidP="009540BD">
      <w:pPr>
        <w:pStyle w:val="ITTBodyLevel2"/>
        <w:ind w:left="2268"/>
      </w:pPr>
      <w:r w:rsidRPr="004E1118">
        <w:t>t</w:t>
      </w:r>
      <w:r w:rsidR="00E3450D" w:rsidRPr="004E1118">
        <w:t xml:space="preserve">o issue amendments or modifications to the </w:t>
      </w:r>
      <w:r w:rsidRPr="004E1118">
        <w:t xml:space="preserve">documents contained in the </w:t>
      </w:r>
      <w:r w:rsidR="004122C6" w:rsidRPr="004E1118">
        <w:t>Invitation to Tender</w:t>
      </w:r>
      <w:r w:rsidRPr="004E1118">
        <w:t xml:space="preserve"> pack</w:t>
      </w:r>
      <w:r w:rsidR="00E3450D" w:rsidRPr="004E1118">
        <w:t xml:space="preserve"> during the </w:t>
      </w:r>
      <w:proofErr w:type="gramStart"/>
      <w:r w:rsidR="004122C6" w:rsidRPr="004E1118">
        <w:t>tender</w:t>
      </w:r>
      <w:r w:rsidRPr="004E1118">
        <w:t>;</w:t>
      </w:r>
      <w:proofErr w:type="gramEnd"/>
    </w:p>
    <w:p w14:paraId="1609A841" w14:textId="77777777" w:rsidR="00E3450D" w:rsidRPr="004E1118" w:rsidRDefault="0092582E" w:rsidP="009540BD">
      <w:pPr>
        <w:pStyle w:val="ITTBodyLevel2"/>
        <w:ind w:left="2268"/>
      </w:pPr>
      <w:r w:rsidRPr="004E1118">
        <w:lastRenderedPageBreak/>
        <w:t>t</w:t>
      </w:r>
      <w:r w:rsidR="00E3450D" w:rsidRPr="004E1118">
        <w:t>o</w:t>
      </w:r>
      <w:r w:rsidR="005E786A" w:rsidRPr="004E1118">
        <w:t xml:space="preserve"> not bind itself to accept the lowest or any offer and reserves the right to accept an offer either in whole or in part, each item being for this purpose treated as offered </w:t>
      </w:r>
      <w:proofErr w:type="gramStart"/>
      <w:r w:rsidR="005E786A" w:rsidRPr="004E1118">
        <w:t>separately</w:t>
      </w:r>
      <w:r w:rsidR="005141A5" w:rsidRPr="004E1118">
        <w:t>;</w:t>
      </w:r>
      <w:proofErr w:type="gramEnd"/>
      <w:r w:rsidR="005E786A" w:rsidRPr="004E1118">
        <w:t xml:space="preserve"> </w:t>
      </w:r>
    </w:p>
    <w:p w14:paraId="0B888F0C" w14:textId="77777777" w:rsidR="00E3450D" w:rsidRPr="004E1118" w:rsidRDefault="005E786A" w:rsidP="009540BD">
      <w:pPr>
        <w:pStyle w:val="ITTBodyLevel2"/>
        <w:ind w:left="2268"/>
      </w:pPr>
      <w:r w:rsidRPr="004E1118">
        <w:t xml:space="preserve">to purchase the most cost effective and economically advantageous offer </w:t>
      </w:r>
      <w:r w:rsidR="005141A5" w:rsidRPr="004E1118">
        <w:t>from</w:t>
      </w:r>
      <w:r w:rsidRPr="004E1118">
        <w:t xml:space="preserve"> this tender and does not bind itself to the cheapest price or the overall winner of the scoring evaluation that may result from this </w:t>
      </w:r>
      <w:proofErr w:type="gramStart"/>
      <w:r w:rsidRPr="004E1118">
        <w:t>procurement</w:t>
      </w:r>
      <w:r w:rsidR="005141A5" w:rsidRPr="004E1118">
        <w:t>;</w:t>
      </w:r>
      <w:proofErr w:type="gramEnd"/>
    </w:p>
    <w:p w14:paraId="10E47323" w14:textId="77777777" w:rsidR="005E786A" w:rsidRPr="004E1118" w:rsidRDefault="005E786A" w:rsidP="009540BD">
      <w:pPr>
        <w:pStyle w:val="ITTBodyLevel2"/>
        <w:ind w:left="2268"/>
      </w:pPr>
      <w:r w:rsidRPr="004E1118">
        <w:t xml:space="preserve">to terminate this procurement at any </w:t>
      </w:r>
      <w:proofErr w:type="gramStart"/>
      <w:r w:rsidRPr="004E1118">
        <w:t>time</w:t>
      </w:r>
      <w:r w:rsidR="005141A5" w:rsidRPr="004E1118">
        <w:t>;</w:t>
      </w:r>
      <w:proofErr w:type="gramEnd"/>
      <w:r w:rsidRPr="004E1118">
        <w:t xml:space="preserve"> </w:t>
      </w:r>
    </w:p>
    <w:p w14:paraId="2721CCE6" w14:textId="77777777" w:rsidR="002407F5" w:rsidRPr="004E1118" w:rsidRDefault="002407F5" w:rsidP="009540BD">
      <w:pPr>
        <w:pStyle w:val="ITTBodyLevel2"/>
        <w:ind w:left="2268"/>
      </w:pPr>
      <w:r w:rsidRPr="004E1118">
        <w:t xml:space="preserve">to require </w:t>
      </w:r>
      <w:r w:rsidR="00296648" w:rsidRPr="004E1118">
        <w:t>Supplier</w:t>
      </w:r>
      <w:r w:rsidRPr="004E1118">
        <w:t>s to provide additional information supplementing or clarifying any of the information provided in response to the requests set out in th</w:t>
      </w:r>
      <w:r w:rsidR="004122C6" w:rsidRPr="004E1118">
        <w:t>is</w:t>
      </w:r>
      <w:r w:rsidRPr="004E1118">
        <w:t xml:space="preserve"> ITT. NICE may seek independent financial and market advice to validate information declared, or to assist in the evaluation</w:t>
      </w:r>
      <w:r w:rsidR="005141A5" w:rsidRPr="004E1118">
        <w:t>.</w:t>
      </w:r>
      <w:r w:rsidRPr="004E1118">
        <w:t xml:space="preserve">  </w:t>
      </w:r>
    </w:p>
    <w:p w14:paraId="56BE5C75" w14:textId="61C1D634" w:rsidR="002407F5" w:rsidRPr="00481BA6" w:rsidRDefault="005E786A" w:rsidP="00FC4CC9">
      <w:pPr>
        <w:pStyle w:val="ITTBody"/>
      </w:pPr>
      <w:r w:rsidRPr="00481BA6">
        <w:t xml:space="preserve">NICE will not be liable for any cost incurred in relation to </w:t>
      </w:r>
      <w:r w:rsidR="00776430" w:rsidRPr="00481BA6">
        <w:t xml:space="preserve">any part of this </w:t>
      </w:r>
      <w:r w:rsidRPr="00481BA6">
        <w:t>procurement activity</w:t>
      </w:r>
      <w:r w:rsidR="0092582E" w:rsidRPr="00481BA6">
        <w:t xml:space="preserve"> throughout its lifecycle to close,</w:t>
      </w:r>
      <w:r w:rsidR="002407F5" w:rsidRPr="00481BA6">
        <w:t xml:space="preserve"> including any costs or expenses incurred by any </w:t>
      </w:r>
      <w:r w:rsidR="00296648" w:rsidRPr="00481BA6">
        <w:t>Supplier</w:t>
      </w:r>
      <w:r w:rsidR="002407F5" w:rsidRPr="00481BA6">
        <w:t xml:space="preserve"> or the </w:t>
      </w:r>
      <w:r w:rsidR="00296648" w:rsidRPr="00481BA6">
        <w:t>Supplier</w:t>
      </w:r>
      <w:r w:rsidR="002407F5" w:rsidRPr="00481BA6">
        <w:t xml:space="preserve">'s Team or any other person </w:t>
      </w:r>
      <w:r w:rsidR="00CE5247" w:rsidRPr="00481BA6">
        <w:t xml:space="preserve">in </w:t>
      </w:r>
      <w:r w:rsidR="00B770C5" w:rsidRPr="00481BA6">
        <w:t xml:space="preserve">resource time, </w:t>
      </w:r>
      <w:r w:rsidR="00CE5247" w:rsidRPr="00481BA6">
        <w:t>preparation of response</w:t>
      </w:r>
      <w:r w:rsidR="00B770C5" w:rsidRPr="00481BA6">
        <w:t>s</w:t>
      </w:r>
      <w:r w:rsidR="00CE5247" w:rsidRPr="00481BA6">
        <w:t xml:space="preserve">, attendance of meeting, </w:t>
      </w:r>
      <w:r w:rsidR="00B770C5" w:rsidRPr="00481BA6">
        <w:t xml:space="preserve">or any other cost that the </w:t>
      </w:r>
      <w:r w:rsidR="00296648" w:rsidRPr="00481BA6">
        <w:t>Supplier</w:t>
      </w:r>
      <w:r w:rsidR="00B770C5" w:rsidRPr="00481BA6">
        <w:t xml:space="preserve"> may incur</w:t>
      </w:r>
      <w:r w:rsidR="0092582E" w:rsidRPr="00481BA6">
        <w:t xml:space="preserve">. </w:t>
      </w:r>
    </w:p>
    <w:p w14:paraId="5FEDEA97" w14:textId="77777777" w:rsidR="005E786A" w:rsidRPr="00481BA6" w:rsidRDefault="005E786A" w:rsidP="00886CC8">
      <w:pPr>
        <w:pStyle w:val="ITTBody"/>
      </w:pPr>
      <w:r w:rsidRPr="00481BA6">
        <w:t>Costs shall be fixed for the duration of the contract and not subject to change, unless agreed in writing by both NICE and the Contractor.</w:t>
      </w:r>
    </w:p>
    <w:p w14:paraId="454D86E2" w14:textId="77777777" w:rsidR="005E786A" w:rsidRPr="00481BA6" w:rsidRDefault="005E786A" w:rsidP="00886CC8">
      <w:pPr>
        <w:pStyle w:val="ITTBody"/>
      </w:pPr>
      <w:r w:rsidRPr="00481BA6">
        <w:t xml:space="preserve">The costing spreadsheet </w:t>
      </w:r>
      <w:r w:rsidR="00B770C5" w:rsidRPr="00481BA6">
        <w:t xml:space="preserve">of your offer </w:t>
      </w:r>
      <w:r w:rsidRPr="00481BA6">
        <w:t xml:space="preserve">must be transparent to NICE and not be password protected or have any part of the model hidden. All costs </w:t>
      </w:r>
      <w:r w:rsidR="00B770C5" w:rsidRPr="00481BA6">
        <w:t xml:space="preserve">breakdowns </w:t>
      </w:r>
      <w:r w:rsidRPr="00481BA6">
        <w:t>must</w:t>
      </w:r>
      <w:r w:rsidR="00B770C5" w:rsidRPr="00481BA6">
        <w:t xml:space="preserve"> be shown within your response and provided in GBP sterling.</w:t>
      </w:r>
    </w:p>
    <w:p w14:paraId="4A3C78BF" w14:textId="77777777" w:rsidR="00B770C5" w:rsidRPr="00481BA6" w:rsidRDefault="00B770C5">
      <w:pPr>
        <w:pStyle w:val="ITTheading2"/>
      </w:pPr>
      <w:bookmarkStart w:id="43" w:name="_Toc104474040"/>
      <w:proofErr w:type="gramStart"/>
      <w:r w:rsidRPr="00481BA6">
        <w:t>Non Compliance</w:t>
      </w:r>
      <w:proofErr w:type="gramEnd"/>
      <w:r w:rsidRPr="00481BA6">
        <w:t xml:space="preserve"> and/or disqualification</w:t>
      </w:r>
      <w:bookmarkEnd w:id="43"/>
    </w:p>
    <w:p w14:paraId="0CF11FC4" w14:textId="77777777" w:rsidR="005E786A" w:rsidRPr="00481BA6" w:rsidRDefault="005E786A" w:rsidP="00136B05">
      <w:pPr>
        <w:pStyle w:val="ITTBodyLevel2"/>
      </w:pPr>
      <w:r w:rsidRPr="00481BA6">
        <w:t>NICE expressly reserves the right to reject any proposal that:</w:t>
      </w:r>
    </w:p>
    <w:p w14:paraId="195C56A8" w14:textId="77777777" w:rsidR="00F55E87" w:rsidRPr="00481BA6" w:rsidRDefault="005141A5" w:rsidP="0060434D">
      <w:pPr>
        <w:pStyle w:val="ITTBullet"/>
        <w:numPr>
          <w:ilvl w:val="0"/>
          <w:numId w:val="6"/>
        </w:numPr>
      </w:pPr>
      <w:r w:rsidRPr="00481BA6">
        <w:t>d</w:t>
      </w:r>
      <w:r w:rsidR="00F55E87" w:rsidRPr="00481BA6">
        <w:t xml:space="preserve">oes not meet any minimum requirement </w:t>
      </w:r>
      <w:r w:rsidR="001B6834" w:rsidRPr="00481BA6">
        <w:t>in the</w:t>
      </w:r>
      <w:r w:rsidR="00F55E87" w:rsidRPr="00481BA6">
        <w:t xml:space="preserve"> </w:t>
      </w:r>
      <w:proofErr w:type="gramStart"/>
      <w:r w:rsidR="00F55E87" w:rsidRPr="00481BA6">
        <w:t>tender</w:t>
      </w:r>
      <w:r w:rsidRPr="00481BA6">
        <w:t>;</w:t>
      </w:r>
      <w:proofErr w:type="gramEnd"/>
    </w:p>
    <w:p w14:paraId="06752435" w14:textId="77777777" w:rsidR="00F55E87" w:rsidRPr="00481BA6" w:rsidRDefault="005141A5" w:rsidP="0060434D">
      <w:pPr>
        <w:pStyle w:val="ITTBullet"/>
        <w:numPr>
          <w:ilvl w:val="0"/>
          <w:numId w:val="6"/>
        </w:numPr>
      </w:pPr>
      <w:r w:rsidRPr="00481BA6">
        <w:t>d</w:t>
      </w:r>
      <w:r w:rsidR="00F55E87" w:rsidRPr="00481BA6">
        <w:t xml:space="preserve">oes not follow the instruction to tender </w:t>
      </w:r>
      <w:proofErr w:type="gramStart"/>
      <w:r w:rsidR="00F55E87" w:rsidRPr="00481BA6">
        <w:t>guidance</w:t>
      </w:r>
      <w:r w:rsidRPr="00481BA6">
        <w:t>;</w:t>
      </w:r>
      <w:proofErr w:type="gramEnd"/>
    </w:p>
    <w:p w14:paraId="56FAA912" w14:textId="77777777" w:rsidR="002407F5" w:rsidRPr="00481BA6" w:rsidRDefault="005141A5" w:rsidP="0060434D">
      <w:pPr>
        <w:pStyle w:val="ITTBullet"/>
        <w:numPr>
          <w:ilvl w:val="0"/>
          <w:numId w:val="6"/>
        </w:numPr>
      </w:pPr>
      <w:r w:rsidRPr="00481BA6">
        <w:t>is</w:t>
      </w:r>
      <w:r w:rsidR="00F55E87" w:rsidRPr="00481BA6">
        <w:t xml:space="preserve"> incomplete, or does not provide either an answer to any question or a reasonable explanation of why an answer to any question has been </w:t>
      </w:r>
      <w:proofErr w:type="gramStart"/>
      <w:r w:rsidR="00F55E87" w:rsidRPr="00481BA6">
        <w:t>omitted</w:t>
      </w:r>
      <w:r w:rsidRPr="00481BA6">
        <w:t>;</w:t>
      </w:r>
      <w:proofErr w:type="gramEnd"/>
    </w:p>
    <w:p w14:paraId="6934EAA2" w14:textId="77777777" w:rsidR="007D2AF2" w:rsidRPr="00481BA6" w:rsidRDefault="005141A5" w:rsidP="0060434D">
      <w:pPr>
        <w:pStyle w:val="ITTBullet"/>
        <w:numPr>
          <w:ilvl w:val="0"/>
          <w:numId w:val="6"/>
        </w:numPr>
      </w:pPr>
      <w:r w:rsidRPr="00481BA6">
        <w:t>r</w:t>
      </w:r>
      <w:r w:rsidR="00F55E87" w:rsidRPr="00481BA6">
        <w:t>efuses to adhere to the Terms and Conditions of Contract</w:t>
      </w:r>
      <w:r w:rsidRPr="00481BA6">
        <w:t>.</w:t>
      </w:r>
    </w:p>
    <w:p w14:paraId="2E1A338D" w14:textId="77777777" w:rsidR="00E3450D" w:rsidRPr="00481BA6" w:rsidRDefault="00E3450D" w:rsidP="00136B05">
      <w:pPr>
        <w:pStyle w:val="ITTBodyLevel2"/>
      </w:pPr>
      <w:r w:rsidRPr="00481BA6">
        <w:t xml:space="preserve">NICE reserves the right to reject or disqualify a </w:t>
      </w:r>
      <w:r w:rsidR="00296648" w:rsidRPr="00481BA6">
        <w:t>Supplier</w:t>
      </w:r>
      <w:r w:rsidRPr="00481BA6">
        <w:t xml:space="preserve"> and/or the members of the </w:t>
      </w:r>
      <w:r w:rsidR="00296648" w:rsidRPr="00481BA6">
        <w:t>Supplier</w:t>
      </w:r>
      <w:r w:rsidRPr="00481BA6">
        <w:t>’s Team where:</w:t>
      </w:r>
    </w:p>
    <w:p w14:paraId="3E3874E0" w14:textId="68650A29" w:rsidR="00E3450D" w:rsidRPr="00481BA6" w:rsidRDefault="005141A5" w:rsidP="0060434D">
      <w:pPr>
        <w:pStyle w:val="ITTBullet"/>
        <w:numPr>
          <w:ilvl w:val="0"/>
          <w:numId w:val="6"/>
        </w:numPr>
      </w:pPr>
      <w:r w:rsidRPr="00481BA6">
        <w:t>t</w:t>
      </w:r>
      <w:r w:rsidR="00E3450D" w:rsidRPr="00481BA6">
        <w:t xml:space="preserve">he </w:t>
      </w:r>
      <w:r w:rsidR="00296648" w:rsidRPr="00481BA6">
        <w:t>Supplier</w:t>
      </w:r>
      <w:r w:rsidR="00E3450D" w:rsidRPr="00481BA6">
        <w:t xml:space="preserve"> and/or the members of the </w:t>
      </w:r>
      <w:r w:rsidR="00296648" w:rsidRPr="00481BA6">
        <w:t>Supplier</w:t>
      </w:r>
      <w:r w:rsidR="00E3450D" w:rsidRPr="00481BA6">
        <w:t xml:space="preserve">’s Team are unable to satisfy the terms of Article 45 of Directive 2004/18/EC and/or </w:t>
      </w:r>
      <w:r w:rsidR="00E3450D" w:rsidRPr="00481BA6">
        <w:lastRenderedPageBreak/>
        <w:t xml:space="preserve">Regulation 23 of the Public Contracts Regulations </w:t>
      </w:r>
      <w:r w:rsidR="00C15813" w:rsidRPr="00481BA6">
        <w:t>20</w:t>
      </w:r>
      <w:r w:rsidR="00C15813">
        <w:t>15</w:t>
      </w:r>
      <w:r w:rsidR="00C15813" w:rsidRPr="00481BA6">
        <w:t xml:space="preserve"> </w:t>
      </w:r>
      <w:r w:rsidR="00E3450D" w:rsidRPr="00481BA6">
        <w:t xml:space="preserve">at any stage during the </w:t>
      </w:r>
      <w:proofErr w:type="gramStart"/>
      <w:r w:rsidR="00E3450D" w:rsidRPr="00481BA6">
        <w:t>Procedure;</w:t>
      </w:r>
      <w:proofErr w:type="gramEnd"/>
    </w:p>
    <w:p w14:paraId="16E88840" w14:textId="77777777" w:rsidR="00E3450D" w:rsidRPr="00481BA6" w:rsidRDefault="005141A5" w:rsidP="0060434D">
      <w:pPr>
        <w:pStyle w:val="ITTBullet"/>
        <w:numPr>
          <w:ilvl w:val="0"/>
          <w:numId w:val="6"/>
        </w:numPr>
      </w:pPr>
      <w:r w:rsidRPr="00481BA6">
        <w:t>the</w:t>
      </w:r>
      <w:r w:rsidR="00E3450D" w:rsidRPr="00481BA6">
        <w:t xml:space="preserve"> </w:t>
      </w:r>
      <w:r w:rsidR="00296648" w:rsidRPr="00481BA6">
        <w:t>Supplier</w:t>
      </w:r>
      <w:r w:rsidR="00E3450D" w:rsidRPr="00481BA6">
        <w:t xml:space="preserve"> and/or the members of the </w:t>
      </w:r>
      <w:r w:rsidR="00296648" w:rsidRPr="00481BA6">
        <w:t>Supplier</w:t>
      </w:r>
      <w:r w:rsidRPr="00481BA6">
        <w:t>’</w:t>
      </w:r>
      <w:r w:rsidR="00E3450D" w:rsidRPr="00481BA6">
        <w:t>s Team are guilty of material misrepresentation or false statement in relation to its application and/or the process; and</w:t>
      </w:r>
    </w:p>
    <w:p w14:paraId="71BFAEAD" w14:textId="77777777" w:rsidR="00E3450D" w:rsidRPr="00481BA6" w:rsidRDefault="005141A5" w:rsidP="0060434D">
      <w:pPr>
        <w:pStyle w:val="ITTBullet"/>
        <w:numPr>
          <w:ilvl w:val="0"/>
          <w:numId w:val="6"/>
        </w:numPr>
      </w:pPr>
      <w:r w:rsidRPr="00481BA6">
        <w:t>t</w:t>
      </w:r>
      <w:r w:rsidR="00E3450D" w:rsidRPr="00481BA6">
        <w:t xml:space="preserve">he </w:t>
      </w:r>
      <w:r w:rsidR="00296648" w:rsidRPr="00481BA6">
        <w:t>Supplier</w:t>
      </w:r>
      <w:r w:rsidR="00E3450D" w:rsidRPr="00481BA6">
        <w:t xml:space="preserve"> and/or the members of the </w:t>
      </w:r>
      <w:r w:rsidR="00296648" w:rsidRPr="00481BA6">
        <w:t>Supplier</w:t>
      </w:r>
      <w:r w:rsidR="00E3450D" w:rsidRPr="00481BA6">
        <w:t xml:space="preserve">’s Team contravene any of the terms and conditions of this </w:t>
      </w:r>
      <w:r w:rsidR="004122C6" w:rsidRPr="00481BA6">
        <w:t xml:space="preserve">ITT </w:t>
      </w:r>
      <w:r w:rsidR="00E3450D" w:rsidRPr="00481BA6">
        <w:t>and/or any Associated Documents.</w:t>
      </w:r>
    </w:p>
    <w:p w14:paraId="619D2239" w14:textId="77777777" w:rsidR="008F0AD1" w:rsidRPr="00481BA6" w:rsidRDefault="008F0AD1" w:rsidP="00886CC8">
      <w:pPr>
        <w:pStyle w:val="ITTHeading1"/>
      </w:pPr>
      <w:bookmarkStart w:id="44" w:name="_Toc104474041"/>
      <w:r w:rsidRPr="00481BA6">
        <w:t>Queries about the Procurement</w:t>
      </w:r>
      <w:bookmarkEnd w:id="38"/>
      <w:bookmarkEnd w:id="39"/>
      <w:bookmarkEnd w:id="40"/>
      <w:bookmarkEnd w:id="44"/>
    </w:p>
    <w:p w14:paraId="6436DCD1" w14:textId="4288379B" w:rsidR="008F0AD1" w:rsidRPr="00481BA6" w:rsidRDefault="008F0AD1" w:rsidP="00FC4CC9">
      <w:pPr>
        <w:pStyle w:val="ITTBody"/>
      </w:pPr>
      <w:r w:rsidRPr="00481BA6">
        <w:t xml:space="preserve">All requests for clarification or further information in respect of this </w:t>
      </w:r>
      <w:r w:rsidR="001A633E" w:rsidRPr="00481BA6">
        <w:t>procurement</w:t>
      </w:r>
      <w:r w:rsidRPr="00481BA6">
        <w:t xml:space="preserve"> should be addressed to NICE’s named contact point</w:t>
      </w:r>
      <w:r w:rsidR="002D1FC4" w:rsidRPr="00481BA6">
        <w:t xml:space="preserve"> </w:t>
      </w:r>
      <w:r w:rsidR="002D1FC4" w:rsidRPr="004E1118">
        <w:t>(</w:t>
      </w:r>
      <w:r w:rsidR="006964EA" w:rsidRPr="004E1118">
        <w:t xml:space="preserve">section </w:t>
      </w:r>
      <w:r w:rsidR="00F71F88">
        <w:t>9</w:t>
      </w:r>
      <w:r w:rsidR="002D1FC4" w:rsidRPr="004E1118">
        <w:t>)</w:t>
      </w:r>
      <w:r w:rsidR="00112288" w:rsidRPr="004E1118">
        <w:t xml:space="preserve"> or discussed during the relevant dialogue meeting with the</w:t>
      </w:r>
      <w:r w:rsidR="00112288" w:rsidRPr="00481BA6">
        <w:t xml:space="preserve"> representatives of NICE</w:t>
      </w:r>
      <w:r w:rsidRPr="00481BA6">
        <w:t xml:space="preserve">. No approach of any </w:t>
      </w:r>
      <w:r w:rsidR="0014640A" w:rsidRPr="00481BA6">
        <w:t xml:space="preserve">kind in connection with this </w:t>
      </w:r>
      <w:r w:rsidR="001A633E" w:rsidRPr="00481BA6">
        <w:t>procurement</w:t>
      </w:r>
      <w:r w:rsidRPr="00481BA6">
        <w:t xml:space="preserve"> should be made to any other person within, or associated with</w:t>
      </w:r>
      <w:r w:rsidR="005141A5" w:rsidRPr="00481BA6">
        <w:t>,</w:t>
      </w:r>
      <w:r w:rsidRPr="00481BA6">
        <w:t xml:space="preserve"> NICE.</w:t>
      </w:r>
    </w:p>
    <w:p w14:paraId="27C21E49" w14:textId="77777777" w:rsidR="008F0AD1" w:rsidRPr="00481BA6" w:rsidRDefault="008F0AD1" w:rsidP="00886CC8">
      <w:pPr>
        <w:pStyle w:val="ITTBody"/>
      </w:pPr>
      <w:r w:rsidRPr="00481BA6">
        <w:t xml:space="preserve">NICE </w:t>
      </w:r>
      <w:r w:rsidR="00112288" w:rsidRPr="00481BA6">
        <w:t xml:space="preserve">will </w:t>
      </w:r>
      <w:r w:rsidRPr="00481BA6">
        <w:t>ensure that all applicants receive equal treatment</w:t>
      </w:r>
      <w:r w:rsidR="00112288" w:rsidRPr="00481BA6">
        <w:t xml:space="preserve"> during this </w:t>
      </w:r>
      <w:proofErr w:type="gramStart"/>
      <w:r w:rsidR="00112288" w:rsidRPr="00481BA6">
        <w:t>procurement</w:t>
      </w:r>
      <w:proofErr w:type="gramEnd"/>
      <w:r w:rsidRPr="00481BA6">
        <w:t xml:space="preserve"> and we will share all information requests and responses with all applicants</w:t>
      </w:r>
      <w:r w:rsidR="00603AD8" w:rsidRPr="00481BA6">
        <w:t xml:space="preserve">.  </w:t>
      </w:r>
      <w:r w:rsidRPr="00481BA6">
        <w:t xml:space="preserve"> </w:t>
      </w:r>
    </w:p>
    <w:p w14:paraId="5D10A09F" w14:textId="4335086A" w:rsidR="00BD0C06" w:rsidRPr="00481BA6" w:rsidRDefault="008F0AD1" w:rsidP="00886CC8">
      <w:pPr>
        <w:pStyle w:val="ITTBody"/>
      </w:pPr>
      <w:r w:rsidRPr="00481BA6">
        <w:t xml:space="preserve">Any questions and answers will be collated and distributed by email to all the </w:t>
      </w:r>
      <w:r w:rsidR="00296648" w:rsidRPr="00481BA6">
        <w:t>Supplier</w:t>
      </w:r>
      <w:r w:rsidR="000B01E8" w:rsidRPr="00481BA6">
        <w:t>s</w:t>
      </w:r>
      <w:r w:rsidRPr="00481BA6">
        <w:t xml:space="preserve"> throughout the tender period. </w:t>
      </w:r>
      <w:r w:rsidR="00023DD5" w:rsidRPr="00481BA6">
        <w:t>The final clarification responses will be issued no less than 6 days prior to the tender submission deadline.</w:t>
      </w:r>
    </w:p>
    <w:p w14:paraId="61EEE640" w14:textId="6F5931C6" w:rsidR="008F0AD1" w:rsidRPr="004E1118" w:rsidRDefault="008F0AD1">
      <w:pPr>
        <w:pStyle w:val="ITTBody"/>
      </w:pPr>
      <w:r w:rsidRPr="00481BA6">
        <w:t xml:space="preserve">Please note that that there will be no telephone or any informal or other kind of discussion between </w:t>
      </w:r>
      <w:r w:rsidR="00296648" w:rsidRPr="00481BA6">
        <w:t>Supplier</w:t>
      </w:r>
      <w:r w:rsidR="00BD0C06" w:rsidRPr="00481BA6">
        <w:t xml:space="preserve">s </w:t>
      </w:r>
      <w:r w:rsidRPr="00481BA6">
        <w:t>and officers or directors of NICE after this document is dispatched</w:t>
      </w:r>
      <w:r w:rsidR="0014640A" w:rsidRPr="00481BA6">
        <w:t xml:space="preserve"> other than the representative</w:t>
      </w:r>
      <w:r w:rsidR="00BD0C06" w:rsidRPr="00481BA6">
        <w:t xml:space="preserve"> of </w:t>
      </w:r>
      <w:r w:rsidR="00603AD8" w:rsidRPr="00481BA6">
        <w:t>N</w:t>
      </w:r>
      <w:r w:rsidR="00BD0C06" w:rsidRPr="00481BA6">
        <w:t xml:space="preserve">ICE </w:t>
      </w:r>
      <w:r w:rsidR="002D1FC4" w:rsidRPr="00481BA6">
        <w:t>named</w:t>
      </w:r>
      <w:r w:rsidR="001A633E" w:rsidRPr="00481BA6">
        <w:t xml:space="preserve"> in </w:t>
      </w:r>
      <w:r w:rsidR="006964EA" w:rsidRPr="004E1118">
        <w:t xml:space="preserve">section </w:t>
      </w:r>
      <w:r w:rsidR="00F71F88">
        <w:t>9</w:t>
      </w:r>
      <w:r w:rsidRPr="004E1118">
        <w:t>.</w:t>
      </w:r>
    </w:p>
    <w:p w14:paraId="25041412" w14:textId="77777777" w:rsidR="00023DD5" w:rsidRPr="00481BA6" w:rsidRDefault="008F0AD1">
      <w:pPr>
        <w:pStyle w:val="ITTBody"/>
      </w:pPr>
      <w:r w:rsidRPr="00481BA6">
        <w:t xml:space="preserve">If NICE considers any question or request for clarification to be of material significance, both the question and the response will be communicated, in a suitably anonymous form to all </w:t>
      </w:r>
      <w:r w:rsidR="00296648" w:rsidRPr="00481BA6">
        <w:t>Supplier</w:t>
      </w:r>
      <w:r w:rsidR="000B01E8" w:rsidRPr="00481BA6">
        <w:t>s</w:t>
      </w:r>
      <w:r w:rsidR="00023DD5" w:rsidRPr="00481BA6">
        <w:t>.</w:t>
      </w:r>
    </w:p>
    <w:p w14:paraId="2882C2D1" w14:textId="22635524" w:rsidR="00A83EA5" w:rsidRPr="00481BA6" w:rsidRDefault="008F0AD1">
      <w:pPr>
        <w:pStyle w:val="ITTBody"/>
      </w:pPr>
      <w:r w:rsidRPr="00481BA6">
        <w:t xml:space="preserve">All responses received and any communication from </w:t>
      </w:r>
      <w:r w:rsidR="00296648" w:rsidRPr="00481BA6">
        <w:t>Supplier</w:t>
      </w:r>
      <w:r w:rsidR="000B01E8" w:rsidRPr="00481BA6">
        <w:t>s</w:t>
      </w:r>
      <w:r w:rsidRPr="00481BA6">
        <w:t xml:space="preserve"> will be treated in confidence but will be </w:t>
      </w:r>
      <w:r w:rsidRPr="004E1118">
        <w:t xml:space="preserve">subject </w:t>
      </w:r>
      <w:r w:rsidR="006964EA" w:rsidRPr="004E1118">
        <w:t>to paragraph</w:t>
      </w:r>
      <w:bookmarkStart w:id="45" w:name="_Toc268272708"/>
      <w:bookmarkStart w:id="46" w:name="_Toc268686442"/>
      <w:r w:rsidR="006964EA" w:rsidRPr="004E1118">
        <w:t xml:space="preserve"> </w:t>
      </w:r>
      <w:r w:rsidR="00F71F88">
        <w:t>8</w:t>
      </w:r>
      <w:r w:rsidR="006964EA" w:rsidRPr="004E1118">
        <w:t>.5</w:t>
      </w:r>
      <w:r w:rsidR="00BD0C06" w:rsidRPr="004E1118">
        <w:t>.</w:t>
      </w:r>
    </w:p>
    <w:p w14:paraId="6D6E247C" w14:textId="77777777" w:rsidR="00F87AAC" w:rsidRDefault="00F87AAC">
      <w:pPr>
        <w:pStyle w:val="ITTHeading1"/>
      </w:pPr>
      <w:bookmarkStart w:id="47" w:name="_Toc104474042"/>
      <w:bookmarkStart w:id="48" w:name="_Toc297644413"/>
      <w:r>
        <w:t>Terms and Conditions queries</w:t>
      </w:r>
      <w:bookmarkEnd w:id="47"/>
    </w:p>
    <w:p w14:paraId="357A91B9" w14:textId="77777777" w:rsidR="00F87AAC" w:rsidRDefault="00F87AAC" w:rsidP="00FC4CC9">
      <w:pPr>
        <w:pStyle w:val="ITTBody"/>
      </w:pPr>
      <w:r>
        <w:t>Open procedure does not allow for negotiation of any terms of contract post contract award.</w:t>
      </w:r>
    </w:p>
    <w:p w14:paraId="3A35369B" w14:textId="09416B25" w:rsidR="00F87AAC" w:rsidRDefault="00F87AAC" w:rsidP="00FC4CC9">
      <w:pPr>
        <w:pStyle w:val="ITTBody"/>
      </w:pPr>
      <w:r>
        <w:t xml:space="preserve">Bidders must follow the process below </w:t>
      </w:r>
      <w:proofErr w:type="gramStart"/>
      <w:r>
        <w:t>in regards to</w:t>
      </w:r>
      <w:proofErr w:type="gramEnd"/>
      <w:r>
        <w:t xml:space="preserve"> any queries, clarifications or considerations regarding the terms and conditions of contract.</w:t>
      </w:r>
    </w:p>
    <w:p w14:paraId="267CAE54" w14:textId="77777777" w:rsidR="00F87AAC" w:rsidRPr="00136B05" w:rsidRDefault="00F87AAC" w:rsidP="00136B05">
      <w:pPr>
        <w:pStyle w:val="ITTBodyLevel2"/>
      </w:pPr>
      <w:r w:rsidRPr="00136B05">
        <w:lastRenderedPageBreak/>
        <w:t xml:space="preserve">Bidders may ask clarification questions regarding the terms and conditions of contract using the process described in section 9 above for clarification on understanding terms only. </w:t>
      </w:r>
    </w:p>
    <w:p w14:paraId="18389413" w14:textId="77777777" w:rsidR="00F87AAC" w:rsidRDefault="00F87AAC" w:rsidP="00136B05">
      <w:pPr>
        <w:pStyle w:val="ITTBodyLevel2"/>
      </w:pPr>
      <w:r>
        <w:t>Bidders must not request changes to terms and conditions of contract using the process described in 9 above.</w:t>
      </w:r>
    </w:p>
    <w:p w14:paraId="4D956249" w14:textId="587E4F02" w:rsidR="00F87AAC" w:rsidRDefault="00F87AAC" w:rsidP="00136B05">
      <w:pPr>
        <w:pStyle w:val="ITTBodyLevel2"/>
      </w:pPr>
      <w:r>
        <w:t>Bidders are required to complete the form “Terms and Conditions Queries” and return this with the bid.</w:t>
      </w:r>
    </w:p>
    <w:p w14:paraId="3928D85B" w14:textId="77777777" w:rsidR="00F87AAC" w:rsidRDefault="00F87AAC" w:rsidP="00136B05">
      <w:pPr>
        <w:pStyle w:val="ITTBodyLevel2"/>
      </w:pPr>
      <w:r>
        <w:t>NICE will assess all bidders Terms and Conditions queries. NICE will:</w:t>
      </w:r>
    </w:p>
    <w:p w14:paraId="19193635" w14:textId="4E02E945" w:rsidR="00F87AAC" w:rsidRDefault="00BA343D" w:rsidP="00136B05">
      <w:pPr>
        <w:pStyle w:val="ITTBodyLevel3"/>
      </w:pPr>
      <w:r>
        <w:t>i</w:t>
      </w:r>
      <w:r w:rsidR="00F87AAC">
        <w:t>nform bidders th</w:t>
      </w:r>
      <w:r>
        <w:t>at</w:t>
      </w:r>
      <w:r w:rsidR="00F87AAC">
        <w:t xml:space="preserve"> no changes will be made to the Terms and Conditions; or</w:t>
      </w:r>
    </w:p>
    <w:p w14:paraId="0F5B0615" w14:textId="489579BB" w:rsidR="00F87AAC" w:rsidRDefault="00F87AAC" w:rsidP="00136B05">
      <w:pPr>
        <w:pStyle w:val="ITTBodyLevel3"/>
      </w:pPr>
      <w:r>
        <w:t>make any changes it sees fit to the Terms and Conditions (at the sole discretion of NICE) and send these to all bidders.</w:t>
      </w:r>
    </w:p>
    <w:p w14:paraId="4EFBA5B7" w14:textId="13DF00A3" w:rsidR="00F87AAC" w:rsidRDefault="00F87AAC" w:rsidP="00136B05">
      <w:pPr>
        <w:pStyle w:val="ITTBodyLevel2"/>
      </w:pPr>
      <w:r>
        <w:t>On receipt of any amended Terms and Conditions subject to 10.2.5, bidder</w:t>
      </w:r>
      <w:r w:rsidR="00BA343D">
        <w:t xml:space="preserve">s </w:t>
      </w:r>
      <w:r>
        <w:t>will be given a date and time to which they must respond to nice with one of the following:</w:t>
      </w:r>
    </w:p>
    <w:p w14:paraId="0442C2E8" w14:textId="624C800F" w:rsidR="00F87AAC" w:rsidRDefault="00F87AAC" w:rsidP="00136B05">
      <w:pPr>
        <w:pStyle w:val="ITTBodyLevel3"/>
      </w:pPr>
      <w:r>
        <w:t>We agree to the Terms and Conditions</w:t>
      </w:r>
    </w:p>
    <w:p w14:paraId="27AE3C50" w14:textId="2BD9A5BA" w:rsidR="00F87AAC" w:rsidRPr="00481BA6" w:rsidRDefault="00F87AAC" w:rsidP="00136B05">
      <w:pPr>
        <w:pStyle w:val="ITTBodyLevel3"/>
      </w:pPr>
      <w:r>
        <w:t>We do not agree with the Terms and Conditions and withdraw our bid.</w:t>
      </w:r>
    </w:p>
    <w:p w14:paraId="3B78A252" w14:textId="77777777" w:rsidR="008F0AD1" w:rsidRPr="00481BA6" w:rsidRDefault="008F0AD1" w:rsidP="00886CC8">
      <w:pPr>
        <w:pStyle w:val="ITTHeading1"/>
      </w:pPr>
      <w:bookmarkStart w:id="49" w:name="_Toc104474043"/>
      <w:r w:rsidRPr="00481BA6">
        <w:t>NICE’s Named Point of Contact</w:t>
      </w:r>
      <w:bookmarkEnd w:id="45"/>
      <w:bookmarkEnd w:id="46"/>
      <w:bookmarkEnd w:id="48"/>
      <w:bookmarkEnd w:id="49"/>
    </w:p>
    <w:p w14:paraId="1DF7E7D4" w14:textId="77777777" w:rsidR="008F0AD1" w:rsidRPr="00481BA6" w:rsidRDefault="008F0AD1" w:rsidP="00FC4CC9">
      <w:pPr>
        <w:pStyle w:val="ITTBody"/>
      </w:pPr>
      <w:r w:rsidRPr="00481BA6">
        <w:t>NICE’s named point of contact for this procurement is:</w:t>
      </w:r>
    </w:p>
    <w:p w14:paraId="6F73AC99" w14:textId="597DF065" w:rsidR="004642F1" w:rsidRPr="009540BD" w:rsidRDefault="00005A1A" w:rsidP="009540BD">
      <w:pPr>
        <w:spacing w:after="0"/>
        <w:ind w:left="1134"/>
        <w:rPr>
          <w:rFonts w:ascii="Arial" w:hAnsi="Arial" w:cs="Arial"/>
          <w:b/>
          <w:bCs/>
          <w:lang w:val="en-GB"/>
        </w:rPr>
      </w:pPr>
      <w:r w:rsidRPr="009540BD">
        <w:rPr>
          <w:rFonts w:ascii="Arial" w:hAnsi="Arial" w:cs="Arial"/>
          <w:b/>
          <w:bCs/>
          <w:lang w:val="en-GB"/>
        </w:rPr>
        <w:t>Sharon Martin</w:t>
      </w:r>
    </w:p>
    <w:p w14:paraId="29A51890" w14:textId="443902E0" w:rsidR="004642F1" w:rsidRDefault="004642F1" w:rsidP="009540BD">
      <w:pPr>
        <w:ind w:left="1134"/>
        <w:rPr>
          <w:rFonts w:ascii="Arial" w:hAnsi="Arial" w:cs="Arial"/>
          <w:lang w:val="en-GB"/>
        </w:rPr>
      </w:pPr>
      <w:r>
        <w:rPr>
          <w:rFonts w:ascii="Arial" w:hAnsi="Arial" w:cs="Arial"/>
          <w:lang w:val="en-GB"/>
        </w:rPr>
        <w:t xml:space="preserve">Procurement </w:t>
      </w:r>
      <w:r w:rsidR="00005A1A">
        <w:rPr>
          <w:rFonts w:ascii="Arial" w:hAnsi="Arial" w:cs="Arial"/>
          <w:lang w:val="en-GB"/>
        </w:rPr>
        <w:t>Officer</w:t>
      </w:r>
      <w:r w:rsidR="008F0AD1" w:rsidRPr="004E1118">
        <w:rPr>
          <w:rFonts w:ascii="Arial" w:hAnsi="Arial" w:cs="Arial"/>
          <w:lang w:val="en-GB"/>
        </w:rPr>
        <w:br/>
        <w:t xml:space="preserve">National Institute for Health and </w:t>
      </w:r>
      <w:r w:rsidR="003A039D" w:rsidRPr="004E1118">
        <w:rPr>
          <w:rFonts w:ascii="Arial" w:hAnsi="Arial" w:cs="Arial"/>
          <w:lang w:val="en-GB"/>
        </w:rPr>
        <w:t>C</w:t>
      </w:r>
      <w:r w:rsidR="003A039D">
        <w:rPr>
          <w:rFonts w:ascii="Arial" w:hAnsi="Arial" w:cs="Arial"/>
          <w:lang w:val="en-GB"/>
        </w:rPr>
        <w:t>are</w:t>
      </w:r>
      <w:r w:rsidR="003A039D" w:rsidRPr="004E1118">
        <w:rPr>
          <w:rFonts w:ascii="Arial" w:hAnsi="Arial" w:cs="Arial"/>
          <w:lang w:val="en-GB"/>
        </w:rPr>
        <w:t xml:space="preserve"> </w:t>
      </w:r>
      <w:r w:rsidR="008F0AD1" w:rsidRPr="004E1118">
        <w:rPr>
          <w:rFonts w:ascii="Arial" w:hAnsi="Arial" w:cs="Arial"/>
          <w:lang w:val="en-GB"/>
        </w:rPr>
        <w:t>Excellence</w:t>
      </w:r>
      <w:r w:rsidR="004E1118">
        <w:rPr>
          <w:rFonts w:ascii="Arial" w:hAnsi="Arial" w:cs="Arial"/>
          <w:lang w:val="en-GB"/>
        </w:rPr>
        <w:br/>
      </w:r>
      <w:r w:rsidR="00805641" w:rsidRPr="004E1118">
        <w:rPr>
          <w:rFonts w:ascii="Arial" w:hAnsi="Arial" w:cs="Arial"/>
          <w:lang w:val="en-GB"/>
        </w:rPr>
        <w:t xml:space="preserve">Email: </w:t>
      </w:r>
      <w:hyperlink r:id="rId14" w:history="1">
        <w:r w:rsidR="00005A1A" w:rsidRPr="004778A3">
          <w:rPr>
            <w:rStyle w:val="Hyperlink"/>
            <w:rFonts w:ascii="Arial" w:hAnsi="Arial" w:cs="Arial"/>
            <w:lang w:val="en-GB"/>
          </w:rPr>
          <w:t>sharon.martin@nice.org.uk</w:t>
        </w:r>
      </w:hyperlink>
      <w:r w:rsidR="00805641" w:rsidRPr="004E1118">
        <w:rPr>
          <w:rFonts w:ascii="Arial" w:hAnsi="Arial" w:cs="Arial"/>
          <w:lang w:val="en-GB"/>
        </w:rPr>
        <w:t xml:space="preserve"> </w:t>
      </w:r>
      <w:r w:rsidR="008F0AD1" w:rsidRPr="004E1118">
        <w:rPr>
          <w:rFonts w:ascii="Arial" w:hAnsi="Arial" w:cs="Arial"/>
          <w:lang w:val="en-GB"/>
        </w:rPr>
        <w:t xml:space="preserve"> </w:t>
      </w:r>
    </w:p>
    <w:p w14:paraId="0B5F7216" w14:textId="77777777" w:rsidR="009540BD" w:rsidRDefault="009540BD">
      <w:pPr>
        <w:spacing w:after="0" w:line="240" w:lineRule="auto"/>
        <w:rPr>
          <w:rFonts w:ascii="Arial" w:hAnsi="Arial"/>
          <w:b/>
          <w:sz w:val="36"/>
          <w:szCs w:val="36"/>
          <w:lang w:val="en-GB" w:bidi="ar-SA"/>
        </w:rPr>
      </w:pPr>
      <w:bookmarkStart w:id="50" w:name="_Toc268272709"/>
      <w:bookmarkStart w:id="51" w:name="_Toc268686443"/>
      <w:bookmarkStart w:id="52" w:name="_Toc297644414"/>
      <w:bookmarkStart w:id="53" w:name="_Toc104474044"/>
      <w:r>
        <w:br w:type="page"/>
      </w:r>
    </w:p>
    <w:p w14:paraId="03D5174F" w14:textId="0651CE2E" w:rsidR="008F0AD1" w:rsidRPr="00481BA6" w:rsidRDefault="00296648" w:rsidP="00886CC8">
      <w:pPr>
        <w:pStyle w:val="ITTHeading1"/>
      </w:pPr>
      <w:r w:rsidRPr="00481BA6">
        <w:lastRenderedPageBreak/>
        <w:t>Supplier</w:t>
      </w:r>
      <w:r w:rsidR="000B01E8" w:rsidRPr="00481BA6">
        <w:t>s</w:t>
      </w:r>
      <w:r w:rsidR="008F0AD1" w:rsidRPr="00481BA6">
        <w:t xml:space="preserve"> Named Point of Contact</w:t>
      </w:r>
      <w:bookmarkEnd w:id="50"/>
      <w:bookmarkEnd w:id="51"/>
      <w:bookmarkEnd w:id="52"/>
      <w:bookmarkEnd w:id="53"/>
    </w:p>
    <w:p w14:paraId="20EBD5E4" w14:textId="77777777" w:rsidR="00A83EA5" w:rsidRPr="00481BA6" w:rsidRDefault="00296648" w:rsidP="00FC4CC9">
      <w:pPr>
        <w:pStyle w:val="ITTBody"/>
      </w:pPr>
      <w:r w:rsidRPr="00481BA6">
        <w:t>Supplier</w:t>
      </w:r>
      <w:r w:rsidR="000B01E8" w:rsidRPr="00481BA6">
        <w:t>s</w:t>
      </w:r>
      <w:r w:rsidR="008F0AD1" w:rsidRPr="00481BA6">
        <w:t xml:space="preserve"> are asked to include a single point of contact in their organisation.  NICE will not be responsible for contacting the </w:t>
      </w:r>
      <w:r w:rsidRPr="00481BA6">
        <w:t>Supplier</w:t>
      </w:r>
      <w:r w:rsidR="008F0AD1" w:rsidRPr="00481BA6">
        <w:t xml:space="preserve"> through any route other than the nominated contact.  The </w:t>
      </w:r>
      <w:r w:rsidRPr="00481BA6">
        <w:t>Supplier</w:t>
      </w:r>
      <w:r w:rsidR="008F0AD1" w:rsidRPr="00481BA6">
        <w:t xml:space="preserve"> must therefore undertake to notify any changes relating to the contact promptly.</w:t>
      </w:r>
    </w:p>
    <w:p w14:paraId="12795B68" w14:textId="77777777" w:rsidR="008F0AD1" w:rsidRPr="00481BA6" w:rsidRDefault="008F0AD1" w:rsidP="00886CC8">
      <w:pPr>
        <w:pStyle w:val="ITTHeading1"/>
      </w:pPr>
      <w:bookmarkStart w:id="54" w:name="_Toc268272711"/>
      <w:bookmarkStart w:id="55" w:name="_Toc268686445"/>
      <w:bookmarkStart w:id="56" w:name="_Toc297644416"/>
      <w:bookmarkStart w:id="57" w:name="_Toc104474045"/>
      <w:r w:rsidRPr="00481BA6">
        <w:t>Additional Information</w:t>
      </w:r>
      <w:bookmarkEnd w:id="54"/>
      <w:bookmarkEnd w:id="55"/>
      <w:bookmarkEnd w:id="56"/>
      <w:bookmarkEnd w:id="57"/>
    </w:p>
    <w:p w14:paraId="54B45482" w14:textId="77777777" w:rsidR="00603AD8" w:rsidRPr="00481BA6" w:rsidRDefault="008F0AD1" w:rsidP="00FC4CC9">
      <w:pPr>
        <w:pStyle w:val="ITTBody"/>
      </w:pPr>
      <w:r w:rsidRPr="00481BA6">
        <w:t xml:space="preserve">NICE expressly reserves the right to require a </w:t>
      </w:r>
      <w:r w:rsidR="00296648" w:rsidRPr="00481BA6">
        <w:t>Supplier</w:t>
      </w:r>
      <w:r w:rsidRPr="00481BA6">
        <w:t xml:space="preserve"> to provide additional information supplementing or clarifying any of the information provided in response to the requests set out in th</w:t>
      </w:r>
      <w:r w:rsidR="0063618F" w:rsidRPr="00481BA6">
        <w:t>e final</w:t>
      </w:r>
      <w:r w:rsidRPr="00481BA6">
        <w:t xml:space="preserve"> ITT. NICE may seek independent financial and market advice to validate information declared, or to assist in the evaluation.  </w:t>
      </w:r>
    </w:p>
    <w:p w14:paraId="251AF41E" w14:textId="77777777" w:rsidR="008F0AD1" w:rsidRPr="00481BA6" w:rsidRDefault="008F0AD1" w:rsidP="00886CC8">
      <w:pPr>
        <w:pStyle w:val="ITTHeading1"/>
      </w:pPr>
      <w:bookmarkStart w:id="58" w:name="_Toc268272712"/>
      <w:bookmarkStart w:id="59" w:name="_Toc268686446"/>
      <w:bookmarkStart w:id="60" w:name="_Toc297644417"/>
      <w:bookmarkStart w:id="61" w:name="_Toc104474046"/>
      <w:r w:rsidRPr="00481BA6">
        <w:t>Freedom of Information</w:t>
      </w:r>
      <w:bookmarkEnd w:id="58"/>
      <w:bookmarkEnd w:id="59"/>
      <w:bookmarkEnd w:id="60"/>
      <w:bookmarkEnd w:id="61"/>
      <w:r w:rsidRPr="00481BA6">
        <w:t xml:space="preserve"> </w:t>
      </w:r>
    </w:p>
    <w:p w14:paraId="1613E42A" w14:textId="77777777" w:rsidR="008F0AD1" w:rsidRPr="00481BA6" w:rsidRDefault="008F0AD1" w:rsidP="00FC4CC9">
      <w:pPr>
        <w:pStyle w:val="ITTBody"/>
      </w:pPr>
      <w:r w:rsidRPr="00481BA6">
        <w:t>In accordance with the obligations and duties placed upon public authorities by the Freedo</w:t>
      </w:r>
      <w:r w:rsidR="00452CDF" w:rsidRPr="00481BA6">
        <w:t xml:space="preserve">m of Information Act 2000 (“the </w:t>
      </w:r>
      <w:proofErr w:type="spellStart"/>
      <w:r w:rsidR="00452CDF" w:rsidRPr="00481BA6">
        <w:t>FoIA</w:t>
      </w:r>
      <w:proofErr w:type="spellEnd"/>
      <w:r w:rsidR="00452CDF" w:rsidRPr="00481BA6">
        <w:t>”</w:t>
      </w:r>
      <w:r w:rsidRPr="00481BA6">
        <w:t xml:space="preserve">), all information submitted to NICE may be disclosed in response to a request made pursuant to the </w:t>
      </w:r>
      <w:proofErr w:type="spellStart"/>
      <w:r w:rsidRPr="00481BA6">
        <w:t>FoIA</w:t>
      </w:r>
      <w:proofErr w:type="spellEnd"/>
      <w:r w:rsidRPr="00481BA6">
        <w:t xml:space="preserve">.  </w:t>
      </w:r>
    </w:p>
    <w:p w14:paraId="1424DAC1" w14:textId="77777777" w:rsidR="008F0AD1" w:rsidRPr="00481BA6" w:rsidRDefault="008F0AD1" w:rsidP="00886CC8">
      <w:pPr>
        <w:pStyle w:val="ITTBody"/>
      </w:pPr>
      <w:r w:rsidRPr="00481BA6">
        <w:t>In respect of any information submitted by a Potential Supplier that it considers to be commercially sensitive the Potential Supplier should:</w:t>
      </w:r>
    </w:p>
    <w:p w14:paraId="64E8DA21" w14:textId="77777777" w:rsidR="008F0AD1" w:rsidRPr="00481BA6" w:rsidRDefault="008F0AD1" w:rsidP="0060434D">
      <w:pPr>
        <w:pStyle w:val="ITTBullet"/>
        <w:numPr>
          <w:ilvl w:val="0"/>
          <w:numId w:val="6"/>
        </w:numPr>
      </w:pPr>
      <w:r w:rsidRPr="00481BA6">
        <w:t xml:space="preserve">clearly identify such information as commercially </w:t>
      </w:r>
      <w:proofErr w:type="gramStart"/>
      <w:r w:rsidRPr="00481BA6">
        <w:t>sensitive;</w:t>
      </w:r>
      <w:proofErr w:type="gramEnd"/>
    </w:p>
    <w:p w14:paraId="540510C9" w14:textId="77777777" w:rsidR="008F0AD1" w:rsidRPr="00481BA6" w:rsidRDefault="008F0AD1" w:rsidP="0060434D">
      <w:pPr>
        <w:pStyle w:val="ITTBullet"/>
        <w:numPr>
          <w:ilvl w:val="0"/>
          <w:numId w:val="6"/>
        </w:numPr>
      </w:pPr>
      <w:r w:rsidRPr="00481BA6">
        <w:t>explain the potential implications of disclosure of such information; and</w:t>
      </w:r>
    </w:p>
    <w:p w14:paraId="6161BEF7" w14:textId="77777777" w:rsidR="008F0AD1" w:rsidRPr="00481BA6" w:rsidRDefault="008F0AD1" w:rsidP="0060434D">
      <w:pPr>
        <w:pStyle w:val="ITTBullet"/>
        <w:numPr>
          <w:ilvl w:val="0"/>
          <w:numId w:val="6"/>
        </w:numPr>
      </w:pPr>
      <w:r w:rsidRPr="00481BA6">
        <w:t xml:space="preserve">provide an estimate of the </w:t>
      </w:r>
      <w:proofErr w:type="gramStart"/>
      <w:r w:rsidRPr="00481BA6">
        <w:t>period of time</w:t>
      </w:r>
      <w:proofErr w:type="gramEnd"/>
      <w:r w:rsidRPr="00481BA6">
        <w:t xml:space="preserve"> during which the Potential Supplier believes that such information will remain commercially sensitive.</w:t>
      </w:r>
    </w:p>
    <w:p w14:paraId="7DE802A9" w14:textId="71136C61" w:rsidR="008F0AD1" w:rsidRPr="00481BA6" w:rsidRDefault="008F0AD1" w:rsidP="00FC4CC9">
      <w:pPr>
        <w:pStyle w:val="ITTBody"/>
      </w:pPr>
      <w:r w:rsidRPr="00481BA6">
        <w:t xml:space="preserve">Please submit responses to </w:t>
      </w:r>
      <w:r w:rsidR="00296648" w:rsidRPr="001C4710">
        <w:t>1</w:t>
      </w:r>
      <w:r w:rsidR="00AF4993" w:rsidRPr="001C4710">
        <w:t>3</w:t>
      </w:r>
      <w:r w:rsidR="00F71F88" w:rsidRPr="001C4710">
        <w:t>.2</w:t>
      </w:r>
      <w:r w:rsidR="006964EA" w:rsidRPr="00481BA6">
        <w:t xml:space="preserve"> as an Annex</w:t>
      </w:r>
      <w:r w:rsidRPr="00481BA6">
        <w:t xml:space="preserve"> with the completed tender offer.</w:t>
      </w:r>
    </w:p>
    <w:p w14:paraId="48BB140A" w14:textId="77777777" w:rsidR="008F0AD1" w:rsidRPr="00481BA6" w:rsidRDefault="008F0AD1" w:rsidP="00886CC8">
      <w:pPr>
        <w:pStyle w:val="ITTBody"/>
      </w:pPr>
      <w:r w:rsidRPr="00481BA6">
        <w:t xml:space="preserve">Where a Potential Supplier identifies information as commercially sensitive, NICE will endeavour to maintain confidentiality. </w:t>
      </w:r>
      <w:r w:rsidR="00296648" w:rsidRPr="00481BA6">
        <w:t>Supplier</w:t>
      </w:r>
      <w:r w:rsidR="000B01E8" w:rsidRPr="00481BA6">
        <w:t>s</w:t>
      </w:r>
      <w:r w:rsidRPr="00481BA6">
        <w:t xml:space="preserve"> should note, however, that, even where information is identified as commercially sensitive, NICE might be required to disclose such information in accordance with the </w:t>
      </w:r>
      <w:proofErr w:type="spellStart"/>
      <w:r w:rsidRPr="00481BA6">
        <w:t>FoIA</w:t>
      </w:r>
      <w:proofErr w:type="spellEnd"/>
      <w:r w:rsidRPr="00481BA6">
        <w:t>. Accordingly, NICE cannot guarantee that any information marked ‘commercially sensitive’ will not be disclosed.</w:t>
      </w:r>
    </w:p>
    <w:p w14:paraId="4BFCAD35" w14:textId="77777777" w:rsidR="008F0AD1" w:rsidRPr="00481BA6" w:rsidRDefault="008F0AD1" w:rsidP="00886CC8">
      <w:pPr>
        <w:pStyle w:val="ITTHeading1"/>
      </w:pPr>
      <w:bookmarkStart w:id="62" w:name="_Toc297644418"/>
      <w:bookmarkStart w:id="63" w:name="_Toc104474047"/>
      <w:r w:rsidRPr="00886CC8">
        <w:t>Procurement</w:t>
      </w:r>
      <w:r w:rsidRPr="00481BA6">
        <w:t xml:space="preserve"> Transparency</w:t>
      </w:r>
      <w:bookmarkEnd w:id="62"/>
      <w:bookmarkEnd w:id="63"/>
    </w:p>
    <w:p w14:paraId="378DA179" w14:textId="0BB6F573" w:rsidR="00586FBC" w:rsidRPr="00481BA6" w:rsidRDefault="00452CDF" w:rsidP="00FC4CC9">
      <w:pPr>
        <w:pStyle w:val="ITTBody"/>
      </w:pPr>
      <w:proofErr w:type="gramStart"/>
      <w:r w:rsidRPr="00481BA6">
        <w:lastRenderedPageBreak/>
        <w:t>In light of</w:t>
      </w:r>
      <w:proofErr w:type="gramEnd"/>
      <w:r w:rsidRPr="00481BA6">
        <w:t xml:space="preserve"> the </w:t>
      </w:r>
      <w:r w:rsidR="008F0AD1" w:rsidRPr="00481BA6">
        <w:t xml:space="preserve">need for greater transparency, </w:t>
      </w:r>
      <w:r w:rsidR="00296648" w:rsidRPr="00481BA6">
        <w:t>Supplier</w:t>
      </w:r>
      <w:r w:rsidR="000B01E8" w:rsidRPr="00481BA6">
        <w:t>s</w:t>
      </w:r>
      <w:r w:rsidR="008F0AD1" w:rsidRPr="00481BA6">
        <w:t xml:space="preserve"> and those organisations looking to bid for public sector contracts should be aware that if they are awarded a contract for this work, the resulting contract between the supplier and NICE will be published in its entirety. </w:t>
      </w:r>
    </w:p>
    <w:p w14:paraId="4F7862EB" w14:textId="04F2F055" w:rsidR="008F0AD1" w:rsidRPr="00481BA6" w:rsidRDefault="008F0AD1" w:rsidP="00886CC8">
      <w:pPr>
        <w:pStyle w:val="ITTBody"/>
      </w:pPr>
      <w:r w:rsidRPr="00481BA6">
        <w:t xml:space="preserve">In some circumstances, limited redactions will be made to some contracts before they are published </w:t>
      </w:r>
      <w:proofErr w:type="gramStart"/>
      <w:r w:rsidRPr="00481BA6">
        <w:t>in order to</w:t>
      </w:r>
      <w:proofErr w:type="gramEnd"/>
      <w:r w:rsidRPr="00481BA6">
        <w:t xml:space="preserve"> comply with existing law and for the protection of national security. </w:t>
      </w:r>
      <w:r w:rsidR="00296648" w:rsidRPr="00481BA6">
        <w:t>Supplier</w:t>
      </w:r>
      <w:r w:rsidR="000B01E8" w:rsidRPr="00481BA6">
        <w:t>s</w:t>
      </w:r>
      <w:r w:rsidRPr="00481BA6">
        <w:t xml:space="preserve"> are asked to make any sections of their tender that they regard as Commercial in Confidence or subject to the </w:t>
      </w:r>
      <w:proofErr w:type="spellStart"/>
      <w:proofErr w:type="gramStart"/>
      <w:r w:rsidRPr="00481BA6">
        <w:t>non disclosure</w:t>
      </w:r>
      <w:proofErr w:type="spellEnd"/>
      <w:proofErr w:type="gramEnd"/>
      <w:r w:rsidRPr="00481BA6">
        <w:t xml:space="preserve"> clauses of the FOIA or DPA clear within the submission documents. Please note that the total value (bottom line) of the agreement is required to be published under current </w:t>
      </w:r>
      <w:r w:rsidR="00E57A60">
        <w:t>Public Contracts Regulations 2015</w:t>
      </w:r>
      <w:r w:rsidRPr="00481BA6">
        <w:t xml:space="preserve"> and the UK governments Transparency Agenda. Please do not hesitate to contact us if you require clarity upon this point.</w:t>
      </w:r>
    </w:p>
    <w:p w14:paraId="5877A18B" w14:textId="77777777" w:rsidR="008F0AD1" w:rsidRPr="00481BA6" w:rsidRDefault="008F0AD1" w:rsidP="00886CC8">
      <w:pPr>
        <w:pStyle w:val="ITTBody"/>
      </w:pPr>
      <w:r w:rsidRPr="00481BA6">
        <w:t xml:space="preserve">Please complete </w:t>
      </w:r>
      <w:r w:rsidR="006964EA" w:rsidRPr="00481BA6">
        <w:t>Annex 4 - Redaction Requests</w:t>
      </w:r>
      <w:r w:rsidR="001A633E" w:rsidRPr="00481BA6">
        <w:t xml:space="preserve"> of the ITT</w:t>
      </w:r>
      <w:r w:rsidRPr="00481BA6">
        <w:t>, to notify NICE of any sections of the tender you regard as Commercial in Confidence.</w:t>
      </w:r>
    </w:p>
    <w:p w14:paraId="007D38FA" w14:textId="77777777" w:rsidR="008F0AD1" w:rsidRPr="00481BA6" w:rsidRDefault="00776430">
      <w:pPr>
        <w:pStyle w:val="ITTHeading1"/>
      </w:pPr>
      <w:bookmarkStart w:id="64" w:name="_Toc290891498"/>
      <w:bookmarkStart w:id="65" w:name="_Toc290891770"/>
      <w:bookmarkStart w:id="66" w:name="_Toc297644419"/>
      <w:bookmarkStart w:id="67" w:name="_Toc104474048"/>
      <w:bookmarkStart w:id="68" w:name="_Toc268272710"/>
      <w:bookmarkStart w:id="69" w:name="_Toc268686444"/>
      <w:r w:rsidRPr="00481BA6">
        <w:t xml:space="preserve">Tender </w:t>
      </w:r>
      <w:r w:rsidR="008F0AD1" w:rsidRPr="00481BA6">
        <w:t>Evaluation and Selection Criteria</w:t>
      </w:r>
      <w:bookmarkEnd w:id="64"/>
      <w:bookmarkEnd w:id="65"/>
      <w:bookmarkEnd w:id="66"/>
      <w:bookmarkEnd w:id="67"/>
    </w:p>
    <w:p w14:paraId="5EFF7C60" w14:textId="77777777" w:rsidR="008F0AD1" w:rsidRPr="00481BA6" w:rsidRDefault="008F0AD1">
      <w:pPr>
        <w:pStyle w:val="ITTheading2"/>
      </w:pPr>
      <w:bookmarkStart w:id="70" w:name="_Toc297644420"/>
      <w:bookmarkStart w:id="71" w:name="_Toc104474049"/>
      <w:r w:rsidRPr="00886CC8">
        <w:t>Evaluation</w:t>
      </w:r>
      <w:bookmarkEnd w:id="70"/>
      <w:bookmarkEnd w:id="71"/>
    </w:p>
    <w:p w14:paraId="0A535981" w14:textId="4BE70D70" w:rsidR="008F0AD1" w:rsidRPr="00481BA6" w:rsidRDefault="008F0AD1" w:rsidP="00136B05">
      <w:pPr>
        <w:pStyle w:val="ITTBodyLevel2"/>
      </w:pPr>
      <w:r w:rsidRPr="00481BA6">
        <w:t>NICE will review all tenders to ensure they are fully compliant with the</w:t>
      </w:r>
      <w:r w:rsidR="001A633E" w:rsidRPr="00481BA6">
        <w:t>se</w:t>
      </w:r>
      <w:r w:rsidRPr="00481BA6">
        <w:t xml:space="preserve"> </w:t>
      </w:r>
      <w:r w:rsidR="00586FBC" w:rsidRPr="00481BA6">
        <w:t>instructions</w:t>
      </w:r>
      <w:r w:rsidRPr="00481BA6">
        <w:t>. Any no</w:t>
      </w:r>
      <w:r w:rsidR="002407F5" w:rsidRPr="00481BA6">
        <w:t xml:space="preserve">n-compliant bid may be </w:t>
      </w:r>
      <w:r w:rsidR="002407F5" w:rsidRPr="008F32D6">
        <w:t xml:space="preserve">rejected (see </w:t>
      </w:r>
      <w:r w:rsidR="008F32D6" w:rsidRPr="008F32D6">
        <w:t>7</w:t>
      </w:r>
      <w:r w:rsidR="006964EA" w:rsidRPr="008F32D6">
        <w:t>.14).</w:t>
      </w:r>
    </w:p>
    <w:p w14:paraId="3A9D54A6" w14:textId="77777777" w:rsidR="00B66F91" w:rsidRPr="00481BA6" w:rsidRDefault="00B66F91" w:rsidP="00136B05">
      <w:pPr>
        <w:pStyle w:val="ITTBodyLevel2"/>
      </w:pPr>
      <w:r w:rsidRPr="00481BA6">
        <w:t>The underlying principle of ITT evaluation will be based on the Most Economically Advantageous Tender that meets NICE’s requirements.</w:t>
      </w:r>
    </w:p>
    <w:p w14:paraId="40C53348" w14:textId="77777777" w:rsidR="009D5DF9" w:rsidRPr="00481BA6" w:rsidRDefault="00B66F91" w:rsidP="00136B05">
      <w:pPr>
        <w:pStyle w:val="ITTBodyLevel2"/>
      </w:pPr>
      <w:r w:rsidRPr="00481BA6">
        <w:t xml:space="preserve">The Evaluation Methodology set out in this section will be used to evaluate the </w:t>
      </w:r>
      <w:r w:rsidR="00296648" w:rsidRPr="00481BA6">
        <w:t>Supplier</w:t>
      </w:r>
      <w:r w:rsidRPr="00481BA6">
        <w:t>s’ submission</w:t>
      </w:r>
      <w:r w:rsidR="001A633E" w:rsidRPr="00481BA6">
        <w:t>/offer</w:t>
      </w:r>
      <w:r w:rsidRPr="00481BA6">
        <w:t xml:space="preserve"> </w:t>
      </w:r>
      <w:r w:rsidR="001A633E" w:rsidRPr="00481BA6">
        <w:t>to</w:t>
      </w:r>
      <w:r w:rsidRPr="00481BA6">
        <w:t xml:space="preserve"> th</w:t>
      </w:r>
      <w:r w:rsidR="009C694B" w:rsidRPr="00481BA6">
        <w:t>is</w:t>
      </w:r>
      <w:r w:rsidR="001A633E" w:rsidRPr="00481BA6">
        <w:t xml:space="preserve"> </w:t>
      </w:r>
      <w:r w:rsidRPr="00481BA6">
        <w:t xml:space="preserve">Invitation to Tender (ITT). </w:t>
      </w:r>
    </w:p>
    <w:p w14:paraId="684D15DD" w14:textId="2454F708" w:rsidR="009D5DF9" w:rsidRDefault="00B66F91" w:rsidP="00136B05">
      <w:pPr>
        <w:pStyle w:val="ITTBodyLevel2"/>
      </w:pPr>
      <w:r w:rsidRPr="00481BA6">
        <w:t xml:space="preserve">Bidders should note that cost is a factor in this procurement and represents </w:t>
      </w:r>
      <w:r w:rsidR="00BB7163">
        <w:t>50</w:t>
      </w:r>
      <w:r w:rsidRPr="00481BA6">
        <w:t>% of the overall score.</w:t>
      </w:r>
      <w:r w:rsidR="00117C44">
        <w:t xml:space="preserve"> </w:t>
      </w:r>
    </w:p>
    <w:p w14:paraId="167FAF63" w14:textId="77777777" w:rsidR="00D97D71" w:rsidRDefault="00D97D71" w:rsidP="00136B05">
      <w:pPr>
        <w:pStyle w:val="ITTBodyLevel2"/>
      </w:pPr>
      <w:r>
        <w:t>The tender submission will be evaluated in the following order:</w:t>
      </w:r>
    </w:p>
    <w:tbl>
      <w:tblPr>
        <w:tblStyle w:val="TableGrid"/>
        <w:tblW w:w="0" w:type="auto"/>
        <w:jc w:val="center"/>
        <w:tblLook w:val="04A0" w:firstRow="1" w:lastRow="0" w:firstColumn="1" w:lastColumn="0" w:noHBand="0" w:noVBand="1"/>
      </w:tblPr>
      <w:tblGrid>
        <w:gridCol w:w="1449"/>
        <w:gridCol w:w="3969"/>
        <w:gridCol w:w="2369"/>
      </w:tblGrid>
      <w:tr w:rsidR="0060434D" w14:paraId="2602DA98" w14:textId="77777777" w:rsidTr="00EF4333">
        <w:trPr>
          <w:jc w:val="center"/>
        </w:trPr>
        <w:tc>
          <w:tcPr>
            <w:tcW w:w="1355" w:type="dxa"/>
          </w:tcPr>
          <w:p w14:paraId="21A5EDB7" w14:textId="366016BF" w:rsidR="0060434D" w:rsidRPr="00EF4333" w:rsidRDefault="0060434D" w:rsidP="00EF4333">
            <w:pPr>
              <w:pStyle w:val="ITTParagraphLevel3"/>
              <w:ind w:hanging="1077"/>
              <w:rPr>
                <w:b/>
                <w:sz w:val="28"/>
                <w:szCs w:val="28"/>
              </w:rPr>
            </w:pPr>
            <w:bookmarkStart w:id="72" w:name="_Toc468718647"/>
            <w:bookmarkStart w:id="73" w:name="_Toc468794679"/>
            <w:bookmarkStart w:id="74" w:name="_Toc297644421"/>
            <w:r w:rsidRPr="00EF4333">
              <w:rPr>
                <w:b/>
                <w:sz w:val="28"/>
                <w:szCs w:val="28"/>
              </w:rPr>
              <w:t>Stage 1</w:t>
            </w:r>
            <w:bookmarkEnd w:id="72"/>
            <w:bookmarkEnd w:id="73"/>
          </w:p>
        </w:tc>
        <w:tc>
          <w:tcPr>
            <w:tcW w:w="3969" w:type="dxa"/>
          </w:tcPr>
          <w:p w14:paraId="759D52CE" w14:textId="78568A95" w:rsidR="0060434D" w:rsidRPr="0060434D" w:rsidRDefault="0060434D" w:rsidP="00AF4993">
            <w:pPr>
              <w:pStyle w:val="ITTParagraphLevel3"/>
              <w:tabs>
                <w:tab w:val="clear" w:pos="1077"/>
              </w:tabs>
              <w:ind w:left="281" w:firstLine="0"/>
              <w:rPr>
                <w:b/>
              </w:rPr>
            </w:pPr>
            <w:bookmarkStart w:id="75" w:name="_Toc468718648"/>
            <w:bookmarkStart w:id="76" w:name="_Toc468794680"/>
            <w:r w:rsidRPr="0060434D">
              <w:t>Mandatory and Discretionary Exclusions Response Document</w:t>
            </w:r>
            <w:bookmarkEnd w:id="75"/>
            <w:bookmarkEnd w:id="76"/>
          </w:p>
        </w:tc>
        <w:tc>
          <w:tcPr>
            <w:tcW w:w="2369" w:type="dxa"/>
          </w:tcPr>
          <w:p w14:paraId="50C83DA0" w14:textId="16E71907" w:rsidR="0060434D" w:rsidRPr="00EF4333" w:rsidRDefault="0060434D" w:rsidP="00EF4333">
            <w:pPr>
              <w:pStyle w:val="ITTParagraphLevel3"/>
              <w:rPr>
                <w:b/>
                <w:sz w:val="28"/>
                <w:szCs w:val="28"/>
              </w:rPr>
            </w:pPr>
            <w:bookmarkStart w:id="77" w:name="_Toc468718649"/>
            <w:bookmarkStart w:id="78" w:name="_Toc468794681"/>
            <w:r w:rsidRPr="00EF4333">
              <w:rPr>
                <w:b/>
                <w:sz w:val="28"/>
                <w:szCs w:val="28"/>
              </w:rPr>
              <w:t>Pass / Fail</w:t>
            </w:r>
            <w:bookmarkEnd w:id="77"/>
            <w:bookmarkEnd w:id="78"/>
          </w:p>
          <w:p w14:paraId="2F7E940F" w14:textId="33286CC9" w:rsidR="0060434D" w:rsidRPr="00EF4333" w:rsidRDefault="0060434D" w:rsidP="00EF4333">
            <w:pPr>
              <w:pStyle w:val="ITTParagraphLevel3"/>
              <w:tabs>
                <w:tab w:val="clear" w:pos="1077"/>
              </w:tabs>
              <w:ind w:left="281" w:firstLine="0"/>
            </w:pPr>
            <w:r w:rsidRPr="00EF4333">
              <w:t>(</w:t>
            </w:r>
            <w:proofErr w:type="gramStart"/>
            <w:r w:rsidRPr="00EF4333">
              <w:t>if</w:t>
            </w:r>
            <w:proofErr w:type="gramEnd"/>
            <w:r w:rsidRPr="00EF4333">
              <w:t xml:space="preserve"> Pass, bidder will go to stage 2)</w:t>
            </w:r>
          </w:p>
        </w:tc>
      </w:tr>
      <w:tr w:rsidR="0060434D" w14:paraId="3E5259EA" w14:textId="77777777" w:rsidTr="00EF4333">
        <w:trPr>
          <w:jc w:val="center"/>
        </w:trPr>
        <w:tc>
          <w:tcPr>
            <w:tcW w:w="1355" w:type="dxa"/>
          </w:tcPr>
          <w:p w14:paraId="70C7B29A" w14:textId="0632ADF5" w:rsidR="0060434D" w:rsidRPr="00EF4333" w:rsidRDefault="0060434D" w:rsidP="00EF4333">
            <w:pPr>
              <w:pStyle w:val="ITTParagraphLevel3"/>
              <w:ind w:hanging="1077"/>
              <w:rPr>
                <w:b/>
                <w:sz w:val="28"/>
                <w:szCs w:val="28"/>
              </w:rPr>
            </w:pPr>
            <w:bookmarkStart w:id="79" w:name="_Toc468718650"/>
            <w:bookmarkStart w:id="80" w:name="_Toc468794682"/>
            <w:r w:rsidRPr="00EF4333">
              <w:rPr>
                <w:b/>
                <w:sz w:val="28"/>
                <w:szCs w:val="28"/>
              </w:rPr>
              <w:t>Stage 2</w:t>
            </w:r>
            <w:bookmarkEnd w:id="79"/>
            <w:bookmarkEnd w:id="80"/>
          </w:p>
        </w:tc>
        <w:tc>
          <w:tcPr>
            <w:tcW w:w="3969" w:type="dxa"/>
          </w:tcPr>
          <w:p w14:paraId="381BBD53" w14:textId="2B0F78A8" w:rsidR="0060434D" w:rsidRPr="00EF4333" w:rsidRDefault="0060434D" w:rsidP="00AF4993">
            <w:pPr>
              <w:pStyle w:val="ITTParagraphLevel3"/>
              <w:tabs>
                <w:tab w:val="clear" w:pos="1077"/>
              </w:tabs>
              <w:ind w:left="281" w:firstLine="0"/>
            </w:pPr>
            <w:bookmarkStart w:id="81" w:name="_Toc468718651"/>
            <w:bookmarkStart w:id="82" w:name="_Toc468794683"/>
            <w:r w:rsidRPr="00EF4333">
              <w:t>SVQ Response Document</w:t>
            </w:r>
            <w:bookmarkEnd w:id="81"/>
            <w:bookmarkEnd w:id="82"/>
          </w:p>
        </w:tc>
        <w:tc>
          <w:tcPr>
            <w:tcW w:w="2369" w:type="dxa"/>
          </w:tcPr>
          <w:p w14:paraId="24E4EEB3" w14:textId="77777777" w:rsidR="0060434D" w:rsidRPr="00EF4333" w:rsidRDefault="0060434D" w:rsidP="00EF4333">
            <w:pPr>
              <w:pStyle w:val="ITTParagraphLevel3"/>
              <w:rPr>
                <w:b/>
                <w:sz w:val="28"/>
                <w:szCs w:val="28"/>
              </w:rPr>
            </w:pPr>
            <w:bookmarkStart w:id="83" w:name="_Toc468718652"/>
            <w:bookmarkStart w:id="84" w:name="_Toc468794684"/>
            <w:r w:rsidRPr="00EF4333">
              <w:rPr>
                <w:b/>
                <w:sz w:val="28"/>
                <w:szCs w:val="28"/>
              </w:rPr>
              <w:t>Pass / Fail</w:t>
            </w:r>
            <w:bookmarkEnd w:id="83"/>
            <w:bookmarkEnd w:id="84"/>
          </w:p>
          <w:p w14:paraId="1B3AEAE7" w14:textId="10292CDF" w:rsidR="0060434D" w:rsidRPr="0060434D" w:rsidRDefault="0060434D" w:rsidP="00EF4333">
            <w:pPr>
              <w:pStyle w:val="ITTParagraphLevel3"/>
              <w:tabs>
                <w:tab w:val="clear" w:pos="1077"/>
              </w:tabs>
              <w:ind w:left="281" w:firstLine="0"/>
              <w:rPr>
                <w:b/>
              </w:rPr>
            </w:pPr>
            <w:bookmarkStart w:id="85" w:name="_Toc468718653"/>
            <w:bookmarkStart w:id="86" w:name="_Toc468794685"/>
            <w:r w:rsidRPr="00EF4333">
              <w:t>(</w:t>
            </w:r>
            <w:proofErr w:type="gramStart"/>
            <w:r w:rsidRPr="00EF4333">
              <w:t>if</w:t>
            </w:r>
            <w:proofErr w:type="gramEnd"/>
            <w:r w:rsidRPr="00EF4333">
              <w:t xml:space="preserve"> Pass, bidder will go to stage 3)</w:t>
            </w:r>
            <w:bookmarkEnd w:id="85"/>
            <w:bookmarkEnd w:id="86"/>
          </w:p>
        </w:tc>
      </w:tr>
      <w:tr w:rsidR="0060434D" w14:paraId="1CD0A7BB" w14:textId="77777777" w:rsidTr="00EF4333">
        <w:trPr>
          <w:jc w:val="center"/>
        </w:trPr>
        <w:tc>
          <w:tcPr>
            <w:tcW w:w="1355" w:type="dxa"/>
          </w:tcPr>
          <w:p w14:paraId="78E13841" w14:textId="4B4BF934" w:rsidR="0060434D" w:rsidRPr="00EF4333" w:rsidRDefault="0060434D" w:rsidP="00EF4333">
            <w:pPr>
              <w:pStyle w:val="ITTParagraphLevel3"/>
              <w:ind w:hanging="1077"/>
              <w:rPr>
                <w:b/>
                <w:sz w:val="28"/>
                <w:szCs w:val="28"/>
              </w:rPr>
            </w:pPr>
            <w:bookmarkStart w:id="87" w:name="_Toc468718654"/>
            <w:bookmarkStart w:id="88" w:name="_Toc468794686"/>
            <w:r w:rsidRPr="00EF4333">
              <w:rPr>
                <w:b/>
                <w:sz w:val="28"/>
                <w:szCs w:val="28"/>
              </w:rPr>
              <w:t>Stage 3</w:t>
            </w:r>
            <w:bookmarkEnd w:id="87"/>
            <w:bookmarkEnd w:id="88"/>
          </w:p>
        </w:tc>
        <w:tc>
          <w:tcPr>
            <w:tcW w:w="3969" w:type="dxa"/>
          </w:tcPr>
          <w:p w14:paraId="73381284" w14:textId="0B9488B2" w:rsidR="0060434D" w:rsidRPr="00EF4333" w:rsidRDefault="0060434D" w:rsidP="00AF4993">
            <w:pPr>
              <w:pStyle w:val="ITTParagraphLevel3"/>
              <w:tabs>
                <w:tab w:val="clear" w:pos="1077"/>
              </w:tabs>
              <w:ind w:left="281" w:firstLine="0"/>
            </w:pPr>
            <w:bookmarkStart w:id="89" w:name="_Toc468718655"/>
            <w:bookmarkStart w:id="90" w:name="_Toc468794687"/>
            <w:r w:rsidRPr="00EF4333">
              <w:t>Bidders Response Document to ITT</w:t>
            </w:r>
            <w:bookmarkEnd w:id="89"/>
            <w:bookmarkEnd w:id="90"/>
          </w:p>
        </w:tc>
        <w:tc>
          <w:tcPr>
            <w:tcW w:w="2369" w:type="dxa"/>
          </w:tcPr>
          <w:p w14:paraId="6F8B62CB" w14:textId="77777777" w:rsidR="0060434D" w:rsidRPr="00EF4333" w:rsidRDefault="0060434D" w:rsidP="00EF4333">
            <w:pPr>
              <w:pStyle w:val="ITTParagraphLevel3"/>
              <w:rPr>
                <w:b/>
                <w:sz w:val="28"/>
                <w:szCs w:val="28"/>
              </w:rPr>
            </w:pPr>
            <w:bookmarkStart w:id="91" w:name="_Toc468718656"/>
            <w:bookmarkStart w:id="92" w:name="_Toc468794688"/>
            <w:r w:rsidRPr="00EF4333">
              <w:rPr>
                <w:b/>
                <w:sz w:val="28"/>
                <w:szCs w:val="28"/>
              </w:rPr>
              <w:t>Evaluation</w:t>
            </w:r>
            <w:bookmarkEnd w:id="91"/>
            <w:bookmarkEnd w:id="92"/>
            <w:r w:rsidRPr="00EF4333">
              <w:rPr>
                <w:b/>
                <w:sz w:val="28"/>
                <w:szCs w:val="28"/>
              </w:rPr>
              <w:t xml:space="preserve"> </w:t>
            </w:r>
          </w:p>
          <w:p w14:paraId="492B4A5D" w14:textId="3615DD75" w:rsidR="0060434D" w:rsidRDefault="0060434D" w:rsidP="00AF4993">
            <w:pPr>
              <w:pStyle w:val="ITTParagraphLevel3"/>
              <w:tabs>
                <w:tab w:val="clear" w:pos="1077"/>
              </w:tabs>
              <w:ind w:left="281" w:firstLine="0"/>
            </w:pPr>
            <w:bookmarkStart w:id="93" w:name="_Toc468718657"/>
            <w:bookmarkStart w:id="94" w:name="_Toc468794689"/>
            <w:r w:rsidRPr="00EF4333">
              <w:lastRenderedPageBreak/>
              <w:t>as described in 1</w:t>
            </w:r>
            <w:r w:rsidR="00AF4993">
              <w:t>5</w:t>
            </w:r>
            <w:r w:rsidRPr="00EF4333">
              <w:t>.1, 1</w:t>
            </w:r>
            <w:r w:rsidR="00AF4993">
              <w:t>5</w:t>
            </w:r>
            <w:r w:rsidRPr="00EF4333">
              <w:t>.2</w:t>
            </w:r>
            <w:r w:rsidR="00CA3568">
              <w:t xml:space="preserve">, </w:t>
            </w:r>
            <w:r w:rsidRPr="00EF4333">
              <w:t>1</w:t>
            </w:r>
            <w:r w:rsidR="00AF4993">
              <w:t>5</w:t>
            </w:r>
            <w:r w:rsidRPr="00EF4333">
              <w:t>.3</w:t>
            </w:r>
            <w:bookmarkEnd w:id="93"/>
            <w:bookmarkEnd w:id="94"/>
            <w:r w:rsidR="00CA3568">
              <w:t xml:space="preserve"> and 15.4</w:t>
            </w:r>
          </w:p>
        </w:tc>
      </w:tr>
      <w:tr w:rsidR="0060434D" w14:paraId="4CD58187" w14:textId="77777777" w:rsidTr="00EF4333">
        <w:trPr>
          <w:jc w:val="center"/>
        </w:trPr>
        <w:tc>
          <w:tcPr>
            <w:tcW w:w="1355" w:type="dxa"/>
          </w:tcPr>
          <w:p w14:paraId="07120D24" w14:textId="3CF6C41B" w:rsidR="0060434D" w:rsidRPr="00EF4333" w:rsidRDefault="0060434D" w:rsidP="00EF4333">
            <w:pPr>
              <w:pStyle w:val="ITTParagraphLevel3"/>
              <w:ind w:hanging="1077"/>
              <w:rPr>
                <w:b/>
                <w:sz w:val="28"/>
                <w:szCs w:val="28"/>
              </w:rPr>
            </w:pPr>
            <w:bookmarkStart w:id="95" w:name="_Toc468718658"/>
            <w:bookmarkStart w:id="96" w:name="_Toc468794690"/>
            <w:r w:rsidRPr="00EF4333">
              <w:rPr>
                <w:b/>
                <w:sz w:val="28"/>
                <w:szCs w:val="28"/>
              </w:rPr>
              <w:lastRenderedPageBreak/>
              <w:t>Stage 4</w:t>
            </w:r>
            <w:bookmarkEnd w:id="95"/>
            <w:bookmarkEnd w:id="96"/>
          </w:p>
        </w:tc>
        <w:tc>
          <w:tcPr>
            <w:tcW w:w="3969" w:type="dxa"/>
          </w:tcPr>
          <w:p w14:paraId="5A8EC0FE" w14:textId="32EFF74F" w:rsidR="0060434D" w:rsidRPr="00EF4333" w:rsidRDefault="0060434D" w:rsidP="00EF4333">
            <w:pPr>
              <w:pStyle w:val="ITTParagraphLevel3"/>
              <w:tabs>
                <w:tab w:val="clear" w:pos="1077"/>
              </w:tabs>
              <w:ind w:left="281" w:firstLine="0"/>
            </w:pPr>
            <w:bookmarkStart w:id="97" w:name="_Toc468794691"/>
            <w:r w:rsidRPr="00EF4333">
              <w:t>Supplier interview (if required)</w:t>
            </w:r>
            <w:bookmarkEnd w:id="97"/>
          </w:p>
        </w:tc>
        <w:tc>
          <w:tcPr>
            <w:tcW w:w="2369" w:type="dxa"/>
          </w:tcPr>
          <w:p w14:paraId="05F38968" w14:textId="77777777" w:rsidR="0060434D" w:rsidRPr="00EF4333" w:rsidRDefault="0060434D" w:rsidP="00EF4333">
            <w:pPr>
              <w:pStyle w:val="ITTParagraphLevel3"/>
              <w:rPr>
                <w:b/>
                <w:sz w:val="28"/>
                <w:szCs w:val="28"/>
              </w:rPr>
            </w:pPr>
            <w:bookmarkStart w:id="98" w:name="_Toc468718660"/>
            <w:bookmarkStart w:id="99" w:name="_Toc468794692"/>
            <w:r w:rsidRPr="00EF4333">
              <w:rPr>
                <w:b/>
                <w:sz w:val="28"/>
                <w:szCs w:val="28"/>
              </w:rPr>
              <w:t>Evaluation</w:t>
            </w:r>
            <w:bookmarkEnd w:id="98"/>
            <w:bookmarkEnd w:id="99"/>
            <w:r w:rsidRPr="00EF4333">
              <w:rPr>
                <w:b/>
                <w:sz w:val="28"/>
                <w:szCs w:val="28"/>
              </w:rPr>
              <w:t xml:space="preserve"> </w:t>
            </w:r>
          </w:p>
          <w:p w14:paraId="318EC2D7" w14:textId="36F725C8" w:rsidR="0060434D" w:rsidRDefault="0060434D" w:rsidP="00AF4993">
            <w:pPr>
              <w:pStyle w:val="ITTParagraphLevel3"/>
              <w:tabs>
                <w:tab w:val="clear" w:pos="1077"/>
              </w:tabs>
              <w:ind w:left="281" w:firstLine="0"/>
            </w:pPr>
            <w:bookmarkStart w:id="100" w:name="_Toc468718661"/>
            <w:bookmarkStart w:id="101" w:name="_Toc468794693"/>
            <w:r w:rsidRPr="00EF4333">
              <w:t>as described 1</w:t>
            </w:r>
            <w:r w:rsidR="00AF4993">
              <w:t>5</w:t>
            </w:r>
            <w:r w:rsidRPr="00EF4333">
              <w:t>.</w:t>
            </w:r>
            <w:bookmarkEnd w:id="100"/>
            <w:bookmarkEnd w:id="101"/>
            <w:r w:rsidR="00CA3568">
              <w:t>5</w:t>
            </w:r>
          </w:p>
        </w:tc>
      </w:tr>
    </w:tbl>
    <w:p w14:paraId="3AEF66D2" w14:textId="53D46885" w:rsidR="0060434D" w:rsidRDefault="0060434D" w:rsidP="00886CC8">
      <w:pPr>
        <w:pStyle w:val="ITTheading2"/>
        <w:numPr>
          <w:ilvl w:val="0"/>
          <w:numId w:val="0"/>
        </w:numPr>
        <w:ind w:left="1163"/>
      </w:pPr>
    </w:p>
    <w:p w14:paraId="6B62F179" w14:textId="2CF0F65F" w:rsidR="008F0AD1" w:rsidRPr="00481BA6" w:rsidRDefault="008F0AD1">
      <w:pPr>
        <w:pStyle w:val="ITTheading2"/>
      </w:pPr>
      <w:bookmarkStart w:id="102" w:name="_Toc104474050"/>
      <w:r w:rsidRPr="00481BA6">
        <w:t>Cost Evaluation</w:t>
      </w:r>
      <w:bookmarkEnd w:id="74"/>
      <w:bookmarkEnd w:id="102"/>
    </w:p>
    <w:p w14:paraId="4DD6A3B2" w14:textId="77777777" w:rsidR="008F0AD1" w:rsidRPr="00481BA6" w:rsidRDefault="008F0AD1" w:rsidP="00136B05">
      <w:pPr>
        <w:pStyle w:val="ITTBodyLevel2"/>
      </w:pPr>
      <w:r w:rsidRPr="00481BA6">
        <w:t>The cost will be evaluated using the following formula:</w:t>
      </w:r>
    </w:p>
    <w:p w14:paraId="3E52BD81" w14:textId="7505DAAE" w:rsidR="008F0AD1" w:rsidRDefault="008F0AD1" w:rsidP="008F32D6">
      <w:pPr>
        <w:ind w:left="1134"/>
        <w:rPr>
          <w:rFonts w:ascii="Arial" w:hAnsi="Arial" w:cs="Arial"/>
          <w:sz w:val="24"/>
          <w:szCs w:val="24"/>
          <w:lang w:val="en-GB"/>
        </w:rPr>
      </w:pPr>
      <w:r w:rsidRPr="008F32D6">
        <w:rPr>
          <w:rFonts w:ascii="Arial" w:hAnsi="Arial" w:cs="Arial"/>
          <w:sz w:val="24"/>
          <w:szCs w:val="24"/>
          <w:lang w:val="en-GB"/>
        </w:rPr>
        <w:t xml:space="preserve">Lowest Price / </w:t>
      </w:r>
      <w:r w:rsidR="00296648" w:rsidRPr="008F32D6">
        <w:rPr>
          <w:rFonts w:ascii="Arial" w:hAnsi="Arial" w:cs="Arial"/>
          <w:sz w:val="24"/>
          <w:szCs w:val="24"/>
          <w:lang w:val="en-GB"/>
        </w:rPr>
        <w:t>Supplier</w:t>
      </w:r>
      <w:r w:rsidR="000B01E8" w:rsidRPr="008F32D6">
        <w:rPr>
          <w:rFonts w:ascii="Arial" w:hAnsi="Arial" w:cs="Arial"/>
          <w:sz w:val="24"/>
          <w:szCs w:val="24"/>
          <w:lang w:val="en-GB"/>
        </w:rPr>
        <w:t>s</w:t>
      </w:r>
      <w:r w:rsidRPr="008F32D6">
        <w:rPr>
          <w:rFonts w:ascii="Arial" w:hAnsi="Arial" w:cs="Arial"/>
          <w:sz w:val="24"/>
          <w:szCs w:val="24"/>
          <w:lang w:val="en-GB"/>
        </w:rPr>
        <w:t xml:space="preserve"> Price </w:t>
      </w:r>
      <w:r w:rsidRPr="00E54822">
        <w:rPr>
          <w:rFonts w:ascii="Arial" w:hAnsi="Arial" w:cs="Arial"/>
          <w:sz w:val="24"/>
          <w:szCs w:val="24"/>
          <w:lang w:val="en-GB"/>
        </w:rPr>
        <w:t xml:space="preserve">X </w:t>
      </w:r>
      <w:r w:rsidR="00335A97" w:rsidRPr="00E54822">
        <w:rPr>
          <w:rFonts w:ascii="Arial" w:hAnsi="Arial" w:cs="Arial"/>
          <w:sz w:val="24"/>
          <w:szCs w:val="24"/>
          <w:lang w:val="en-GB"/>
        </w:rPr>
        <w:t>5</w:t>
      </w:r>
      <w:r w:rsidR="00E54822" w:rsidRPr="00E54822">
        <w:rPr>
          <w:rFonts w:ascii="Arial" w:hAnsi="Arial" w:cs="Arial"/>
          <w:sz w:val="24"/>
          <w:szCs w:val="24"/>
          <w:lang w:val="en-GB"/>
        </w:rPr>
        <w:t>0</w:t>
      </w:r>
      <w:r w:rsidRPr="008F32D6">
        <w:rPr>
          <w:rFonts w:ascii="Arial" w:hAnsi="Arial" w:cs="Arial"/>
          <w:sz w:val="24"/>
          <w:szCs w:val="24"/>
          <w:lang w:val="en-GB"/>
        </w:rPr>
        <w:t xml:space="preserve"> (the weighting)</w:t>
      </w:r>
    </w:p>
    <w:p w14:paraId="073CCF8A" w14:textId="77777777" w:rsidR="008F0AD1" w:rsidRPr="00481BA6" w:rsidRDefault="008F0AD1" w:rsidP="00886CC8">
      <w:pPr>
        <w:pStyle w:val="ITTheading2"/>
      </w:pPr>
      <w:bookmarkStart w:id="103" w:name="_Toc297644422"/>
      <w:bookmarkStart w:id="104" w:name="_Toc104474051"/>
      <w:r w:rsidRPr="00481BA6">
        <w:t>Criteria and Scoring Guide</w:t>
      </w:r>
      <w:bookmarkEnd w:id="103"/>
      <w:bookmarkEnd w:id="104"/>
    </w:p>
    <w:p w14:paraId="42F29429" w14:textId="77777777" w:rsidR="008F0AD1" w:rsidRPr="00481BA6" w:rsidRDefault="008F0AD1" w:rsidP="00136B05">
      <w:pPr>
        <w:pStyle w:val="ITTBodyLevel2"/>
      </w:pPr>
      <w:r w:rsidRPr="00481BA6">
        <w:t>Each evaluator will independently evaluate each tender submitted and use the follow</w:t>
      </w:r>
      <w:r w:rsidR="005A024B" w:rsidRPr="00481BA6">
        <w:t>ing guide to score each criterion. T</w:t>
      </w:r>
      <w:r w:rsidRPr="00481BA6">
        <w:t>he scores of all eva</w:t>
      </w:r>
      <w:r w:rsidR="005A024B" w:rsidRPr="00481BA6">
        <w:t>luators per criterion will</w:t>
      </w:r>
      <w:r w:rsidRPr="00481BA6">
        <w:t xml:space="preserve"> then </w:t>
      </w:r>
      <w:r w:rsidR="005A024B" w:rsidRPr="00481BA6">
        <w:t xml:space="preserve">be </w:t>
      </w:r>
      <w:r w:rsidRPr="00481BA6">
        <w:t>avera</w:t>
      </w:r>
      <w:r w:rsidR="005A024B" w:rsidRPr="00481BA6">
        <w:t>ged and weighting</w:t>
      </w:r>
      <w:r w:rsidRPr="00481BA6">
        <w:t xml:space="preserve"> applied to give an adjusted score. All clarifications required by NICE will be incorporated into the final evaluation.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4394"/>
      </w:tblGrid>
      <w:tr w:rsidR="00EF6D8B" w:rsidRPr="00481BA6" w14:paraId="61CE2181" w14:textId="77777777" w:rsidTr="009540BD">
        <w:trPr>
          <w:jc w:val="center"/>
        </w:trPr>
        <w:tc>
          <w:tcPr>
            <w:tcW w:w="993" w:type="dxa"/>
          </w:tcPr>
          <w:p w14:paraId="6F2AB71E" w14:textId="77777777" w:rsidR="00EF6D8B" w:rsidRPr="00481BA6" w:rsidRDefault="00EF6D8B" w:rsidP="009C1117">
            <w:pPr>
              <w:pStyle w:val="ITTTable1"/>
              <w:tabs>
                <w:tab w:val="left" w:pos="0"/>
              </w:tabs>
              <w:spacing w:before="0" w:after="0"/>
              <w:jc w:val="center"/>
              <w:rPr>
                <w:b/>
              </w:rPr>
            </w:pPr>
            <w:r w:rsidRPr="00481BA6">
              <w:rPr>
                <w:b/>
              </w:rPr>
              <w:t>Score</w:t>
            </w:r>
          </w:p>
        </w:tc>
        <w:tc>
          <w:tcPr>
            <w:tcW w:w="4394" w:type="dxa"/>
          </w:tcPr>
          <w:p w14:paraId="54BFEC03" w14:textId="77777777" w:rsidR="00EF6D8B" w:rsidRPr="00481BA6" w:rsidRDefault="00EF6D8B" w:rsidP="009C1117">
            <w:pPr>
              <w:pStyle w:val="ITTTable1"/>
              <w:tabs>
                <w:tab w:val="left" w:pos="0"/>
              </w:tabs>
              <w:spacing w:before="0" w:after="0"/>
              <w:jc w:val="center"/>
              <w:rPr>
                <w:b/>
              </w:rPr>
            </w:pPr>
            <w:r w:rsidRPr="00481BA6">
              <w:rPr>
                <w:b/>
              </w:rPr>
              <w:t>Guide</w:t>
            </w:r>
          </w:p>
        </w:tc>
      </w:tr>
      <w:tr w:rsidR="008F0AD1" w:rsidRPr="00481BA6" w14:paraId="741E1AC1" w14:textId="77777777" w:rsidTr="009540BD">
        <w:trPr>
          <w:jc w:val="center"/>
        </w:trPr>
        <w:tc>
          <w:tcPr>
            <w:tcW w:w="993" w:type="dxa"/>
          </w:tcPr>
          <w:p w14:paraId="3BE839B7" w14:textId="77777777" w:rsidR="008F0AD1" w:rsidRPr="00481BA6" w:rsidRDefault="008F0AD1" w:rsidP="009C1117">
            <w:pPr>
              <w:pStyle w:val="ITTTable1"/>
              <w:tabs>
                <w:tab w:val="left" w:pos="0"/>
              </w:tabs>
              <w:spacing w:before="0" w:after="0"/>
            </w:pPr>
            <w:r w:rsidRPr="00481BA6">
              <w:t>-</w:t>
            </w:r>
            <w:r w:rsidR="004836CB" w:rsidRPr="00481BA6">
              <w:t>5</w:t>
            </w:r>
            <w:r w:rsidRPr="00481BA6">
              <w:t xml:space="preserve">            </w:t>
            </w:r>
          </w:p>
        </w:tc>
        <w:tc>
          <w:tcPr>
            <w:tcW w:w="4394" w:type="dxa"/>
          </w:tcPr>
          <w:p w14:paraId="56FAF1E1" w14:textId="77777777" w:rsidR="008F0AD1" w:rsidRPr="00F326A7" w:rsidRDefault="008F0AD1" w:rsidP="009C1117">
            <w:pPr>
              <w:pStyle w:val="ITTTable1"/>
              <w:tabs>
                <w:tab w:val="left" w:pos="0"/>
              </w:tabs>
              <w:spacing w:before="0" w:after="0"/>
            </w:pPr>
            <w:r w:rsidRPr="00F326A7">
              <w:t>The point is omitted</w:t>
            </w:r>
          </w:p>
        </w:tc>
      </w:tr>
      <w:tr w:rsidR="008F0AD1" w:rsidRPr="00481BA6" w14:paraId="1E725A06" w14:textId="77777777" w:rsidTr="009540BD">
        <w:trPr>
          <w:jc w:val="center"/>
        </w:trPr>
        <w:tc>
          <w:tcPr>
            <w:tcW w:w="993" w:type="dxa"/>
          </w:tcPr>
          <w:p w14:paraId="41F54C09" w14:textId="77777777" w:rsidR="008F0AD1" w:rsidRPr="00481BA6" w:rsidRDefault="004836CB" w:rsidP="009C1117">
            <w:pPr>
              <w:pStyle w:val="ITTTable1"/>
              <w:tabs>
                <w:tab w:val="left" w:pos="0"/>
              </w:tabs>
              <w:spacing w:before="0" w:after="0"/>
            </w:pPr>
            <w:r w:rsidRPr="00481BA6">
              <w:t>0</w:t>
            </w:r>
            <w:r w:rsidR="008F0AD1" w:rsidRPr="00481BA6">
              <w:t xml:space="preserve">  </w:t>
            </w:r>
          </w:p>
        </w:tc>
        <w:tc>
          <w:tcPr>
            <w:tcW w:w="4394" w:type="dxa"/>
          </w:tcPr>
          <w:p w14:paraId="7A72BABA" w14:textId="77777777" w:rsidR="008F0AD1" w:rsidRPr="00481BA6" w:rsidRDefault="008F0AD1" w:rsidP="009C1117">
            <w:pPr>
              <w:pStyle w:val="ITTTable1"/>
              <w:tabs>
                <w:tab w:val="left" w:pos="0"/>
              </w:tabs>
              <w:spacing w:before="0" w:after="0"/>
            </w:pPr>
            <w:r w:rsidRPr="00F326A7">
              <w:t>The point is mentioned but not explai</w:t>
            </w:r>
            <w:r w:rsidRPr="00481BA6">
              <w:t>ned</w:t>
            </w:r>
          </w:p>
        </w:tc>
      </w:tr>
      <w:tr w:rsidR="008F0AD1" w:rsidRPr="00481BA6" w14:paraId="2C8BA7F9" w14:textId="77777777" w:rsidTr="009540BD">
        <w:trPr>
          <w:jc w:val="center"/>
        </w:trPr>
        <w:tc>
          <w:tcPr>
            <w:tcW w:w="993" w:type="dxa"/>
          </w:tcPr>
          <w:p w14:paraId="23F453C0" w14:textId="77777777" w:rsidR="008F0AD1" w:rsidRPr="00481BA6" w:rsidRDefault="004836CB" w:rsidP="009C1117">
            <w:pPr>
              <w:pStyle w:val="ITTTable1"/>
              <w:tabs>
                <w:tab w:val="left" w:pos="0"/>
              </w:tabs>
              <w:spacing w:before="0" w:after="0"/>
            </w:pPr>
            <w:r w:rsidRPr="00481BA6">
              <w:t>1</w:t>
            </w:r>
          </w:p>
        </w:tc>
        <w:tc>
          <w:tcPr>
            <w:tcW w:w="4394" w:type="dxa"/>
          </w:tcPr>
          <w:p w14:paraId="6F3DAFBC" w14:textId="77777777" w:rsidR="008F0AD1" w:rsidRPr="00F326A7" w:rsidRDefault="008F0AD1" w:rsidP="009C1117">
            <w:pPr>
              <w:pStyle w:val="ITTTable1"/>
              <w:tabs>
                <w:tab w:val="left" w:pos="0"/>
              </w:tabs>
              <w:spacing w:before="0" w:after="0"/>
            </w:pPr>
            <w:r w:rsidRPr="00F326A7">
              <w:t xml:space="preserve"> Not acceptable</w:t>
            </w:r>
          </w:p>
        </w:tc>
      </w:tr>
      <w:tr w:rsidR="008F0AD1" w:rsidRPr="00481BA6" w14:paraId="1BB00353" w14:textId="77777777" w:rsidTr="009540BD">
        <w:trPr>
          <w:jc w:val="center"/>
        </w:trPr>
        <w:tc>
          <w:tcPr>
            <w:tcW w:w="993" w:type="dxa"/>
          </w:tcPr>
          <w:p w14:paraId="04B7CBDC" w14:textId="77777777" w:rsidR="008F0AD1" w:rsidRPr="00481BA6" w:rsidRDefault="004836CB" w:rsidP="009C1117">
            <w:pPr>
              <w:pStyle w:val="ITTTable1"/>
              <w:tabs>
                <w:tab w:val="left" w:pos="0"/>
              </w:tabs>
              <w:spacing w:before="0" w:after="0"/>
            </w:pPr>
            <w:r w:rsidRPr="00481BA6">
              <w:t>2</w:t>
            </w:r>
          </w:p>
        </w:tc>
        <w:tc>
          <w:tcPr>
            <w:tcW w:w="4394" w:type="dxa"/>
          </w:tcPr>
          <w:p w14:paraId="1A146694" w14:textId="77777777" w:rsidR="008F0AD1" w:rsidRPr="00F326A7" w:rsidRDefault="008F0AD1" w:rsidP="009C1117">
            <w:pPr>
              <w:pStyle w:val="ITTTable1"/>
              <w:tabs>
                <w:tab w:val="left" w:pos="0"/>
              </w:tabs>
              <w:spacing w:before="0" w:after="0"/>
            </w:pPr>
            <w:r w:rsidRPr="00F326A7">
              <w:t>The point is possibly acceptable</w:t>
            </w:r>
          </w:p>
        </w:tc>
      </w:tr>
      <w:tr w:rsidR="008F0AD1" w:rsidRPr="00481BA6" w14:paraId="5F834E27" w14:textId="77777777" w:rsidTr="009540BD">
        <w:trPr>
          <w:jc w:val="center"/>
        </w:trPr>
        <w:tc>
          <w:tcPr>
            <w:tcW w:w="993" w:type="dxa"/>
          </w:tcPr>
          <w:p w14:paraId="4A7C4C89" w14:textId="77777777" w:rsidR="008F0AD1" w:rsidRPr="00481BA6" w:rsidRDefault="004836CB" w:rsidP="009C1117">
            <w:pPr>
              <w:pStyle w:val="ITTTable1"/>
              <w:tabs>
                <w:tab w:val="left" w:pos="0"/>
              </w:tabs>
              <w:spacing w:before="0" w:after="0"/>
            </w:pPr>
            <w:r w:rsidRPr="00481BA6">
              <w:t>3</w:t>
            </w:r>
            <w:r w:rsidR="008F0AD1" w:rsidRPr="00481BA6">
              <w:t xml:space="preserve">      </w:t>
            </w:r>
          </w:p>
        </w:tc>
        <w:tc>
          <w:tcPr>
            <w:tcW w:w="4394" w:type="dxa"/>
          </w:tcPr>
          <w:p w14:paraId="1D910541" w14:textId="77777777" w:rsidR="008F0AD1" w:rsidRPr="00F326A7" w:rsidRDefault="008F0AD1" w:rsidP="009C1117">
            <w:pPr>
              <w:pStyle w:val="ITTTable1"/>
              <w:tabs>
                <w:tab w:val="left" w:pos="0"/>
              </w:tabs>
              <w:spacing w:before="0" w:after="0"/>
            </w:pPr>
            <w:r w:rsidRPr="00F326A7">
              <w:t>The point is acceptable</w:t>
            </w:r>
          </w:p>
        </w:tc>
      </w:tr>
      <w:tr w:rsidR="008F0AD1" w:rsidRPr="00481BA6" w14:paraId="5F52EEB1" w14:textId="77777777" w:rsidTr="009540BD">
        <w:trPr>
          <w:jc w:val="center"/>
        </w:trPr>
        <w:tc>
          <w:tcPr>
            <w:tcW w:w="993" w:type="dxa"/>
          </w:tcPr>
          <w:p w14:paraId="4B5A0935" w14:textId="77777777" w:rsidR="008F0AD1" w:rsidRPr="00481BA6" w:rsidRDefault="004836CB" w:rsidP="009C1117">
            <w:pPr>
              <w:pStyle w:val="ITTTable1"/>
              <w:tabs>
                <w:tab w:val="left" w:pos="0"/>
              </w:tabs>
              <w:spacing w:before="0" w:after="0"/>
            </w:pPr>
            <w:r w:rsidRPr="00481BA6">
              <w:t>4</w:t>
            </w:r>
            <w:r w:rsidR="008F0AD1" w:rsidRPr="00481BA6">
              <w:t xml:space="preserve">      </w:t>
            </w:r>
          </w:p>
        </w:tc>
        <w:tc>
          <w:tcPr>
            <w:tcW w:w="4394" w:type="dxa"/>
          </w:tcPr>
          <w:p w14:paraId="58200454" w14:textId="77777777" w:rsidR="008F0AD1" w:rsidRPr="00F326A7" w:rsidRDefault="008F0AD1" w:rsidP="009C1117">
            <w:pPr>
              <w:pStyle w:val="ITTTable1"/>
              <w:tabs>
                <w:tab w:val="left" w:pos="0"/>
              </w:tabs>
              <w:spacing w:before="0" w:after="0"/>
            </w:pPr>
            <w:r w:rsidRPr="00F326A7">
              <w:t>The point is well made and acceptable</w:t>
            </w:r>
          </w:p>
        </w:tc>
      </w:tr>
      <w:tr w:rsidR="008F0AD1" w:rsidRPr="00481BA6" w14:paraId="3757055C" w14:textId="77777777" w:rsidTr="009540BD">
        <w:trPr>
          <w:jc w:val="center"/>
        </w:trPr>
        <w:tc>
          <w:tcPr>
            <w:tcW w:w="993" w:type="dxa"/>
          </w:tcPr>
          <w:p w14:paraId="0B9BF6E3" w14:textId="77777777" w:rsidR="008F0AD1" w:rsidRPr="00481BA6" w:rsidRDefault="004836CB" w:rsidP="009C1117">
            <w:pPr>
              <w:pStyle w:val="ITTTable1"/>
              <w:tabs>
                <w:tab w:val="left" w:pos="0"/>
              </w:tabs>
              <w:spacing w:before="0" w:after="0"/>
            </w:pPr>
            <w:r w:rsidRPr="00481BA6">
              <w:t>5</w:t>
            </w:r>
            <w:r w:rsidR="008F0AD1" w:rsidRPr="00481BA6">
              <w:t xml:space="preserve">  </w:t>
            </w:r>
          </w:p>
        </w:tc>
        <w:tc>
          <w:tcPr>
            <w:tcW w:w="4394" w:type="dxa"/>
          </w:tcPr>
          <w:p w14:paraId="795B1C3B" w14:textId="77777777" w:rsidR="008F0AD1" w:rsidRPr="00481BA6" w:rsidRDefault="008F0AD1" w:rsidP="009C1117">
            <w:pPr>
              <w:pStyle w:val="ITTTable1"/>
              <w:tabs>
                <w:tab w:val="left" w:pos="0"/>
              </w:tabs>
              <w:spacing w:before="0" w:after="0"/>
            </w:pPr>
            <w:r w:rsidRPr="00F326A7">
              <w:t>Exceeds Expectations</w:t>
            </w:r>
            <w:r w:rsidR="004836CB" w:rsidRPr="00481BA6">
              <w:t xml:space="preserve"> / Best</w:t>
            </w:r>
          </w:p>
        </w:tc>
      </w:tr>
    </w:tbl>
    <w:p w14:paraId="4A85F287" w14:textId="77777777" w:rsidR="005A5A82" w:rsidRDefault="005A5A82" w:rsidP="00136B05">
      <w:pPr>
        <w:pStyle w:val="ITTBodyLevel2"/>
        <w:numPr>
          <w:ilvl w:val="0"/>
          <w:numId w:val="0"/>
        </w:numPr>
        <w:ind w:left="1134"/>
      </w:pPr>
    </w:p>
    <w:p w14:paraId="68D342C7" w14:textId="2CED146B" w:rsidR="00EF4333" w:rsidRPr="00136B05" w:rsidRDefault="00D15840" w:rsidP="00886CC8">
      <w:pPr>
        <w:pStyle w:val="ITTheading2"/>
      </w:pPr>
      <w:bookmarkStart w:id="105" w:name="_Toc104474052"/>
      <w:bookmarkStart w:id="106" w:name="_Toc297644423"/>
      <w:bookmarkEnd w:id="68"/>
      <w:bookmarkEnd w:id="69"/>
      <w:r>
        <w:t xml:space="preserve">Criteria and </w:t>
      </w:r>
      <w:r w:rsidR="00EF4333" w:rsidRPr="00136B05">
        <w:t>scoring</w:t>
      </w:r>
      <w:bookmarkEnd w:id="105"/>
    </w:p>
    <w:p w14:paraId="1EFA67C0" w14:textId="0196F2A1" w:rsidR="00EF4333" w:rsidRPr="007126F7" w:rsidRDefault="00EF4333" w:rsidP="00136B05">
      <w:pPr>
        <w:pStyle w:val="ITTBodyLevel2"/>
      </w:pPr>
      <w:r w:rsidRPr="00EF4333">
        <w:t>The selection criteria that will be applied to this tender are:</w:t>
      </w:r>
    </w:p>
    <w:p w14:paraId="5D17127D" w14:textId="77777777" w:rsidR="00EF4333" w:rsidRDefault="00EF4333" w:rsidP="00EF4333">
      <w:pPr>
        <w:pStyle w:val="ITTParagraphLevel2"/>
        <w:spacing w:after="120"/>
      </w:pPr>
    </w:p>
    <w:tbl>
      <w:tblPr>
        <w:tblpPr w:leftFromText="171" w:rightFromText="171" w:vertAnchor="text"/>
        <w:tblW w:w="8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96"/>
        <w:gridCol w:w="1641"/>
      </w:tblGrid>
      <w:tr w:rsidR="005B0D73" w:rsidRPr="005B0D73" w14:paraId="1C2305F6" w14:textId="77777777" w:rsidTr="0050614C">
        <w:tc>
          <w:tcPr>
            <w:tcW w:w="6996" w:type="dxa"/>
            <w:tcMar>
              <w:top w:w="0" w:type="dxa"/>
              <w:left w:w="108" w:type="dxa"/>
              <w:bottom w:w="0" w:type="dxa"/>
              <w:right w:w="108" w:type="dxa"/>
            </w:tcMar>
            <w:hideMark/>
          </w:tcPr>
          <w:p w14:paraId="3601B267" w14:textId="77777777" w:rsidR="005B0D73" w:rsidRPr="005B0D73" w:rsidRDefault="005B0D73" w:rsidP="005B0D73">
            <w:pPr>
              <w:rPr>
                <w:rFonts w:ascii="Arial" w:hAnsi="Arial" w:cs="Arial"/>
                <w:b/>
                <w:bCs/>
                <w:lang w:val="en-GB"/>
              </w:rPr>
            </w:pPr>
            <w:r w:rsidRPr="005B0D73">
              <w:rPr>
                <w:rFonts w:ascii="Arial" w:hAnsi="Arial" w:cs="Arial"/>
                <w:b/>
                <w:bCs/>
                <w:lang w:val="en-GB"/>
              </w:rPr>
              <w:t>Criteria</w:t>
            </w:r>
          </w:p>
        </w:tc>
        <w:tc>
          <w:tcPr>
            <w:tcW w:w="1641" w:type="dxa"/>
            <w:tcMar>
              <w:top w:w="0" w:type="dxa"/>
              <w:left w:w="108" w:type="dxa"/>
              <w:bottom w:w="0" w:type="dxa"/>
              <w:right w:w="108" w:type="dxa"/>
            </w:tcMar>
            <w:hideMark/>
          </w:tcPr>
          <w:p w14:paraId="7A25EDDC" w14:textId="77777777" w:rsidR="005B0D73" w:rsidRPr="005B0D73" w:rsidRDefault="005B0D73" w:rsidP="005B0D73">
            <w:pPr>
              <w:rPr>
                <w:rFonts w:ascii="Arial" w:hAnsi="Arial" w:cs="Arial"/>
                <w:b/>
                <w:bCs/>
                <w:lang w:val="en-GB"/>
              </w:rPr>
            </w:pPr>
            <w:r w:rsidRPr="005B0D73">
              <w:rPr>
                <w:rFonts w:ascii="Arial" w:hAnsi="Arial" w:cs="Arial"/>
                <w:b/>
                <w:bCs/>
                <w:lang w:val="en-GB"/>
              </w:rPr>
              <w:t>Weighting</w:t>
            </w:r>
          </w:p>
        </w:tc>
      </w:tr>
      <w:tr w:rsidR="0050614C" w:rsidRPr="005B0D73" w14:paraId="71234FCB" w14:textId="77777777" w:rsidTr="0050614C">
        <w:tc>
          <w:tcPr>
            <w:tcW w:w="6996" w:type="dxa"/>
            <w:tcMar>
              <w:top w:w="0" w:type="dxa"/>
              <w:left w:w="108" w:type="dxa"/>
              <w:bottom w:w="0" w:type="dxa"/>
              <w:right w:w="108" w:type="dxa"/>
            </w:tcMar>
          </w:tcPr>
          <w:p w14:paraId="57E30D4F" w14:textId="77777777" w:rsidR="0050614C" w:rsidRPr="005B0D73" w:rsidRDefault="0050614C" w:rsidP="0050614C">
            <w:pPr>
              <w:rPr>
                <w:rFonts w:ascii="Arial" w:hAnsi="Arial" w:cs="Arial"/>
                <w:lang w:val="en-GB"/>
              </w:rPr>
            </w:pPr>
            <w:r w:rsidRPr="005B0D73">
              <w:rPr>
                <w:rFonts w:ascii="Arial" w:hAnsi="Arial" w:cs="Arial"/>
                <w:lang w:val="en-GB"/>
              </w:rPr>
              <w:t>Topic Content</w:t>
            </w:r>
          </w:p>
        </w:tc>
        <w:tc>
          <w:tcPr>
            <w:tcW w:w="1641" w:type="dxa"/>
            <w:tcMar>
              <w:top w:w="0" w:type="dxa"/>
              <w:left w:w="108" w:type="dxa"/>
              <w:bottom w:w="0" w:type="dxa"/>
              <w:right w:w="108" w:type="dxa"/>
            </w:tcMar>
          </w:tcPr>
          <w:p w14:paraId="3C82632B" w14:textId="3852BDBF" w:rsidR="0050614C" w:rsidRPr="009A77EE" w:rsidRDefault="0050614C" w:rsidP="0050614C">
            <w:pPr>
              <w:rPr>
                <w:rFonts w:ascii="Arial" w:hAnsi="Arial" w:cs="Arial"/>
                <w:lang w:val="en-GB"/>
              </w:rPr>
            </w:pPr>
            <w:r w:rsidRPr="009A77EE">
              <w:rPr>
                <w:rFonts w:ascii="Arial" w:hAnsi="Arial" w:cs="Arial"/>
              </w:rPr>
              <w:t>7%</w:t>
            </w:r>
          </w:p>
        </w:tc>
      </w:tr>
      <w:tr w:rsidR="0050614C" w:rsidRPr="005B0D73" w14:paraId="321B7C13" w14:textId="77777777" w:rsidTr="0050614C">
        <w:tc>
          <w:tcPr>
            <w:tcW w:w="6996" w:type="dxa"/>
            <w:tcMar>
              <w:top w:w="0" w:type="dxa"/>
              <w:left w:w="108" w:type="dxa"/>
              <w:bottom w:w="0" w:type="dxa"/>
              <w:right w:w="108" w:type="dxa"/>
            </w:tcMar>
          </w:tcPr>
          <w:p w14:paraId="72B92384" w14:textId="77777777" w:rsidR="0050614C" w:rsidRPr="005B0D73" w:rsidRDefault="0050614C" w:rsidP="0050614C">
            <w:pPr>
              <w:rPr>
                <w:rFonts w:ascii="Arial" w:hAnsi="Arial" w:cs="Arial"/>
                <w:lang w:val="en-GB"/>
              </w:rPr>
            </w:pPr>
            <w:r w:rsidRPr="005B0D73">
              <w:rPr>
                <w:rFonts w:ascii="Arial" w:hAnsi="Arial" w:cs="Arial"/>
                <w:lang w:val="en-GB"/>
              </w:rPr>
              <w:t>Topic Coverage</w:t>
            </w:r>
          </w:p>
        </w:tc>
        <w:tc>
          <w:tcPr>
            <w:tcW w:w="1641" w:type="dxa"/>
            <w:tcMar>
              <w:top w:w="0" w:type="dxa"/>
              <w:left w:w="108" w:type="dxa"/>
              <w:bottom w:w="0" w:type="dxa"/>
              <w:right w:w="108" w:type="dxa"/>
            </w:tcMar>
          </w:tcPr>
          <w:p w14:paraId="43947A0F" w14:textId="594621DA" w:rsidR="0050614C" w:rsidRPr="009A77EE" w:rsidRDefault="0050614C" w:rsidP="0050614C">
            <w:pPr>
              <w:rPr>
                <w:rFonts w:ascii="Arial" w:hAnsi="Arial" w:cs="Arial"/>
                <w:lang w:val="en-GB"/>
              </w:rPr>
            </w:pPr>
            <w:r w:rsidRPr="009A77EE">
              <w:rPr>
                <w:rFonts w:ascii="Arial" w:hAnsi="Arial" w:cs="Arial"/>
              </w:rPr>
              <w:t>9%</w:t>
            </w:r>
          </w:p>
        </w:tc>
      </w:tr>
      <w:tr w:rsidR="0050614C" w:rsidRPr="005B0D73" w14:paraId="054C5178" w14:textId="77777777" w:rsidTr="0050614C">
        <w:tc>
          <w:tcPr>
            <w:tcW w:w="6996" w:type="dxa"/>
            <w:tcMar>
              <w:top w:w="0" w:type="dxa"/>
              <w:left w:w="108" w:type="dxa"/>
              <w:bottom w:w="0" w:type="dxa"/>
              <w:right w:w="108" w:type="dxa"/>
            </w:tcMar>
          </w:tcPr>
          <w:p w14:paraId="6373AA95" w14:textId="77777777" w:rsidR="0050614C" w:rsidRPr="005B0D73" w:rsidRDefault="0050614C" w:rsidP="0050614C">
            <w:pPr>
              <w:rPr>
                <w:rFonts w:ascii="Arial" w:hAnsi="Arial" w:cs="Arial"/>
                <w:lang w:val="en-GB"/>
              </w:rPr>
            </w:pPr>
            <w:r w:rsidRPr="005B0D73">
              <w:rPr>
                <w:rFonts w:ascii="Arial" w:hAnsi="Arial" w:cs="Arial"/>
                <w:lang w:val="en-GB"/>
              </w:rPr>
              <w:t>Content Delivery Mechanisms and Formats</w:t>
            </w:r>
          </w:p>
        </w:tc>
        <w:tc>
          <w:tcPr>
            <w:tcW w:w="1641" w:type="dxa"/>
            <w:tcMar>
              <w:top w:w="0" w:type="dxa"/>
              <w:left w:w="108" w:type="dxa"/>
              <w:bottom w:w="0" w:type="dxa"/>
              <w:right w:w="108" w:type="dxa"/>
            </w:tcMar>
          </w:tcPr>
          <w:p w14:paraId="6764137B" w14:textId="728D7D63" w:rsidR="0050614C" w:rsidRPr="009A77EE" w:rsidRDefault="0050614C" w:rsidP="0050614C">
            <w:pPr>
              <w:rPr>
                <w:rFonts w:ascii="Arial" w:hAnsi="Arial" w:cs="Arial"/>
                <w:lang w:val="en-GB"/>
              </w:rPr>
            </w:pPr>
            <w:r w:rsidRPr="009A77EE">
              <w:rPr>
                <w:rFonts w:ascii="Arial" w:hAnsi="Arial" w:cs="Arial"/>
              </w:rPr>
              <w:t>6%</w:t>
            </w:r>
          </w:p>
        </w:tc>
      </w:tr>
      <w:tr w:rsidR="0050614C" w:rsidRPr="005B0D73" w14:paraId="3F46C512" w14:textId="77777777" w:rsidTr="0050614C">
        <w:tc>
          <w:tcPr>
            <w:tcW w:w="6996" w:type="dxa"/>
            <w:tcMar>
              <w:top w:w="0" w:type="dxa"/>
              <w:left w:w="108" w:type="dxa"/>
              <w:bottom w:w="0" w:type="dxa"/>
              <w:right w:w="108" w:type="dxa"/>
            </w:tcMar>
          </w:tcPr>
          <w:p w14:paraId="5BDE1EC4" w14:textId="77777777" w:rsidR="0050614C" w:rsidRPr="005B0D73" w:rsidRDefault="0050614C" w:rsidP="0050614C">
            <w:pPr>
              <w:rPr>
                <w:rFonts w:ascii="Arial" w:hAnsi="Arial" w:cs="Arial"/>
                <w:lang w:val="fr-FR"/>
              </w:rPr>
            </w:pPr>
            <w:r w:rsidRPr="005B0D73">
              <w:rPr>
                <w:rFonts w:ascii="Arial" w:hAnsi="Arial" w:cs="Arial"/>
                <w:lang w:val="fr-FR"/>
              </w:rPr>
              <w:t>Publication via NICE digital channels</w:t>
            </w:r>
          </w:p>
        </w:tc>
        <w:tc>
          <w:tcPr>
            <w:tcW w:w="1641" w:type="dxa"/>
            <w:tcMar>
              <w:top w:w="0" w:type="dxa"/>
              <w:left w:w="108" w:type="dxa"/>
              <w:bottom w:w="0" w:type="dxa"/>
              <w:right w:w="108" w:type="dxa"/>
            </w:tcMar>
          </w:tcPr>
          <w:p w14:paraId="734F2B8D" w14:textId="39102CF6" w:rsidR="0050614C" w:rsidRPr="009A77EE" w:rsidRDefault="0050614C" w:rsidP="0050614C">
            <w:pPr>
              <w:rPr>
                <w:rFonts w:ascii="Arial" w:hAnsi="Arial" w:cs="Arial"/>
                <w:lang w:val="fr-FR"/>
              </w:rPr>
            </w:pPr>
            <w:r w:rsidRPr="009A77EE">
              <w:rPr>
                <w:rFonts w:ascii="Arial" w:hAnsi="Arial" w:cs="Arial"/>
              </w:rPr>
              <w:t>1%</w:t>
            </w:r>
          </w:p>
        </w:tc>
      </w:tr>
      <w:tr w:rsidR="0050614C" w:rsidRPr="005B0D73" w14:paraId="497CFC31" w14:textId="77777777" w:rsidTr="0050614C">
        <w:tc>
          <w:tcPr>
            <w:tcW w:w="6996" w:type="dxa"/>
            <w:tcMar>
              <w:top w:w="0" w:type="dxa"/>
              <w:left w:w="108" w:type="dxa"/>
              <w:bottom w:w="0" w:type="dxa"/>
              <w:right w:w="108" w:type="dxa"/>
            </w:tcMar>
          </w:tcPr>
          <w:p w14:paraId="19031F54" w14:textId="77777777" w:rsidR="0050614C" w:rsidRPr="005B0D73" w:rsidRDefault="0050614C" w:rsidP="0050614C">
            <w:pPr>
              <w:rPr>
                <w:rFonts w:ascii="Arial" w:hAnsi="Arial" w:cs="Arial"/>
                <w:lang w:val="en-GB"/>
              </w:rPr>
            </w:pPr>
            <w:r w:rsidRPr="005B0D73">
              <w:rPr>
                <w:rFonts w:ascii="Arial" w:hAnsi="Arial" w:cs="Arial"/>
                <w:lang w:val="en-GB"/>
              </w:rPr>
              <w:t>Quality Assurance of Topic Content Creation</w:t>
            </w:r>
          </w:p>
        </w:tc>
        <w:tc>
          <w:tcPr>
            <w:tcW w:w="1641" w:type="dxa"/>
            <w:tcMar>
              <w:top w:w="0" w:type="dxa"/>
              <w:left w:w="108" w:type="dxa"/>
              <w:bottom w:w="0" w:type="dxa"/>
              <w:right w:w="108" w:type="dxa"/>
            </w:tcMar>
          </w:tcPr>
          <w:p w14:paraId="27D5A08D" w14:textId="3C99A5B8" w:rsidR="0050614C" w:rsidRPr="009A77EE" w:rsidRDefault="0050614C" w:rsidP="0050614C">
            <w:pPr>
              <w:rPr>
                <w:rFonts w:ascii="Arial" w:hAnsi="Arial" w:cs="Arial"/>
                <w:lang w:val="en-GB"/>
              </w:rPr>
            </w:pPr>
            <w:r w:rsidRPr="009A77EE">
              <w:rPr>
                <w:rFonts w:ascii="Arial" w:hAnsi="Arial" w:cs="Arial"/>
              </w:rPr>
              <w:t>10%</w:t>
            </w:r>
          </w:p>
        </w:tc>
      </w:tr>
      <w:tr w:rsidR="0050614C" w:rsidRPr="005B0D73" w14:paraId="42222F60" w14:textId="77777777" w:rsidTr="0050614C">
        <w:tc>
          <w:tcPr>
            <w:tcW w:w="6996" w:type="dxa"/>
            <w:tcMar>
              <w:top w:w="0" w:type="dxa"/>
              <w:left w:w="108" w:type="dxa"/>
              <w:bottom w:w="0" w:type="dxa"/>
              <w:right w:w="108" w:type="dxa"/>
            </w:tcMar>
          </w:tcPr>
          <w:p w14:paraId="5AE3BBC4" w14:textId="77777777" w:rsidR="0050614C" w:rsidRPr="005B0D73" w:rsidRDefault="0050614C" w:rsidP="0050614C">
            <w:pPr>
              <w:rPr>
                <w:rFonts w:ascii="Arial" w:hAnsi="Arial" w:cs="Arial"/>
                <w:lang w:val="en-GB"/>
              </w:rPr>
            </w:pPr>
            <w:r w:rsidRPr="005B0D73">
              <w:rPr>
                <w:rFonts w:ascii="Arial" w:hAnsi="Arial" w:cs="Arial"/>
                <w:lang w:val="en-GB"/>
              </w:rPr>
              <w:lastRenderedPageBreak/>
              <w:t>Quality Assurance of Topic Content Delivery and Presentation</w:t>
            </w:r>
          </w:p>
        </w:tc>
        <w:tc>
          <w:tcPr>
            <w:tcW w:w="1641" w:type="dxa"/>
            <w:tcMar>
              <w:top w:w="0" w:type="dxa"/>
              <w:left w:w="108" w:type="dxa"/>
              <w:bottom w:w="0" w:type="dxa"/>
              <w:right w:w="108" w:type="dxa"/>
            </w:tcMar>
          </w:tcPr>
          <w:p w14:paraId="6DA7317B" w14:textId="6D776134" w:rsidR="0050614C" w:rsidRPr="009A77EE" w:rsidRDefault="0050614C" w:rsidP="0050614C">
            <w:pPr>
              <w:rPr>
                <w:rFonts w:ascii="Arial" w:hAnsi="Arial" w:cs="Arial"/>
                <w:lang w:val="en-GB"/>
              </w:rPr>
            </w:pPr>
            <w:r w:rsidRPr="009A77EE">
              <w:rPr>
                <w:rFonts w:ascii="Arial" w:hAnsi="Arial" w:cs="Arial"/>
              </w:rPr>
              <w:t>4%</w:t>
            </w:r>
          </w:p>
        </w:tc>
      </w:tr>
      <w:tr w:rsidR="0050614C" w:rsidRPr="005B0D73" w14:paraId="38F26D2C" w14:textId="77777777" w:rsidTr="0050614C">
        <w:tc>
          <w:tcPr>
            <w:tcW w:w="6996" w:type="dxa"/>
            <w:tcMar>
              <w:top w:w="0" w:type="dxa"/>
              <w:left w:w="108" w:type="dxa"/>
              <w:bottom w:w="0" w:type="dxa"/>
              <w:right w:w="108" w:type="dxa"/>
            </w:tcMar>
          </w:tcPr>
          <w:p w14:paraId="34803ABC" w14:textId="77777777" w:rsidR="0050614C" w:rsidRPr="005B0D73" w:rsidRDefault="0050614C" w:rsidP="0050614C">
            <w:pPr>
              <w:rPr>
                <w:rFonts w:ascii="Arial" w:hAnsi="Arial" w:cs="Arial"/>
                <w:lang w:val="en-GB"/>
              </w:rPr>
            </w:pPr>
            <w:r w:rsidRPr="005B0D73">
              <w:rPr>
                <w:rFonts w:ascii="Arial" w:hAnsi="Arial" w:cs="Arial"/>
                <w:lang w:val="en-GB"/>
              </w:rPr>
              <w:t>User feedback and Enquiry Handling</w:t>
            </w:r>
          </w:p>
        </w:tc>
        <w:tc>
          <w:tcPr>
            <w:tcW w:w="1641" w:type="dxa"/>
            <w:tcMar>
              <w:top w:w="0" w:type="dxa"/>
              <w:left w:w="108" w:type="dxa"/>
              <w:bottom w:w="0" w:type="dxa"/>
              <w:right w:w="108" w:type="dxa"/>
            </w:tcMar>
          </w:tcPr>
          <w:p w14:paraId="365A155D" w14:textId="17D8EE2C" w:rsidR="0050614C" w:rsidRPr="009A77EE" w:rsidRDefault="0050614C" w:rsidP="0050614C">
            <w:pPr>
              <w:rPr>
                <w:rFonts w:ascii="Arial" w:hAnsi="Arial" w:cs="Arial"/>
                <w:lang w:val="en-GB"/>
              </w:rPr>
            </w:pPr>
            <w:r w:rsidRPr="009A77EE">
              <w:rPr>
                <w:rFonts w:ascii="Arial" w:hAnsi="Arial" w:cs="Arial"/>
              </w:rPr>
              <w:t>1%</w:t>
            </w:r>
          </w:p>
        </w:tc>
      </w:tr>
      <w:tr w:rsidR="0050614C" w:rsidRPr="005B0D73" w14:paraId="2838F79F" w14:textId="77777777" w:rsidTr="0050614C">
        <w:tc>
          <w:tcPr>
            <w:tcW w:w="6996" w:type="dxa"/>
            <w:tcMar>
              <w:top w:w="0" w:type="dxa"/>
              <w:left w:w="108" w:type="dxa"/>
              <w:bottom w:w="0" w:type="dxa"/>
              <w:right w:w="108" w:type="dxa"/>
            </w:tcMar>
          </w:tcPr>
          <w:p w14:paraId="47530966" w14:textId="77777777" w:rsidR="0050614C" w:rsidRPr="005B0D73" w:rsidRDefault="0050614C" w:rsidP="0050614C">
            <w:pPr>
              <w:rPr>
                <w:rFonts w:ascii="Arial" w:hAnsi="Arial" w:cs="Arial"/>
                <w:lang w:val="en-GB"/>
              </w:rPr>
            </w:pPr>
            <w:r w:rsidRPr="005B0D73">
              <w:rPr>
                <w:rFonts w:ascii="Arial" w:hAnsi="Arial" w:cs="Arial"/>
                <w:lang w:val="en-GB"/>
              </w:rPr>
              <w:t>Implementation and Project management</w:t>
            </w:r>
          </w:p>
        </w:tc>
        <w:tc>
          <w:tcPr>
            <w:tcW w:w="1641" w:type="dxa"/>
            <w:tcMar>
              <w:top w:w="0" w:type="dxa"/>
              <w:left w:w="108" w:type="dxa"/>
              <w:bottom w:w="0" w:type="dxa"/>
              <w:right w:w="108" w:type="dxa"/>
            </w:tcMar>
          </w:tcPr>
          <w:p w14:paraId="579C74C8" w14:textId="7835BF36" w:rsidR="0050614C" w:rsidRPr="009A77EE" w:rsidRDefault="0050614C" w:rsidP="0050614C">
            <w:pPr>
              <w:rPr>
                <w:rFonts w:ascii="Arial" w:hAnsi="Arial" w:cs="Arial"/>
                <w:lang w:val="en-GB"/>
              </w:rPr>
            </w:pPr>
            <w:r w:rsidRPr="009A77EE">
              <w:rPr>
                <w:rFonts w:ascii="Arial" w:hAnsi="Arial" w:cs="Arial"/>
              </w:rPr>
              <w:t>7%</w:t>
            </w:r>
          </w:p>
        </w:tc>
      </w:tr>
      <w:tr w:rsidR="0050614C" w:rsidRPr="005B0D73" w14:paraId="7002F71F" w14:textId="77777777" w:rsidTr="0050614C">
        <w:tc>
          <w:tcPr>
            <w:tcW w:w="6996" w:type="dxa"/>
            <w:tcMar>
              <w:top w:w="0" w:type="dxa"/>
              <w:left w:w="108" w:type="dxa"/>
              <w:bottom w:w="0" w:type="dxa"/>
              <w:right w:w="108" w:type="dxa"/>
            </w:tcMar>
          </w:tcPr>
          <w:p w14:paraId="2C8055DF" w14:textId="77777777" w:rsidR="0050614C" w:rsidRPr="005B0D73" w:rsidRDefault="0050614C" w:rsidP="0050614C">
            <w:pPr>
              <w:rPr>
                <w:rFonts w:ascii="Arial" w:hAnsi="Arial" w:cs="Arial"/>
                <w:lang w:val="en-GB"/>
              </w:rPr>
            </w:pPr>
            <w:r w:rsidRPr="005B0D73">
              <w:rPr>
                <w:rFonts w:ascii="Arial" w:hAnsi="Arial" w:cs="Arial"/>
                <w:lang w:val="en-GB"/>
              </w:rPr>
              <w:t xml:space="preserve">Key Performance Indicators and </w:t>
            </w:r>
            <w:bookmarkStart w:id="107" w:name="RANGE!B35"/>
            <w:r w:rsidRPr="005B0D73">
              <w:rPr>
                <w:rFonts w:ascii="Arial" w:hAnsi="Arial" w:cs="Arial"/>
                <w:lang w:val="en-GB"/>
              </w:rPr>
              <w:t>Contract and Service Management</w:t>
            </w:r>
            <w:bookmarkEnd w:id="107"/>
          </w:p>
        </w:tc>
        <w:tc>
          <w:tcPr>
            <w:tcW w:w="1641" w:type="dxa"/>
            <w:tcMar>
              <w:top w:w="0" w:type="dxa"/>
              <w:left w:w="108" w:type="dxa"/>
              <w:bottom w:w="0" w:type="dxa"/>
              <w:right w:w="108" w:type="dxa"/>
            </w:tcMar>
          </w:tcPr>
          <w:p w14:paraId="526B0DF3" w14:textId="40F5616B" w:rsidR="0050614C" w:rsidRPr="009A77EE" w:rsidRDefault="0050614C" w:rsidP="0050614C">
            <w:pPr>
              <w:rPr>
                <w:rFonts w:ascii="Arial" w:hAnsi="Arial" w:cs="Arial"/>
                <w:lang w:val="en-GB"/>
              </w:rPr>
            </w:pPr>
            <w:r w:rsidRPr="009A77EE">
              <w:rPr>
                <w:rFonts w:ascii="Arial" w:hAnsi="Arial" w:cs="Arial"/>
              </w:rPr>
              <w:t>5%</w:t>
            </w:r>
          </w:p>
        </w:tc>
      </w:tr>
      <w:tr w:rsidR="005B0D73" w:rsidRPr="005B0D73" w14:paraId="5BE24CB4" w14:textId="77777777" w:rsidTr="0050614C">
        <w:tc>
          <w:tcPr>
            <w:tcW w:w="6996" w:type="dxa"/>
            <w:tcMar>
              <w:top w:w="0" w:type="dxa"/>
              <w:left w:w="108" w:type="dxa"/>
              <w:bottom w:w="0" w:type="dxa"/>
              <w:right w:w="108" w:type="dxa"/>
            </w:tcMar>
          </w:tcPr>
          <w:p w14:paraId="3CCF43EB" w14:textId="77777777" w:rsidR="005B0D73" w:rsidRPr="005B0D73" w:rsidRDefault="005B0D73" w:rsidP="005B0D73">
            <w:pPr>
              <w:rPr>
                <w:rFonts w:ascii="Arial" w:hAnsi="Arial" w:cs="Arial"/>
                <w:lang w:val="en-GB"/>
              </w:rPr>
            </w:pPr>
            <w:r w:rsidRPr="005B0D73">
              <w:rPr>
                <w:rFonts w:ascii="Arial" w:hAnsi="Arial" w:cs="Arial"/>
                <w:lang w:val="en-GB"/>
              </w:rPr>
              <w:t>Project Cost and value for money</w:t>
            </w:r>
          </w:p>
        </w:tc>
        <w:tc>
          <w:tcPr>
            <w:tcW w:w="1641" w:type="dxa"/>
            <w:tcMar>
              <w:top w:w="0" w:type="dxa"/>
              <w:left w:w="108" w:type="dxa"/>
              <w:bottom w:w="0" w:type="dxa"/>
              <w:right w:w="108" w:type="dxa"/>
            </w:tcMar>
            <w:vAlign w:val="center"/>
          </w:tcPr>
          <w:p w14:paraId="766D5853" w14:textId="070D4D23" w:rsidR="005B0D73" w:rsidRPr="005B0D73" w:rsidRDefault="005B0D73" w:rsidP="005B0D73">
            <w:pPr>
              <w:rPr>
                <w:rFonts w:ascii="Arial" w:hAnsi="Arial" w:cs="Arial"/>
                <w:lang w:val="en-GB"/>
              </w:rPr>
            </w:pPr>
            <w:r w:rsidRPr="005B0D73">
              <w:rPr>
                <w:rFonts w:ascii="Arial" w:hAnsi="Arial" w:cs="Arial"/>
                <w:lang w:val="en-GB"/>
              </w:rPr>
              <w:t>50</w:t>
            </w:r>
            <w:r w:rsidR="00005A1A">
              <w:rPr>
                <w:rFonts w:ascii="Arial" w:hAnsi="Arial" w:cs="Arial"/>
                <w:lang w:val="en-GB"/>
              </w:rPr>
              <w:t>%</w:t>
            </w:r>
          </w:p>
        </w:tc>
      </w:tr>
    </w:tbl>
    <w:p w14:paraId="3C7B7F0C" w14:textId="4DAA0CAB" w:rsidR="002C2E57" w:rsidRDefault="002C2E57"/>
    <w:p w14:paraId="683CE61D" w14:textId="1294D60F" w:rsidR="008F0AD1" w:rsidRPr="007126F7" w:rsidRDefault="008F0AD1" w:rsidP="00886CC8">
      <w:pPr>
        <w:pStyle w:val="ITTheading2"/>
      </w:pPr>
      <w:bookmarkStart w:id="108" w:name="_Toc104474053"/>
      <w:r w:rsidRPr="00481BA6">
        <w:t xml:space="preserve">Short Listed </w:t>
      </w:r>
      <w:r w:rsidR="00296648" w:rsidRPr="00481BA6">
        <w:t>Supplier</w:t>
      </w:r>
      <w:r w:rsidR="000B01E8" w:rsidRPr="00481BA6">
        <w:t>s</w:t>
      </w:r>
      <w:r w:rsidRPr="00481BA6">
        <w:t xml:space="preserve"> for Interview</w:t>
      </w:r>
      <w:r w:rsidR="00603AD8" w:rsidRPr="007126F7">
        <w:t xml:space="preserve"> and Evaluation</w:t>
      </w:r>
      <w:bookmarkEnd w:id="106"/>
      <w:bookmarkEnd w:id="108"/>
    </w:p>
    <w:p w14:paraId="0354CE2A" w14:textId="77777777" w:rsidR="008F0AD1" w:rsidRPr="00481BA6" w:rsidRDefault="008F0AD1" w:rsidP="00136B05">
      <w:pPr>
        <w:pStyle w:val="ITTBodyLevel2"/>
      </w:pPr>
      <w:r w:rsidRPr="00F326A7">
        <w:t xml:space="preserve">NICE may choose to shortlist a bidder or </w:t>
      </w:r>
      <w:r w:rsidR="00296648" w:rsidRPr="00481BA6">
        <w:t>Supplier</w:t>
      </w:r>
      <w:r w:rsidR="000B01E8" w:rsidRPr="00481BA6">
        <w:t>s</w:t>
      </w:r>
      <w:r w:rsidRPr="00481BA6">
        <w:t xml:space="preserve"> to present to the evaluation panel and clarify any outstanding areas or their proposal where NICE may have concerns or further questions. </w:t>
      </w:r>
      <w:r w:rsidR="00EE3C4A" w:rsidRPr="00481BA6">
        <w:t xml:space="preserve">However, if no further concerns or questions are raised, NICE reserves the right to proceed to </w:t>
      </w:r>
      <w:r w:rsidR="004836CB" w:rsidRPr="00481BA6">
        <w:t>Contract Award</w:t>
      </w:r>
      <w:r w:rsidR="00EE3C4A" w:rsidRPr="00481BA6">
        <w:t>.</w:t>
      </w:r>
    </w:p>
    <w:p w14:paraId="6775DCC0" w14:textId="77777777" w:rsidR="008F0AD1" w:rsidRPr="00F71F88" w:rsidRDefault="008F0AD1" w:rsidP="00136B05">
      <w:pPr>
        <w:pStyle w:val="ITTBodyLevel2"/>
      </w:pPr>
      <w:r w:rsidRPr="00481BA6">
        <w:t xml:space="preserve">Each bidder interviewed will be re-scored independently of the tender response, based on their responses in the interview alone and re-ranked against each </w:t>
      </w:r>
      <w:r w:rsidR="00460909" w:rsidRPr="00481BA6">
        <w:t xml:space="preserve">of the </w:t>
      </w:r>
      <w:proofErr w:type="gramStart"/>
      <w:r w:rsidR="00460909" w:rsidRPr="00481BA6">
        <w:t>others</w:t>
      </w:r>
      <w:proofErr w:type="gramEnd"/>
      <w:r w:rsidR="00460909" w:rsidRPr="00481BA6">
        <w:t xml:space="preserve"> bidders that were </w:t>
      </w:r>
      <w:r w:rsidRPr="00481BA6">
        <w:t>shortlisted</w:t>
      </w:r>
      <w:r w:rsidR="001A633E" w:rsidRPr="00481BA6">
        <w:t xml:space="preserve"> </w:t>
      </w:r>
      <w:r w:rsidR="00460909" w:rsidRPr="00481BA6">
        <w:t>for</w:t>
      </w:r>
      <w:r w:rsidR="001A633E" w:rsidRPr="00481BA6">
        <w:t xml:space="preserve"> interview</w:t>
      </w:r>
      <w:r w:rsidRPr="00481BA6">
        <w:t xml:space="preserve">. This evaluation will have no bearing on the evaluation that resulted in </w:t>
      </w:r>
      <w:r w:rsidR="00031CC5" w:rsidRPr="00481BA6">
        <w:t xml:space="preserve">the </w:t>
      </w:r>
      <w:r w:rsidRPr="00481BA6">
        <w:t xml:space="preserve">bidder being shortlisted to interview or not. </w:t>
      </w:r>
      <w:r w:rsidR="00296648" w:rsidRPr="00481BA6">
        <w:t>Supplier</w:t>
      </w:r>
      <w:r w:rsidR="000B01E8" w:rsidRPr="00481BA6">
        <w:t>s</w:t>
      </w:r>
      <w:r w:rsidRPr="00481BA6">
        <w:t xml:space="preserve"> not invited to interview will be notified at the same time as </w:t>
      </w:r>
      <w:r w:rsidRPr="00F71F88">
        <w:t xml:space="preserve">shortlisted </w:t>
      </w:r>
      <w:r w:rsidR="00296648" w:rsidRPr="00F71F88">
        <w:t>Supplier</w:t>
      </w:r>
      <w:r w:rsidR="000B01E8" w:rsidRPr="00F71F88">
        <w:t>s</w:t>
      </w:r>
      <w:r w:rsidRPr="00F71F88">
        <w:t>.</w:t>
      </w:r>
    </w:p>
    <w:p w14:paraId="2FA29422" w14:textId="687974A7" w:rsidR="008F0AD1" w:rsidRDefault="008F0AD1" w:rsidP="00136B05">
      <w:pPr>
        <w:pStyle w:val="ITTBodyLevel2"/>
      </w:pPr>
      <w:r w:rsidRPr="00F71F88">
        <w:t xml:space="preserve">The scoring guide and criteria </w:t>
      </w:r>
      <w:r w:rsidR="00756F29" w:rsidRPr="00F71F88">
        <w:t xml:space="preserve">in </w:t>
      </w:r>
      <w:r w:rsidR="00756F29" w:rsidRPr="00145676">
        <w:t>1</w:t>
      </w:r>
      <w:r w:rsidR="00A53213" w:rsidRPr="00145676">
        <w:t>5</w:t>
      </w:r>
      <w:r w:rsidR="00145676" w:rsidRPr="00145676">
        <w:t>.4</w:t>
      </w:r>
      <w:r w:rsidR="00756F29" w:rsidRPr="00F71F88">
        <w:t xml:space="preserve"> </w:t>
      </w:r>
      <w:r w:rsidRPr="00F71F88">
        <w:t>above will be used to score the interviewed bidder</w:t>
      </w:r>
      <w:r w:rsidR="00A53213">
        <w:t>, however the weightings will not be applied, the composite score of the interview panel will form the basis of award</w:t>
      </w:r>
      <w:r w:rsidRPr="00F71F88">
        <w:t xml:space="preserve">. </w:t>
      </w:r>
      <w:r w:rsidR="00756F29" w:rsidRPr="00481BA6">
        <w:t>T</w:t>
      </w:r>
      <w:r w:rsidRPr="00481BA6">
        <w:t xml:space="preserve">he interview will be in direct relation to the outstanding areas of the </w:t>
      </w:r>
      <w:r w:rsidR="00296648" w:rsidRPr="00481BA6">
        <w:t>Supplier</w:t>
      </w:r>
      <w:r w:rsidR="000B01E8" w:rsidRPr="00481BA6">
        <w:t>s</w:t>
      </w:r>
      <w:r w:rsidRPr="00481BA6">
        <w:t xml:space="preserve"> proposal. </w:t>
      </w:r>
    </w:p>
    <w:p w14:paraId="041C7D5B" w14:textId="77777777" w:rsidR="002D2E7E" w:rsidRDefault="008F0AD1" w:rsidP="00136B05">
      <w:pPr>
        <w:pStyle w:val="ITTBodyLevel2"/>
      </w:pPr>
      <w:r w:rsidRPr="00481BA6">
        <w:t xml:space="preserve">Shortlisted </w:t>
      </w:r>
      <w:r w:rsidR="00296648" w:rsidRPr="00481BA6">
        <w:t>Supplier</w:t>
      </w:r>
      <w:r w:rsidR="000B01E8" w:rsidRPr="00481BA6">
        <w:t>s</w:t>
      </w:r>
      <w:r w:rsidRPr="00481BA6">
        <w:t xml:space="preserve"> will be notified of the evaluation process on invitation to interview.</w:t>
      </w:r>
      <w:bookmarkEnd w:id="18"/>
    </w:p>
    <w:p w14:paraId="636E0D4F" w14:textId="7A0EF396" w:rsidR="002D2E7E" w:rsidRPr="00DF5C3A" w:rsidRDefault="0060434D">
      <w:pPr>
        <w:pStyle w:val="ITTHeading1"/>
      </w:pPr>
      <w:bookmarkStart w:id="109" w:name="_Toc454099566"/>
      <w:bookmarkStart w:id="110" w:name="_Toc104474054"/>
      <w:r>
        <w:t xml:space="preserve">Your </w:t>
      </w:r>
      <w:r w:rsidR="002D2E7E">
        <w:t>Response Pack</w:t>
      </w:r>
      <w:bookmarkEnd w:id="109"/>
      <w:bookmarkEnd w:id="110"/>
    </w:p>
    <w:p w14:paraId="100179A7" w14:textId="77777777" w:rsidR="002D2E7E" w:rsidRDefault="002D2E7E" w:rsidP="00136B05">
      <w:pPr>
        <w:pStyle w:val="ITTBodyLevel2"/>
      </w:pPr>
      <w:r w:rsidRPr="00AF55E5">
        <w:t xml:space="preserve">The following documents </w:t>
      </w:r>
      <w:r>
        <w:t xml:space="preserve">must be included in your response to this </w:t>
      </w:r>
      <w:r w:rsidRPr="00AF55E5">
        <w:t>Invitation to Tender pack:</w:t>
      </w:r>
    </w:p>
    <w:p w14:paraId="59086384" w14:textId="32D5F13D" w:rsidR="008F32D6" w:rsidRDefault="008F32D6" w:rsidP="00136B05">
      <w:pPr>
        <w:pStyle w:val="ITTBodyLevel3"/>
      </w:pPr>
      <w:bookmarkStart w:id="111" w:name="_Toc468718666"/>
      <w:r w:rsidRPr="008F32D6">
        <w:t>Invitation to Tende</w:t>
      </w:r>
      <w:r>
        <w:t>r Response Document</w:t>
      </w:r>
      <w:bookmarkEnd w:id="111"/>
    </w:p>
    <w:p w14:paraId="54947E7C" w14:textId="3164AE63" w:rsidR="00D15840" w:rsidRPr="008F32D6" w:rsidRDefault="00F32B95" w:rsidP="00136B05">
      <w:pPr>
        <w:pStyle w:val="ITTBodyLevel3"/>
      </w:pPr>
      <w:r w:rsidRPr="00F32B95">
        <w:t>CKS guidance development process assessment form</w:t>
      </w:r>
    </w:p>
    <w:p w14:paraId="75517E14" w14:textId="07CBDC7A" w:rsidR="008F32D6" w:rsidRPr="008F32D6" w:rsidRDefault="008F32D6" w:rsidP="00136B05">
      <w:pPr>
        <w:pStyle w:val="ITTBodyLevel3"/>
      </w:pPr>
      <w:bookmarkStart w:id="112" w:name="_Toc468718667"/>
      <w:r w:rsidRPr="008F32D6">
        <w:t xml:space="preserve">Pricing </w:t>
      </w:r>
      <w:r>
        <w:t>Response Document</w:t>
      </w:r>
      <w:bookmarkEnd w:id="112"/>
    </w:p>
    <w:p w14:paraId="474D0ABE" w14:textId="547BEAA8" w:rsidR="008F32D6" w:rsidRPr="008F32D6" w:rsidRDefault="008F32D6" w:rsidP="00136B05">
      <w:pPr>
        <w:pStyle w:val="ITTBodyLevel3"/>
      </w:pPr>
      <w:bookmarkStart w:id="113" w:name="_Toc468718668"/>
      <w:r w:rsidRPr="008F32D6">
        <w:t>Supplier Vetting Questionnaire Response Document (SVQ)</w:t>
      </w:r>
      <w:r w:rsidR="00106C51">
        <w:t xml:space="preserve">, </w:t>
      </w:r>
      <w:r w:rsidR="00106C51" w:rsidRPr="00106C51">
        <w:t xml:space="preserve">(including all attachments required </w:t>
      </w:r>
      <w:proofErr w:type="gramStart"/>
      <w:r w:rsidR="00106C51" w:rsidRPr="00106C51">
        <w:t>i.e.</w:t>
      </w:r>
      <w:proofErr w:type="gramEnd"/>
      <w:r w:rsidR="00106C51" w:rsidRPr="00106C51">
        <w:t xml:space="preserve"> financial accounts, policies etc.)</w:t>
      </w:r>
      <w:bookmarkEnd w:id="113"/>
      <w:r w:rsidR="00106C51">
        <w:t xml:space="preserve"> </w:t>
      </w:r>
    </w:p>
    <w:p w14:paraId="6A95327A" w14:textId="30E60294" w:rsidR="008F32D6" w:rsidRPr="008F32D6" w:rsidRDefault="008F32D6" w:rsidP="00136B05">
      <w:pPr>
        <w:pStyle w:val="ITTBodyLevel3"/>
      </w:pPr>
      <w:bookmarkStart w:id="114" w:name="_Toc468718669"/>
      <w:r w:rsidRPr="008F32D6">
        <w:lastRenderedPageBreak/>
        <w:t>Mandatory and Discretionary Exclusions Response Document</w:t>
      </w:r>
      <w:bookmarkEnd w:id="114"/>
    </w:p>
    <w:p w14:paraId="4D0E43AF" w14:textId="02FDAF8D" w:rsidR="008F32D6" w:rsidRPr="008F32D6" w:rsidRDefault="008F32D6" w:rsidP="00136B05">
      <w:pPr>
        <w:pStyle w:val="ITTBodyLevel3"/>
      </w:pPr>
      <w:bookmarkStart w:id="115" w:name="_Toc468718670"/>
      <w:r w:rsidRPr="008F32D6">
        <w:t>Forms requiring original signatures</w:t>
      </w:r>
      <w:bookmarkEnd w:id="115"/>
    </w:p>
    <w:p w14:paraId="6D3B39E9" w14:textId="77777777" w:rsidR="008F32D6" w:rsidRPr="00481BA6" w:rsidRDefault="008F32D6" w:rsidP="00E54822">
      <w:pPr>
        <w:pStyle w:val="ITTBullet"/>
        <w:numPr>
          <w:ilvl w:val="0"/>
          <w:numId w:val="4"/>
        </w:numPr>
        <w:tabs>
          <w:tab w:val="clear" w:pos="1435"/>
        </w:tabs>
        <w:ind w:left="2835" w:hanging="501"/>
      </w:pPr>
      <w:r w:rsidRPr="00481BA6">
        <w:t>Form of Offer</w:t>
      </w:r>
    </w:p>
    <w:p w14:paraId="14299210" w14:textId="77777777" w:rsidR="008F32D6" w:rsidRPr="00481BA6" w:rsidRDefault="008F32D6" w:rsidP="00E54822">
      <w:pPr>
        <w:pStyle w:val="ITTBullet"/>
        <w:numPr>
          <w:ilvl w:val="0"/>
          <w:numId w:val="4"/>
        </w:numPr>
        <w:tabs>
          <w:tab w:val="clear" w:pos="1435"/>
        </w:tabs>
        <w:ind w:left="2835" w:hanging="501"/>
      </w:pPr>
      <w:r w:rsidRPr="00481BA6">
        <w:t>Confidentiality Agreement</w:t>
      </w:r>
      <w:r>
        <w:t xml:space="preserve"> form</w:t>
      </w:r>
    </w:p>
    <w:p w14:paraId="19D53161" w14:textId="5A0E51AD" w:rsidR="008F32D6" w:rsidRPr="00481BA6" w:rsidRDefault="008F32D6" w:rsidP="00E54822">
      <w:pPr>
        <w:pStyle w:val="ITTBullet"/>
        <w:numPr>
          <w:ilvl w:val="0"/>
          <w:numId w:val="4"/>
        </w:numPr>
        <w:tabs>
          <w:tab w:val="clear" w:pos="1435"/>
        </w:tabs>
        <w:ind w:left="2835" w:hanging="501"/>
      </w:pPr>
      <w:r w:rsidRPr="00481BA6">
        <w:t>Co</w:t>
      </w:r>
      <w:r w:rsidR="004642F1">
        <w:t>nflicts of Interest</w:t>
      </w:r>
      <w:r>
        <w:t xml:space="preserve"> form</w:t>
      </w:r>
    </w:p>
    <w:p w14:paraId="22D4073E" w14:textId="77777777" w:rsidR="008F32D6" w:rsidRPr="00481BA6" w:rsidRDefault="008F32D6" w:rsidP="00E54822">
      <w:pPr>
        <w:pStyle w:val="ITTBullet"/>
        <w:numPr>
          <w:ilvl w:val="0"/>
          <w:numId w:val="4"/>
        </w:numPr>
        <w:tabs>
          <w:tab w:val="clear" w:pos="1435"/>
        </w:tabs>
        <w:ind w:left="2835" w:hanging="501"/>
      </w:pPr>
      <w:r w:rsidRPr="00481BA6">
        <w:t>Terms and Conditions</w:t>
      </w:r>
      <w:r>
        <w:t xml:space="preserve"> queries form</w:t>
      </w:r>
    </w:p>
    <w:p w14:paraId="5F2E5224" w14:textId="77777777" w:rsidR="00412831" w:rsidRDefault="008F32D6" w:rsidP="001051DA">
      <w:pPr>
        <w:pStyle w:val="ITTBullet"/>
        <w:numPr>
          <w:ilvl w:val="0"/>
          <w:numId w:val="4"/>
        </w:numPr>
        <w:tabs>
          <w:tab w:val="clear" w:pos="1435"/>
        </w:tabs>
        <w:spacing w:after="0"/>
        <w:ind w:left="2835" w:hanging="501"/>
      </w:pPr>
      <w:r w:rsidRPr="00481BA6">
        <w:t>Redaction Requests</w:t>
      </w:r>
      <w:r>
        <w:t xml:space="preserve"> form</w:t>
      </w:r>
    </w:p>
    <w:sectPr w:rsidR="00412831" w:rsidSect="00D15840">
      <w:pgSz w:w="12240" w:h="15840"/>
      <w:pgMar w:top="1098" w:right="1800" w:bottom="36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9DCE4" w14:textId="77777777" w:rsidR="00B71F13" w:rsidRDefault="00B71F13">
      <w:r>
        <w:separator/>
      </w:r>
    </w:p>
  </w:endnote>
  <w:endnote w:type="continuationSeparator" w:id="0">
    <w:p w14:paraId="734DCC36" w14:textId="77777777" w:rsidR="00B71F13" w:rsidRDefault="00B71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A283C" w14:textId="77777777" w:rsidR="00B71F13" w:rsidRDefault="00B71F13" w:rsidP="00745D68">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1DEEA" w14:textId="77777777" w:rsidR="00B71F13" w:rsidRDefault="00B71F13" w:rsidP="00745D68">
    <w:pPr>
      <w:jc w:val="center"/>
    </w:pPr>
    <w:r>
      <w:t xml:space="preserve">Page </w:t>
    </w:r>
    <w:r>
      <w:fldChar w:fldCharType="begin"/>
    </w:r>
    <w:r>
      <w:instrText xml:space="preserve"> PAGE </w:instrText>
    </w:r>
    <w:r>
      <w:fldChar w:fldCharType="separate"/>
    </w:r>
    <w:r w:rsidR="00751C1E">
      <w:rPr>
        <w:noProof/>
      </w:rPr>
      <w:t>23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84B34" w14:textId="77777777" w:rsidR="00B71F13" w:rsidRDefault="00B71F13">
      <w:r>
        <w:separator/>
      </w:r>
    </w:p>
  </w:footnote>
  <w:footnote w:type="continuationSeparator" w:id="0">
    <w:p w14:paraId="0817E8FE" w14:textId="77777777" w:rsidR="00B71F13" w:rsidRDefault="00B71F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F9AB2" w14:textId="655093FC" w:rsidR="00B71F13" w:rsidRDefault="005323B2" w:rsidP="000B6FB5">
    <w:pPr>
      <w:jc w:val="center"/>
    </w:pPr>
    <w:r w:rsidRPr="00D51AB6">
      <w:t>C</w:t>
    </w:r>
    <w:r>
      <w:t xml:space="preserve">linical </w:t>
    </w:r>
    <w:r w:rsidRPr="00D51AB6">
      <w:t>K</w:t>
    </w:r>
    <w:r>
      <w:t xml:space="preserve">nowledge </w:t>
    </w:r>
    <w:r w:rsidRPr="00D51AB6">
      <w:t>S</w:t>
    </w:r>
    <w:r>
      <w:t>ummaries</w:t>
    </w:r>
    <w:r w:rsidR="00B71F13">
      <w:br/>
    </w:r>
    <w:r w:rsidR="00B71F13" w:rsidRPr="00D06E36">
      <w:t>Tender Submission</w:t>
    </w:r>
    <w:r w:rsidR="00B71F13">
      <w:t xml:space="preserve"> </w:t>
    </w:r>
    <w:r w:rsidR="00B71F13" w:rsidRPr="00D06E36">
      <w:t>Instructions and Guidance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635D0"/>
    <w:multiLevelType w:val="hybridMultilevel"/>
    <w:tmpl w:val="69FAF70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 w15:restartNumberingAfterBreak="0">
    <w:nsid w:val="09B93881"/>
    <w:multiLevelType w:val="hybridMultilevel"/>
    <w:tmpl w:val="D41A600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15:restartNumberingAfterBreak="0">
    <w:nsid w:val="0A186B70"/>
    <w:multiLevelType w:val="hybridMultilevel"/>
    <w:tmpl w:val="EDF6B634"/>
    <w:lvl w:ilvl="0" w:tplc="08090001">
      <w:start w:val="1"/>
      <w:numFmt w:val="bullet"/>
      <w:lvlText w:val=""/>
      <w:lvlJc w:val="left"/>
      <w:pPr>
        <w:ind w:left="2280" w:hanging="360"/>
      </w:pPr>
      <w:rPr>
        <w:rFonts w:ascii="Symbol" w:hAnsi="Symbol" w:hint="default"/>
      </w:rPr>
    </w:lvl>
    <w:lvl w:ilvl="1" w:tplc="08090003">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3" w15:restartNumberingAfterBreak="0">
    <w:nsid w:val="2DB1274F"/>
    <w:multiLevelType w:val="multilevel"/>
    <w:tmpl w:val="CE1CB9AC"/>
    <w:lvl w:ilvl="0">
      <w:start w:val="1"/>
      <w:numFmt w:val="decimal"/>
      <w:pStyle w:val="TCHeading1"/>
      <w:lvlText w:val="%1."/>
      <w:lvlJc w:val="left"/>
      <w:pPr>
        <w:ind w:left="360" w:hanging="360"/>
      </w:pPr>
    </w:lvl>
    <w:lvl w:ilvl="1">
      <w:start w:val="1"/>
      <w:numFmt w:val="decimal"/>
      <w:pStyle w:val="TCHeading2"/>
      <w:lvlText w:val="%1.%2."/>
      <w:lvlJc w:val="left"/>
      <w:pPr>
        <w:ind w:left="792" w:hanging="432"/>
      </w:pPr>
      <w:rPr>
        <w:b w:val="0"/>
      </w:rPr>
    </w:lvl>
    <w:lvl w:ilvl="2">
      <w:start w:val="1"/>
      <w:numFmt w:val="decimal"/>
      <w:pStyle w:val="TCBodyafterH2"/>
      <w:lvlText w:val="%1.%2.%3."/>
      <w:lvlJc w:val="left"/>
      <w:pPr>
        <w:ind w:left="1224" w:hanging="504"/>
      </w:pPr>
      <w:rPr>
        <w:b w:val="0"/>
      </w:rPr>
    </w:lvl>
    <w:lvl w:ilvl="3">
      <w:start w:val="1"/>
      <w:numFmt w:val="decimal"/>
      <w:pStyle w:val="TCBodyafterH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22148B3"/>
    <w:multiLevelType w:val="multilevel"/>
    <w:tmpl w:val="9490D48E"/>
    <w:lvl w:ilvl="0">
      <w:start w:val="1"/>
      <w:numFmt w:val="decimal"/>
      <w:lvlText w:val="%1."/>
      <w:lvlJc w:val="left"/>
      <w:pPr>
        <w:ind w:left="1021" w:hanging="1021"/>
      </w:pPr>
      <w:rPr>
        <w:rFonts w:hint="default"/>
      </w:rPr>
    </w:lvl>
    <w:lvl w:ilvl="1">
      <w:start w:val="1"/>
      <w:numFmt w:val="decimal"/>
      <w:lvlText w:val="%1.%2."/>
      <w:lvlJc w:val="left"/>
      <w:pPr>
        <w:ind w:left="1163" w:hanging="1021"/>
      </w:pPr>
      <w:rPr>
        <w:rFonts w:hint="default"/>
        <w:sz w:val="28"/>
        <w:szCs w:val="28"/>
      </w:rPr>
    </w:lvl>
    <w:lvl w:ilvl="2">
      <w:start w:val="1"/>
      <w:numFmt w:val="decimal"/>
      <w:lvlText w:val="%1.%2.%3."/>
      <w:lvlJc w:val="left"/>
      <w:pPr>
        <w:ind w:left="1021" w:hanging="1021"/>
      </w:pPr>
      <w:rPr>
        <w:rFonts w:hint="default"/>
      </w:rPr>
    </w:lvl>
    <w:lvl w:ilvl="3">
      <w:start w:val="1"/>
      <w:numFmt w:val="bullet"/>
      <w:lvlText w:val=""/>
      <w:lvlJc w:val="left"/>
      <w:pPr>
        <w:ind w:left="4565" w:hanging="1021"/>
      </w:pPr>
      <w:rPr>
        <w:rFonts w:ascii="Symbol" w:hAnsi="Symbol" w:hint="default"/>
      </w:rPr>
    </w:lvl>
    <w:lvl w:ilvl="4">
      <w:start w:val="1"/>
      <w:numFmt w:val="decimal"/>
      <w:lvlText w:val="%1.%2.%3.%4.%5."/>
      <w:lvlJc w:val="left"/>
      <w:pPr>
        <w:ind w:left="1021" w:hanging="1021"/>
      </w:pPr>
      <w:rPr>
        <w:rFonts w:hint="default"/>
      </w:rPr>
    </w:lvl>
    <w:lvl w:ilvl="5">
      <w:start w:val="1"/>
      <w:numFmt w:val="decimal"/>
      <w:lvlText w:val="%1.%2.%3.%4.%5.%6."/>
      <w:lvlJc w:val="left"/>
      <w:pPr>
        <w:ind w:left="1021" w:hanging="1021"/>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5" w15:restartNumberingAfterBreak="0">
    <w:nsid w:val="3C5C5894"/>
    <w:multiLevelType w:val="hybridMultilevel"/>
    <w:tmpl w:val="71A8AB38"/>
    <w:lvl w:ilvl="0" w:tplc="FF200226">
      <w:start w:val="1"/>
      <w:numFmt w:val="bullet"/>
      <w:pStyle w:val="ITTBullet1"/>
      <w:lvlText w:val=""/>
      <w:lvlJc w:val="left"/>
      <w:pPr>
        <w:ind w:left="1944" w:hanging="360"/>
      </w:pPr>
      <w:rPr>
        <w:rFonts w:ascii="Wingdings" w:hAnsi="Wingdings" w:hint="default"/>
      </w:rPr>
    </w:lvl>
    <w:lvl w:ilvl="1" w:tplc="1AC42EBC">
      <w:numFmt w:val="bullet"/>
      <w:lvlText w:val="•"/>
      <w:lvlJc w:val="left"/>
      <w:pPr>
        <w:ind w:left="2709" w:hanging="405"/>
      </w:pPr>
      <w:rPr>
        <w:rFonts w:ascii="Arial" w:eastAsia="Times New Roman" w:hAnsi="Arial" w:cs="Arial" w:hint="default"/>
      </w:rPr>
    </w:lvl>
    <w:lvl w:ilvl="2" w:tplc="08090005">
      <w:start w:val="1"/>
      <w:numFmt w:val="bullet"/>
      <w:lvlText w:val=""/>
      <w:lvlJc w:val="left"/>
      <w:pPr>
        <w:ind w:left="3384" w:hanging="360"/>
      </w:pPr>
      <w:rPr>
        <w:rFonts w:ascii="Wingdings" w:hAnsi="Wingdings" w:hint="default"/>
      </w:rPr>
    </w:lvl>
    <w:lvl w:ilvl="3" w:tplc="08090001">
      <w:start w:val="1"/>
      <w:numFmt w:val="bullet"/>
      <w:lvlText w:val=""/>
      <w:lvlJc w:val="left"/>
      <w:pPr>
        <w:ind w:left="4104" w:hanging="360"/>
      </w:pPr>
      <w:rPr>
        <w:rFonts w:ascii="Symbol" w:hAnsi="Symbol" w:hint="default"/>
      </w:rPr>
    </w:lvl>
    <w:lvl w:ilvl="4" w:tplc="08090003">
      <w:start w:val="1"/>
      <w:numFmt w:val="bullet"/>
      <w:lvlText w:val="o"/>
      <w:lvlJc w:val="left"/>
      <w:pPr>
        <w:ind w:left="4824" w:hanging="360"/>
      </w:pPr>
      <w:rPr>
        <w:rFonts w:ascii="Courier New" w:hAnsi="Courier New" w:cs="Courier New" w:hint="default"/>
      </w:rPr>
    </w:lvl>
    <w:lvl w:ilvl="5" w:tplc="08090005" w:tentative="1">
      <w:start w:val="1"/>
      <w:numFmt w:val="bullet"/>
      <w:lvlText w:val=""/>
      <w:lvlJc w:val="left"/>
      <w:pPr>
        <w:ind w:left="5544" w:hanging="360"/>
      </w:pPr>
      <w:rPr>
        <w:rFonts w:ascii="Wingdings" w:hAnsi="Wingdings" w:hint="default"/>
      </w:rPr>
    </w:lvl>
    <w:lvl w:ilvl="6" w:tplc="08090001" w:tentative="1">
      <w:start w:val="1"/>
      <w:numFmt w:val="bullet"/>
      <w:lvlText w:val=""/>
      <w:lvlJc w:val="left"/>
      <w:pPr>
        <w:ind w:left="6264" w:hanging="360"/>
      </w:pPr>
      <w:rPr>
        <w:rFonts w:ascii="Symbol" w:hAnsi="Symbol" w:hint="default"/>
      </w:rPr>
    </w:lvl>
    <w:lvl w:ilvl="7" w:tplc="08090003" w:tentative="1">
      <w:start w:val="1"/>
      <w:numFmt w:val="bullet"/>
      <w:lvlText w:val="o"/>
      <w:lvlJc w:val="left"/>
      <w:pPr>
        <w:ind w:left="6984" w:hanging="360"/>
      </w:pPr>
      <w:rPr>
        <w:rFonts w:ascii="Courier New" w:hAnsi="Courier New" w:cs="Courier New" w:hint="default"/>
      </w:rPr>
    </w:lvl>
    <w:lvl w:ilvl="8" w:tplc="08090005" w:tentative="1">
      <w:start w:val="1"/>
      <w:numFmt w:val="bullet"/>
      <w:lvlText w:val=""/>
      <w:lvlJc w:val="left"/>
      <w:pPr>
        <w:ind w:left="7704" w:hanging="360"/>
      </w:pPr>
      <w:rPr>
        <w:rFonts w:ascii="Wingdings" w:hAnsi="Wingdings" w:hint="default"/>
      </w:rPr>
    </w:lvl>
  </w:abstractNum>
  <w:abstractNum w:abstractNumId="6" w15:restartNumberingAfterBreak="0">
    <w:nsid w:val="44A94DC7"/>
    <w:multiLevelType w:val="hybridMultilevel"/>
    <w:tmpl w:val="4740E630"/>
    <w:lvl w:ilvl="0" w:tplc="85FEC11A">
      <w:start w:val="1"/>
      <w:numFmt w:val="bullet"/>
      <w:pStyle w:val="ListBullet"/>
      <w:lvlText w:val=""/>
      <w:lvlJc w:val="left"/>
      <w:pPr>
        <w:tabs>
          <w:tab w:val="num" w:pos="720"/>
        </w:tabs>
        <w:ind w:left="720" w:hanging="720"/>
      </w:pPr>
      <w:rPr>
        <w:rFonts w:ascii="Symbol" w:hAnsi="Symbol" w:cs="Wingdings 3"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start w:val="1"/>
      <w:numFmt w:val="bullet"/>
      <w:lvlText w:val=""/>
      <w:lvlJc w:val="left"/>
      <w:pPr>
        <w:tabs>
          <w:tab w:val="num" w:pos="2160"/>
        </w:tabs>
        <w:ind w:left="2160" w:hanging="360"/>
      </w:pPr>
      <w:rPr>
        <w:rFonts w:ascii="Wingdings" w:hAnsi="Wingdings" w:cs="Wingdings 3" w:hint="default"/>
      </w:rPr>
    </w:lvl>
    <w:lvl w:ilvl="3" w:tplc="04090001">
      <w:start w:val="1"/>
      <w:numFmt w:val="bullet"/>
      <w:lvlText w:val=""/>
      <w:lvlJc w:val="left"/>
      <w:pPr>
        <w:tabs>
          <w:tab w:val="num" w:pos="2880"/>
        </w:tabs>
        <w:ind w:left="2880" w:hanging="360"/>
      </w:pPr>
      <w:rPr>
        <w:rFonts w:ascii="Symbol" w:hAnsi="Symbol" w:cs="Wingdings 3" w:hint="default"/>
      </w:rPr>
    </w:lvl>
    <w:lvl w:ilvl="4" w:tplc="04090003">
      <w:start w:val="1"/>
      <w:numFmt w:val="bullet"/>
      <w:lvlText w:val="o"/>
      <w:lvlJc w:val="left"/>
      <w:pPr>
        <w:tabs>
          <w:tab w:val="num" w:pos="3600"/>
        </w:tabs>
        <w:ind w:left="3600" w:hanging="360"/>
      </w:pPr>
      <w:rPr>
        <w:rFonts w:ascii="Courier New" w:hAnsi="Courier New" w:cs="Symbol" w:hint="default"/>
      </w:rPr>
    </w:lvl>
    <w:lvl w:ilvl="5" w:tplc="04090005">
      <w:start w:val="1"/>
      <w:numFmt w:val="bullet"/>
      <w:lvlText w:val=""/>
      <w:lvlJc w:val="left"/>
      <w:pPr>
        <w:tabs>
          <w:tab w:val="num" w:pos="4320"/>
        </w:tabs>
        <w:ind w:left="4320" w:hanging="360"/>
      </w:pPr>
      <w:rPr>
        <w:rFonts w:ascii="Wingdings" w:hAnsi="Wingdings" w:cs="Wingdings 3" w:hint="default"/>
      </w:rPr>
    </w:lvl>
    <w:lvl w:ilvl="6" w:tplc="04090001">
      <w:start w:val="1"/>
      <w:numFmt w:val="bullet"/>
      <w:lvlText w:val=""/>
      <w:lvlJc w:val="left"/>
      <w:pPr>
        <w:tabs>
          <w:tab w:val="num" w:pos="5040"/>
        </w:tabs>
        <w:ind w:left="5040" w:hanging="360"/>
      </w:pPr>
      <w:rPr>
        <w:rFonts w:ascii="Symbol" w:hAnsi="Symbol" w:cs="Wingdings 3" w:hint="default"/>
      </w:rPr>
    </w:lvl>
    <w:lvl w:ilvl="7" w:tplc="04090003">
      <w:start w:val="1"/>
      <w:numFmt w:val="bullet"/>
      <w:lvlText w:val="o"/>
      <w:lvlJc w:val="left"/>
      <w:pPr>
        <w:tabs>
          <w:tab w:val="num" w:pos="5760"/>
        </w:tabs>
        <w:ind w:left="5760" w:hanging="360"/>
      </w:pPr>
      <w:rPr>
        <w:rFonts w:ascii="Courier New" w:hAnsi="Courier New" w:cs="Symbol" w:hint="default"/>
      </w:rPr>
    </w:lvl>
    <w:lvl w:ilvl="8" w:tplc="04090005">
      <w:start w:val="1"/>
      <w:numFmt w:val="bullet"/>
      <w:lvlText w:val=""/>
      <w:lvlJc w:val="left"/>
      <w:pPr>
        <w:tabs>
          <w:tab w:val="num" w:pos="6480"/>
        </w:tabs>
        <w:ind w:left="6480" w:hanging="360"/>
      </w:pPr>
      <w:rPr>
        <w:rFonts w:ascii="Wingdings" w:hAnsi="Wingdings" w:cs="Wingdings 3" w:hint="default"/>
      </w:rPr>
    </w:lvl>
  </w:abstractNum>
  <w:abstractNum w:abstractNumId="7" w15:restartNumberingAfterBreak="0">
    <w:nsid w:val="4D352DB4"/>
    <w:multiLevelType w:val="hybridMultilevel"/>
    <w:tmpl w:val="02388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733516"/>
    <w:multiLevelType w:val="hybridMultilevel"/>
    <w:tmpl w:val="83F6D20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9" w15:restartNumberingAfterBreak="0">
    <w:nsid w:val="64EA229F"/>
    <w:multiLevelType w:val="multilevel"/>
    <w:tmpl w:val="4EF0DF0C"/>
    <w:lvl w:ilvl="0">
      <w:start w:val="1"/>
      <w:numFmt w:val="decimal"/>
      <w:lvlText w:val="%1."/>
      <w:lvlJc w:val="left"/>
      <w:pPr>
        <w:ind w:left="5464" w:hanging="360"/>
      </w:pPr>
      <w:rPr>
        <w:rFonts w:hint="default"/>
      </w:rPr>
    </w:lvl>
    <w:lvl w:ilvl="1">
      <w:start w:val="1"/>
      <w:numFmt w:val="decimal"/>
      <w:isLgl/>
      <w:lvlText w:val="%1.%2."/>
      <w:lvlJc w:val="left"/>
      <w:pPr>
        <w:ind w:left="1080" w:hanging="720"/>
      </w:pPr>
      <w:rPr>
        <w:rFonts w:hint="default"/>
        <w:sz w:val="22"/>
        <w:szCs w:val="22"/>
      </w:rPr>
    </w:lvl>
    <w:lvl w:ilvl="2">
      <w:start w:val="1"/>
      <w:numFmt w:val="decimal"/>
      <w:isLgl/>
      <w:lvlText w:val="%1.%2.%3."/>
      <w:lvlJc w:val="left"/>
      <w:pPr>
        <w:ind w:left="1713"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6127D4D"/>
    <w:multiLevelType w:val="multilevel"/>
    <w:tmpl w:val="B9E418B4"/>
    <w:lvl w:ilvl="0">
      <w:start w:val="1"/>
      <w:numFmt w:val="decimal"/>
      <w:pStyle w:val="ITTHeading1"/>
      <w:lvlText w:val="%1."/>
      <w:lvlJc w:val="left"/>
      <w:pPr>
        <w:ind w:left="1021" w:hanging="1021"/>
      </w:pPr>
      <w:rPr>
        <w:rFonts w:hint="default"/>
      </w:rPr>
    </w:lvl>
    <w:lvl w:ilvl="1">
      <w:start w:val="1"/>
      <w:numFmt w:val="decimal"/>
      <w:pStyle w:val="ITTBody"/>
      <w:lvlText w:val="%1.%2."/>
      <w:lvlJc w:val="left"/>
      <w:pPr>
        <w:ind w:left="1163" w:hanging="1021"/>
      </w:pPr>
      <w:rPr>
        <w:rFonts w:hint="default"/>
        <w:sz w:val="28"/>
        <w:szCs w:val="28"/>
      </w:rPr>
    </w:lvl>
    <w:lvl w:ilvl="2">
      <w:start w:val="1"/>
      <w:numFmt w:val="decimal"/>
      <w:pStyle w:val="ITTBodyLevel2"/>
      <w:lvlText w:val="%1.%2.%3."/>
      <w:lvlJc w:val="left"/>
      <w:pPr>
        <w:ind w:left="1021" w:hanging="1021"/>
      </w:pPr>
      <w:rPr>
        <w:rFonts w:hint="default"/>
      </w:rPr>
    </w:lvl>
    <w:lvl w:ilvl="3">
      <w:start w:val="1"/>
      <w:numFmt w:val="decimal"/>
      <w:pStyle w:val="ITTBodyLevel3"/>
      <w:lvlText w:val="%1.%2.%3.%4."/>
      <w:lvlJc w:val="left"/>
      <w:pPr>
        <w:ind w:left="4565" w:hanging="1021"/>
      </w:pPr>
      <w:rPr>
        <w:rFonts w:hint="default"/>
      </w:rPr>
    </w:lvl>
    <w:lvl w:ilvl="4">
      <w:start w:val="1"/>
      <w:numFmt w:val="decimal"/>
      <w:pStyle w:val="ITTBodyLevel4indent"/>
      <w:lvlText w:val="%1.%2.%3.%4.%5."/>
      <w:lvlJc w:val="left"/>
      <w:pPr>
        <w:ind w:left="1021" w:hanging="1021"/>
      </w:pPr>
      <w:rPr>
        <w:rFonts w:hint="default"/>
      </w:rPr>
    </w:lvl>
    <w:lvl w:ilvl="5">
      <w:start w:val="1"/>
      <w:numFmt w:val="decimal"/>
      <w:lvlText w:val="%1.%2.%3.%4.%5.%6."/>
      <w:lvlJc w:val="left"/>
      <w:pPr>
        <w:ind w:left="1021" w:hanging="1021"/>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11" w15:restartNumberingAfterBreak="0">
    <w:nsid w:val="6A225EF4"/>
    <w:multiLevelType w:val="hybridMultilevel"/>
    <w:tmpl w:val="EDE64EC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15:restartNumberingAfterBreak="0">
    <w:nsid w:val="70FD5D22"/>
    <w:multiLevelType w:val="multilevel"/>
    <w:tmpl w:val="744A9D0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6F6027F"/>
    <w:multiLevelType w:val="hybridMultilevel"/>
    <w:tmpl w:val="F438BF60"/>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4" w15:restartNumberingAfterBreak="0">
    <w:nsid w:val="7DB903FD"/>
    <w:multiLevelType w:val="hybridMultilevel"/>
    <w:tmpl w:val="76925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C34954"/>
    <w:multiLevelType w:val="multilevel"/>
    <w:tmpl w:val="AD6C7C18"/>
    <w:lvl w:ilvl="0">
      <w:start w:val="1"/>
      <w:numFmt w:val="decimal"/>
      <w:lvlText w:val="%1."/>
      <w:lvlJc w:val="left"/>
      <w:pPr>
        <w:ind w:left="1021" w:hanging="1021"/>
      </w:pPr>
      <w:rPr>
        <w:rFonts w:hint="default"/>
      </w:rPr>
    </w:lvl>
    <w:lvl w:ilvl="1">
      <w:start w:val="1"/>
      <w:numFmt w:val="decimal"/>
      <w:lvlText w:val="%1.%2."/>
      <w:lvlJc w:val="left"/>
      <w:pPr>
        <w:ind w:left="1163" w:hanging="1021"/>
      </w:pPr>
      <w:rPr>
        <w:rFonts w:hint="default"/>
        <w:sz w:val="28"/>
        <w:szCs w:val="28"/>
      </w:rPr>
    </w:lvl>
    <w:lvl w:ilvl="2">
      <w:start w:val="1"/>
      <w:numFmt w:val="decimal"/>
      <w:lvlText w:val="%1.%2.%3."/>
      <w:lvlJc w:val="left"/>
      <w:pPr>
        <w:ind w:left="1021" w:hanging="1021"/>
      </w:pPr>
      <w:rPr>
        <w:rFonts w:hint="default"/>
      </w:rPr>
    </w:lvl>
    <w:lvl w:ilvl="3">
      <w:start w:val="1"/>
      <w:numFmt w:val="bullet"/>
      <w:lvlText w:val=""/>
      <w:lvlJc w:val="left"/>
      <w:pPr>
        <w:ind w:left="4565" w:hanging="1021"/>
      </w:pPr>
      <w:rPr>
        <w:rFonts w:ascii="Symbol" w:hAnsi="Symbol" w:hint="default"/>
      </w:rPr>
    </w:lvl>
    <w:lvl w:ilvl="4">
      <w:start w:val="1"/>
      <w:numFmt w:val="decimal"/>
      <w:lvlText w:val="%1.%2.%3.%4.%5."/>
      <w:lvlJc w:val="left"/>
      <w:pPr>
        <w:ind w:left="1021" w:hanging="1021"/>
      </w:pPr>
      <w:rPr>
        <w:rFonts w:hint="default"/>
      </w:rPr>
    </w:lvl>
    <w:lvl w:ilvl="5">
      <w:start w:val="1"/>
      <w:numFmt w:val="decimal"/>
      <w:lvlText w:val="%1.%2.%3.%4.%5.%6."/>
      <w:lvlJc w:val="left"/>
      <w:pPr>
        <w:ind w:left="1021" w:hanging="1021"/>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num w:numId="1" w16cid:durableId="413623103">
    <w:abstractNumId w:val="10"/>
  </w:num>
  <w:num w:numId="2" w16cid:durableId="1321545970">
    <w:abstractNumId w:val="5"/>
  </w:num>
  <w:num w:numId="3" w16cid:durableId="272054830">
    <w:abstractNumId w:val="6"/>
  </w:num>
  <w:num w:numId="4" w16cid:durableId="549732643">
    <w:abstractNumId w:val="11"/>
  </w:num>
  <w:num w:numId="5" w16cid:durableId="1407071724">
    <w:abstractNumId w:val="13"/>
  </w:num>
  <w:num w:numId="6" w16cid:durableId="1280988681">
    <w:abstractNumId w:val="1"/>
  </w:num>
  <w:num w:numId="7" w16cid:durableId="1863081823">
    <w:abstractNumId w:val="3"/>
  </w:num>
  <w:num w:numId="8" w16cid:durableId="643392851">
    <w:abstractNumId w:val="14"/>
  </w:num>
  <w:num w:numId="9" w16cid:durableId="815147522">
    <w:abstractNumId w:val="7"/>
  </w:num>
  <w:num w:numId="10" w16cid:durableId="1609965302">
    <w:abstractNumId w:val="4"/>
  </w:num>
  <w:num w:numId="11" w16cid:durableId="615986711">
    <w:abstractNumId w:val="15"/>
  </w:num>
  <w:num w:numId="12" w16cid:durableId="248464296">
    <w:abstractNumId w:val="10"/>
  </w:num>
  <w:num w:numId="13" w16cid:durableId="1289048208">
    <w:abstractNumId w:val="10"/>
  </w:num>
  <w:num w:numId="14" w16cid:durableId="17797909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33941352">
    <w:abstractNumId w:val="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9886101">
    <w:abstractNumId w:val="10"/>
  </w:num>
  <w:num w:numId="17" w16cid:durableId="335961273">
    <w:abstractNumId w:val="10"/>
  </w:num>
  <w:num w:numId="18" w16cid:durableId="1052726440">
    <w:abstractNumId w:val="10"/>
  </w:num>
  <w:num w:numId="19" w16cid:durableId="1610117316">
    <w:abstractNumId w:val="12"/>
  </w:num>
  <w:num w:numId="20" w16cid:durableId="881215868">
    <w:abstractNumId w:val="0"/>
  </w:num>
  <w:num w:numId="21" w16cid:durableId="1224369193">
    <w:abstractNumId w:val="8"/>
  </w:num>
  <w:num w:numId="22" w16cid:durableId="1848397009">
    <w:abstractNumId w:val="2"/>
  </w:num>
  <w:num w:numId="23" w16cid:durableId="1972251391">
    <w:abstractNumId w:val="10"/>
  </w:num>
  <w:num w:numId="24" w16cid:durableId="106044300">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135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059"/>
    <w:rsid w:val="0000070F"/>
    <w:rsid w:val="00000A64"/>
    <w:rsid w:val="00002D99"/>
    <w:rsid w:val="00004416"/>
    <w:rsid w:val="00005A1A"/>
    <w:rsid w:val="00005F3F"/>
    <w:rsid w:val="000068C2"/>
    <w:rsid w:val="000111E8"/>
    <w:rsid w:val="00011FD5"/>
    <w:rsid w:val="00012046"/>
    <w:rsid w:val="00013DB5"/>
    <w:rsid w:val="00017D81"/>
    <w:rsid w:val="00020565"/>
    <w:rsid w:val="00020578"/>
    <w:rsid w:val="000214B3"/>
    <w:rsid w:val="00023BE7"/>
    <w:rsid w:val="00023DD5"/>
    <w:rsid w:val="00024349"/>
    <w:rsid w:val="000261AC"/>
    <w:rsid w:val="000302D3"/>
    <w:rsid w:val="0003068E"/>
    <w:rsid w:val="00031CC5"/>
    <w:rsid w:val="000320D3"/>
    <w:rsid w:val="000323C2"/>
    <w:rsid w:val="000323CF"/>
    <w:rsid w:val="000329A8"/>
    <w:rsid w:val="00032F39"/>
    <w:rsid w:val="00033217"/>
    <w:rsid w:val="00037F13"/>
    <w:rsid w:val="0004001B"/>
    <w:rsid w:val="000407E4"/>
    <w:rsid w:val="000408F5"/>
    <w:rsid w:val="0004252B"/>
    <w:rsid w:val="00042C02"/>
    <w:rsid w:val="00043410"/>
    <w:rsid w:val="0004384B"/>
    <w:rsid w:val="000441F4"/>
    <w:rsid w:val="00044AD1"/>
    <w:rsid w:val="000464C1"/>
    <w:rsid w:val="000506E7"/>
    <w:rsid w:val="00050847"/>
    <w:rsid w:val="00050E88"/>
    <w:rsid w:val="00051FC4"/>
    <w:rsid w:val="00057357"/>
    <w:rsid w:val="000603CF"/>
    <w:rsid w:val="000604FB"/>
    <w:rsid w:val="00067807"/>
    <w:rsid w:val="00070955"/>
    <w:rsid w:val="00071634"/>
    <w:rsid w:val="00072417"/>
    <w:rsid w:val="00075127"/>
    <w:rsid w:val="00075CA5"/>
    <w:rsid w:val="00080B5A"/>
    <w:rsid w:val="00081369"/>
    <w:rsid w:val="00081590"/>
    <w:rsid w:val="000828E0"/>
    <w:rsid w:val="00084731"/>
    <w:rsid w:val="00084B28"/>
    <w:rsid w:val="00087318"/>
    <w:rsid w:val="000906F2"/>
    <w:rsid w:val="00090E7B"/>
    <w:rsid w:val="00091BF4"/>
    <w:rsid w:val="000935CE"/>
    <w:rsid w:val="00093975"/>
    <w:rsid w:val="000952CB"/>
    <w:rsid w:val="00096A6D"/>
    <w:rsid w:val="00096A8F"/>
    <w:rsid w:val="00096B69"/>
    <w:rsid w:val="00096E0A"/>
    <w:rsid w:val="000975F1"/>
    <w:rsid w:val="00097B91"/>
    <w:rsid w:val="000A3110"/>
    <w:rsid w:val="000A6981"/>
    <w:rsid w:val="000B01E8"/>
    <w:rsid w:val="000B06DD"/>
    <w:rsid w:val="000B1DB2"/>
    <w:rsid w:val="000B20BE"/>
    <w:rsid w:val="000B2D81"/>
    <w:rsid w:val="000B420E"/>
    <w:rsid w:val="000B6FB5"/>
    <w:rsid w:val="000B7301"/>
    <w:rsid w:val="000C08A0"/>
    <w:rsid w:val="000C3325"/>
    <w:rsid w:val="000C49BB"/>
    <w:rsid w:val="000C66C9"/>
    <w:rsid w:val="000C705A"/>
    <w:rsid w:val="000D22FA"/>
    <w:rsid w:val="000D36C9"/>
    <w:rsid w:val="000D380F"/>
    <w:rsid w:val="000D4D44"/>
    <w:rsid w:val="000D5385"/>
    <w:rsid w:val="000E3398"/>
    <w:rsid w:val="000E45E8"/>
    <w:rsid w:val="000E4A72"/>
    <w:rsid w:val="000E551B"/>
    <w:rsid w:val="000E7516"/>
    <w:rsid w:val="000E7DB5"/>
    <w:rsid w:val="000E7E00"/>
    <w:rsid w:val="000E7E7A"/>
    <w:rsid w:val="000F05B5"/>
    <w:rsid w:val="000F1D26"/>
    <w:rsid w:val="000F2D8E"/>
    <w:rsid w:val="000F433E"/>
    <w:rsid w:val="001001EB"/>
    <w:rsid w:val="00101C3B"/>
    <w:rsid w:val="00101EE0"/>
    <w:rsid w:val="0010308D"/>
    <w:rsid w:val="001030EA"/>
    <w:rsid w:val="00103B23"/>
    <w:rsid w:val="001051C6"/>
    <w:rsid w:val="00105530"/>
    <w:rsid w:val="00105924"/>
    <w:rsid w:val="00106BE3"/>
    <w:rsid w:val="00106C51"/>
    <w:rsid w:val="0010736F"/>
    <w:rsid w:val="00107CDD"/>
    <w:rsid w:val="00110923"/>
    <w:rsid w:val="001115DB"/>
    <w:rsid w:val="00112288"/>
    <w:rsid w:val="00114461"/>
    <w:rsid w:val="001151C1"/>
    <w:rsid w:val="00115EF5"/>
    <w:rsid w:val="00115FF4"/>
    <w:rsid w:val="00117C44"/>
    <w:rsid w:val="00120224"/>
    <w:rsid w:val="001203BB"/>
    <w:rsid w:val="00120939"/>
    <w:rsid w:val="00120B76"/>
    <w:rsid w:val="001223D2"/>
    <w:rsid w:val="0012254D"/>
    <w:rsid w:val="00123902"/>
    <w:rsid w:val="00126701"/>
    <w:rsid w:val="001308E2"/>
    <w:rsid w:val="001311BC"/>
    <w:rsid w:val="00131526"/>
    <w:rsid w:val="0013261D"/>
    <w:rsid w:val="00132F23"/>
    <w:rsid w:val="001338BE"/>
    <w:rsid w:val="00133DEC"/>
    <w:rsid w:val="00133EAD"/>
    <w:rsid w:val="00136B05"/>
    <w:rsid w:val="001407FD"/>
    <w:rsid w:val="00140F3E"/>
    <w:rsid w:val="001423F3"/>
    <w:rsid w:val="00144280"/>
    <w:rsid w:val="0014488F"/>
    <w:rsid w:val="001449E0"/>
    <w:rsid w:val="00144B36"/>
    <w:rsid w:val="00144EDA"/>
    <w:rsid w:val="00145676"/>
    <w:rsid w:val="00145F02"/>
    <w:rsid w:val="0014640A"/>
    <w:rsid w:val="00152FB2"/>
    <w:rsid w:val="00154861"/>
    <w:rsid w:val="00154D27"/>
    <w:rsid w:val="0016060B"/>
    <w:rsid w:val="00160826"/>
    <w:rsid w:val="00165EA5"/>
    <w:rsid w:val="001701DF"/>
    <w:rsid w:val="00170991"/>
    <w:rsid w:val="001716C6"/>
    <w:rsid w:val="00172491"/>
    <w:rsid w:val="00172C56"/>
    <w:rsid w:val="00173E25"/>
    <w:rsid w:val="00174A49"/>
    <w:rsid w:val="0017551D"/>
    <w:rsid w:val="00175A74"/>
    <w:rsid w:val="00176F15"/>
    <w:rsid w:val="00184C42"/>
    <w:rsid w:val="0018619D"/>
    <w:rsid w:val="0018648C"/>
    <w:rsid w:val="001908F4"/>
    <w:rsid w:val="0019213F"/>
    <w:rsid w:val="001944F7"/>
    <w:rsid w:val="001959F2"/>
    <w:rsid w:val="001A327F"/>
    <w:rsid w:val="001A4020"/>
    <w:rsid w:val="001A4059"/>
    <w:rsid w:val="001A455F"/>
    <w:rsid w:val="001A55CD"/>
    <w:rsid w:val="001A5F19"/>
    <w:rsid w:val="001A633E"/>
    <w:rsid w:val="001A6C13"/>
    <w:rsid w:val="001A79E3"/>
    <w:rsid w:val="001B1BE2"/>
    <w:rsid w:val="001B33F0"/>
    <w:rsid w:val="001B3BFB"/>
    <w:rsid w:val="001B6595"/>
    <w:rsid w:val="001B6834"/>
    <w:rsid w:val="001B7B20"/>
    <w:rsid w:val="001C1383"/>
    <w:rsid w:val="001C2EE7"/>
    <w:rsid w:val="001C3F89"/>
    <w:rsid w:val="001C4024"/>
    <w:rsid w:val="001C4710"/>
    <w:rsid w:val="001C4E66"/>
    <w:rsid w:val="001C79C9"/>
    <w:rsid w:val="001C7E89"/>
    <w:rsid w:val="001D059A"/>
    <w:rsid w:val="001D0DA8"/>
    <w:rsid w:val="001D2DBB"/>
    <w:rsid w:val="001D7339"/>
    <w:rsid w:val="001D7579"/>
    <w:rsid w:val="001E0690"/>
    <w:rsid w:val="001E2D83"/>
    <w:rsid w:val="001E3BD8"/>
    <w:rsid w:val="001E48F8"/>
    <w:rsid w:val="001E5FC6"/>
    <w:rsid w:val="001E6C0A"/>
    <w:rsid w:val="001E7C3A"/>
    <w:rsid w:val="001F0534"/>
    <w:rsid w:val="001F05AE"/>
    <w:rsid w:val="001F0E00"/>
    <w:rsid w:val="001F1969"/>
    <w:rsid w:val="001F1E96"/>
    <w:rsid w:val="001F266B"/>
    <w:rsid w:val="001F3CB9"/>
    <w:rsid w:val="001F45BD"/>
    <w:rsid w:val="001F51FE"/>
    <w:rsid w:val="001F5D52"/>
    <w:rsid w:val="00201256"/>
    <w:rsid w:val="00202C7A"/>
    <w:rsid w:val="00202E0E"/>
    <w:rsid w:val="0020384B"/>
    <w:rsid w:val="002056DC"/>
    <w:rsid w:val="002057C2"/>
    <w:rsid w:val="00207446"/>
    <w:rsid w:val="00207715"/>
    <w:rsid w:val="00207B7E"/>
    <w:rsid w:val="00215228"/>
    <w:rsid w:val="0021675B"/>
    <w:rsid w:val="00216CF7"/>
    <w:rsid w:val="00221442"/>
    <w:rsid w:val="00222501"/>
    <w:rsid w:val="002236E3"/>
    <w:rsid w:val="00224230"/>
    <w:rsid w:val="00224AD0"/>
    <w:rsid w:val="00225E45"/>
    <w:rsid w:val="002265D3"/>
    <w:rsid w:val="00226D07"/>
    <w:rsid w:val="00230A6B"/>
    <w:rsid w:val="0023156C"/>
    <w:rsid w:val="00231CF0"/>
    <w:rsid w:val="002329AD"/>
    <w:rsid w:val="002345C1"/>
    <w:rsid w:val="00234A7D"/>
    <w:rsid w:val="00234AD6"/>
    <w:rsid w:val="00235D75"/>
    <w:rsid w:val="0023635C"/>
    <w:rsid w:val="002365E4"/>
    <w:rsid w:val="00237813"/>
    <w:rsid w:val="002407F5"/>
    <w:rsid w:val="00241931"/>
    <w:rsid w:val="002451E0"/>
    <w:rsid w:val="002476D9"/>
    <w:rsid w:val="0025095F"/>
    <w:rsid w:val="00251525"/>
    <w:rsid w:val="00251BFC"/>
    <w:rsid w:val="0025243D"/>
    <w:rsid w:val="00252DA7"/>
    <w:rsid w:val="002543F0"/>
    <w:rsid w:val="002573F7"/>
    <w:rsid w:val="00263F8E"/>
    <w:rsid w:val="0027204B"/>
    <w:rsid w:val="00273576"/>
    <w:rsid w:val="00275019"/>
    <w:rsid w:val="0027637B"/>
    <w:rsid w:val="002815EA"/>
    <w:rsid w:val="0028193C"/>
    <w:rsid w:val="00282733"/>
    <w:rsid w:val="0028417C"/>
    <w:rsid w:val="00292835"/>
    <w:rsid w:val="00293C97"/>
    <w:rsid w:val="00295090"/>
    <w:rsid w:val="00296648"/>
    <w:rsid w:val="00296CAC"/>
    <w:rsid w:val="002A0414"/>
    <w:rsid w:val="002A212F"/>
    <w:rsid w:val="002A3276"/>
    <w:rsid w:val="002A3543"/>
    <w:rsid w:val="002A377A"/>
    <w:rsid w:val="002B0090"/>
    <w:rsid w:val="002B05EF"/>
    <w:rsid w:val="002B19E7"/>
    <w:rsid w:val="002B1F21"/>
    <w:rsid w:val="002B291A"/>
    <w:rsid w:val="002B296B"/>
    <w:rsid w:val="002B4768"/>
    <w:rsid w:val="002B6825"/>
    <w:rsid w:val="002B730C"/>
    <w:rsid w:val="002C01A7"/>
    <w:rsid w:val="002C1EB4"/>
    <w:rsid w:val="002C2E57"/>
    <w:rsid w:val="002C39FD"/>
    <w:rsid w:val="002C4C9E"/>
    <w:rsid w:val="002C765C"/>
    <w:rsid w:val="002D093D"/>
    <w:rsid w:val="002D1DB0"/>
    <w:rsid w:val="002D1FC4"/>
    <w:rsid w:val="002D2E7E"/>
    <w:rsid w:val="002D3981"/>
    <w:rsid w:val="002D4E42"/>
    <w:rsid w:val="002D6EEA"/>
    <w:rsid w:val="002E0EAC"/>
    <w:rsid w:val="002E19ED"/>
    <w:rsid w:val="002E28F7"/>
    <w:rsid w:val="002E3FBF"/>
    <w:rsid w:val="002E6133"/>
    <w:rsid w:val="002F18DE"/>
    <w:rsid w:val="002F5DD5"/>
    <w:rsid w:val="002F67F2"/>
    <w:rsid w:val="00300218"/>
    <w:rsid w:val="00300A94"/>
    <w:rsid w:val="00303A39"/>
    <w:rsid w:val="003056FC"/>
    <w:rsid w:val="003065C7"/>
    <w:rsid w:val="00307239"/>
    <w:rsid w:val="003104C6"/>
    <w:rsid w:val="00310552"/>
    <w:rsid w:val="003114E6"/>
    <w:rsid w:val="00314403"/>
    <w:rsid w:val="00314924"/>
    <w:rsid w:val="003149E4"/>
    <w:rsid w:val="003153CC"/>
    <w:rsid w:val="0031649F"/>
    <w:rsid w:val="0031750D"/>
    <w:rsid w:val="0032018C"/>
    <w:rsid w:val="00320A8F"/>
    <w:rsid w:val="00320E3E"/>
    <w:rsid w:val="00321683"/>
    <w:rsid w:val="003250AB"/>
    <w:rsid w:val="00326B3A"/>
    <w:rsid w:val="00327272"/>
    <w:rsid w:val="00330268"/>
    <w:rsid w:val="00332090"/>
    <w:rsid w:val="003336CE"/>
    <w:rsid w:val="00333776"/>
    <w:rsid w:val="00335A97"/>
    <w:rsid w:val="003400FC"/>
    <w:rsid w:val="00340E7D"/>
    <w:rsid w:val="00341292"/>
    <w:rsid w:val="00344043"/>
    <w:rsid w:val="003478E4"/>
    <w:rsid w:val="00353B15"/>
    <w:rsid w:val="00353C34"/>
    <w:rsid w:val="00353D05"/>
    <w:rsid w:val="003556CB"/>
    <w:rsid w:val="003573D7"/>
    <w:rsid w:val="00357CA5"/>
    <w:rsid w:val="00357E06"/>
    <w:rsid w:val="00361751"/>
    <w:rsid w:val="00362A05"/>
    <w:rsid w:val="00364566"/>
    <w:rsid w:val="003654C5"/>
    <w:rsid w:val="00367256"/>
    <w:rsid w:val="003679E2"/>
    <w:rsid w:val="00370B40"/>
    <w:rsid w:val="003717C6"/>
    <w:rsid w:val="0037206C"/>
    <w:rsid w:val="00373110"/>
    <w:rsid w:val="0037435D"/>
    <w:rsid w:val="00375D7C"/>
    <w:rsid w:val="003801AB"/>
    <w:rsid w:val="00380ABE"/>
    <w:rsid w:val="00381630"/>
    <w:rsid w:val="00382052"/>
    <w:rsid w:val="00383D13"/>
    <w:rsid w:val="00384DED"/>
    <w:rsid w:val="00386342"/>
    <w:rsid w:val="00386BEE"/>
    <w:rsid w:val="00387B03"/>
    <w:rsid w:val="00396C06"/>
    <w:rsid w:val="00397784"/>
    <w:rsid w:val="003A039D"/>
    <w:rsid w:val="003A05BA"/>
    <w:rsid w:val="003A1850"/>
    <w:rsid w:val="003A23C2"/>
    <w:rsid w:val="003A349E"/>
    <w:rsid w:val="003A41DC"/>
    <w:rsid w:val="003A4F1E"/>
    <w:rsid w:val="003A5E55"/>
    <w:rsid w:val="003A6EEA"/>
    <w:rsid w:val="003B025E"/>
    <w:rsid w:val="003B0C71"/>
    <w:rsid w:val="003B1A79"/>
    <w:rsid w:val="003B48C3"/>
    <w:rsid w:val="003B4C37"/>
    <w:rsid w:val="003B537F"/>
    <w:rsid w:val="003B5423"/>
    <w:rsid w:val="003B7388"/>
    <w:rsid w:val="003B753A"/>
    <w:rsid w:val="003C2EE4"/>
    <w:rsid w:val="003C55A3"/>
    <w:rsid w:val="003C6D52"/>
    <w:rsid w:val="003C6E9F"/>
    <w:rsid w:val="003C6EFB"/>
    <w:rsid w:val="003D125B"/>
    <w:rsid w:val="003D1363"/>
    <w:rsid w:val="003D18C0"/>
    <w:rsid w:val="003D5303"/>
    <w:rsid w:val="003D5A3B"/>
    <w:rsid w:val="003D7D48"/>
    <w:rsid w:val="003E3CB5"/>
    <w:rsid w:val="003E7BE4"/>
    <w:rsid w:val="003F06BF"/>
    <w:rsid w:val="003F0F14"/>
    <w:rsid w:val="003F1013"/>
    <w:rsid w:val="003F211F"/>
    <w:rsid w:val="003F21AD"/>
    <w:rsid w:val="003F440D"/>
    <w:rsid w:val="003F60ED"/>
    <w:rsid w:val="0040076F"/>
    <w:rsid w:val="00403609"/>
    <w:rsid w:val="004075B5"/>
    <w:rsid w:val="004122C6"/>
    <w:rsid w:val="00412831"/>
    <w:rsid w:val="00414160"/>
    <w:rsid w:val="004141DB"/>
    <w:rsid w:val="00414826"/>
    <w:rsid w:val="00415B23"/>
    <w:rsid w:val="00416C44"/>
    <w:rsid w:val="00420DD9"/>
    <w:rsid w:val="00421F95"/>
    <w:rsid w:val="00422586"/>
    <w:rsid w:val="00423C0A"/>
    <w:rsid w:val="004251DD"/>
    <w:rsid w:val="00425844"/>
    <w:rsid w:val="00425E88"/>
    <w:rsid w:val="00425F0A"/>
    <w:rsid w:val="00426CD2"/>
    <w:rsid w:val="00432548"/>
    <w:rsid w:val="0043432A"/>
    <w:rsid w:val="00434681"/>
    <w:rsid w:val="0044087E"/>
    <w:rsid w:val="00441661"/>
    <w:rsid w:val="00441C07"/>
    <w:rsid w:val="004430D7"/>
    <w:rsid w:val="0044674A"/>
    <w:rsid w:val="00446FE8"/>
    <w:rsid w:val="0045008B"/>
    <w:rsid w:val="004507B5"/>
    <w:rsid w:val="004520EE"/>
    <w:rsid w:val="004523E7"/>
    <w:rsid w:val="00452BC7"/>
    <w:rsid w:val="00452CDF"/>
    <w:rsid w:val="00456792"/>
    <w:rsid w:val="00456813"/>
    <w:rsid w:val="00456A1B"/>
    <w:rsid w:val="004601A9"/>
    <w:rsid w:val="004604B1"/>
    <w:rsid w:val="00460909"/>
    <w:rsid w:val="00461B1B"/>
    <w:rsid w:val="004621FA"/>
    <w:rsid w:val="004642F1"/>
    <w:rsid w:val="00466BDA"/>
    <w:rsid w:val="00467866"/>
    <w:rsid w:val="00470E0A"/>
    <w:rsid w:val="00472631"/>
    <w:rsid w:val="0047268B"/>
    <w:rsid w:val="0047391A"/>
    <w:rsid w:val="00474B91"/>
    <w:rsid w:val="0047553D"/>
    <w:rsid w:val="00476FE7"/>
    <w:rsid w:val="0047753F"/>
    <w:rsid w:val="004806B8"/>
    <w:rsid w:val="00481A1C"/>
    <w:rsid w:val="00481BA6"/>
    <w:rsid w:val="004836CB"/>
    <w:rsid w:val="00483C9C"/>
    <w:rsid w:val="0048413B"/>
    <w:rsid w:val="004846B0"/>
    <w:rsid w:val="00484A1F"/>
    <w:rsid w:val="004852FA"/>
    <w:rsid w:val="004856A1"/>
    <w:rsid w:val="00485DA4"/>
    <w:rsid w:val="00486AC4"/>
    <w:rsid w:val="00486E6F"/>
    <w:rsid w:val="00487914"/>
    <w:rsid w:val="004900C8"/>
    <w:rsid w:val="00493753"/>
    <w:rsid w:val="004A0558"/>
    <w:rsid w:val="004A3911"/>
    <w:rsid w:val="004A6020"/>
    <w:rsid w:val="004A791A"/>
    <w:rsid w:val="004A7B16"/>
    <w:rsid w:val="004B0470"/>
    <w:rsid w:val="004B1561"/>
    <w:rsid w:val="004B4920"/>
    <w:rsid w:val="004B4E49"/>
    <w:rsid w:val="004B7668"/>
    <w:rsid w:val="004C157E"/>
    <w:rsid w:val="004C172E"/>
    <w:rsid w:val="004C2FCB"/>
    <w:rsid w:val="004C5B25"/>
    <w:rsid w:val="004D1065"/>
    <w:rsid w:val="004D2AE0"/>
    <w:rsid w:val="004D4385"/>
    <w:rsid w:val="004E1118"/>
    <w:rsid w:val="004E2099"/>
    <w:rsid w:val="004E2350"/>
    <w:rsid w:val="004E66A4"/>
    <w:rsid w:val="004F1F4E"/>
    <w:rsid w:val="004F22BE"/>
    <w:rsid w:val="004F457D"/>
    <w:rsid w:val="004F4D36"/>
    <w:rsid w:val="004F6FED"/>
    <w:rsid w:val="004F7BC8"/>
    <w:rsid w:val="005004F2"/>
    <w:rsid w:val="0050179A"/>
    <w:rsid w:val="00502C53"/>
    <w:rsid w:val="005031A1"/>
    <w:rsid w:val="00503635"/>
    <w:rsid w:val="00503E24"/>
    <w:rsid w:val="00504D8E"/>
    <w:rsid w:val="00504E74"/>
    <w:rsid w:val="0050614C"/>
    <w:rsid w:val="005076E0"/>
    <w:rsid w:val="005137BD"/>
    <w:rsid w:val="005141A5"/>
    <w:rsid w:val="005165D8"/>
    <w:rsid w:val="005207AB"/>
    <w:rsid w:val="00520FBD"/>
    <w:rsid w:val="00521B45"/>
    <w:rsid w:val="0052324A"/>
    <w:rsid w:val="00523FB6"/>
    <w:rsid w:val="0052416D"/>
    <w:rsid w:val="00525961"/>
    <w:rsid w:val="00525CE2"/>
    <w:rsid w:val="005275CB"/>
    <w:rsid w:val="00531B7F"/>
    <w:rsid w:val="00532097"/>
    <w:rsid w:val="00532379"/>
    <w:rsid w:val="005323B2"/>
    <w:rsid w:val="0053253C"/>
    <w:rsid w:val="00533E63"/>
    <w:rsid w:val="005344C0"/>
    <w:rsid w:val="005360DF"/>
    <w:rsid w:val="00537243"/>
    <w:rsid w:val="00537801"/>
    <w:rsid w:val="00537DB4"/>
    <w:rsid w:val="0054083B"/>
    <w:rsid w:val="00543FF1"/>
    <w:rsid w:val="005442CC"/>
    <w:rsid w:val="005461F2"/>
    <w:rsid w:val="00546A48"/>
    <w:rsid w:val="005504A6"/>
    <w:rsid w:val="00552547"/>
    <w:rsid w:val="0055303B"/>
    <w:rsid w:val="005568FC"/>
    <w:rsid w:val="005615E4"/>
    <w:rsid w:val="00561BAD"/>
    <w:rsid w:val="00561C77"/>
    <w:rsid w:val="0056442A"/>
    <w:rsid w:val="00564697"/>
    <w:rsid w:val="00564E76"/>
    <w:rsid w:val="00565228"/>
    <w:rsid w:val="005661BD"/>
    <w:rsid w:val="00567FB0"/>
    <w:rsid w:val="00574E4C"/>
    <w:rsid w:val="00580F8A"/>
    <w:rsid w:val="00586FBC"/>
    <w:rsid w:val="005903D1"/>
    <w:rsid w:val="005914A5"/>
    <w:rsid w:val="00592D5B"/>
    <w:rsid w:val="00592F22"/>
    <w:rsid w:val="00595351"/>
    <w:rsid w:val="005953CA"/>
    <w:rsid w:val="00596C55"/>
    <w:rsid w:val="0059712D"/>
    <w:rsid w:val="005A024B"/>
    <w:rsid w:val="005A179D"/>
    <w:rsid w:val="005A1D42"/>
    <w:rsid w:val="005A285A"/>
    <w:rsid w:val="005A2CB7"/>
    <w:rsid w:val="005A4F90"/>
    <w:rsid w:val="005A53FF"/>
    <w:rsid w:val="005A5A82"/>
    <w:rsid w:val="005A615D"/>
    <w:rsid w:val="005A6C31"/>
    <w:rsid w:val="005B0D73"/>
    <w:rsid w:val="005B18EF"/>
    <w:rsid w:val="005B211F"/>
    <w:rsid w:val="005B29B7"/>
    <w:rsid w:val="005B4913"/>
    <w:rsid w:val="005B4E88"/>
    <w:rsid w:val="005B4EBA"/>
    <w:rsid w:val="005B5B96"/>
    <w:rsid w:val="005C258D"/>
    <w:rsid w:val="005C2D59"/>
    <w:rsid w:val="005C415D"/>
    <w:rsid w:val="005C59BF"/>
    <w:rsid w:val="005C7383"/>
    <w:rsid w:val="005D09BC"/>
    <w:rsid w:val="005D26AA"/>
    <w:rsid w:val="005D3B61"/>
    <w:rsid w:val="005D4F0E"/>
    <w:rsid w:val="005E00C0"/>
    <w:rsid w:val="005E0D1F"/>
    <w:rsid w:val="005E1DA6"/>
    <w:rsid w:val="005E786A"/>
    <w:rsid w:val="005F1A5B"/>
    <w:rsid w:val="005F2DBC"/>
    <w:rsid w:val="005F3CFF"/>
    <w:rsid w:val="005F3F33"/>
    <w:rsid w:val="005F5FD4"/>
    <w:rsid w:val="005F7B54"/>
    <w:rsid w:val="00603AD8"/>
    <w:rsid w:val="00603F1E"/>
    <w:rsid w:val="0060434D"/>
    <w:rsid w:val="00605045"/>
    <w:rsid w:val="00607745"/>
    <w:rsid w:val="006111A6"/>
    <w:rsid w:val="00611D99"/>
    <w:rsid w:val="006124E1"/>
    <w:rsid w:val="0061336E"/>
    <w:rsid w:val="006135DC"/>
    <w:rsid w:val="00613855"/>
    <w:rsid w:val="00621F22"/>
    <w:rsid w:val="006226EC"/>
    <w:rsid w:val="0062302B"/>
    <w:rsid w:val="0062390A"/>
    <w:rsid w:val="006242B8"/>
    <w:rsid w:val="00626915"/>
    <w:rsid w:val="00630224"/>
    <w:rsid w:val="00631967"/>
    <w:rsid w:val="00631DD5"/>
    <w:rsid w:val="0063202C"/>
    <w:rsid w:val="0063618F"/>
    <w:rsid w:val="00637BE4"/>
    <w:rsid w:val="006400C7"/>
    <w:rsid w:val="00641E6A"/>
    <w:rsid w:val="00642DD5"/>
    <w:rsid w:val="00645774"/>
    <w:rsid w:val="00646C60"/>
    <w:rsid w:val="0064769E"/>
    <w:rsid w:val="00647F19"/>
    <w:rsid w:val="00650105"/>
    <w:rsid w:val="00650243"/>
    <w:rsid w:val="00650A08"/>
    <w:rsid w:val="00651EC1"/>
    <w:rsid w:val="0065268C"/>
    <w:rsid w:val="006538C3"/>
    <w:rsid w:val="00653D63"/>
    <w:rsid w:val="00655FB6"/>
    <w:rsid w:val="00656143"/>
    <w:rsid w:val="0065674A"/>
    <w:rsid w:val="006628E8"/>
    <w:rsid w:val="006635E0"/>
    <w:rsid w:val="00663F2C"/>
    <w:rsid w:val="00665063"/>
    <w:rsid w:val="00665C0C"/>
    <w:rsid w:val="00666C41"/>
    <w:rsid w:val="00671699"/>
    <w:rsid w:val="006721E2"/>
    <w:rsid w:val="0067275B"/>
    <w:rsid w:val="00672EFF"/>
    <w:rsid w:val="00673028"/>
    <w:rsid w:val="00680ACB"/>
    <w:rsid w:val="00681B7B"/>
    <w:rsid w:val="00684CF4"/>
    <w:rsid w:val="0068530C"/>
    <w:rsid w:val="00686545"/>
    <w:rsid w:val="00686B5D"/>
    <w:rsid w:val="006877C9"/>
    <w:rsid w:val="00687810"/>
    <w:rsid w:val="00687F73"/>
    <w:rsid w:val="00690194"/>
    <w:rsid w:val="00693866"/>
    <w:rsid w:val="00694819"/>
    <w:rsid w:val="00694C46"/>
    <w:rsid w:val="006964EA"/>
    <w:rsid w:val="006971D4"/>
    <w:rsid w:val="00697482"/>
    <w:rsid w:val="006976FE"/>
    <w:rsid w:val="00697AD4"/>
    <w:rsid w:val="006A01B0"/>
    <w:rsid w:val="006A1CBC"/>
    <w:rsid w:val="006A2F2C"/>
    <w:rsid w:val="006A4C57"/>
    <w:rsid w:val="006B4631"/>
    <w:rsid w:val="006B6318"/>
    <w:rsid w:val="006C1121"/>
    <w:rsid w:val="006C16FF"/>
    <w:rsid w:val="006C306F"/>
    <w:rsid w:val="006C5F64"/>
    <w:rsid w:val="006C6663"/>
    <w:rsid w:val="006C730D"/>
    <w:rsid w:val="006C75ED"/>
    <w:rsid w:val="006D13D3"/>
    <w:rsid w:val="006D152A"/>
    <w:rsid w:val="006D20BF"/>
    <w:rsid w:val="006D3204"/>
    <w:rsid w:val="006D34FA"/>
    <w:rsid w:val="006D3C08"/>
    <w:rsid w:val="006D47AF"/>
    <w:rsid w:val="006D5773"/>
    <w:rsid w:val="006D5B48"/>
    <w:rsid w:val="006D6D65"/>
    <w:rsid w:val="006D7D04"/>
    <w:rsid w:val="006E000A"/>
    <w:rsid w:val="006E26AF"/>
    <w:rsid w:val="006E69F2"/>
    <w:rsid w:val="006F1104"/>
    <w:rsid w:val="006F2F4B"/>
    <w:rsid w:val="006F37E1"/>
    <w:rsid w:val="006F55F5"/>
    <w:rsid w:val="006F6911"/>
    <w:rsid w:val="007040F5"/>
    <w:rsid w:val="00707A06"/>
    <w:rsid w:val="00710B15"/>
    <w:rsid w:val="00712031"/>
    <w:rsid w:val="007126F7"/>
    <w:rsid w:val="00712C42"/>
    <w:rsid w:val="00712F66"/>
    <w:rsid w:val="00713F55"/>
    <w:rsid w:val="00714804"/>
    <w:rsid w:val="00714C3A"/>
    <w:rsid w:val="00716FEC"/>
    <w:rsid w:val="00720268"/>
    <w:rsid w:val="00721DEE"/>
    <w:rsid w:val="00722150"/>
    <w:rsid w:val="00722630"/>
    <w:rsid w:val="00725EDD"/>
    <w:rsid w:val="00726E51"/>
    <w:rsid w:val="007300CC"/>
    <w:rsid w:val="00733585"/>
    <w:rsid w:val="00736277"/>
    <w:rsid w:val="00736AF9"/>
    <w:rsid w:val="00737C85"/>
    <w:rsid w:val="0074055E"/>
    <w:rsid w:val="00740E1E"/>
    <w:rsid w:val="007427C4"/>
    <w:rsid w:val="00744760"/>
    <w:rsid w:val="007457D1"/>
    <w:rsid w:val="00745D68"/>
    <w:rsid w:val="0075031E"/>
    <w:rsid w:val="00750487"/>
    <w:rsid w:val="007517CF"/>
    <w:rsid w:val="00751C1E"/>
    <w:rsid w:val="00753CB3"/>
    <w:rsid w:val="00754BB0"/>
    <w:rsid w:val="00756F29"/>
    <w:rsid w:val="00760C03"/>
    <w:rsid w:val="007611B1"/>
    <w:rsid w:val="00762476"/>
    <w:rsid w:val="007626A7"/>
    <w:rsid w:val="007643C5"/>
    <w:rsid w:val="00770AF5"/>
    <w:rsid w:val="007719CC"/>
    <w:rsid w:val="007721E3"/>
    <w:rsid w:val="00772F4E"/>
    <w:rsid w:val="00773C96"/>
    <w:rsid w:val="0077471A"/>
    <w:rsid w:val="00775462"/>
    <w:rsid w:val="0077561A"/>
    <w:rsid w:val="007757A9"/>
    <w:rsid w:val="00775840"/>
    <w:rsid w:val="00776170"/>
    <w:rsid w:val="00776430"/>
    <w:rsid w:val="00784FB7"/>
    <w:rsid w:val="007850E9"/>
    <w:rsid w:val="00787496"/>
    <w:rsid w:val="00790725"/>
    <w:rsid w:val="007911C5"/>
    <w:rsid w:val="00792F8B"/>
    <w:rsid w:val="00793269"/>
    <w:rsid w:val="00794B0F"/>
    <w:rsid w:val="00794F01"/>
    <w:rsid w:val="007959C0"/>
    <w:rsid w:val="00797DBD"/>
    <w:rsid w:val="007A3894"/>
    <w:rsid w:val="007A6B3E"/>
    <w:rsid w:val="007B1010"/>
    <w:rsid w:val="007B29DD"/>
    <w:rsid w:val="007B34DE"/>
    <w:rsid w:val="007B38C0"/>
    <w:rsid w:val="007B3EA1"/>
    <w:rsid w:val="007C03BB"/>
    <w:rsid w:val="007C25F0"/>
    <w:rsid w:val="007C4228"/>
    <w:rsid w:val="007C5EEE"/>
    <w:rsid w:val="007C6D72"/>
    <w:rsid w:val="007C7BB4"/>
    <w:rsid w:val="007D2AF2"/>
    <w:rsid w:val="007D4A21"/>
    <w:rsid w:val="007D56BE"/>
    <w:rsid w:val="007D64FB"/>
    <w:rsid w:val="007D6C7F"/>
    <w:rsid w:val="007E1712"/>
    <w:rsid w:val="007E28F7"/>
    <w:rsid w:val="007E348D"/>
    <w:rsid w:val="007E458C"/>
    <w:rsid w:val="007E4600"/>
    <w:rsid w:val="007E4803"/>
    <w:rsid w:val="007E4E38"/>
    <w:rsid w:val="007E5A06"/>
    <w:rsid w:val="007E65F9"/>
    <w:rsid w:val="007F0271"/>
    <w:rsid w:val="007F1748"/>
    <w:rsid w:val="007F178E"/>
    <w:rsid w:val="007F2247"/>
    <w:rsid w:val="007F312D"/>
    <w:rsid w:val="007F578D"/>
    <w:rsid w:val="007F5A24"/>
    <w:rsid w:val="007F5D5D"/>
    <w:rsid w:val="007F7BD4"/>
    <w:rsid w:val="007F7EE1"/>
    <w:rsid w:val="007F7F52"/>
    <w:rsid w:val="00800197"/>
    <w:rsid w:val="008002EF"/>
    <w:rsid w:val="00801C6E"/>
    <w:rsid w:val="008038E1"/>
    <w:rsid w:val="00805641"/>
    <w:rsid w:val="00805C66"/>
    <w:rsid w:val="00806151"/>
    <w:rsid w:val="00806186"/>
    <w:rsid w:val="00807316"/>
    <w:rsid w:val="00807584"/>
    <w:rsid w:val="008136A0"/>
    <w:rsid w:val="008142D2"/>
    <w:rsid w:val="00814ED2"/>
    <w:rsid w:val="00822D34"/>
    <w:rsid w:val="00824018"/>
    <w:rsid w:val="008256AE"/>
    <w:rsid w:val="00835435"/>
    <w:rsid w:val="00836BF2"/>
    <w:rsid w:val="00836E7F"/>
    <w:rsid w:val="008379DE"/>
    <w:rsid w:val="00837A72"/>
    <w:rsid w:val="00841B84"/>
    <w:rsid w:val="00842A76"/>
    <w:rsid w:val="00842F72"/>
    <w:rsid w:val="00843075"/>
    <w:rsid w:val="00844B64"/>
    <w:rsid w:val="008473AD"/>
    <w:rsid w:val="0085174B"/>
    <w:rsid w:val="00851DCF"/>
    <w:rsid w:val="00853DD2"/>
    <w:rsid w:val="00855622"/>
    <w:rsid w:val="00857D9B"/>
    <w:rsid w:val="00860166"/>
    <w:rsid w:val="008602CF"/>
    <w:rsid w:val="00860470"/>
    <w:rsid w:val="0086058B"/>
    <w:rsid w:val="008610AB"/>
    <w:rsid w:val="008617DA"/>
    <w:rsid w:val="008637A1"/>
    <w:rsid w:val="0086387B"/>
    <w:rsid w:val="00864333"/>
    <w:rsid w:val="0086437F"/>
    <w:rsid w:val="008650AF"/>
    <w:rsid w:val="00867586"/>
    <w:rsid w:val="00867EB7"/>
    <w:rsid w:val="0087478B"/>
    <w:rsid w:val="00874A8B"/>
    <w:rsid w:val="00875039"/>
    <w:rsid w:val="008763E0"/>
    <w:rsid w:val="00876E13"/>
    <w:rsid w:val="00876F84"/>
    <w:rsid w:val="00880D71"/>
    <w:rsid w:val="00880DB3"/>
    <w:rsid w:val="00884777"/>
    <w:rsid w:val="00885A51"/>
    <w:rsid w:val="00885D80"/>
    <w:rsid w:val="008864BA"/>
    <w:rsid w:val="00886CC8"/>
    <w:rsid w:val="00887B5A"/>
    <w:rsid w:val="00887CCE"/>
    <w:rsid w:val="00890EE6"/>
    <w:rsid w:val="00890F3E"/>
    <w:rsid w:val="00891F3C"/>
    <w:rsid w:val="00892DD0"/>
    <w:rsid w:val="00894A62"/>
    <w:rsid w:val="008961D6"/>
    <w:rsid w:val="00897823"/>
    <w:rsid w:val="008A1727"/>
    <w:rsid w:val="008A31EC"/>
    <w:rsid w:val="008A48F9"/>
    <w:rsid w:val="008A4D1C"/>
    <w:rsid w:val="008A5411"/>
    <w:rsid w:val="008B3E4C"/>
    <w:rsid w:val="008B3F84"/>
    <w:rsid w:val="008B4825"/>
    <w:rsid w:val="008B4A08"/>
    <w:rsid w:val="008B62B3"/>
    <w:rsid w:val="008B7470"/>
    <w:rsid w:val="008B7AA9"/>
    <w:rsid w:val="008C270E"/>
    <w:rsid w:val="008C2CC7"/>
    <w:rsid w:val="008C312F"/>
    <w:rsid w:val="008C4264"/>
    <w:rsid w:val="008C454D"/>
    <w:rsid w:val="008C460F"/>
    <w:rsid w:val="008C46A4"/>
    <w:rsid w:val="008C4DA4"/>
    <w:rsid w:val="008C717C"/>
    <w:rsid w:val="008D0041"/>
    <w:rsid w:val="008D08DE"/>
    <w:rsid w:val="008D12EC"/>
    <w:rsid w:val="008D1EA9"/>
    <w:rsid w:val="008D2F42"/>
    <w:rsid w:val="008D44BD"/>
    <w:rsid w:val="008D644A"/>
    <w:rsid w:val="008D76BC"/>
    <w:rsid w:val="008E0C63"/>
    <w:rsid w:val="008E442F"/>
    <w:rsid w:val="008E499F"/>
    <w:rsid w:val="008E674A"/>
    <w:rsid w:val="008F0AD1"/>
    <w:rsid w:val="008F1AFD"/>
    <w:rsid w:val="008F206F"/>
    <w:rsid w:val="008F32D6"/>
    <w:rsid w:val="008F4C0B"/>
    <w:rsid w:val="008F635D"/>
    <w:rsid w:val="008F7150"/>
    <w:rsid w:val="008F728E"/>
    <w:rsid w:val="00900FBA"/>
    <w:rsid w:val="009011EE"/>
    <w:rsid w:val="00901855"/>
    <w:rsid w:val="0090234D"/>
    <w:rsid w:val="00903043"/>
    <w:rsid w:val="0090635E"/>
    <w:rsid w:val="00906EEB"/>
    <w:rsid w:val="00907C21"/>
    <w:rsid w:val="00911A8B"/>
    <w:rsid w:val="00914683"/>
    <w:rsid w:val="0091584F"/>
    <w:rsid w:val="00915C11"/>
    <w:rsid w:val="0091779B"/>
    <w:rsid w:val="00917FD3"/>
    <w:rsid w:val="00920AC2"/>
    <w:rsid w:val="00921AFE"/>
    <w:rsid w:val="00923291"/>
    <w:rsid w:val="00923482"/>
    <w:rsid w:val="00925061"/>
    <w:rsid w:val="0092582E"/>
    <w:rsid w:val="00925B05"/>
    <w:rsid w:val="00927FC7"/>
    <w:rsid w:val="0093066F"/>
    <w:rsid w:val="009329E6"/>
    <w:rsid w:val="0093538A"/>
    <w:rsid w:val="00936D62"/>
    <w:rsid w:val="00936DDE"/>
    <w:rsid w:val="009406C9"/>
    <w:rsid w:val="009406D2"/>
    <w:rsid w:val="00940753"/>
    <w:rsid w:val="0094313D"/>
    <w:rsid w:val="00944D0F"/>
    <w:rsid w:val="00946A09"/>
    <w:rsid w:val="009472D4"/>
    <w:rsid w:val="00950CF0"/>
    <w:rsid w:val="0095182C"/>
    <w:rsid w:val="00951B7E"/>
    <w:rsid w:val="00952E39"/>
    <w:rsid w:val="009540BD"/>
    <w:rsid w:val="00954D3D"/>
    <w:rsid w:val="00955088"/>
    <w:rsid w:val="00955753"/>
    <w:rsid w:val="00957F97"/>
    <w:rsid w:val="00962C2A"/>
    <w:rsid w:val="00963891"/>
    <w:rsid w:val="0096440C"/>
    <w:rsid w:val="00965ECD"/>
    <w:rsid w:val="009665DF"/>
    <w:rsid w:val="009700BA"/>
    <w:rsid w:val="0097269C"/>
    <w:rsid w:val="00976D4E"/>
    <w:rsid w:val="00977CC3"/>
    <w:rsid w:val="00984986"/>
    <w:rsid w:val="00984C93"/>
    <w:rsid w:val="00987D7D"/>
    <w:rsid w:val="0099070C"/>
    <w:rsid w:val="009915FD"/>
    <w:rsid w:val="0099231C"/>
    <w:rsid w:val="00992397"/>
    <w:rsid w:val="00996171"/>
    <w:rsid w:val="00997BC3"/>
    <w:rsid w:val="00997ED4"/>
    <w:rsid w:val="009A0547"/>
    <w:rsid w:val="009A3E3E"/>
    <w:rsid w:val="009A77EE"/>
    <w:rsid w:val="009A7875"/>
    <w:rsid w:val="009B0605"/>
    <w:rsid w:val="009B122E"/>
    <w:rsid w:val="009B1641"/>
    <w:rsid w:val="009B2011"/>
    <w:rsid w:val="009B56AB"/>
    <w:rsid w:val="009B6FA8"/>
    <w:rsid w:val="009C0150"/>
    <w:rsid w:val="009C0DEE"/>
    <w:rsid w:val="009C1117"/>
    <w:rsid w:val="009C2081"/>
    <w:rsid w:val="009C4134"/>
    <w:rsid w:val="009C6562"/>
    <w:rsid w:val="009C694B"/>
    <w:rsid w:val="009C73CD"/>
    <w:rsid w:val="009D1D0C"/>
    <w:rsid w:val="009D1E53"/>
    <w:rsid w:val="009D2781"/>
    <w:rsid w:val="009D44F9"/>
    <w:rsid w:val="009D4C4E"/>
    <w:rsid w:val="009D5427"/>
    <w:rsid w:val="009D5535"/>
    <w:rsid w:val="009D5A70"/>
    <w:rsid w:val="009D5DF9"/>
    <w:rsid w:val="009E07CD"/>
    <w:rsid w:val="009E18D0"/>
    <w:rsid w:val="009E2D4D"/>
    <w:rsid w:val="009E317B"/>
    <w:rsid w:val="009E4C74"/>
    <w:rsid w:val="009E6AFF"/>
    <w:rsid w:val="009F0BBC"/>
    <w:rsid w:val="009F0CB8"/>
    <w:rsid w:val="009F1398"/>
    <w:rsid w:val="009F1662"/>
    <w:rsid w:val="009F1905"/>
    <w:rsid w:val="009F1E90"/>
    <w:rsid w:val="009F589E"/>
    <w:rsid w:val="009F5E9B"/>
    <w:rsid w:val="009F680C"/>
    <w:rsid w:val="009F7393"/>
    <w:rsid w:val="009F7ADD"/>
    <w:rsid w:val="00A01C56"/>
    <w:rsid w:val="00A02B0B"/>
    <w:rsid w:val="00A0385C"/>
    <w:rsid w:val="00A072C0"/>
    <w:rsid w:val="00A10D31"/>
    <w:rsid w:val="00A11C85"/>
    <w:rsid w:val="00A12160"/>
    <w:rsid w:val="00A1419F"/>
    <w:rsid w:val="00A150AD"/>
    <w:rsid w:val="00A1510A"/>
    <w:rsid w:val="00A171C7"/>
    <w:rsid w:val="00A17B47"/>
    <w:rsid w:val="00A21A3E"/>
    <w:rsid w:val="00A24261"/>
    <w:rsid w:val="00A25394"/>
    <w:rsid w:val="00A25743"/>
    <w:rsid w:val="00A257AE"/>
    <w:rsid w:val="00A265D7"/>
    <w:rsid w:val="00A27A40"/>
    <w:rsid w:val="00A36059"/>
    <w:rsid w:val="00A42DBE"/>
    <w:rsid w:val="00A43128"/>
    <w:rsid w:val="00A439F2"/>
    <w:rsid w:val="00A502C7"/>
    <w:rsid w:val="00A50B19"/>
    <w:rsid w:val="00A53213"/>
    <w:rsid w:val="00A54CC1"/>
    <w:rsid w:val="00A552C1"/>
    <w:rsid w:val="00A55C47"/>
    <w:rsid w:val="00A5670B"/>
    <w:rsid w:val="00A617C2"/>
    <w:rsid w:val="00A62B10"/>
    <w:rsid w:val="00A633C1"/>
    <w:rsid w:val="00A645D5"/>
    <w:rsid w:val="00A678AF"/>
    <w:rsid w:val="00A7047D"/>
    <w:rsid w:val="00A75F7B"/>
    <w:rsid w:val="00A76A76"/>
    <w:rsid w:val="00A80DDC"/>
    <w:rsid w:val="00A81BB9"/>
    <w:rsid w:val="00A83EA5"/>
    <w:rsid w:val="00A87F4F"/>
    <w:rsid w:val="00A90FB6"/>
    <w:rsid w:val="00A9788B"/>
    <w:rsid w:val="00AA0ECC"/>
    <w:rsid w:val="00AA223F"/>
    <w:rsid w:val="00AA2CF5"/>
    <w:rsid w:val="00AA3CE7"/>
    <w:rsid w:val="00AB05E3"/>
    <w:rsid w:val="00AB1C7C"/>
    <w:rsid w:val="00AB3271"/>
    <w:rsid w:val="00AB4D86"/>
    <w:rsid w:val="00AB603B"/>
    <w:rsid w:val="00AB6C32"/>
    <w:rsid w:val="00AB75EB"/>
    <w:rsid w:val="00AB7947"/>
    <w:rsid w:val="00AC04D1"/>
    <w:rsid w:val="00AC197C"/>
    <w:rsid w:val="00AC21C0"/>
    <w:rsid w:val="00AC42FA"/>
    <w:rsid w:val="00AC49F2"/>
    <w:rsid w:val="00AC6137"/>
    <w:rsid w:val="00AC6245"/>
    <w:rsid w:val="00AD0265"/>
    <w:rsid w:val="00AD3956"/>
    <w:rsid w:val="00AD49EB"/>
    <w:rsid w:val="00AD6E08"/>
    <w:rsid w:val="00AE0374"/>
    <w:rsid w:val="00AE0C6F"/>
    <w:rsid w:val="00AE1EDD"/>
    <w:rsid w:val="00AE25C1"/>
    <w:rsid w:val="00AE2C76"/>
    <w:rsid w:val="00AE65F7"/>
    <w:rsid w:val="00AE6D43"/>
    <w:rsid w:val="00AE6E68"/>
    <w:rsid w:val="00AF3772"/>
    <w:rsid w:val="00AF4993"/>
    <w:rsid w:val="00AF4B84"/>
    <w:rsid w:val="00AF4CBB"/>
    <w:rsid w:val="00AF55E5"/>
    <w:rsid w:val="00AF5936"/>
    <w:rsid w:val="00AF5C3F"/>
    <w:rsid w:val="00AF6889"/>
    <w:rsid w:val="00AF6C3D"/>
    <w:rsid w:val="00AF6CF5"/>
    <w:rsid w:val="00AF7258"/>
    <w:rsid w:val="00AF7664"/>
    <w:rsid w:val="00B01A1C"/>
    <w:rsid w:val="00B056A5"/>
    <w:rsid w:val="00B06F65"/>
    <w:rsid w:val="00B077AC"/>
    <w:rsid w:val="00B10701"/>
    <w:rsid w:val="00B119C9"/>
    <w:rsid w:val="00B11D72"/>
    <w:rsid w:val="00B12EFA"/>
    <w:rsid w:val="00B13223"/>
    <w:rsid w:val="00B142FC"/>
    <w:rsid w:val="00B163B1"/>
    <w:rsid w:val="00B21194"/>
    <w:rsid w:val="00B219C6"/>
    <w:rsid w:val="00B23018"/>
    <w:rsid w:val="00B23632"/>
    <w:rsid w:val="00B24BE6"/>
    <w:rsid w:val="00B252E7"/>
    <w:rsid w:val="00B25BB2"/>
    <w:rsid w:val="00B2715B"/>
    <w:rsid w:val="00B321D5"/>
    <w:rsid w:val="00B34EB4"/>
    <w:rsid w:val="00B3570A"/>
    <w:rsid w:val="00B360D0"/>
    <w:rsid w:val="00B36744"/>
    <w:rsid w:val="00B41CE1"/>
    <w:rsid w:val="00B41D46"/>
    <w:rsid w:val="00B423BF"/>
    <w:rsid w:val="00B43A1B"/>
    <w:rsid w:val="00B43BB8"/>
    <w:rsid w:val="00B43F34"/>
    <w:rsid w:val="00B4402C"/>
    <w:rsid w:val="00B46015"/>
    <w:rsid w:val="00B476D5"/>
    <w:rsid w:val="00B47C83"/>
    <w:rsid w:val="00B54EBF"/>
    <w:rsid w:val="00B56787"/>
    <w:rsid w:val="00B57CE5"/>
    <w:rsid w:val="00B60423"/>
    <w:rsid w:val="00B628A4"/>
    <w:rsid w:val="00B64B57"/>
    <w:rsid w:val="00B65EEF"/>
    <w:rsid w:val="00B66F91"/>
    <w:rsid w:val="00B671B8"/>
    <w:rsid w:val="00B6799F"/>
    <w:rsid w:val="00B71D3F"/>
    <w:rsid w:val="00B71F13"/>
    <w:rsid w:val="00B727D2"/>
    <w:rsid w:val="00B7467E"/>
    <w:rsid w:val="00B746F9"/>
    <w:rsid w:val="00B74A0F"/>
    <w:rsid w:val="00B750D7"/>
    <w:rsid w:val="00B756D0"/>
    <w:rsid w:val="00B770C5"/>
    <w:rsid w:val="00B85DD9"/>
    <w:rsid w:val="00B86072"/>
    <w:rsid w:val="00B870A4"/>
    <w:rsid w:val="00B90331"/>
    <w:rsid w:val="00B903A3"/>
    <w:rsid w:val="00B90ABA"/>
    <w:rsid w:val="00B945F4"/>
    <w:rsid w:val="00B9569C"/>
    <w:rsid w:val="00B965F6"/>
    <w:rsid w:val="00BA00CC"/>
    <w:rsid w:val="00BA06B6"/>
    <w:rsid w:val="00BA200B"/>
    <w:rsid w:val="00BA22F6"/>
    <w:rsid w:val="00BA343D"/>
    <w:rsid w:val="00BA4657"/>
    <w:rsid w:val="00BA5C45"/>
    <w:rsid w:val="00BA7506"/>
    <w:rsid w:val="00BB067C"/>
    <w:rsid w:val="00BB1BB0"/>
    <w:rsid w:val="00BB32FB"/>
    <w:rsid w:val="00BB4E40"/>
    <w:rsid w:val="00BB5BDC"/>
    <w:rsid w:val="00BB65C5"/>
    <w:rsid w:val="00BB66E6"/>
    <w:rsid w:val="00BB7163"/>
    <w:rsid w:val="00BB7C36"/>
    <w:rsid w:val="00BC0717"/>
    <w:rsid w:val="00BC0B40"/>
    <w:rsid w:val="00BC3502"/>
    <w:rsid w:val="00BC40B5"/>
    <w:rsid w:val="00BC5192"/>
    <w:rsid w:val="00BC5D03"/>
    <w:rsid w:val="00BC66B5"/>
    <w:rsid w:val="00BC6B5B"/>
    <w:rsid w:val="00BC6F17"/>
    <w:rsid w:val="00BD0897"/>
    <w:rsid w:val="00BD0C06"/>
    <w:rsid w:val="00BD0CC2"/>
    <w:rsid w:val="00BD1B49"/>
    <w:rsid w:val="00BD2477"/>
    <w:rsid w:val="00BD2D3B"/>
    <w:rsid w:val="00BD2E2F"/>
    <w:rsid w:val="00BD35A1"/>
    <w:rsid w:val="00BD3965"/>
    <w:rsid w:val="00BD4550"/>
    <w:rsid w:val="00BE0BA6"/>
    <w:rsid w:val="00BE2F08"/>
    <w:rsid w:val="00BE2FF6"/>
    <w:rsid w:val="00BE3A3B"/>
    <w:rsid w:val="00BE45C2"/>
    <w:rsid w:val="00BE53D6"/>
    <w:rsid w:val="00BF32E0"/>
    <w:rsid w:val="00BF3AE5"/>
    <w:rsid w:val="00BF4C7C"/>
    <w:rsid w:val="00BF69B5"/>
    <w:rsid w:val="00C03D77"/>
    <w:rsid w:val="00C05C6A"/>
    <w:rsid w:val="00C079D3"/>
    <w:rsid w:val="00C12B2B"/>
    <w:rsid w:val="00C13F2E"/>
    <w:rsid w:val="00C146CB"/>
    <w:rsid w:val="00C14F6A"/>
    <w:rsid w:val="00C155EB"/>
    <w:rsid w:val="00C15813"/>
    <w:rsid w:val="00C202BC"/>
    <w:rsid w:val="00C20378"/>
    <w:rsid w:val="00C206E6"/>
    <w:rsid w:val="00C211F9"/>
    <w:rsid w:val="00C21A95"/>
    <w:rsid w:val="00C267C8"/>
    <w:rsid w:val="00C32B0C"/>
    <w:rsid w:val="00C342C1"/>
    <w:rsid w:val="00C36291"/>
    <w:rsid w:val="00C36AAE"/>
    <w:rsid w:val="00C36AC8"/>
    <w:rsid w:val="00C373B9"/>
    <w:rsid w:val="00C4078F"/>
    <w:rsid w:val="00C4087B"/>
    <w:rsid w:val="00C41D33"/>
    <w:rsid w:val="00C41F86"/>
    <w:rsid w:val="00C42801"/>
    <w:rsid w:val="00C43BF2"/>
    <w:rsid w:val="00C5075F"/>
    <w:rsid w:val="00C50BF5"/>
    <w:rsid w:val="00C5104E"/>
    <w:rsid w:val="00C5277D"/>
    <w:rsid w:val="00C52EBE"/>
    <w:rsid w:val="00C6010F"/>
    <w:rsid w:val="00C648BD"/>
    <w:rsid w:val="00C64CD2"/>
    <w:rsid w:val="00C66970"/>
    <w:rsid w:val="00C70A82"/>
    <w:rsid w:val="00C70CB7"/>
    <w:rsid w:val="00C70D85"/>
    <w:rsid w:val="00C71CF8"/>
    <w:rsid w:val="00C73659"/>
    <w:rsid w:val="00C748F8"/>
    <w:rsid w:val="00C750AB"/>
    <w:rsid w:val="00C75EFA"/>
    <w:rsid w:val="00C77017"/>
    <w:rsid w:val="00C779D8"/>
    <w:rsid w:val="00C77F4C"/>
    <w:rsid w:val="00C808F2"/>
    <w:rsid w:val="00C83FB0"/>
    <w:rsid w:val="00C84190"/>
    <w:rsid w:val="00C84726"/>
    <w:rsid w:val="00C90182"/>
    <w:rsid w:val="00C9175F"/>
    <w:rsid w:val="00C91AB9"/>
    <w:rsid w:val="00C91D00"/>
    <w:rsid w:val="00C97C7F"/>
    <w:rsid w:val="00CA0682"/>
    <w:rsid w:val="00CA10CF"/>
    <w:rsid w:val="00CA2AA2"/>
    <w:rsid w:val="00CA3568"/>
    <w:rsid w:val="00CA4C54"/>
    <w:rsid w:val="00CB2113"/>
    <w:rsid w:val="00CB665D"/>
    <w:rsid w:val="00CB6B3A"/>
    <w:rsid w:val="00CC0094"/>
    <w:rsid w:val="00CC04B1"/>
    <w:rsid w:val="00CC1E82"/>
    <w:rsid w:val="00CC2431"/>
    <w:rsid w:val="00CC389B"/>
    <w:rsid w:val="00CC4602"/>
    <w:rsid w:val="00CC526A"/>
    <w:rsid w:val="00CC7281"/>
    <w:rsid w:val="00CD0AC4"/>
    <w:rsid w:val="00CD124A"/>
    <w:rsid w:val="00CD30B5"/>
    <w:rsid w:val="00CD3CDA"/>
    <w:rsid w:val="00CD49C6"/>
    <w:rsid w:val="00CD6F6F"/>
    <w:rsid w:val="00CD787A"/>
    <w:rsid w:val="00CE1030"/>
    <w:rsid w:val="00CE256C"/>
    <w:rsid w:val="00CE26AF"/>
    <w:rsid w:val="00CE2A89"/>
    <w:rsid w:val="00CE4339"/>
    <w:rsid w:val="00CE4B96"/>
    <w:rsid w:val="00CE5247"/>
    <w:rsid w:val="00CE68F0"/>
    <w:rsid w:val="00CF103C"/>
    <w:rsid w:val="00CF30A5"/>
    <w:rsid w:val="00CF30D4"/>
    <w:rsid w:val="00CF3798"/>
    <w:rsid w:val="00CF45A1"/>
    <w:rsid w:val="00CF61F7"/>
    <w:rsid w:val="00CF6736"/>
    <w:rsid w:val="00CF7DB3"/>
    <w:rsid w:val="00CF7E26"/>
    <w:rsid w:val="00D00918"/>
    <w:rsid w:val="00D01180"/>
    <w:rsid w:val="00D02F5F"/>
    <w:rsid w:val="00D04D49"/>
    <w:rsid w:val="00D05BA1"/>
    <w:rsid w:val="00D06E36"/>
    <w:rsid w:val="00D14486"/>
    <w:rsid w:val="00D15840"/>
    <w:rsid w:val="00D16CE6"/>
    <w:rsid w:val="00D17D1B"/>
    <w:rsid w:val="00D17D6C"/>
    <w:rsid w:val="00D23C51"/>
    <w:rsid w:val="00D262E5"/>
    <w:rsid w:val="00D26AD7"/>
    <w:rsid w:val="00D30C06"/>
    <w:rsid w:val="00D30E05"/>
    <w:rsid w:val="00D3330A"/>
    <w:rsid w:val="00D3375F"/>
    <w:rsid w:val="00D3402D"/>
    <w:rsid w:val="00D34F05"/>
    <w:rsid w:val="00D35CB8"/>
    <w:rsid w:val="00D35D11"/>
    <w:rsid w:val="00D364D4"/>
    <w:rsid w:val="00D365E8"/>
    <w:rsid w:val="00D37396"/>
    <w:rsid w:val="00D41B28"/>
    <w:rsid w:val="00D424AD"/>
    <w:rsid w:val="00D447B4"/>
    <w:rsid w:val="00D452DB"/>
    <w:rsid w:val="00D46890"/>
    <w:rsid w:val="00D47E1D"/>
    <w:rsid w:val="00D50635"/>
    <w:rsid w:val="00D559FB"/>
    <w:rsid w:val="00D55CC5"/>
    <w:rsid w:val="00D60601"/>
    <w:rsid w:val="00D60CBD"/>
    <w:rsid w:val="00D60F29"/>
    <w:rsid w:val="00D632AB"/>
    <w:rsid w:val="00D65628"/>
    <w:rsid w:val="00D65660"/>
    <w:rsid w:val="00D71A8C"/>
    <w:rsid w:val="00D724D1"/>
    <w:rsid w:val="00D751EF"/>
    <w:rsid w:val="00D7648D"/>
    <w:rsid w:val="00D76669"/>
    <w:rsid w:val="00D769DF"/>
    <w:rsid w:val="00D771D7"/>
    <w:rsid w:val="00D81B8A"/>
    <w:rsid w:val="00D82541"/>
    <w:rsid w:val="00D82549"/>
    <w:rsid w:val="00D829CB"/>
    <w:rsid w:val="00D83129"/>
    <w:rsid w:val="00D843AF"/>
    <w:rsid w:val="00D85099"/>
    <w:rsid w:val="00D913AB"/>
    <w:rsid w:val="00D93D00"/>
    <w:rsid w:val="00D941A3"/>
    <w:rsid w:val="00D97D71"/>
    <w:rsid w:val="00DA0CD0"/>
    <w:rsid w:val="00DA3228"/>
    <w:rsid w:val="00DA5490"/>
    <w:rsid w:val="00DA7B2A"/>
    <w:rsid w:val="00DB434C"/>
    <w:rsid w:val="00DB556A"/>
    <w:rsid w:val="00DC09FE"/>
    <w:rsid w:val="00DC32FB"/>
    <w:rsid w:val="00DC5631"/>
    <w:rsid w:val="00DC66F3"/>
    <w:rsid w:val="00DC6881"/>
    <w:rsid w:val="00DC72CC"/>
    <w:rsid w:val="00DC73FD"/>
    <w:rsid w:val="00DC7889"/>
    <w:rsid w:val="00DC79E8"/>
    <w:rsid w:val="00DD23C6"/>
    <w:rsid w:val="00DD3122"/>
    <w:rsid w:val="00DD3C99"/>
    <w:rsid w:val="00DD428C"/>
    <w:rsid w:val="00DD5C58"/>
    <w:rsid w:val="00DD5E18"/>
    <w:rsid w:val="00DD637F"/>
    <w:rsid w:val="00DE05BD"/>
    <w:rsid w:val="00DE2690"/>
    <w:rsid w:val="00DE2945"/>
    <w:rsid w:val="00DE3C7B"/>
    <w:rsid w:val="00DE419E"/>
    <w:rsid w:val="00DE4FFF"/>
    <w:rsid w:val="00DE513D"/>
    <w:rsid w:val="00DE56F0"/>
    <w:rsid w:val="00DE5A3F"/>
    <w:rsid w:val="00DF074E"/>
    <w:rsid w:val="00DF2355"/>
    <w:rsid w:val="00DF2A1A"/>
    <w:rsid w:val="00DF49A6"/>
    <w:rsid w:val="00DF55AD"/>
    <w:rsid w:val="00DF5710"/>
    <w:rsid w:val="00DF5C3A"/>
    <w:rsid w:val="00DF64F2"/>
    <w:rsid w:val="00DF68BE"/>
    <w:rsid w:val="00DF6C9B"/>
    <w:rsid w:val="00DF6DCC"/>
    <w:rsid w:val="00E000ED"/>
    <w:rsid w:val="00E005DA"/>
    <w:rsid w:val="00E0231F"/>
    <w:rsid w:val="00E03B80"/>
    <w:rsid w:val="00E04200"/>
    <w:rsid w:val="00E0668A"/>
    <w:rsid w:val="00E0765A"/>
    <w:rsid w:val="00E07859"/>
    <w:rsid w:val="00E07C85"/>
    <w:rsid w:val="00E10522"/>
    <w:rsid w:val="00E1106E"/>
    <w:rsid w:val="00E11444"/>
    <w:rsid w:val="00E1291D"/>
    <w:rsid w:val="00E16781"/>
    <w:rsid w:val="00E17D07"/>
    <w:rsid w:val="00E2409E"/>
    <w:rsid w:val="00E259AE"/>
    <w:rsid w:val="00E25CC0"/>
    <w:rsid w:val="00E27482"/>
    <w:rsid w:val="00E27DCF"/>
    <w:rsid w:val="00E30090"/>
    <w:rsid w:val="00E3450D"/>
    <w:rsid w:val="00E3733E"/>
    <w:rsid w:val="00E3742E"/>
    <w:rsid w:val="00E37937"/>
    <w:rsid w:val="00E4222D"/>
    <w:rsid w:val="00E434C3"/>
    <w:rsid w:val="00E4466D"/>
    <w:rsid w:val="00E44917"/>
    <w:rsid w:val="00E46574"/>
    <w:rsid w:val="00E47032"/>
    <w:rsid w:val="00E51452"/>
    <w:rsid w:val="00E51C9D"/>
    <w:rsid w:val="00E52E5A"/>
    <w:rsid w:val="00E54822"/>
    <w:rsid w:val="00E549B4"/>
    <w:rsid w:val="00E551BB"/>
    <w:rsid w:val="00E565B1"/>
    <w:rsid w:val="00E56CCB"/>
    <w:rsid w:val="00E57A60"/>
    <w:rsid w:val="00E57B03"/>
    <w:rsid w:val="00E6052C"/>
    <w:rsid w:val="00E6417B"/>
    <w:rsid w:val="00E642D5"/>
    <w:rsid w:val="00E644FB"/>
    <w:rsid w:val="00E67F2E"/>
    <w:rsid w:val="00E7176F"/>
    <w:rsid w:val="00E7198E"/>
    <w:rsid w:val="00E7222E"/>
    <w:rsid w:val="00E72462"/>
    <w:rsid w:val="00E72E36"/>
    <w:rsid w:val="00E73015"/>
    <w:rsid w:val="00E73C3F"/>
    <w:rsid w:val="00E75FF2"/>
    <w:rsid w:val="00E763E2"/>
    <w:rsid w:val="00E76462"/>
    <w:rsid w:val="00E77E85"/>
    <w:rsid w:val="00E81FC3"/>
    <w:rsid w:val="00E82CEB"/>
    <w:rsid w:val="00E83DB2"/>
    <w:rsid w:val="00E84C18"/>
    <w:rsid w:val="00E87CC0"/>
    <w:rsid w:val="00E91BB2"/>
    <w:rsid w:val="00E91E3B"/>
    <w:rsid w:val="00E9362F"/>
    <w:rsid w:val="00E94593"/>
    <w:rsid w:val="00E96B03"/>
    <w:rsid w:val="00E97061"/>
    <w:rsid w:val="00E97412"/>
    <w:rsid w:val="00EA0B9A"/>
    <w:rsid w:val="00EA0F8A"/>
    <w:rsid w:val="00EA3337"/>
    <w:rsid w:val="00EA41D4"/>
    <w:rsid w:val="00EA5A6A"/>
    <w:rsid w:val="00EA65C9"/>
    <w:rsid w:val="00EA6673"/>
    <w:rsid w:val="00EA67AF"/>
    <w:rsid w:val="00EA6D72"/>
    <w:rsid w:val="00EA6FF7"/>
    <w:rsid w:val="00EA789F"/>
    <w:rsid w:val="00EA7DCB"/>
    <w:rsid w:val="00EB025F"/>
    <w:rsid w:val="00EB1EB8"/>
    <w:rsid w:val="00EB26B8"/>
    <w:rsid w:val="00EB34EC"/>
    <w:rsid w:val="00EB3619"/>
    <w:rsid w:val="00EB4E36"/>
    <w:rsid w:val="00EB521A"/>
    <w:rsid w:val="00EB5690"/>
    <w:rsid w:val="00EB56CE"/>
    <w:rsid w:val="00EB5E72"/>
    <w:rsid w:val="00EB7F72"/>
    <w:rsid w:val="00EC104C"/>
    <w:rsid w:val="00EC116D"/>
    <w:rsid w:val="00EC1A6A"/>
    <w:rsid w:val="00EC4FB7"/>
    <w:rsid w:val="00EC59A0"/>
    <w:rsid w:val="00EC799D"/>
    <w:rsid w:val="00ED0A43"/>
    <w:rsid w:val="00ED2665"/>
    <w:rsid w:val="00ED3967"/>
    <w:rsid w:val="00ED56D7"/>
    <w:rsid w:val="00EE033D"/>
    <w:rsid w:val="00EE05CE"/>
    <w:rsid w:val="00EE235D"/>
    <w:rsid w:val="00EE31F3"/>
    <w:rsid w:val="00EE378A"/>
    <w:rsid w:val="00EE3C4A"/>
    <w:rsid w:val="00EE6C99"/>
    <w:rsid w:val="00EE74ED"/>
    <w:rsid w:val="00EF0D64"/>
    <w:rsid w:val="00EF4333"/>
    <w:rsid w:val="00EF47C1"/>
    <w:rsid w:val="00EF514F"/>
    <w:rsid w:val="00EF5508"/>
    <w:rsid w:val="00EF6D8B"/>
    <w:rsid w:val="00EF6E77"/>
    <w:rsid w:val="00F02AD3"/>
    <w:rsid w:val="00F02AEC"/>
    <w:rsid w:val="00F047B5"/>
    <w:rsid w:val="00F05764"/>
    <w:rsid w:val="00F0634E"/>
    <w:rsid w:val="00F063DB"/>
    <w:rsid w:val="00F070F4"/>
    <w:rsid w:val="00F07CFE"/>
    <w:rsid w:val="00F13662"/>
    <w:rsid w:val="00F15CCD"/>
    <w:rsid w:val="00F17463"/>
    <w:rsid w:val="00F25AD7"/>
    <w:rsid w:val="00F26C64"/>
    <w:rsid w:val="00F2794B"/>
    <w:rsid w:val="00F27AE6"/>
    <w:rsid w:val="00F300A3"/>
    <w:rsid w:val="00F326A7"/>
    <w:rsid w:val="00F32B36"/>
    <w:rsid w:val="00F32B95"/>
    <w:rsid w:val="00F333BA"/>
    <w:rsid w:val="00F33A21"/>
    <w:rsid w:val="00F33DE3"/>
    <w:rsid w:val="00F345D6"/>
    <w:rsid w:val="00F3620A"/>
    <w:rsid w:val="00F362E2"/>
    <w:rsid w:val="00F373E6"/>
    <w:rsid w:val="00F41283"/>
    <w:rsid w:val="00F428F1"/>
    <w:rsid w:val="00F429DE"/>
    <w:rsid w:val="00F43DBF"/>
    <w:rsid w:val="00F44F59"/>
    <w:rsid w:val="00F455B7"/>
    <w:rsid w:val="00F45B20"/>
    <w:rsid w:val="00F46968"/>
    <w:rsid w:val="00F476A5"/>
    <w:rsid w:val="00F47C0F"/>
    <w:rsid w:val="00F47E52"/>
    <w:rsid w:val="00F50EE6"/>
    <w:rsid w:val="00F51595"/>
    <w:rsid w:val="00F53D7C"/>
    <w:rsid w:val="00F54575"/>
    <w:rsid w:val="00F546B2"/>
    <w:rsid w:val="00F54878"/>
    <w:rsid w:val="00F54C32"/>
    <w:rsid w:val="00F54FE6"/>
    <w:rsid w:val="00F55E87"/>
    <w:rsid w:val="00F56F8F"/>
    <w:rsid w:val="00F57134"/>
    <w:rsid w:val="00F600E5"/>
    <w:rsid w:val="00F65193"/>
    <w:rsid w:val="00F662F2"/>
    <w:rsid w:val="00F70D51"/>
    <w:rsid w:val="00F71E0B"/>
    <w:rsid w:val="00F71F88"/>
    <w:rsid w:val="00F72326"/>
    <w:rsid w:val="00F735D3"/>
    <w:rsid w:val="00F768CE"/>
    <w:rsid w:val="00F84B4F"/>
    <w:rsid w:val="00F84CB3"/>
    <w:rsid w:val="00F85D86"/>
    <w:rsid w:val="00F85F4D"/>
    <w:rsid w:val="00F874B4"/>
    <w:rsid w:val="00F87AAC"/>
    <w:rsid w:val="00F9111C"/>
    <w:rsid w:val="00F9292B"/>
    <w:rsid w:val="00F94ACE"/>
    <w:rsid w:val="00F96B3D"/>
    <w:rsid w:val="00FA033E"/>
    <w:rsid w:val="00FA2ECB"/>
    <w:rsid w:val="00FA3C00"/>
    <w:rsid w:val="00FB14C8"/>
    <w:rsid w:val="00FB1657"/>
    <w:rsid w:val="00FB26D8"/>
    <w:rsid w:val="00FB59F6"/>
    <w:rsid w:val="00FB5BBC"/>
    <w:rsid w:val="00FC2FDD"/>
    <w:rsid w:val="00FC356D"/>
    <w:rsid w:val="00FC4235"/>
    <w:rsid w:val="00FC4CC9"/>
    <w:rsid w:val="00FC50D9"/>
    <w:rsid w:val="00FC5299"/>
    <w:rsid w:val="00FC7ECE"/>
    <w:rsid w:val="00FD0B7F"/>
    <w:rsid w:val="00FD0C15"/>
    <w:rsid w:val="00FD113E"/>
    <w:rsid w:val="00FD2C11"/>
    <w:rsid w:val="00FD35FD"/>
    <w:rsid w:val="00FD4195"/>
    <w:rsid w:val="00FD54D7"/>
    <w:rsid w:val="00FD649A"/>
    <w:rsid w:val="00FE1B82"/>
    <w:rsid w:val="00FE41A6"/>
    <w:rsid w:val="00FE5355"/>
    <w:rsid w:val="00FF07FC"/>
    <w:rsid w:val="00FF0D25"/>
    <w:rsid w:val="00FF2017"/>
    <w:rsid w:val="00FF48F2"/>
    <w:rsid w:val="00FF5E3D"/>
    <w:rsid w:val="00FF617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5169"/>
    <o:shapelayout v:ext="edit">
      <o:idmap v:ext="edit" data="1"/>
    </o:shapelayout>
  </w:shapeDefaults>
  <w:decimalSymbol w:val="."/>
  <w:listSeparator w:val=","/>
  <w14:docId w14:val="64316A38"/>
  <w15:docId w15:val="{9766A697-8D6B-4C8A-BD6D-59CE5C14B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51FE"/>
    <w:pPr>
      <w:spacing w:after="200" w:line="276" w:lineRule="auto"/>
    </w:pPr>
    <w:rPr>
      <w:sz w:val="22"/>
      <w:szCs w:val="22"/>
      <w:lang w:val="en-US" w:eastAsia="en-US" w:bidi="en-US"/>
    </w:rPr>
  </w:style>
  <w:style w:type="paragraph" w:styleId="Heading1">
    <w:name w:val="heading 1"/>
    <w:basedOn w:val="Normal"/>
    <w:next w:val="Normal"/>
    <w:link w:val="Heading1Char"/>
    <w:qFormat/>
    <w:rsid w:val="00844B64"/>
    <w:pPr>
      <w:spacing w:before="480" w:after="0"/>
      <w:contextualSpacing/>
      <w:outlineLvl w:val="0"/>
    </w:pPr>
    <w:rPr>
      <w:rFonts w:ascii="Cambria" w:hAnsi="Cambria"/>
      <w:b/>
      <w:bCs/>
      <w:sz w:val="28"/>
      <w:szCs w:val="28"/>
    </w:rPr>
  </w:style>
  <w:style w:type="paragraph" w:styleId="Heading2">
    <w:name w:val="heading 2"/>
    <w:basedOn w:val="Normal"/>
    <w:next w:val="Normal"/>
    <w:link w:val="Heading2Char"/>
    <w:unhideWhenUsed/>
    <w:qFormat/>
    <w:rsid w:val="00844B64"/>
    <w:pPr>
      <w:spacing w:before="200" w:after="0"/>
      <w:outlineLvl w:val="1"/>
    </w:pPr>
    <w:rPr>
      <w:rFonts w:ascii="Cambria" w:hAnsi="Cambria"/>
      <w:b/>
      <w:bCs/>
      <w:sz w:val="26"/>
      <w:szCs w:val="26"/>
    </w:rPr>
  </w:style>
  <w:style w:type="paragraph" w:styleId="Heading3">
    <w:name w:val="heading 3"/>
    <w:basedOn w:val="Normal"/>
    <w:next w:val="Normal"/>
    <w:link w:val="Heading3Char"/>
    <w:unhideWhenUsed/>
    <w:qFormat/>
    <w:rsid w:val="00844B64"/>
    <w:pPr>
      <w:spacing w:before="200" w:after="0" w:line="271" w:lineRule="auto"/>
      <w:outlineLvl w:val="2"/>
    </w:pPr>
    <w:rPr>
      <w:rFonts w:ascii="Cambria" w:hAnsi="Cambria"/>
      <w:b/>
      <w:bCs/>
    </w:rPr>
  </w:style>
  <w:style w:type="paragraph" w:styleId="Heading4">
    <w:name w:val="heading 4"/>
    <w:basedOn w:val="Normal"/>
    <w:next w:val="Normal"/>
    <w:link w:val="Heading4Char"/>
    <w:unhideWhenUsed/>
    <w:qFormat/>
    <w:rsid w:val="00844B64"/>
    <w:pPr>
      <w:spacing w:before="200" w:after="0"/>
      <w:outlineLvl w:val="3"/>
    </w:pPr>
    <w:rPr>
      <w:rFonts w:ascii="Cambria" w:hAnsi="Cambria"/>
      <w:b/>
      <w:bCs/>
      <w:i/>
      <w:iCs/>
    </w:rPr>
  </w:style>
  <w:style w:type="paragraph" w:styleId="Heading5">
    <w:name w:val="heading 5"/>
    <w:basedOn w:val="Normal"/>
    <w:next w:val="Normal"/>
    <w:link w:val="Heading5Char"/>
    <w:semiHidden/>
    <w:unhideWhenUsed/>
    <w:qFormat/>
    <w:rsid w:val="00844B64"/>
    <w:pPr>
      <w:spacing w:before="200" w:after="0"/>
      <w:outlineLvl w:val="4"/>
    </w:pPr>
    <w:rPr>
      <w:rFonts w:ascii="Cambria" w:hAnsi="Cambria"/>
      <w:b/>
      <w:bCs/>
      <w:color w:val="7F7F7F"/>
    </w:rPr>
  </w:style>
  <w:style w:type="paragraph" w:styleId="Heading6">
    <w:name w:val="heading 6"/>
    <w:basedOn w:val="Normal"/>
    <w:next w:val="Normal"/>
    <w:link w:val="Heading6Char"/>
    <w:semiHidden/>
    <w:unhideWhenUsed/>
    <w:qFormat/>
    <w:rsid w:val="00844B64"/>
    <w:pPr>
      <w:spacing w:after="0" w:line="271" w:lineRule="auto"/>
      <w:outlineLvl w:val="5"/>
    </w:pPr>
    <w:rPr>
      <w:rFonts w:ascii="Cambria" w:hAnsi="Cambria"/>
      <w:b/>
      <w:bCs/>
      <w:i/>
      <w:iCs/>
      <w:color w:val="7F7F7F"/>
    </w:rPr>
  </w:style>
  <w:style w:type="paragraph" w:styleId="Heading7">
    <w:name w:val="heading 7"/>
    <w:basedOn w:val="Normal"/>
    <w:next w:val="Normal"/>
    <w:link w:val="Heading7Char"/>
    <w:semiHidden/>
    <w:unhideWhenUsed/>
    <w:qFormat/>
    <w:rsid w:val="00844B64"/>
    <w:pPr>
      <w:spacing w:after="0"/>
      <w:outlineLvl w:val="6"/>
    </w:pPr>
    <w:rPr>
      <w:rFonts w:ascii="Cambria" w:hAnsi="Cambria"/>
      <w:i/>
      <w:iCs/>
    </w:rPr>
  </w:style>
  <w:style w:type="paragraph" w:styleId="Heading8">
    <w:name w:val="heading 8"/>
    <w:basedOn w:val="Normal"/>
    <w:next w:val="Normal"/>
    <w:link w:val="Heading8Char"/>
    <w:semiHidden/>
    <w:unhideWhenUsed/>
    <w:qFormat/>
    <w:rsid w:val="00844B64"/>
    <w:pPr>
      <w:spacing w:after="0"/>
      <w:outlineLvl w:val="7"/>
    </w:pPr>
    <w:rPr>
      <w:rFonts w:ascii="Cambria" w:hAnsi="Cambria"/>
      <w:sz w:val="20"/>
      <w:szCs w:val="20"/>
    </w:rPr>
  </w:style>
  <w:style w:type="paragraph" w:styleId="Heading9">
    <w:name w:val="heading 9"/>
    <w:basedOn w:val="Normal"/>
    <w:next w:val="Normal"/>
    <w:link w:val="Heading9Char"/>
    <w:semiHidden/>
    <w:unhideWhenUsed/>
    <w:qFormat/>
    <w:rsid w:val="00844B64"/>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4B64"/>
    <w:rPr>
      <w:rFonts w:ascii="Cambria" w:eastAsia="Times New Roman" w:hAnsi="Cambria" w:cs="Times New Roman"/>
      <w:b/>
      <w:bCs/>
      <w:sz w:val="28"/>
      <w:szCs w:val="28"/>
    </w:rPr>
  </w:style>
  <w:style w:type="character" w:customStyle="1" w:styleId="Heading2Char">
    <w:name w:val="Heading 2 Char"/>
    <w:basedOn w:val="DefaultParagraphFont"/>
    <w:link w:val="Heading2"/>
    <w:uiPriority w:val="9"/>
    <w:rsid w:val="00844B64"/>
    <w:rPr>
      <w:rFonts w:ascii="Cambria" w:eastAsia="Times New Roman" w:hAnsi="Cambria" w:cs="Times New Roman"/>
      <w:b/>
      <w:bCs/>
      <w:sz w:val="26"/>
      <w:szCs w:val="26"/>
    </w:rPr>
  </w:style>
  <w:style w:type="character" w:customStyle="1" w:styleId="Heading3Char">
    <w:name w:val="Heading 3 Char"/>
    <w:basedOn w:val="DefaultParagraphFont"/>
    <w:link w:val="Heading3"/>
    <w:uiPriority w:val="9"/>
    <w:rsid w:val="00844B64"/>
    <w:rPr>
      <w:rFonts w:ascii="Cambria" w:eastAsia="Times New Roman" w:hAnsi="Cambria" w:cs="Times New Roman"/>
      <w:b/>
      <w:bCs/>
    </w:rPr>
  </w:style>
  <w:style w:type="character" w:customStyle="1" w:styleId="Heading4Char">
    <w:name w:val="Heading 4 Char"/>
    <w:basedOn w:val="DefaultParagraphFont"/>
    <w:link w:val="Heading4"/>
    <w:uiPriority w:val="9"/>
    <w:rsid w:val="00844B64"/>
    <w:rPr>
      <w:rFonts w:ascii="Cambria" w:eastAsia="Times New Roman" w:hAnsi="Cambria" w:cs="Times New Roman"/>
      <w:b/>
      <w:bCs/>
      <w:i/>
      <w:iCs/>
    </w:rPr>
  </w:style>
  <w:style w:type="character" w:customStyle="1" w:styleId="Heading5Char">
    <w:name w:val="Heading 5 Char"/>
    <w:basedOn w:val="DefaultParagraphFont"/>
    <w:link w:val="Heading5"/>
    <w:uiPriority w:val="9"/>
    <w:semiHidden/>
    <w:rsid w:val="00844B64"/>
    <w:rPr>
      <w:rFonts w:ascii="Cambria" w:eastAsia="Times New Roman" w:hAnsi="Cambria" w:cs="Times New Roman"/>
      <w:b/>
      <w:bCs/>
      <w:color w:val="7F7F7F"/>
    </w:rPr>
  </w:style>
  <w:style w:type="character" w:customStyle="1" w:styleId="Heading6Char">
    <w:name w:val="Heading 6 Char"/>
    <w:basedOn w:val="DefaultParagraphFont"/>
    <w:link w:val="Heading6"/>
    <w:uiPriority w:val="9"/>
    <w:semiHidden/>
    <w:rsid w:val="00844B64"/>
    <w:rPr>
      <w:rFonts w:ascii="Cambria" w:eastAsia="Times New Roman" w:hAnsi="Cambria" w:cs="Times New Roman"/>
      <w:b/>
      <w:bCs/>
      <w:i/>
      <w:iCs/>
      <w:color w:val="7F7F7F"/>
    </w:rPr>
  </w:style>
  <w:style w:type="character" w:customStyle="1" w:styleId="Heading7Char">
    <w:name w:val="Heading 7 Char"/>
    <w:basedOn w:val="DefaultParagraphFont"/>
    <w:link w:val="Heading7"/>
    <w:uiPriority w:val="9"/>
    <w:semiHidden/>
    <w:rsid w:val="00844B64"/>
    <w:rPr>
      <w:rFonts w:ascii="Cambria" w:eastAsia="Times New Roman" w:hAnsi="Cambria" w:cs="Times New Roman"/>
      <w:i/>
      <w:iCs/>
    </w:rPr>
  </w:style>
  <w:style w:type="character" w:customStyle="1" w:styleId="Heading8Char">
    <w:name w:val="Heading 8 Char"/>
    <w:basedOn w:val="DefaultParagraphFont"/>
    <w:link w:val="Heading8"/>
    <w:uiPriority w:val="9"/>
    <w:semiHidden/>
    <w:rsid w:val="00844B64"/>
    <w:rPr>
      <w:rFonts w:ascii="Cambria" w:eastAsia="Times New Roman" w:hAnsi="Cambria" w:cs="Times New Roman"/>
      <w:sz w:val="20"/>
      <w:szCs w:val="20"/>
    </w:rPr>
  </w:style>
  <w:style w:type="character" w:customStyle="1" w:styleId="Heading9Char">
    <w:name w:val="Heading 9 Char"/>
    <w:basedOn w:val="DefaultParagraphFont"/>
    <w:link w:val="Heading9"/>
    <w:uiPriority w:val="9"/>
    <w:semiHidden/>
    <w:rsid w:val="00844B64"/>
    <w:rPr>
      <w:rFonts w:ascii="Cambria" w:eastAsia="Times New Roman" w:hAnsi="Cambria" w:cs="Times New Roman"/>
      <w:i/>
      <w:iCs/>
      <w:spacing w:val="5"/>
      <w:sz w:val="20"/>
      <w:szCs w:val="20"/>
    </w:rPr>
  </w:style>
  <w:style w:type="paragraph" w:customStyle="1" w:styleId="ITTBodyLevel3">
    <w:name w:val="ITT Body Level 3"/>
    <w:basedOn w:val="ITTBodyLevel2"/>
    <w:qFormat/>
    <w:rsid w:val="00FC4CC9"/>
    <w:pPr>
      <w:numPr>
        <w:ilvl w:val="3"/>
      </w:numPr>
      <w:ind w:left="2268"/>
    </w:pPr>
  </w:style>
  <w:style w:type="paragraph" w:customStyle="1" w:styleId="ITTBodyLevel2">
    <w:name w:val="ITT Body Level 2"/>
    <w:basedOn w:val="ITTBody"/>
    <w:qFormat/>
    <w:rsid w:val="00136B05"/>
    <w:pPr>
      <w:numPr>
        <w:ilvl w:val="2"/>
      </w:numPr>
      <w:tabs>
        <w:tab w:val="clear" w:pos="1134"/>
      </w:tabs>
      <w:ind w:left="1134" w:hanging="1134"/>
    </w:pPr>
  </w:style>
  <w:style w:type="paragraph" w:customStyle="1" w:styleId="ITTBody">
    <w:name w:val="ITT Body"/>
    <w:basedOn w:val="Normal"/>
    <w:qFormat/>
    <w:rsid w:val="00FC4CC9"/>
    <w:pPr>
      <w:numPr>
        <w:ilvl w:val="1"/>
        <w:numId w:val="1"/>
      </w:numPr>
      <w:tabs>
        <w:tab w:val="left" w:pos="1134"/>
      </w:tabs>
      <w:spacing w:after="120"/>
      <w:ind w:left="1134" w:hanging="1134"/>
    </w:pPr>
    <w:rPr>
      <w:rFonts w:ascii="Arial" w:hAnsi="Arial" w:cs="Arial"/>
      <w:lang w:val="en-GB"/>
    </w:rPr>
  </w:style>
  <w:style w:type="paragraph" w:customStyle="1" w:styleId="ITTBodyLevel3indent">
    <w:name w:val="ITT Body Level 3 indent"/>
    <w:basedOn w:val="ITTBodyLevel3"/>
    <w:qFormat/>
    <w:rsid w:val="00120224"/>
    <w:pPr>
      <w:tabs>
        <w:tab w:val="left" w:pos="2552"/>
      </w:tabs>
      <w:ind w:left="2552" w:hanging="1418"/>
    </w:pPr>
  </w:style>
  <w:style w:type="paragraph" w:customStyle="1" w:styleId="ITTBodyLevel4indent">
    <w:name w:val="ITT Body Level 4 indent"/>
    <w:basedOn w:val="ITTBodyLevel3indent"/>
    <w:qFormat/>
    <w:rsid w:val="00120224"/>
    <w:pPr>
      <w:numPr>
        <w:ilvl w:val="4"/>
      </w:numPr>
      <w:ind w:left="2552" w:hanging="1418"/>
    </w:pPr>
  </w:style>
  <w:style w:type="paragraph" w:styleId="CommentSubject">
    <w:name w:val="annotation subject"/>
    <w:basedOn w:val="Normal"/>
    <w:next w:val="ITTBodyLevel4indent"/>
    <w:semiHidden/>
    <w:rsid w:val="00710B15"/>
    <w:rPr>
      <w:b/>
      <w:bCs/>
    </w:rPr>
  </w:style>
  <w:style w:type="paragraph" w:styleId="BalloonText">
    <w:name w:val="Balloon Text"/>
    <w:basedOn w:val="Normal"/>
    <w:semiHidden/>
    <w:rsid w:val="00CF61F7"/>
    <w:rPr>
      <w:rFonts w:ascii="Tahoma" w:hAnsi="Tahoma" w:cs="Tahoma"/>
      <w:sz w:val="16"/>
      <w:szCs w:val="16"/>
    </w:rPr>
  </w:style>
  <w:style w:type="paragraph" w:styleId="TOC1">
    <w:name w:val="toc 1"/>
    <w:basedOn w:val="Normal"/>
    <w:next w:val="Normal"/>
    <w:autoRedefine/>
    <w:uiPriority w:val="39"/>
    <w:rsid w:val="000E551B"/>
    <w:rPr>
      <w:rFonts w:ascii="Arial" w:hAnsi="Arial"/>
    </w:rPr>
  </w:style>
  <w:style w:type="character" w:styleId="Hyperlink">
    <w:name w:val="Hyperlink"/>
    <w:basedOn w:val="DefaultParagraphFont"/>
    <w:uiPriority w:val="99"/>
    <w:rsid w:val="00C43BF2"/>
    <w:rPr>
      <w:color w:val="0000FF"/>
      <w:u w:val="single"/>
    </w:rPr>
  </w:style>
  <w:style w:type="paragraph" w:customStyle="1" w:styleId="ITTBulletLevel3">
    <w:name w:val="ITT Bullet Level 3"/>
    <w:basedOn w:val="ITTBulletlevel2"/>
    <w:qFormat/>
    <w:rsid w:val="00E11444"/>
    <w:pPr>
      <w:ind w:left="3969"/>
    </w:pPr>
  </w:style>
  <w:style w:type="paragraph" w:customStyle="1" w:styleId="ITTBulletlevel2">
    <w:name w:val="ITT Bullet level 2"/>
    <w:basedOn w:val="ITTBullet"/>
    <w:qFormat/>
    <w:rsid w:val="00E11444"/>
    <w:pPr>
      <w:tabs>
        <w:tab w:val="clear" w:pos="1435"/>
      </w:tabs>
      <w:ind w:left="3261" w:hanging="567"/>
    </w:pPr>
  </w:style>
  <w:style w:type="paragraph" w:customStyle="1" w:styleId="ITTBullet">
    <w:name w:val="ITT Bullet"/>
    <w:basedOn w:val="Normal"/>
    <w:qFormat/>
    <w:rsid w:val="002407F5"/>
    <w:pPr>
      <w:tabs>
        <w:tab w:val="left" w:pos="1435"/>
      </w:tabs>
      <w:spacing w:after="240" w:line="240" w:lineRule="auto"/>
      <w:ind w:left="1434" w:hanging="300"/>
    </w:pPr>
    <w:rPr>
      <w:rFonts w:ascii="Arial" w:hAnsi="Arial" w:cs="Arial"/>
      <w:szCs w:val="24"/>
      <w:lang w:val="en-GB" w:bidi="ar-SA"/>
    </w:rPr>
  </w:style>
  <w:style w:type="character" w:styleId="CommentReference">
    <w:name w:val="annotation reference"/>
    <w:basedOn w:val="DefaultParagraphFont"/>
    <w:uiPriority w:val="99"/>
    <w:rsid w:val="000320D3"/>
    <w:rPr>
      <w:sz w:val="16"/>
      <w:szCs w:val="16"/>
    </w:rPr>
  </w:style>
  <w:style w:type="paragraph" w:styleId="CommentText">
    <w:name w:val="annotation text"/>
    <w:basedOn w:val="Normal"/>
    <w:link w:val="CommentTextChar"/>
    <w:uiPriority w:val="99"/>
    <w:rsid w:val="000320D3"/>
    <w:pPr>
      <w:spacing w:line="240" w:lineRule="auto"/>
    </w:pPr>
    <w:rPr>
      <w:sz w:val="20"/>
      <w:szCs w:val="20"/>
    </w:rPr>
  </w:style>
  <w:style w:type="character" w:customStyle="1" w:styleId="CommentTextChar">
    <w:name w:val="Comment Text Char"/>
    <w:basedOn w:val="DefaultParagraphFont"/>
    <w:link w:val="CommentText"/>
    <w:uiPriority w:val="99"/>
    <w:rsid w:val="000320D3"/>
    <w:rPr>
      <w:lang w:val="en-US" w:eastAsia="en-US" w:bidi="en-US"/>
    </w:rPr>
  </w:style>
  <w:style w:type="paragraph" w:styleId="NormalWeb">
    <w:name w:val="Normal (Web)"/>
    <w:basedOn w:val="Normal"/>
    <w:uiPriority w:val="99"/>
    <w:rsid w:val="00565228"/>
    <w:pPr>
      <w:spacing w:before="100" w:beforeAutospacing="1" w:after="100" w:afterAutospacing="1"/>
    </w:pPr>
    <w:rPr>
      <w:lang w:val="en-GB" w:eastAsia="en-GB"/>
    </w:rPr>
  </w:style>
  <w:style w:type="table" w:styleId="TableGrid">
    <w:name w:val="Table Grid"/>
    <w:basedOn w:val="TableNormal"/>
    <w:rsid w:val="00357C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844B64"/>
    <w:pPr>
      <w:outlineLvl w:val="9"/>
    </w:pPr>
  </w:style>
  <w:style w:type="paragraph" w:styleId="TOC2">
    <w:name w:val="toc 2"/>
    <w:basedOn w:val="Normal"/>
    <w:next w:val="Normal"/>
    <w:autoRedefine/>
    <w:uiPriority w:val="39"/>
    <w:rsid w:val="00C202BC"/>
    <w:pPr>
      <w:ind w:left="240"/>
    </w:pPr>
  </w:style>
  <w:style w:type="paragraph" w:styleId="TOC3">
    <w:name w:val="toc 3"/>
    <w:basedOn w:val="Normal"/>
    <w:next w:val="Normal"/>
    <w:autoRedefine/>
    <w:uiPriority w:val="39"/>
    <w:rsid w:val="00CF45A1"/>
    <w:pPr>
      <w:ind w:left="480"/>
    </w:pPr>
  </w:style>
  <w:style w:type="paragraph" w:styleId="DocumentMap">
    <w:name w:val="Document Map"/>
    <w:basedOn w:val="Normal"/>
    <w:semiHidden/>
    <w:rsid w:val="00341292"/>
    <w:pPr>
      <w:shd w:val="clear" w:color="auto" w:fill="000080"/>
    </w:pPr>
    <w:rPr>
      <w:rFonts w:ascii="Tahoma" w:hAnsi="Tahoma" w:cs="Tahoma"/>
      <w:sz w:val="20"/>
      <w:szCs w:val="20"/>
    </w:rPr>
  </w:style>
  <w:style w:type="character" w:styleId="FollowedHyperlink">
    <w:name w:val="FollowedHyperlink"/>
    <w:basedOn w:val="DefaultParagraphFont"/>
    <w:rsid w:val="006E000A"/>
    <w:rPr>
      <w:color w:val="800080"/>
      <w:u w:val="single"/>
    </w:rPr>
  </w:style>
  <w:style w:type="paragraph" w:styleId="FootnoteText">
    <w:name w:val="footnote text"/>
    <w:basedOn w:val="Normal"/>
    <w:link w:val="FootnoteTextChar"/>
    <w:unhideWhenUsed/>
    <w:rsid w:val="009F0CB8"/>
    <w:pPr>
      <w:spacing w:before="120" w:after="120"/>
    </w:pPr>
    <w:rPr>
      <w:rFonts w:ascii="Arial" w:eastAsia="Times" w:hAnsi="Arial"/>
      <w:sz w:val="20"/>
      <w:szCs w:val="20"/>
      <w:lang w:val="en-GB" w:eastAsia="en-GB"/>
    </w:rPr>
  </w:style>
  <w:style w:type="character" w:customStyle="1" w:styleId="FootnoteTextChar">
    <w:name w:val="Footnote Text Char"/>
    <w:basedOn w:val="DefaultParagraphFont"/>
    <w:link w:val="FootnoteText"/>
    <w:uiPriority w:val="99"/>
    <w:rsid w:val="009F0CB8"/>
    <w:rPr>
      <w:rFonts w:ascii="Arial" w:eastAsia="Times" w:hAnsi="Arial"/>
    </w:rPr>
  </w:style>
  <w:style w:type="character" w:styleId="FootnoteReference">
    <w:name w:val="footnote reference"/>
    <w:basedOn w:val="DefaultParagraphFont"/>
    <w:unhideWhenUsed/>
    <w:rsid w:val="009F0CB8"/>
    <w:rPr>
      <w:vertAlign w:val="superscript"/>
    </w:rPr>
  </w:style>
  <w:style w:type="paragraph" w:customStyle="1" w:styleId="Default">
    <w:name w:val="Default"/>
    <w:rsid w:val="005F2DBC"/>
    <w:pPr>
      <w:autoSpaceDE w:val="0"/>
      <w:autoSpaceDN w:val="0"/>
      <w:adjustRightInd w:val="0"/>
      <w:spacing w:after="200" w:line="276" w:lineRule="auto"/>
    </w:pPr>
    <w:rPr>
      <w:rFonts w:ascii="Arial" w:hAnsi="Arial" w:cs="Arial"/>
      <w:color w:val="000000"/>
      <w:sz w:val="24"/>
      <w:szCs w:val="24"/>
      <w:lang w:val="en-US" w:eastAsia="en-US" w:bidi="en-US"/>
    </w:rPr>
  </w:style>
  <w:style w:type="paragraph" w:styleId="ListBullet">
    <w:name w:val="List Bullet"/>
    <w:basedOn w:val="Normal"/>
    <w:rsid w:val="001A4020"/>
    <w:pPr>
      <w:numPr>
        <w:numId w:val="3"/>
      </w:numPr>
      <w:overflowPunct w:val="0"/>
      <w:autoSpaceDE w:val="0"/>
      <w:autoSpaceDN w:val="0"/>
      <w:adjustRightInd w:val="0"/>
      <w:spacing w:after="240"/>
      <w:jc w:val="both"/>
      <w:textAlignment w:val="baseline"/>
    </w:pPr>
    <w:rPr>
      <w:rFonts w:ascii="Times New Roman" w:hAnsi="Times New Roman"/>
      <w:lang w:val="en-GB"/>
    </w:rPr>
  </w:style>
  <w:style w:type="paragraph" w:customStyle="1" w:styleId="ITTHeading1">
    <w:name w:val="ITT Heading 1"/>
    <w:basedOn w:val="Normal"/>
    <w:uiPriority w:val="99"/>
    <w:qFormat/>
    <w:rsid w:val="00886CC8"/>
    <w:pPr>
      <w:numPr>
        <w:numId w:val="1"/>
      </w:numPr>
      <w:tabs>
        <w:tab w:val="left" w:pos="1134"/>
      </w:tabs>
      <w:spacing w:before="240" w:after="240" w:line="240" w:lineRule="auto"/>
      <w:ind w:left="1134" w:hanging="1134"/>
    </w:pPr>
    <w:rPr>
      <w:rFonts w:ascii="Arial" w:hAnsi="Arial"/>
      <w:b/>
      <w:sz w:val="36"/>
      <w:szCs w:val="36"/>
      <w:lang w:val="en-GB" w:bidi="ar-SA"/>
    </w:rPr>
  </w:style>
  <w:style w:type="paragraph" w:customStyle="1" w:styleId="ITTheading2">
    <w:name w:val="ITT heading 2"/>
    <w:basedOn w:val="ITTBody"/>
    <w:next w:val="ITTBody"/>
    <w:qFormat/>
    <w:rsid w:val="00886CC8"/>
    <w:pPr>
      <w:spacing w:before="120"/>
    </w:pPr>
    <w:rPr>
      <w:b/>
      <w:sz w:val="28"/>
      <w:szCs w:val="28"/>
    </w:rPr>
  </w:style>
  <w:style w:type="paragraph" w:customStyle="1" w:styleId="ITTHeading4">
    <w:name w:val="ITT Heading 4"/>
    <w:basedOn w:val="Normal"/>
    <w:qFormat/>
    <w:rsid w:val="009B2011"/>
    <w:pPr>
      <w:spacing w:before="120" w:after="120" w:line="240" w:lineRule="auto"/>
      <w:ind w:left="1134"/>
      <w:jc w:val="both"/>
    </w:pPr>
    <w:rPr>
      <w:rFonts w:ascii="Arial" w:hAnsi="Arial" w:cs="Arial"/>
      <w:b/>
      <w:lang w:val="en-GB" w:bidi="ar-SA"/>
    </w:rPr>
  </w:style>
  <w:style w:type="paragraph" w:customStyle="1" w:styleId="ITTHyperlink">
    <w:name w:val="ITT Hyperlink"/>
    <w:basedOn w:val="Normal"/>
    <w:qFormat/>
    <w:rsid w:val="009B2011"/>
    <w:pPr>
      <w:spacing w:after="120" w:line="240" w:lineRule="auto"/>
      <w:ind w:left="1134"/>
    </w:pPr>
    <w:rPr>
      <w:rFonts w:ascii="Arial" w:hAnsi="Arial"/>
      <w:szCs w:val="24"/>
      <w:lang w:bidi="ar-SA"/>
    </w:rPr>
  </w:style>
  <w:style w:type="paragraph" w:customStyle="1" w:styleId="ITTTable1">
    <w:name w:val="ITT Table 1"/>
    <w:basedOn w:val="Normal"/>
    <w:uiPriority w:val="99"/>
    <w:qFormat/>
    <w:rsid w:val="00B9569C"/>
    <w:pPr>
      <w:spacing w:before="120" w:after="120" w:line="240" w:lineRule="auto"/>
    </w:pPr>
    <w:rPr>
      <w:rFonts w:ascii="Arial" w:hAnsi="Arial" w:cs="Arial"/>
      <w:szCs w:val="24"/>
      <w:lang w:val="en-GB" w:bidi="ar-SA"/>
    </w:rPr>
  </w:style>
  <w:style w:type="paragraph" w:customStyle="1" w:styleId="ITTBullet1">
    <w:name w:val="ITT Bullet1"/>
    <w:basedOn w:val="Normal"/>
    <w:qFormat/>
    <w:rsid w:val="00C05C6A"/>
    <w:pPr>
      <w:numPr>
        <w:numId w:val="2"/>
      </w:numPr>
      <w:tabs>
        <w:tab w:val="left" w:pos="1418"/>
      </w:tabs>
      <w:spacing w:before="60" w:after="60" w:line="240" w:lineRule="auto"/>
    </w:pPr>
    <w:rPr>
      <w:rFonts w:ascii="Arial" w:hAnsi="Arial" w:cs="Arial"/>
      <w:lang w:val="en-GB" w:eastAsia="en-GB"/>
    </w:rPr>
  </w:style>
  <w:style w:type="paragraph" w:customStyle="1" w:styleId="ITTHeading4a">
    <w:name w:val="ITT Heading 4a"/>
    <w:basedOn w:val="ITTBody"/>
    <w:qFormat/>
    <w:rsid w:val="004621FA"/>
    <w:pPr>
      <w:numPr>
        <w:ilvl w:val="0"/>
        <w:numId w:val="0"/>
      </w:numPr>
      <w:spacing w:after="240" w:line="240" w:lineRule="auto"/>
      <w:ind w:left="1021" w:hanging="1021"/>
    </w:pPr>
    <w:rPr>
      <w:b/>
      <w:lang w:bidi="ar-SA"/>
    </w:rPr>
  </w:style>
  <w:style w:type="paragraph" w:customStyle="1" w:styleId="ITTBodyafter4a">
    <w:name w:val="ITT Body after 4a"/>
    <w:basedOn w:val="ITTHeading4a"/>
    <w:qFormat/>
    <w:rsid w:val="004621FA"/>
    <w:pPr>
      <w:ind w:left="1134" w:hanging="1134"/>
    </w:pPr>
    <w:rPr>
      <w:b w:val="0"/>
    </w:rPr>
  </w:style>
  <w:style w:type="paragraph" w:customStyle="1" w:styleId="ITTPlainBody">
    <w:name w:val="ITT Plain Body"/>
    <w:basedOn w:val="ITTBody"/>
    <w:qFormat/>
    <w:rsid w:val="004621FA"/>
    <w:pPr>
      <w:numPr>
        <w:ilvl w:val="0"/>
        <w:numId w:val="0"/>
      </w:numPr>
      <w:spacing w:after="240" w:line="240" w:lineRule="auto"/>
    </w:pPr>
    <w:rPr>
      <w:lang w:bidi="ar-SA"/>
    </w:rPr>
  </w:style>
  <w:style w:type="paragraph" w:customStyle="1" w:styleId="ITTHeading3">
    <w:name w:val="ITT Heading 3"/>
    <w:basedOn w:val="ITTBodyLevel2"/>
    <w:qFormat/>
    <w:rsid w:val="00656143"/>
    <w:rPr>
      <w:b/>
    </w:rPr>
  </w:style>
  <w:style w:type="paragraph" w:customStyle="1" w:styleId="ITTTableHeading">
    <w:name w:val="ITT Table Heading"/>
    <w:basedOn w:val="ITTTable1"/>
    <w:qFormat/>
    <w:rsid w:val="00E96B03"/>
    <w:pPr>
      <w:spacing w:beforeLines="60" w:afterLines="60"/>
    </w:pPr>
    <w:rPr>
      <w:b/>
      <w:szCs w:val="22"/>
    </w:rPr>
  </w:style>
  <w:style w:type="paragraph" w:customStyle="1" w:styleId="ITTStyle3">
    <w:name w:val="ITT Style 3"/>
    <w:basedOn w:val="Normal"/>
    <w:qFormat/>
    <w:rsid w:val="008C4264"/>
    <w:pPr>
      <w:tabs>
        <w:tab w:val="left" w:pos="2835"/>
        <w:tab w:val="left" w:pos="5103"/>
        <w:tab w:val="left" w:pos="7088"/>
      </w:tabs>
      <w:spacing w:after="120"/>
      <w:ind w:left="1134"/>
    </w:pPr>
    <w:rPr>
      <w:rFonts w:ascii="Arial" w:hAnsi="Arial" w:cs="Arial"/>
      <w:lang w:val="en-GB" w:bidi="ar-SA"/>
    </w:rPr>
  </w:style>
  <w:style w:type="paragraph" w:customStyle="1" w:styleId="ITTParagraphLevel2">
    <w:name w:val="ITT Paragraph Level 2"/>
    <w:basedOn w:val="Normal"/>
    <w:qFormat/>
    <w:rsid w:val="00DE56F0"/>
    <w:pPr>
      <w:tabs>
        <w:tab w:val="left" w:pos="1077"/>
      </w:tabs>
      <w:spacing w:after="240" w:line="240" w:lineRule="auto"/>
      <w:ind w:left="1077" w:hanging="720"/>
    </w:pPr>
    <w:rPr>
      <w:rFonts w:ascii="Arial" w:hAnsi="Arial" w:cs="Arial"/>
    </w:rPr>
  </w:style>
  <w:style w:type="paragraph" w:customStyle="1" w:styleId="ITTParagraphLevel3">
    <w:name w:val="ITT Paragraph Level 3"/>
    <w:basedOn w:val="ITTParagraphLevel2"/>
    <w:qFormat/>
    <w:rsid w:val="00DE56F0"/>
  </w:style>
  <w:style w:type="paragraph" w:customStyle="1" w:styleId="ITTgenericheading">
    <w:name w:val="ITT generic heading"/>
    <w:basedOn w:val="Normal"/>
    <w:qFormat/>
    <w:rsid w:val="007E348D"/>
    <w:pPr>
      <w:tabs>
        <w:tab w:val="left" w:pos="1134"/>
      </w:tabs>
      <w:spacing w:line="240" w:lineRule="auto"/>
      <w:jc w:val="center"/>
    </w:pPr>
    <w:rPr>
      <w:rFonts w:ascii="Arial" w:hAnsi="Arial" w:cs="Arial"/>
      <w:b/>
      <w:sz w:val="20"/>
      <w:szCs w:val="20"/>
    </w:rPr>
  </w:style>
  <w:style w:type="paragraph" w:customStyle="1" w:styleId="ITTVCTableHeading">
    <w:name w:val="ITT VC Table Heading"/>
    <w:basedOn w:val="Normal"/>
    <w:qFormat/>
    <w:rsid w:val="007E348D"/>
    <w:pPr>
      <w:tabs>
        <w:tab w:val="left" w:pos="1134"/>
      </w:tabs>
      <w:spacing w:before="120" w:after="120" w:line="240" w:lineRule="auto"/>
    </w:pPr>
    <w:rPr>
      <w:rFonts w:ascii="Arial" w:hAnsi="Arial" w:cs="Arial"/>
      <w:b/>
      <w:sz w:val="16"/>
      <w:szCs w:val="16"/>
    </w:rPr>
  </w:style>
  <w:style w:type="paragraph" w:customStyle="1" w:styleId="ITTVCTableBody">
    <w:name w:val="ITT VC Table Body"/>
    <w:basedOn w:val="Normal"/>
    <w:qFormat/>
    <w:rsid w:val="007E348D"/>
    <w:pPr>
      <w:tabs>
        <w:tab w:val="left" w:pos="1134"/>
      </w:tabs>
      <w:spacing w:before="120" w:after="120" w:line="240" w:lineRule="auto"/>
    </w:pPr>
    <w:rPr>
      <w:rFonts w:ascii="Arial" w:hAnsi="Arial" w:cs="Arial"/>
      <w:sz w:val="16"/>
      <w:szCs w:val="16"/>
    </w:rPr>
  </w:style>
  <w:style w:type="paragraph" w:customStyle="1" w:styleId="ITTPlainBodyBold">
    <w:name w:val="ITT Plain Body Bold"/>
    <w:basedOn w:val="ITTPlainBody"/>
    <w:rsid w:val="008E442F"/>
    <w:pPr>
      <w:tabs>
        <w:tab w:val="clear" w:pos="1134"/>
        <w:tab w:val="left" w:pos="1077"/>
      </w:tabs>
      <w:ind w:left="357"/>
    </w:pPr>
    <w:rPr>
      <w:b/>
      <w:bCs/>
    </w:rPr>
  </w:style>
  <w:style w:type="paragraph" w:customStyle="1" w:styleId="ITTAnnexH1">
    <w:name w:val="ITT Annex H1"/>
    <w:basedOn w:val="ITTHeading1"/>
    <w:qFormat/>
    <w:rsid w:val="00420DD9"/>
    <w:pPr>
      <w:numPr>
        <w:numId w:val="0"/>
      </w:numPr>
    </w:pPr>
  </w:style>
  <w:style w:type="paragraph" w:styleId="Header">
    <w:name w:val="header"/>
    <w:basedOn w:val="Normal"/>
    <w:link w:val="HeaderChar"/>
    <w:unhideWhenUsed/>
    <w:rsid w:val="004141DB"/>
    <w:pPr>
      <w:tabs>
        <w:tab w:val="center" w:pos="4513"/>
        <w:tab w:val="right" w:pos="9026"/>
      </w:tabs>
      <w:spacing w:after="0" w:line="240" w:lineRule="auto"/>
    </w:pPr>
  </w:style>
  <w:style w:type="character" w:customStyle="1" w:styleId="HeaderChar">
    <w:name w:val="Header Char"/>
    <w:basedOn w:val="DefaultParagraphFont"/>
    <w:link w:val="Header"/>
    <w:rsid w:val="004141DB"/>
    <w:rPr>
      <w:sz w:val="22"/>
      <w:szCs w:val="22"/>
      <w:lang w:val="en-US" w:eastAsia="en-US" w:bidi="en-US"/>
    </w:rPr>
  </w:style>
  <w:style w:type="paragraph" w:styleId="Footer">
    <w:name w:val="footer"/>
    <w:basedOn w:val="Normal"/>
    <w:link w:val="FooterChar"/>
    <w:unhideWhenUsed/>
    <w:rsid w:val="004141DB"/>
    <w:pPr>
      <w:tabs>
        <w:tab w:val="center" w:pos="4513"/>
        <w:tab w:val="right" w:pos="9026"/>
      </w:tabs>
      <w:spacing w:after="0" w:line="240" w:lineRule="auto"/>
    </w:pPr>
  </w:style>
  <w:style w:type="character" w:customStyle="1" w:styleId="FooterChar">
    <w:name w:val="Footer Char"/>
    <w:basedOn w:val="DefaultParagraphFont"/>
    <w:link w:val="Footer"/>
    <w:rsid w:val="004141DB"/>
    <w:rPr>
      <w:sz w:val="22"/>
      <w:szCs w:val="22"/>
      <w:lang w:val="en-US" w:eastAsia="en-US" w:bidi="en-US"/>
    </w:rPr>
  </w:style>
  <w:style w:type="paragraph" w:styleId="Revision">
    <w:name w:val="Revision"/>
    <w:hidden/>
    <w:uiPriority w:val="99"/>
    <w:semiHidden/>
    <w:rsid w:val="001F5D52"/>
    <w:rPr>
      <w:sz w:val="22"/>
      <w:szCs w:val="22"/>
      <w:lang w:val="en-US" w:eastAsia="en-US" w:bidi="en-US"/>
    </w:rPr>
  </w:style>
  <w:style w:type="paragraph" w:customStyle="1" w:styleId="TCHeading1">
    <w:name w:val="T&amp;C Heading 1"/>
    <w:basedOn w:val="Normal"/>
    <w:qFormat/>
    <w:rsid w:val="00D97D71"/>
    <w:pPr>
      <w:keepNext/>
      <w:numPr>
        <w:numId w:val="7"/>
      </w:numPr>
      <w:spacing w:before="360" w:after="240" w:line="240" w:lineRule="auto"/>
      <w:ind w:left="709" w:hanging="709"/>
    </w:pPr>
    <w:rPr>
      <w:rFonts w:ascii="Arial" w:hAnsi="Arial"/>
      <w:b/>
      <w:sz w:val="32"/>
      <w:szCs w:val="36"/>
      <w:lang w:val="en-GB" w:bidi="ar-SA"/>
    </w:rPr>
  </w:style>
  <w:style w:type="paragraph" w:customStyle="1" w:styleId="TCHeading2">
    <w:name w:val="T&amp;C Heading 2"/>
    <w:basedOn w:val="TCHeading1"/>
    <w:qFormat/>
    <w:rsid w:val="00D97D71"/>
    <w:pPr>
      <w:numPr>
        <w:ilvl w:val="1"/>
      </w:numPr>
      <w:tabs>
        <w:tab w:val="left" w:pos="1134"/>
      </w:tabs>
    </w:pPr>
    <w:rPr>
      <w:sz w:val="28"/>
      <w:szCs w:val="28"/>
    </w:rPr>
  </w:style>
  <w:style w:type="paragraph" w:customStyle="1" w:styleId="TCBodyafterH1">
    <w:name w:val="T&amp;C Body after H1"/>
    <w:basedOn w:val="TCHeading2"/>
    <w:qFormat/>
    <w:rsid w:val="00D97D71"/>
    <w:pPr>
      <w:tabs>
        <w:tab w:val="clear" w:pos="1134"/>
        <w:tab w:val="left" w:pos="709"/>
      </w:tabs>
      <w:spacing w:before="120"/>
    </w:pPr>
    <w:rPr>
      <w:b w:val="0"/>
      <w:sz w:val="24"/>
      <w:szCs w:val="24"/>
    </w:rPr>
  </w:style>
  <w:style w:type="paragraph" w:customStyle="1" w:styleId="TCBodyafterH2">
    <w:name w:val="T&amp;C Body after H2"/>
    <w:basedOn w:val="TCHeading2"/>
    <w:autoRedefine/>
    <w:qFormat/>
    <w:rsid w:val="00D97D71"/>
    <w:pPr>
      <w:numPr>
        <w:ilvl w:val="2"/>
      </w:numPr>
      <w:tabs>
        <w:tab w:val="clear" w:pos="1134"/>
        <w:tab w:val="left" w:pos="1701"/>
      </w:tabs>
      <w:spacing w:after="120"/>
      <w:ind w:left="1701" w:hanging="992"/>
    </w:pPr>
    <w:rPr>
      <w:b w:val="0"/>
      <w:sz w:val="24"/>
      <w:szCs w:val="22"/>
    </w:rPr>
  </w:style>
  <w:style w:type="paragraph" w:customStyle="1" w:styleId="TCBodyafterH3">
    <w:name w:val="T&amp;C Body after H3"/>
    <w:basedOn w:val="TCBodyafterH2"/>
    <w:qFormat/>
    <w:rsid w:val="00D97D71"/>
    <w:pPr>
      <w:numPr>
        <w:ilvl w:val="3"/>
      </w:numPr>
    </w:pPr>
    <w:rPr>
      <w:spacing w:val="-3"/>
      <w:szCs w:val="24"/>
    </w:rPr>
  </w:style>
  <w:style w:type="character" w:customStyle="1" w:styleId="NICEnormalChar">
    <w:name w:val="NICE normal Char"/>
    <w:basedOn w:val="DefaultParagraphFont"/>
    <w:link w:val="NICEnormal"/>
    <w:locked/>
    <w:rsid w:val="005A5A82"/>
    <w:rPr>
      <w:rFonts w:ascii="Arial" w:hAnsi="Arial" w:cs="Arial"/>
    </w:rPr>
  </w:style>
  <w:style w:type="paragraph" w:customStyle="1" w:styleId="NICEnormal">
    <w:name w:val="NICE normal"/>
    <w:basedOn w:val="Normal"/>
    <w:link w:val="NICEnormalChar"/>
    <w:rsid w:val="005A5A82"/>
    <w:pPr>
      <w:spacing w:after="240" w:line="360" w:lineRule="auto"/>
    </w:pPr>
    <w:rPr>
      <w:rFonts w:ascii="Arial" w:hAnsi="Arial" w:cs="Arial"/>
      <w:sz w:val="20"/>
      <w:szCs w:val="20"/>
      <w:lang w:val="en-GB" w:eastAsia="en-GB" w:bidi="ar-SA"/>
    </w:rPr>
  </w:style>
  <w:style w:type="paragraph" w:customStyle="1" w:styleId="ITTHeading20">
    <w:name w:val="ITT Heading 2"/>
    <w:basedOn w:val="ITTHeading1"/>
    <w:qFormat/>
    <w:rsid w:val="00BC3502"/>
    <w:pPr>
      <w:numPr>
        <w:numId w:val="0"/>
      </w:numPr>
      <w:tabs>
        <w:tab w:val="clear" w:pos="1134"/>
      </w:tabs>
      <w:spacing w:before="360" w:after="120"/>
      <w:ind w:left="792" w:hanging="792"/>
    </w:pPr>
    <w:rPr>
      <w:sz w:val="28"/>
      <w:szCs w:val="28"/>
    </w:rPr>
  </w:style>
  <w:style w:type="paragraph" w:customStyle="1" w:styleId="ITTTitle">
    <w:name w:val="ITT Title"/>
    <w:basedOn w:val="Normal"/>
    <w:rsid w:val="00BD1B49"/>
    <w:pPr>
      <w:jc w:val="center"/>
    </w:pPr>
    <w:rPr>
      <w:rFonts w:ascii="Arial" w:hAnsi="Arial"/>
      <w:b/>
      <w:bCs/>
      <w:sz w:val="40"/>
      <w:szCs w:val="20"/>
    </w:rPr>
  </w:style>
  <w:style w:type="character" w:styleId="UnresolvedMention">
    <w:name w:val="Unresolved Mention"/>
    <w:basedOn w:val="DefaultParagraphFont"/>
    <w:uiPriority w:val="99"/>
    <w:semiHidden/>
    <w:unhideWhenUsed/>
    <w:rsid w:val="00005A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20897">
      <w:bodyDiv w:val="1"/>
      <w:marLeft w:val="0"/>
      <w:marRight w:val="0"/>
      <w:marTop w:val="0"/>
      <w:marBottom w:val="0"/>
      <w:divBdr>
        <w:top w:val="none" w:sz="0" w:space="0" w:color="auto"/>
        <w:left w:val="none" w:sz="0" w:space="0" w:color="auto"/>
        <w:bottom w:val="none" w:sz="0" w:space="0" w:color="auto"/>
        <w:right w:val="none" w:sz="0" w:space="0" w:color="auto"/>
      </w:divBdr>
    </w:div>
    <w:div w:id="179438646">
      <w:bodyDiv w:val="1"/>
      <w:marLeft w:val="0"/>
      <w:marRight w:val="0"/>
      <w:marTop w:val="0"/>
      <w:marBottom w:val="0"/>
      <w:divBdr>
        <w:top w:val="none" w:sz="0" w:space="0" w:color="auto"/>
        <w:left w:val="none" w:sz="0" w:space="0" w:color="auto"/>
        <w:bottom w:val="none" w:sz="0" w:space="0" w:color="auto"/>
        <w:right w:val="none" w:sz="0" w:space="0" w:color="auto"/>
      </w:divBdr>
      <w:divsChild>
        <w:div w:id="182287756">
          <w:marLeft w:val="0"/>
          <w:marRight w:val="0"/>
          <w:marTop w:val="0"/>
          <w:marBottom w:val="0"/>
          <w:divBdr>
            <w:top w:val="none" w:sz="0" w:space="0" w:color="auto"/>
            <w:left w:val="none" w:sz="0" w:space="0" w:color="auto"/>
            <w:bottom w:val="none" w:sz="0" w:space="0" w:color="auto"/>
            <w:right w:val="none" w:sz="0" w:space="0" w:color="auto"/>
          </w:divBdr>
          <w:divsChild>
            <w:div w:id="485903008">
              <w:marLeft w:val="0"/>
              <w:marRight w:val="0"/>
              <w:marTop w:val="0"/>
              <w:marBottom w:val="0"/>
              <w:divBdr>
                <w:top w:val="none" w:sz="0" w:space="0" w:color="auto"/>
                <w:left w:val="none" w:sz="0" w:space="0" w:color="auto"/>
                <w:bottom w:val="none" w:sz="0" w:space="0" w:color="auto"/>
                <w:right w:val="none" w:sz="0" w:space="0" w:color="auto"/>
              </w:divBdr>
              <w:divsChild>
                <w:div w:id="1970282409">
                  <w:marLeft w:val="8355"/>
                  <w:marRight w:val="0"/>
                  <w:marTop w:val="0"/>
                  <w:marBottom w:val="0"/>
                  <w:divBdr>
                    <w:top w:val="none" w:sz="0" w:space="0" w:color="auto"/>
                    <w:left w:val="none" w:sz="0" w:space="0" w:color="auto"/>
                    <w:bottom w:val="none" w:sz="0" w:space="0" w:color="auto"/>
                    <w:right w:val="none" w:sz="0" w:space="0" w:color="auto"/>
                  </w:divBdr>
                  <w:divsChild>
                    <w:div w:id="681202520">
                      <w:marLeft w:val="0"/>
                      <w:marRight w:val="0"/>
                      <w:marTop w:val="0"/>
                      <w:marBottom w:val="0"/>
                      <w:divBdr>
                        <w:top w:val="none" w:sz="0" w:space="0" w:color="auto"/>
                        <w:left w:val="none" w:sz="0" w:space="0" w:color="auto"/>
                        <w:bottom w:val="none" w:sz="0" w:space="0" w:color="auto"/>
                        <w:right w:val="none" w:sz="0" w:space="0" w:color="auto"/>
                      </w:divBdr>
                      <w:divsChild>
                        <w:div w:id="127206381">
                          <w:marLeft w:val="0"/>
                          <w:marRight w:val="0"/>
                          <w:marTop w:val="0"/>
                          <w:marBottom w:val="0"/>
                          <w:divBdr>
                            <w:top w:val="none" w:sz="0" w:space="0" w:color="auto"/>
                            <w:left w:val="none" w:sz="0" w:space="0" w:color="auto"/>
                            <w:bottom w:val="none" w:sz="0" w:space="0" w:color="auto"/>
                            <w:right w:val="none" w:sz="0" w:space="0" w:color="auto"/>
                          </w:divBdr>
                          <w:divsChild>
                            <w:div w:id="35423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7581413">
      <w:bodyDiv w:val="1"/>
      <w:marLeft w:val="0"/>
      <w:marRight w:val="0"/>
      <w:marTop w:val="0"/>
      <w:marBottom w:val="0"/>
      <w:divBdr>
        <w:top w:val="none" w:sz="0" w:space="0" w:color="auto"/>
        <w:left w:val="none" w:sz="0" w:space="0" w:color="auto"/>
        <w:bottom w:val="none" w:sz="0" w:space="0" w:color="auto"/>
        <w:right w:val="none" w:sz="0" w:space="0" w:color="auto"/>
      </w:divBdr>
    </w:div>
    <w:div w:id="490492065">
      <w:bodyDiv w:val="1"/>
      <w:marLeft w:val="0"/>
      <w:marRight w:val="0"/>
      <w:marTop w:val="0"/>
      <w:marBottom w:val="0"/>
      <w:divBdr>
        <w:top w:val="none" w:sz="0" w:space="0" w:color="auto"/>
        <w:left w:val="none" w:sz="0" w:space="0" w:color="auto"/>
        <w:bottom w:val="none" w:sz="0" w:space="0" w:color="auto"/>
        <w:right w:val="none" w:sz="0" w:space="0" w:color="auto"/>
      </w:divBdr>
    </w:div>
    <w:div w:id="535584369">
      <w:bodyDiv w:val="1"/>
      <w:marLeft w:val="0"/>
      <w:marRight w:val="0"/>
      <w:marTop w:val="0"/>
      <w:marBottom w:val="0"/>
      <w:divBdr>
        <w:top w:val="none" w:sz="0" w:space="0" w:color="auto"/>
        <w:left w:val="none" w:sz="0" w:space="0" w:color="auto"/>
        <w:bottom w:val="none" w:sz="0" w:space="0" w:color="auto"/>
        <w:right w:val="none" w:sz="0" w:space="0" w:color="auto"/>
      </w:divBdr>
      <w:divsChild>
        <w:div w:id="1829511945">
          <w:marLeft w:val="0"/>
          <w:marRight w:val="0"/>
          <w:marTop w:val="0"/>
          <w:marBottom w:val="0"/>
          <w:divBdr>
            <w:top w:val="none" w:sz="0" w:space="0" w:color="auto"/>
            <w:left w:val="none" w:sz="0" w:space="0" w:color="auto"/>
            <w:bottom w:val="none" w:sz="0" w:space="0" w:color="auto"/>
            <w:right w:val="none" w:sz="0" w:space="0" w:color="auto"/>
          </w:divBdr>
          <w:divsChild>
            <w:div w:id="1106314473">
              <w:marLeft w:val="0"/>
              <w:marRight w:val="0"/>
              <w:marTop w:val="0"/>
              <w:marBottom w:val="0"/>
              <w:divBdr>
                <w:top w:val="none" w:sz="0" w:space="0" w:color="auto"/>
                <w:left w:val="none" w:sz="0" w:space="0" w:color="auto"/>
                <w:bottom w:val="none" w:sz="0" w:space="0" w:color="auto"/>
                <w:right w:val="none" w:sz="0" w:space="0" w:color="auto"/>
              </w:divBdr>
              <w:divsChild>
                <w:div w:id="1264339661">
                  <w:marLeft w:val="8355"/>
                  <w:marRight w:val="0"/>
                  <w:marTop w:val="0"/>
                  <w:marBottom w:val="0"/>
                  <w:divBdr>
                    <w:top w:val="none" w:sz="0" w:space="0" w:color="auto"/>
                    <w:left w:val="none" w:sz="0" w:space="0" w:color="auto"/>
                    <w:bottom w:val="none" w:sz="0" w:space="0" w:color="auto"/>
                    <w:right w:val="none" w:sz="0" w:space="0" w:color="auto"/>
                  </w:divBdr>
                  <w:divsChild>
                    <w:div w:id="790444705">
                      <w:marLeft w:val="0"/>
                      <w:marRight w:val="0"/>
                      <w:marTop w:val="0"/>
                      <w:marBottom w:val="0"/>
                      <w:divBdr>
                        <w:top w:val="none" w:sz="0" w:space="0" w:color="auto"/>
                        <w:left w:val="none" w:sz="0" w:space="0" w:color="auto"/>
                        <w:bottom w:val="none" w:sz="0" w:space="0" w:color="auto"/>
                        <w:right w:val="none" w:sz="0" w:space="0" w:color="auto"/>
                      </w:divBdr>
                      <w:divsChild>
                        <w:div w:id="1163083855">
                          <w:marLeft w:val="0"/>
                          <w:marRight w:val="0"/>
                          <w:marTop w:val="0"/>
                          <w:marBottom w:val="0"/>
                          <w:divBdr>
                            <w:top w:val="none" w:sz="0" w:space="0" w:color="auto"/>
                            <w:left w:val="none" w:sz="0" w:space="0" w:color="auto"/>
                            <w:bottom w:val="none" w:sz="0" w:space="0" w:color="auto"/>
                            <w:right w:val="none" w:sz="0" w:space="0" w:color="auto"/>
                          </w:divBdr>
                          <w:divsChild>
                            <w:div w:id="162589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8346421">
      <w:bodyDiv w:val="1"/>
      <w:marLeft w:val="0"/>
      <w:marRight w:val="0"/>
      <w:marTop w:val="0"/>
      <w:marBottom w:val="0"/>
      <w:divBdr>
        <w:top w:val="none" w:sz="0" w:space="0" w:color="auto"/>
        <w:left w:val="none" w:sz="0" w:space="0" w:color="auto"/>
        <w:bottom w:val="none" w:sz="0" w:space="0" w:color="auto"/>
        <w:right w:val="none" w:sz="0" w:space="0" w:color="auto"/>
      </w:divBdr>
    </w:div>
    <w:div w:id="568225999">
      <w:bodyDiv w:val="1"/>
      <w:marLeft w:val="0"/>
      <w:marRight w:val="0"/>
      <w:marTop w:val="0"/>
      <w:marBottom w:val="0"/>
      <w:divBdr>
        <w:top w:val="none" w:sz="0" w:space="0" w:color="auto"/>
        <w:left w:val="none" w:sz="0" w:space="0" w:color="auto"/>
        <w:bottom w:val="none" w:sz="0" w:space="0" w:color="auto"/>
        <w:right w:val="none" w:sz="0" w:space="0" w:color="auto"/>
      </w:divBdr>
      <w:divsChild>
        <w:div w:id="1234927272">
          <w:marLeft w:val="0"/>
          <w:marRight w:val="0"/>
          <w:marTop w:val="0"/>
          <w:marBottom w:val="0"/>
          <w:divBdr>
            <w:top w:val="none" w:sz="0" w:space="0" w:color="auto"/>
            <w:left w:val="none" w:sz="0" w:space="0" w:color="auto"/>
            <w:bottom w:val="none" w:sz="0" w:space="0" w:color="auto"/>
            <w:right w:val="none" w:sz="0" w:space="0" w:color="auto"/>
          </w:divBdr>
          <w:divsChild>
            <w:div w:id="74521633">
              <w:marLeft w:val="0"/>
              <w:marRight w:val="0"/>
              <w:marTop w:val="0"/>
              <w:marBottom w:val="0"/>
              <w:divBdr>
                <w:top w:val="none" w:sz="0" w:space="0" w:color="auto"/>
                <w:left w:val="none" w:sz="0" w:space="0" w:color="auto"/>
                <w:bottom w:val="none" w:sz="0" w:space="0" w:color="auto"/>
                <w:right w:val="none" w:sz="0" w:space="0" w:color="auto"/>
              </w:divBdr>
            </w:div>
            <w:div w:id="86387646">
              <w:marLeft w:val="0"/>
              <w:marRight w:val="0"/>
              <w:marTop w:val="0"/>
              <w:marBottom w:val="0"/>
              <w:divBdr>
                <w:top w:val="none" w:sz="0" w:space="0" w:color="auto"/>
                <w:left w:val="none" w:sz="0" w:space="0" w:color="auto"/>
                <w:bottom w:val="none" w:sz="0" w:space="0" w:color="auto"/>
                <w:right w:val="none" w:sz="0" w:space="0" w:color="auto"/>
              </w:divBdr>
            </w:div>
            <w:div w:id="115570048">
              <w:marLeft w:val="0"/>
              <w:marRight w:val="0"/>
              <w:marTop w:val="0"/>
              <w:marBottom w:val="0"/>
              <w:divBdr>
                <w:top w:val="none" w:sz="0" w:space="0" w:color="auto"/>
                <w:left w:val="none" w:sz="0" w:space="0" w:color="auto"/>
                <w:bottom w:val="none" w:sz="0" w:space="0" w:color="auto"/>
                <w:right w:val="none" w:sz="0" w:space="0" w:color="auto"/>
              </w:divBdr>
            </w:div>
            <w:div w:id="156003041">
              <w:marLeft w:val="0"/>
              <w:marRight w:val="0"/>
              <w:marTop w:val="0"/>
              <w:marBottom w:val="0"/>
              <w:divBdr>
                <w:top w:val="none" w:sz="0" w:space="0" w:color="auto"/>
                <w:left w:val="none" w:sz="0" w:space="0" w:color="auto"/>
                <w:bottom w:val="none" w:sz="0" w:space="0" w:color="auto"/>
                <w:right w:val="none" w:sz="0" w:space="0" w:color="auto"/>
              </w:divBdr>
            </w:div>
            <w:div w:id="285426829">
              <w:marLeft w:val="0"/>
              <w:marRight w:val="0"/>
              <w:marTop w:val="0"/>
              <w:marBottom w:val="0"/>
              <w:divBdr>
                <w:top w:val="none" w:sz="0" w:space="0" w:color="auto"/>
                <w:left w:val="none" w:sz="0" w:space="0" w:color="auto"/>
                <w:bottom w:val="none" w:sz="0" w:space="0" w:color="auto"/>
                <w:right w:val="none" w:sz="0" w:space="0" w:color="auto"/>
              </w:divBdr>
            </w:div>
            <w:div w:id="339089981">
              <w:marLeft w:val="0"/>
              <w:marRight w:val="0"/>
              <w:marTop w:val="0"/>
              <w:marBottom w:val="0"/>
              <w:divBdr>
                <w:top w:val="none" w:sz="0" w:space="0" w:color="auto"/>
                <w:left w:val="none" w:sz="0" w:space="0" w:color="auto"/>
                <w:bottom w:val="none" w:sz="0" w:space="0" w:color="auto"/>
                <w:right w:val="none" w:sz="0" w:space="0" w:color="auto"/>
              </w:divBdr>
            </w:div>
            <w:div w:id="371544388">
              <w:marLeft w:val="0"/>
              <w:marRight w:val="0"/>
              <w:marTop w:val="0"/>
              <w:marBottom w:val="0"/>
              <w:divBdr>
                <w:top w:val="none" w:sz="0" w:space="0" w:color="auto"/>
                <w:left w:val="none" w:sz="0" w:space="0" w:color="auto"/>
                <w:bottom w:val="none" w:sz="0" w:space="0" w:color="auto"/>
                <w:right w:val="none" w:sz="0" w:space="0" w:color="auto"/>
              </w:divBdr>
            </w:div>
            <w:div w:id="395666999">
              <w:marLeft w:val="0"/>
              <w:marRight w:val="0"/>
              <w:marTop w:val="0"/>
              <w:marBottom w:val="0"/>
              <w:divBdr>
                <w:top w:val="none" w:sz="0" w:space="0" w:color="auto"/>
                <w:left w:val="none" w:sz="0" w:space="0" w:color="auto"/>
                <w:bottom w:val="none" w:sz="0" w:space="0" w:color="auto"/>
                <w:right w:val="none" w:sz="0" w:space="0" w:color="auto"/>
              </w:divBdr>
            </w:div>
            <w:div w:id="398552499">
              <w:marLeft w:val="0"/>
              <w:marRight w:val="0"/>
              <w:marTop w:val="0"/>
              <w:marBottom w:val="0"/>
              <w:divBdr>
                <w:top w:val="none" w:sz="0" w:space="0" w:color="auto"/>
                <w:left w:val="none" w:sz="0" w:space="0" w:color="auto"/>
                <w:bottom w:val="none" w:sz="0" w:space="0" w:color="auto"/>
                <w:right w:val="none" w:sz="0" w:space="0" w:color="auto"/>
              </w:divBdr>
            </w:div>
            <w:div w:id="474495782">
              <w:marLeft w:val="0"/>
              <w:marRight w:val="0"/>
              <w:marTop w:val="0"/>
              <w:marBottom w:val="0"/>
              <w:divBdr>
                <w:top w:val="none" w:sz="0" w:space="0" w:color="auto"/>
                <w:left w:val="none" w:sz="0" w:space="0" w:color="auto"/>
                <w:bottom w:val="none" w:sz="0" w:space="0" w:color="auto"/>
                <w:right w:val="none" w:sz="0" w:space="0" w:color="auto"/>
              </w:divBdr>
            </w:div>
            <w:div w:id="571964382">
              <w:marLeft w:val="0"/>
              <w:marRight w:val="0"/>
              <w:marTop w:val="0"/>
              <w:marBottom w:val="0"/>
              <w:divBdr>
                <w:top w:val="none" w:sz="0" w:space="0" w:color="auto"/>
                <w:left w:val="none" w:sz="0" w:space="0" w:color="auto"/>
                <w:bottom w:val="none" w:sz="0" w:space="0" w:color="auto"/>
                <w:right w:val="none" w:sz="0" w:space="0" w:color="auto"/>
              </w:divBdr>
            </w:div>
            <w:div w:id="646712554">
              <w:marLeft w:val="0"/>
              <w:marRight w:val="0"/>
              <w:marTop w:val="0"/>
              <w:marBottom w:val="0"/>
              <w:divBdr>
                <w:top w:val="none" w:sz="0" w:space="0" w:color="auto"/>
                <w:left w:val="none" w:sz="0" w:space="0" w:color="auto"/>
                <w:bottom w:val="none" w:sz="0" w:space="0" w:color="auto"/>
                <w:right w:val="none" w:sz="0" w:space="0" w:color="auto"/>
              </w:divBdr>
            </w:div>
            <w:div w:id="673997795">
              <w:marLeft w:val="0"/>
              <w:marRight w:val="0"/>
              <w:marTop w:val="0"/>
              <w:marBottom w:val="0"/>
              <w:divBdr>
                <w:top w:val="none" w:sz="0" w:space="0" w:color="auto"/>
                <w:left w:val="none" w:sz="0" w:space="0" w:color="auto"/>
                <w:bottom w:val="none" w:sz="0" w:space="0" w:color="auto"/>
                <w:right w:val="none" w:sz="0" w:space="0" w:color="auto"/>
              </w:divBdr>
            </w:div>
            <w:div w:id="682240804">
              <w:marLeft w:val="0"/>
              <w:marRight w:val="0"/>
              <w:marTop w:val="0"/>
              <w:marBottom w:val="0"/>
              <w:divBdr>
                <w:top w:val="none" w:sz="0" w:space="0" w:color="auto"/>
                <w:left w:val="none" w:sz="0" w:space="0" w:color="auto"/>
                <w:bottom w:val="none" w:sz="0" w:space="0" w:color="auto"/>
                <w:right w:val="none" w:sz="0" w:space="0" w:color="auto"/>
              </w:divBdr>
            </w:div>
            <w:div w:id="853610538">
              <w:marLeft w:val="0"/>
              <w:marRight w:val="0"/>
              <w:marTop w:val="0"/>
              <w:marBottom w:val="0"/>
              <w:divBdr>
                <w:top w:val="none" w:sz="0" w:space="0" w:color="auto"/>
                <w:left w:val="none" w:sz="0" w:space="0" w:color="auto"/>
                <w:bottom w:val="none" w:sz="0" w:space="0" w:color="auto"/>
                <w:right w:val="none" w:sz="0" w:space="0" w:color="auto"/>
              </w:divBdr>
            </w:div>
            <w:div w:id="884633430">
              <w:marLeft w:val="0"/>
              <w:marRight w:val="0"/>
              <w:marTop w:val="0"/>
              <w:marBottom w:val="0"/>
              <w:divBdr>
                <w:top w:val="none" w:sz="0" w:space="0" w:color="auto"/>
                <w:left w:val="none" w:sz="0" w:space="0" w:color="auto"/>
                <w:bottom w:val="none" w:sz="0" w:space="0" w:color="auto"/>
                <w:right w:val="none" w:sz="0" w:space="0" w:color="auto"/>
              </w:divBdr>
            </w:div>
            <w:div w:id="1079254259">
              <w:marLeft w:val="0"/>
              <w:marRight w:val="0"/>
              <w:marTop w:val="0"/>
              <w:marBottom w:val="0"/>
              <w:divBdr>
                <w:top w:val="none" w:sz="0" w:space="0" w:color="auto"/>
                <w:left w:val="none" w:sz="0" w:space="0" w:color="auto"/>
                <w:bottom w:val="none" w:sz="0" w:space="0" w:color="auto"/>
                <w:right w:val="none" w:sz="0" w:space="0" w:color="auto"/>
              </w:divBdr>
            </w:div>
            <w:div w:id="1138064143">
              <w:marLeft w:val="0"/>
              <w:marRight w:val="0"/>
              <w:marTop w:val="0"/>
              <w:marBottom w:val="0"/>
              <w:divBdr>
                <w:top w:val="none" w:sz="0" w:space="0" w:color="auto"/>
                <w:left w:val="none" w:sz="0" w:space="0" w:color="auto"/>
                <w:bottom w:val="none" w:sz="0" w:space="0" w:color="auto"/>
                <w:right w:val="none" w:sz="0" w:space="0" w:color="auto"/>
              </w:divBdr>
            </w:div>
            <w:div w:id="1183669638">
              <w:marLeft w:val="0"/>
              <w:marRight w:val="0"/>
              <w:marTop w:val="0"/>
              <w:marBottom w:val="0"/>
              <w:divBdr>
                <w:top w:val="none" w:sz="0" w:space="0" w:color="auto"/>
                <w:left w:val="none" w:sz="0" w:space="0" w:color="auto"/>
                <w:bottom w:val="none" w:sz="0" w:space="0" w:color="auto"/>
                <w:right w:val="none" w:sz="0" w:space="0" w:color="auto"/>
              </w:divBdr>
            </w:div>
            <w:div w:id="1287350078">
              <w:marLeft w:val="0"/>
              <w:marRight w:val="0"/>
              <w:marTop w:val="0"/>
              <w:marBottom w:val="0"/>
              <w:divBdr>
                <w:top w:val="none" w:sz="0" w:space="0" w:color="auto"/>
                <w:left w:val="none" w:sz="0" w:space="0" w:color="auto"/>
                <w:bottom w:val="none" w:sz="0" w:space="0" w:color="auto"/>
                <w:right w:val="none" w:sz="0" w:space="0" w:color="auto"/>
              </w:divBdr>
            </w:div>
            <w:div w:id="1319458550">
              <w:marLeft w:val="0"/>
              <w:marRight w:val="0"/>
              <w:marTop w:val="0"/>
              <w:marBottom w:val="0"/>
              <w:divBdr>
                <w:top w:val="none" w:sz="0" w:space="0" w:color="auto"/>
                <w:left w:val="none" w:sz="0" w:space="0" w:color="auto"/>
                <w:bottom w:val="none" w:sz="0" w:space="0" w:color="auto"/>
                <w:right w:val="none" w:sz="0" w:space="0" w:color="auto"/>
              </w:divBdr>
            </w:div>
            <w:div w:id="1355495285">
              <w:marLeft w:val="0"/>
              <w:marRight w:val="0"/>
              <w:marTop w:val="0"/>
              <w:marBottom w:val="0"/>
              <w:divBdr>
                <w:top w:val="none" w:sz="0" w:space="0" w:color="auto"/>
                <w:left w:val="none" w:sz="0" w:space="0" w:color="auto"/>
                <w:bottom w:val="none" w:sz="0" w:space="0" w:color="auto"/>
                <w:right w:val="none" w:sz="0" w:space="0" w:color="auto"/>
              </w:divBdr>
            </w:div>
            <w:div w:id="1667249541">
              <w:marLeft w:val="0"/>
              <w:marRight w:val="0"/>
              <w:marTop w:val="0"/>
              <w:marBottom w:val="0"/>
              <w:divBdr>
                <w:top w:val="none" w:sz="0" w:space="0" w:color="auto"/>
                <w:left w:val="none" w:sz="0" w:space="0" w:color="auto"/>
                <w:bottom w:val="none" w:sz="0" w:space="0" w:color="auto"/>
                <w:right w:val="none" w:sz="0" w:space="0" w:color="auto"/>
              </w:divBdr>
            </w:div>
            <w:div w:id="1742096307">
              <w:marLeft w:val="0"/>
              <w:marRight w:val="0"/>
              <w:marTop w:val="0"/>
              <w:marBottom w:val="0"/>
              <w:divBdr>
                <w:top w:val="none" w:sz="0" w:space="0" w:color="auto"/>
                <w:left w:val="none" w:sz="0" w:space="0" w:color="auto"/>
                <w:bottom w:val="none" w:sz="0" w:space="0" w:color="auto"/>
                <w:right w:val="none" w:sz="0" w:space="0" w:color="auto"/>
              </w:divBdr>
            </w:div>
            <w:div w:id="197062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764454">
      <w:bodyDiv w:val="1"/>
      <w:marLeft w:val="0"/>
      <w:marRight w:val="0"/>
      <w:marTop w:val="0"/>
      <w:marBottom w:val="0"/>
      <w:divBdr>
        <w:top w:val="none" w:sz="0" w:space="0" w:color="auto"/>
        <w:left w:val="none" w:sz="0" w:space="0" w:color="auto"/>
        <w:bottom w:val="none" w:sz="0" w:space="0" w:color="auto"/>
        <w:right w:val="none" w:sz="0" w:space="0" w:color="auto"/>
      </w:divBdr>
    </w:div>
    <w:div w:id="655231593">
      <w:bodyDiv w:val="1"/>
      <w:marLeft w:val="0"/>
      <w:marRight w:val="0"/>
      <w:marTop w:val="0"/>
      <w:marBottom w:val="0"/>
      <w:divBdr>
        <w:top w:val="none" w:sz="0" w:space="0" w:color="auto"/>
        <w:left w:val="none" w:sz="0" w:space="0" w:color="auto"/>
        <w:bottom w:val="none" w:sz="0" w:space="0" w:color="auto"/>
        <w:right w:val="none" w:sz="0" w:space="0" w:color="auto"/>
      </w:divBdr>
    </w:div>
    <w:div w:id="682443253">
      <w:bodyDiv w:val="1"/>
      <w:marLeft w:val="0"/>
      <w:marRight w:val="0"/>
      <w:marTop w:val="0"/>
      <w:marBottom w:val="0"/>
      <w:divBdr>
        <w:top w:val="none" w:sz="0" w:space="0" w:color="auto"/>
        <w:left w:val="none" w:sz="0" w:space="0" w:color="auto"/>
        <w:bottom w:val="none" w:sz="0" w:space="0" w:color="auto"/>
        <w:right w:val="none" w:sz="0" w:space="0" w:color="auto"/>
      </w:divBdr>
      <w:divsChild>
        <w:div w:id="987592890">
          <w:marLeft w:val="0"/>
          <w:marRight w:val="0"/>
          <w:marTop w:val="0"/>
          <w:marBottom w:val="0"/>
          <w:divBdr>
            <w:top w:val="none" w:sz="0" w:space="0" w:color="auto"/>
            <w:left w:val="none" w:sz="0" w:space="0" w:color="auto"/>
            <w:bottom w:val="none" w:sz="0" w:space="0" w:color="auto"/>
            <w:right w:val="none" w:sz="0" w:space="0" w:color="auto"/>
          </w:divBdr>
          <w:divsChild>
            <w:div w:id="1265766789">
              <w:marLeft w:val="0"/>
              <w:marRight w:val="0"/>
              <w:marTop w:val="0"/>
              <w:marBottom w:val="0"/>
              <w:divBdr>
                <w:top w:val="none" w:sz="0" w:space="0" w:color="auto"/>
                <w:left w:val="none" w:sz="0" w:space="0" w:color="auto"/>
                <w:bottom w:val="none" w:sz="0" w:space="0" w:color="auto"/>
                <w:right w:val="none" w:sz="0" w:space="0" w:color="auto"/>
              </w:divBdr>
              <w:divsChild>
                <w:div w:id="957838263">
                  <w:marLeft w:val="8355"/>
                  <w:marRight w:val="0"/>
                  <w:marTop w:val="0"/>
                  <w:marBottom w:val="0"/>
                  <w:divBdr>
                    <w:top w:val="none" w:sz="0" w:space="0" w:color="auto"/>
                    <w:left w:val="none" w:sz="0" w:space="0" w:color="auto"/>
                    <w:bottom w:val="none" w:sz="0" w:space="0" w:color="auto"/>
                    <w:right w:val="none" w:sz="0" w:space="0" w:color="auto"/>
                  </w:divBdr>
                  <w:divsChild>
                    <w:div w:id="1581981943">
                      <w:marLeft w:val="0"/>
                      <w:marRight w:val="0"/>
                      <w:marTop w:val="0"/>
                      <w:marBottom w:val="0"/>
                      <w:divBdr>
                        <w:top w:val="none" w:sz="0" w:space="0" w:color="auto"/>
                        <w:left w:val="none" w:sz="0" w:space="0" w:color="auto"/>
                        <w:bottom w:val="none" w:sz="0" w:space="0" w:color="auto"/>
                        <w:right w:val="none" w:sz="0" w:space="0" w:color="auto"/>
                      </w:divBdr>
                      <w:divsChild>
                        <w:div w:id="2065525440">
                          <w:marLeft w:val="0"/>
                          <w:marRight w:val="0"/>
                          <w:marTop w:val="0"/>
                          <w:marBottom w:val="0"/>
                          <w:divBdr>
                            <w:top w:val="none" w:sz="0" w:space="0" w:color="auto"/>
                            <w:left w:val="none" w:sz="0" w:space="0" w:color="auto"/>
                            <w:bottom w:val="none" w:sz="0" w:space="0" w:color="auto"/>
                            <w:right w:val="none" w:sz="0" w:space="0" w:color="auto"/>
                          </w:divBdr>
                          <w:divsChild>
                            <w:div w:id="108075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2920515">
      <w:bodyDiv w:val="1"/>
      <w:marLeft w:val="0"/>
      <w:marRight w:val="0"/>
      <w:marTop w:val="0"/>
      <w:marBottom w:val="0"/>
      <w:divBdr>
        <w:top w:val="none" w:sz="0" w:space="0" w:color="auto"/>
        <w:left w:val="none" w:sz="0" w:space="0" w:color="auto"/>
        <w:bottom w:val="none" w:sz="0" w:space="0" w:color="auto"/>
        <w:right w:val="none" w:sz="0" w:space="0" w:color="auto"/>
      </w:divBdr>
    </w:div>
    <w:div w:id="877358757">
      <w:bodyDiv w:val="1"/>
      <w:marLeft w:val="0"/>
      <w:marRight w:val="0"/>
      <w:marTop w:val="0"/>
      <w:marBottom w:val="0"/>
      <w:divBdr>
        <w:top w:val="none" w:sz="0" w:space="0" w:color="auto"/>
        <w:left w:val="none" w:sz="0" w:space="0" w:color="auto"/>
        <w:bottom w:val="none" w:sz="0" w:space="0" w:color="auto"/>
        <w:right w:val="none" w:sz="0" w:space="0" w:color="auto"/>
      </w:divBdr>
      <w:divsChild>
        <w:div w:id="1293094914">
          <w:marLeft w:val="0"/>
          <w:marRight w:val="0"/>
          <w:marTop w:val="0"/>
          <w:marBottom w:val="0"/>
          <w:divBdr>
            <w:top w:val="none" w:sz="0" w:space="0" w:color="auto"/>
            <w:left w:val="none" w:sz="0" w:space="0" w:color="auto"/>
            <w:bottom w:val="none" w:sz="0" w:space="0" w:color="auto"/>
            <w:right w:val="none" w:sz="0" w:space="0" w:color="auto"/>
          </w:divBdr>
          <w:divsChild>
            <w:div w:id="1503348649">
              <w:marLeft w:val="0"/>
              <w:marRight w:val="0"/>
              <w:marTop w:val="0"/>
              <w:marBottom w:val="0"/>
              <w:divBdr>
                <w:top w:val="none" w:sz="0" w:space="0" w:color="auto"/>
                <w:left w:val="none" w:sz="0" w:space="0" w:color="auto"/>
                <w:bottom w:val="none" w:sz="0" w:space="0" w:color="auto"/>
                <w:right w:val="none" w:sz="0" w:space="0" w:color="auto"/>
              </w:divBdr>
              <w:divsChild>
                <w:div w:id="975452290">
                  <w:marLeft w:val="8355"/>
                  <w:marRight w:val="0"/>
                  <w:marTop w:val="0"/>
                  <w:marBottom w:val="0"/>
                  <w:divBdr>
                    <w:top w:val="none" w:sz="0" w:space="0" w:color="auto"/>
                    <w:left w:val="none" w:sz="0" w:space="0" w:color="auto"/>
                    <w:bottom w:val="none" w:sz="0" w:space="0" w:color="auto"/>
                    <w:right w:val="none" w:sz="0" w:space="0" w:color="auto"/>
                  </w:divBdr>
                  <w:divsChild>
                    <w:div w:id="1800420051">
                      <w:marLeft w:val="0"/>
                      <w:marRight w:val="0"/>
                      <w:marTop w:val="0"/>
                      <w:marBottom w:val="0"/>
                      <w:divBdr>
                        <w:top w:val="none" w:sz="0" w:space="0" w:color="auto"/>
                        <w:left w:val="none" w:sz="0" w:space="0" w:color="auto"/>
                        <w:bottom w:val="none" w:sz="0" w:space="0" w:color="auto"/>
                        <w:right w:val="none" w:sz="0" w:space="0" w:color="auto"/>
                      </w:divBdr>
                      <w:divsChild>
                        <w:div w:id="1221094667">
                          <w:marLeft w:val="0"/>
                          <w:marRight w:val="0"/>
                          <w:marTop w:val="0"/>
                          <w:marBottom w:val="0"/>
                          <w:divBdr>
                            <w:top w:val="none" w:sz="0" w:space="0" w:color="auto"/>
                            <w:left w:val="none" w:sz="0" w:space="0" w:color="auto"/>
                            <w:bottom w:val="none" w:sz="0" w:space="0" w:color="auto"/>
                            <w:right w:val="none" w:sz="0" w:space="0" w:color="auto"/>
                          </w:divBdr>
                          <w:divsChild>
                            <w:div w:id="57678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3363609">
      <w:bodyDiv w:val="1"/>
      <w:marLeft w:val="0"/>
      <w:marRight w:val="0"/>
      <w:marTop w:val="0"/>
      <w:marBottom w:val="0"/>
      <w:divBdr>
        <w:top w:val="none" w:sz="0" w:space="0" w:color="auto"/>
        <w:left w:val="none" w:sz="0" w:space="0" w:color="auto"/>
        <w:bottom w:val="none" w:sz="0" w:space="0" w:color="auto"/>
        <w:right w:val="none" w:sz="0" w:space="0" w:color="auto"/>
      </w:divBdr>
      <w:divsChild>
        <w:div w:id="1540362710">
          <w:marLeft w:val="0"/>
          <w:marRight w:val="0"/>
          <w:marTop w:val="0"/>
          <w:marBottom w:val="0"/>
          <w:divBdr>
            <w:top w:val="none" w:sz="0" w:space="0" w:color="auto"/>
            <w:left w:val="none" w:sz="0" w:space="0" w:color="auto"/>
            <w:bottom w:val="none" w:sz="0" w:space="0" w:color="auto"/>
            <w:right w:val="none" w:sz="0" w:space="0" w:color="auto"/>
          </w:divBdr>
          <w:divsChild>
            <w:div w:id="394283459">
              <w:marLeft w:val="0"/>
              <w:marRight w:val="0"/>
              <w:marTop w:val="0"/>
              <w:marBottom w:val="0"/>
              <w:divBdr>
                <w:top w:val="none" w:sz="0" w:space="0" w:color="auto"/>
                <w:left w:val="none" w:sz="0" w:space="0" w:color="auto"/>
                <w:bottom w:val="none" w:sz="0" w:space="0" w:color="auto"/>
                <w:right w:val="none" w:sz="0" w:space="0" w:color="auto"/>
              </w:divBdr>
              <w:divsChild>
                <w:div w:id="1364787394">
                  <w:marLeft w:val="8355"/>
                  <w:marRight w:val="0"/>
                  <w:marTop w:val="0"/>
                  <w:marBottom w:val="0"/>
                  <w:divBdr>
                    <w:top w:val="none" w:sz="0" w:space="0" w:color="auto"/>
                    <w:left w:val="none" w:sz="0" w:space="0" w:color="auto"/>
                    <w:bottom w:val="none" w:sz="0" w:space="0" w:color="auto"/>
                    <w:right w:val="none" w:sz="0" w:space="0" w:color="auto"/>
                  </w:divBdr>
                  <w:divsChild>
                    <w:div w:id="895698300">
                      <w:marLeft w:val="0"/>
                      <w:marRight w:val="0"/>
                      <w:marTop w:val="0"/>
                      <w:marBottom w:val="0"/>
                      <w:divBdr>
                        <w:top w:val="none" w:sz="0" w:space="0" w:color="auto"/>
                        <w:left w:val="none" w:sz="0" w:space="0" w:color="auto"/>
                        <w:bottom w:val="none" w:sz="0" w:space="0" w:color="auto"/>
                        <w:right w:val="none" w:sz="0" w:space="0" w:color="auto"/>
                      </w:divBdr>
                      <w:divsChild>
                        <w:div w:id="807282055">
                          <w:marLeft w:val="0"/>
                          <w:marRight w:val="0"/>
                          <w:marTop w:val="0"/>
                          <w:marBottom w:val="0"/>
                          <w:divBdr>
                            <w:top w:val="none" w:sz="0" w:space="0" w:color="auto"/>
                            <w:left w:val="none" w:sz="0" w:space="0" w:color="auto"/>
                            <w:bottom w:val="none" w:sz="0" w:space="0" w:color="auto"/>
                            <w:right w:val="none" w:sz="0" w:space="0" w:color="auto"/>
                          </w:divBdr>
                          <w:divsChild>
                            <w:div w:id="196523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9930567">
      <w:bodyDiv w:val="1"/>
      <w:marLeft w:val="0"/>
      <w:marRight w:val="0"/>
      <w:marTop w:val="0"/>
      <w:marBottom w:val="0"/>
      <w:divBdr>
        <w:top w:val="none" w:sz="0" w:space="0" w:color="auto"/>
        <w:left w:val="none" w:sz="0" w:space="0" w:color="auto"/>
        <w:bottom w:val="none" w:sz="0" w:space="0" w:color="auto"/>
        <w:right w:val="none" w:sz="0" w:space="0" w:color="auto"/>
      </w:divBdr>
      <w:divsChild>
        <w:div w:id="2142653907">
          <w:marLeft w:val="0"/>
          <w:marRight w:val="0"/>
          <w:marTop w:val="0"/>
          <w:marBottom w:val="0"/>
          <w:divBdr>
            <w:top w:val="none" w:sz="0" w:space="0" w:color="auto"/>
            <w:left w:val="none" w:sz="0" w:space="0" w:color="auto"/>
            <w:bottom w:val="none" w:sz="0" w:space="0" w:color="auto"/>
            <w:right w:val="none" w:sz="0" w:space="0" w:color="auto"/>
          </w:divBdr>
          <w:divsChild>
            <w:div w:id="1742291118">
              <w:marLeft w:val="0"/>
              <w:marRight w:val="0"/>
              <w:marTop w:val="0"/>
              <w:marBottom w:val="0"/>
              <w:divBdr>
                <w:top w:val="none" w:sz="0" w:space="0" w:color="auto"/>
                <w:left w:val="none" w:sz="0" w:space="0" w:color="auto"/>
                <w:bottom w:val="none" w:sz="0" w:space="0" w:color="auto"/>
                <w:right w:val="none" w:sz="0" w:space="0" w:color="auto"/>
              </w:divBdr>
              <w:divsChild>
                <w:div w:id="1286808748">
                  <w:marLeft w:val="8355"/>
                  <w:marRight w:val="0"/>
                  <w:marTop w:val="0"/>
                  <w:marBottom w:val="0"/>
                  <w:divBdr>
                    <w:top w:val="none" w:sz="0" w:space="0" w:color="auto"/>
                    <w:left w:val="none" w:sz="0" w:space="0" w:color="auto"/>
                    <w:bottom w:val="none" w:sz="0" w:space="0" w:color="auto"/>
                    <w:right w:val="none" w:sz="0" w:space="0" w:color="auto"/>
                  </w:divBdr>
                  <w:divsChild>
                    <w:div w:id="744570950">
                      <w:marLeft w:val="0"/>
                      <w:marRight w:val="0"/>
                      <w:marTop w:val="0"/>
                      <w:marBottom w:val="0"/>
                      <w:divBdr>
                        <w:top w:val="none" w:sz="0" w:space="0" w:color="auto"/>
                        <w:left w:val="none" w:sz="0" w:space="0" w:color="auto"/>
                        <w:bottom w:val="none" w:sz="0" w:space="0" w:color="auto"/>
                        <w:right w:val="none" w:sz="0" w:space="0" w:color="auto"/>
                      </w:divBdr>
                      <w:divsChild>
                        <w:div w:id="1348214093">
                          <w:marLeft w:val="0"/>
                          <w:marRight w:val="0"/>
                          <w:marTop w:val="0"/>
                          <w:marBottom w:val="0"/>
                          <w:divBdr>
                            <w:top w:val="none" w:sz="0" w:space="0" w:color="auto"/>
                            <w:left w:val="none" w:sz="0" w:space="0" w:color="auto"/>
                            <w:bottom w:val="none" w:sz="0" w:space="0" w:color="auto"/>
                            <w:right w:val="none" w:sz="0" w:space="0" w:color="auto"/>
                          </w:divBdr>
                          <w:divsChild>
                            <w:div w:id="124368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1332808">
      <w:bodyDiv w:val="1"/>
      <w:marLeft w:val="0"/>
      <w:marRight w:val="0"/>
      <w:marTop w:val="0"/>
      <w:marBottom w:val="0"/>
      <w:divBdr>
        <w:top w:val="none" w:sz="0" w:space="0" w:color="auto"/>
        <w:left w:val="none" w:sz="0" w:space="0" w:color="auto"/>
        <w:bottom w:val="none" w:sz="0" w:space="0" w:color="auto"/>
        <w:right w:val="none" w:sz="0" w:space="0" w:color="auto"/>
      </w:divBdr>
    </w:div>
    <w:div w:id="1225920157">
      <w:bodyDiv w:val="1"/>
      <w:marLeft w:val="0"/>
      <w:marRight w:val="0"/>
      <w:marTop w:val="0"/>
      <w:marBottom w:val="0"/>
      <w:divBdr>
        <w:top w:val="none" w:sz="0" w:space="0" w:color="auto"/>
        <w:left w:val="none" w:sz="0" w:space="0" w:color="auto"/>
        <w:bottom w:val="none" w:sz="0" w:space="0" w:color="auto"/>
        <w:right w:val="none" w:sz="0" w:space="0" w:color="auto"/>
      </w:divBdr>
      <w:divsChild>
        <w:div w:id="1783525269">
          <w:marLeft w:val="0"/>
          <w:marRight w:val="0"/>
          <w:marTop w:val="0"/>
          <w:marBottom w:val="0"/>
          <w:divBdr>
            <w:top w:val="none" w:sz="0" w:space="0" w:color="auto"/>
            <w:left w:val="none" w:sz="0" w:space="0" w:color="auto"/>
            <w:bottom w:val="none" w:sz="0" w:space="0" w:color="auto"/>
            <w:right w:val="none" w:sz="0" w:space="0" w:color="auto"/>
          </w:divBdr>
          <w:divsChild>
            <w:div w:id="1768695400">
              <w:marLeft w:val="0"/>
              <w:marRight w:val="0"/>
              <w:marTop w:val="0"/>
              <w:marBottom w:val="0"/>
              <w:divBdr>
                <w:top w:val="none" w:sz="0" w:space="0" w:color="auto"/>
                <w:left w:val="none" w:sz="0" w:space="0" w:color="auto"/>
                <w:bottom w:val="none" w:sz="0" w:space="0" w:color="auto"/>
                <w:right w:val="none" w:sz="0" w:space="0" w:color="auto"/>
              </w:divBdr>
              <w:divsChild>
                <w:div w:id="204215710">
                  <w:marLeft w:val="8355"/>
                  <w:marRight w:val="0"/>
                  <w:marTop w:val="0"/>
                  <w:marBottom w:val="0"/>
                  <w:divBdr>
                    <w:top w:val="none" w:sz="0" w:space="0" w:color="auto"/>
                    <w:left w:val="none" w:sz="0" w:space="0" w:color="auto"/>
                    <w:bottom w:val="none" w:sz="0" w:space="0" w:color="auto"/>
                    <w:right w:val="none" w:sz="0" w:space="0" w:color="auto"/>
                  </w:divBdr>
                  <w:divsChild>
                    <w:div w:id="1836607596">
                      <w:marLeft w:val="0"/>
                      <w:marRight w:val="0"/>
                      <w:marTop w:val="0"/>
                      <w:marBottom w:val="0"/>
                      <w:divBdr>
                        <w:top w:val="none" w:sz="0" w:space="0" w:color="auto"/>
                        <w:left w:val="none" w:sz="0" w:space="0" w:color="auto"/>
                        <w:bottom w:val="none" w:sz="0" w:space="0" w:color="auto"/>
                        <w:right w:val="none" w:sz="0" w:space="0" w:color="auto"/>
                      </w:divBdr>
                      <w:divsChild>
                        <w:div w:id="1899970457">
                          <w:marLeft w:val="0"/>
                          <w:marRight w:val="0"/>
                          <w:marTop w:val="0"/>
                          <w:marBottom w:val="0"/>
                          <w:divBdr>
                            <w:top w:val="none" w:sz="0" w:space="0" w:color="auto"/>
                            <w:left w:val="none" w:sz="0" w:space="0" w:color="auto"/>
                            <w:bottom w:val="none" w:sz="0" w:space="0" w:color="auto"/>
                            <w:right w:val="none" w:sz="0" w:space="0" w:color="auto"/>
                          </w:divBdr>
                          <w:divsChild>
                            <w:div w:id="93632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814753">
      <w:bodyDiv w:val="1"/>
      <w:marLeft w:val="0"/>
      <w:marRight w:val="0"/>
      <w:marTop w:val="0"/>
      <w:marBottom w:val="0"/>
      <w:divBdr>
        <w:top w:val="none" w:sz="0" w:space="0" w:color="auto"/>
        <w:left w:val="none" w:sz="0" w:space="0" w:color="auto"/>
        <w:bottom w:val="none" w:sz="0" w:space="0" w:color="auto"/>
        <w:right w:val="none" w:sz="0" w:space="0" w:color="auto"/>
      </w:divBdr>
    </w:div>
    <w:div w:id="1431316338">
      <w:bodyDiv w:val="1"/>
      <w:marLeft w:val="0"/>
      <w:marRight w:val="0"/>
      <w:marTop w:val="0"/>
      <w:marBottom w:val="0"/>
      <w:divBdr>
        <w:top w:val="none" w:sz="0" w:space="0" w:color="auto"/>
        <w:left w:val="none" w:sz="0" w:space="0" w:color="auto"/>
        <w:bottom w:val="none" w:sz="0" w:space="0" w:color="auto"/>
        <w:right w:val="none" w:sz="0" w:space="0" w:color="auto"/>
      </w:divBdr>
      <w:divsChild>
        <w:div w:id="414518745">
          <w:marLeft w:val="0"/>
          <w:marRight w:val="0"/>
          <w:marTop w:val="0"/>
          <w:marBottom w:val="0"/>
          <w:divBdr>
            <w:top w:val="none" w:sz="0" w:space="0" w:color="auto"/>
            <w:left w:val="none" w:sz="0" w:space="0" w:color="auto"/>
            <w:bottom w:val="none" w:sz="0" w:space="0" w:color="auto"/>
            <w:right w:val="none" w:sz="0" w:space="0" w:color="auto"/>
          </w:divBdr>
          <w:divsChild>
            <w:div w:id="1494643994">
              <w:marLeft w:val="0"/>
              <w:marRight w:val="0"/>
              <w:marTop w:val="0"/>
              <w:marBottom w:val="0"/>
              <w:divBdr>
                <w:top w:val="none" w:sz="0" w:space="0" w:color="auto"/>
                <w:left w:val="none" w:sz="0" w:space="0" w:color="auto"/>
                <w:bottom w:val="none" w:sz="0" w:space="0" w:color="auto"/>
                <w:right w:val="none" w:sz="0" w:space="0" w:color="auto"/>
              </w:divBdr>
              <w:divsChild>
                <w:div w:id="3480393">
                  <w:marLeft w:val="8355"/>
                  <w:marRight w:val="0"/>
                  <w:marTop w:val="0"/>
                  <w:marBottom w:val="0"/>
                  <w:divBdr>
                    <w:top w:val="none" w:sz="0" w:space="0" w:color="auto"/>
                    <w:left w:val="none" w:sz="0" w:space="0" w:color="auto"/>
                    <w:bottom w:val="none" w:sz="0" w:space="0" w:color="auto"/>
                    <w:right w:val="none" w:sz="0" w:space="0" w:color="auto"/>
                  </w:divBdr>
                  <w:divsChild>
                    <w:div w:id="1749882731">
                      <w:marLeft w:val="0"/>
                      <w:marRight w:val="0"/>
                      <w:marTop w:val="0"/>
                      <w:marBottom w:val="0"/>
                      <w:divBdr>
                        <w:top w:val="none" w:sz="0" w:space="0" w:color="auto"/>
                        <w:left w:val="none" w:sz="0" w:space="0" w:color="auto"/>
                        <w:bottom w:val="none" w:sz="0" w:space="0" w:color="auto"/>
                        <w:right w:val="none" w:sz="0" w:space="0" w:color="auto"/>
                      </w:divBdr>
                      <w:divsChild>
                        <w:div w:id="11734223">
                          <w:marLeft w:val="0"/>
                          <w:marRight w:val="0"/>
                          <w:marTop w:val="0"/>
                          <w:marBottom w:val="0"/>
                          <w:divBdr>
                            <w:top w:val="none" w:sz="0" w:space="0" w:color="auto"/>
                            <w:left w:val="none" w:sz="0" w:space="0" w:color="auto"/>
                            <w:bottom w:val="none" w:sz="0" w:space="0" w:color="auto"/>
                            <w:right w:val="none" w:sz="0" w:space="0" w:color="auto"/>
                          </w:divBdr>
                          <w:divsChild>
                            <w:div w:id="72826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4442821">
      <w:bodyDiv w:val="1"/>
      <w:marLeft w:val="0"/>
      <w:marRight w:val="0"/>
      <w:marTop w:val="0"/>
      <w:marBottom w:val="0"/>
      <w:divBdr>
        <w:top w:val="none" w:sz="0" w:space="0" w:color="auto"/>
        <w:left w:val="none" w:sz="0" w:space="0" w:color="auto"/>
        <w:bottom w:val="none" w:sz="0" w:space="0" w:color="auto"/>
        <w:right w:val="none" w:sz="0" w:space="0" w:color="auto"/>
      </w:divBdr>
    </w:div>
    <w:div w:id="1528061630">
      <w:bodyDiv w:val="1"/>
      <w:marLeft w:val="0"/>
      <w:marRight w:val="0"/>
      <w:marTop w:val="0"/>
      <w:marBottom w:val="0"/>
      <w:divBdr>
        <w:top w:val="none" w:sz="0" w:space="0" w:color="auto"/>
        <w:left w:val="none" w:sz="0" w:space="0" w:color="auto"/>
        <w:bottom w:val="none" w:sz="0" w:space="0" w:color="auto"/>
        <w:right w:val="none" w:sz="0" w:space="0" w:color="auto"/>
      </w:divBdr>
      <w:divsChild>
        <w:div w:id="1379278859">
          <w:marLeft w:val="0"/>
          <w:marRight w:val="0"/>
          <w:marTop w:val="0"/>
          <w:marBottom w:val="0"/>
          <w:divBdr>
            <w:top w:val="none" w:sz="0" w:space="0" w:color="auto"/>
            <w:left w:val="none" w:sz="0" w:space="0" w:color="auto"/>
            <w:bottom w:val="none" w:sz="0" w:space="0" w:color="auto"/>
            <w:right w:val="none" w:sz="0" w:space="0" w:color="auto"/>
          </w:divBdr>
          <w:divsChild>
            <w:div w:id="2116557941">
              <w:marLeft w:val="0"/>
              <w:marRight w:val="0"/>
              <w:marTop w:val="0"/>
              <w:marBottom w:val="0"/>
              <w:divBdr>
                <w:top w:val="none" w:sz="0" w:space="0" w:color="auto"/>
                <w:left w:val="none" w:sz="0" w:space="0" w:color="auto"/>
                <w:bottom w:val="none" w:sz="0" w:space="0" w:color="auto"/>
                <w:right w:val="none" w:sz="0" w:space="0" w:color="auto"/>
              </w:divBdr>
              <w:divsChild>
                <w:div w:id="1612514134">
                  <w:marLeft w:val="8355"/>
                  <w:marRight w:val="0"/>
                  <w:marTop w:val="0"/>
                  <w:marBottom w:val="0"/>
                  <w:divBdr>
                    <w:top w:val="none" w:sz="0" w:space="0" w:color="auto"/>
                    <w:left w:val="none" w:sz="0" w:space="0" w:color="auto"/>
                    <w:bottom w:val="none" w:sz="0" w:space="0" w:color="auto"/>
                    <w:right w:val="none" w:sz="0" w:space="0" w:color="auto"/>
                  </w:divBdr>
                  <w:divsChild>
                    <w:div w:id="173768038">
                      <w:marLeft w:val="0"/>
                      <w:marRight w:val="0"/>
                      <w:marTop w:val="0"/>
                      <w:marBottom w:val="0"/>
                      <w:divBdr>
                        <w:top w:val="none" w:sz="0" w:space="0" w:color="auto"/>
                        <w:left w:val="none" w:sz="0" w:space="0" w:color="auto"/>
                        <w:bottom w:val="none" w:sz="0" w:space="0" w:color="auto"/>
                        <w:right w:val="none" w:sz="0" w:space="0" w:color="auto"/>
                      </w:divBdr>
                      <w:divsChild>
                        <w:div w:id="92480758">
                          <w:marLeft w:val="0"/>
                          <w:marRight w:val="0"/>
                          <w:marTop w:val="0"/>
                          <w:marBottom w:val="0"/>
                          <w:divBdr>
                            <w:top w:val="none" w:sz="0" w:space="0" w:color="auto"/>
                            <w:left w:val="none" w:sz="0" w:space="0" w:color="auto"/>
                            <w:bottom w:val="none" w:sz="0" w:space="0" w:color="auto"/>
                            <w:right w:val="none" w:sz="0" w:space="0" w:color="auto"/>
                          </w:divBdr>
                          <w:divsChild>
                            <w:div w:id="177762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3152563">
      <w:bodyDiv w:val="1"/>
      <w:marLeft w:val="0"/>
      <w:marRight w:val="0"/>
      <w:marTop w:val="0"/>
      <w:marBottom w:val="0"/>
      <w:divBdr>
        <w:top w:val="none" w:sz="0" w:space="0" w:color="auto"/>
        <w:left w:val="none" w:sz="0" w:space="0" w:color="auto"/>
        <w:bottom w:val="none" w:sz="0" w:space="0" w:color="auto"/>
        <w:right w:val="none" w:sz="0" w:space="0" w:color="auto"/>
      </w:divBdr>
      <w:divsChild>
        <w:div w:id="324359563">
          <w:marLeft w:val="0"/>
          <w:marRight w:val="0"/>
          <w:marTop w:val="0"/>
          <w:marBottom w:val="0"/>
          <w:divBdr>
            <w:top w:val="none" w:sz="0" w:space="0" w:color="auto"/>
            <w:left w:val="none" w:sz="0" w:space="0" w:color="auto"/>
            <w:bottom w:val="none" w:sz="0" w:space="0" w:color="auto"/>
            <w:right w:val="none" w:sz="0" w:space="0" w:color="auto"/>
          </w:divBdr>
          <w:divsChild>
            <w:div w:id="383679814">
              <w:marLeft w:val="0"/>
              <w:marRight w:val="0"/>
              <w:marTop w:val="0"/>
              <w:marBottom w:val="0"/>
              <w:divBdr>
                <w:top w:val="none" w:sz="0" w:space="0" w:color="auto"/>
                <w:left w:val="none" w:sz="0" w:space="0" w:color="auto"/>
                <w:bottom w:val="none" w:sz="0" w:space="0" w:color="auto"/>
                <w:right w:val="none" w:sz="0" w:space="0" w:color="auto"/>
              </w:divBdr>
              <w:divsChild>
                <w:div w:id="816804476">
                  <w:marLeft w:val="0"/>
                  <w:marRight w:val="0"/>
                  <w:marTop w:val="0"/>
                  <w:marBottom w:val="0"/>
                  <w:divBdr>
                    <w:top w:val="none" w:sz="0" w:space="0" w:color="auto"/>
                    <w:left w:val="none" w:sz="0" w:space="0" w:color="auto"/>
                    <w:bottom w:val="none" w:sz="0" w:space="0" w:color="auto"/>
                    <w:right w:val="none" w:sz="0" w:space="0" w:color="auto"/>
                  </w:divBdr>
                  <w:divsChild>
                    <w:div w:id="17317513">
                      <w:marLeft w:val="0"/>
                      <w:marRight w:val="0"/>
                      <w:marTop w:val="0"/>
                      <w:marBottom w:val="0"/>
                      <w:divBdr>
                        <w:top w:val="none" w:sz="0" w:space="0" w:color="auto"/>
                        <w:left w:val="none" w:sz="0" w:space="0" w:color="auto"/>
                        <w:bottom w:val="none" w:sz="0" w:space="0" w:color="auto"/>
                        <w:right w:val="none" w:sz="0" w:space="0" w:color="auto"/>
                      </w:divBdr>
                      <w:divsChild>
                        <w:div w:id="1284459545">
                          <w:marLeft w:val="0"/>
                          <w:marRight w:val="0"/>
                          <w:marTop w:val="0"/>
                          <w:marBottom w:val="0"/>
                          <w:divBdr>
                            <w:top w:val="none" w:sz="0" w:space="0" w:color="auto"/>
                            <w:left w:val="none" w:sz="0" w:space="0" w:color="auto"/>
                            <w:bottom w:val="none" w:sz="0" w:space="0" w:color="auto"/>
                            <w:right w:val="none" w:sz="0" w:space="0" w:color="auto"/>
                          </w:divBdr>
                          <w:divsChild>
                            <w:div w:id="299308786">
                              <w:marLeft w:val="0"/>
                              <w:marRight w:val="0"/>
                              <w:marTop w:val="0"/>
                              <w:marBottom w:val="0"/>
                              <w:divBdr>
                                <w:top w:val="none" w:sz="0" w:space="0" w:color="auto"/>
                                <w:left w:val="none" w:sz="0" w:space="0" w:color="auto"/>
                                <w:bottom w:val="none" w:sz="0" w:space="0" w:color="auto"/>
                                <w:right w:val="none" w:sz="0" w:space="0" w:color="auto"/>
                              </w:divBdr>
                              <w:divsChild>
                                <w:div w:id="377629189">
                                  <w:marLeft w:val="0"/>
                                  <w:marRight w:val="0"/>
                                  <w:marTop w:val="0"/>
                                  <w:marBottom w:val="0"/>
                                  <w:divBdr>
                                    <w:top w:val="none" w:sz="0" w:space="0" w:color="auto"/>
                                    <w:left w:val="none" w:sz="0" w:space="0" w:color="auto"/>
                                    <w:bottom w:val="none" w:sz="0" w:space="0" w:color="auto"/>
                                    <w:right w:val="none" w:sz="0" w:space="0" w:color="auto"/>
                                  </w:divBdr>
                                  <w:divsChild>
                                    <w:div w:id="1800875005">
                                      <w:marLeft w:val="0"/>
                                      <w:marRight w:val="0"/>
                                      <w:marTop w:val="0"/>
                                      <w:marBottom w:val="0"/>
                                      <w:divBdr>
                                        <w:top w:val="none" w:sz="0" w:space="0" w:color="auto"/>
                                        <w:left w:val="none" w:sz="0" w:space="0" w:color="auto"/>
                                        <w:bottom w:val="none" w:sz="0" w:space="0" w:color="auto"/>
                                        <w:right w:val="none" w:sz="0" w:space="0" w:color="auto"/>
                                      </w:divBdr>
                                      <w:divsChild>
                                        <w:div w:id="2032561676">
                                          <w:marLeft w:val="0"/>
                                          <w:marRight w:val="0"/>
                                          <w:marTop w:val="0"/>
                                          <w:marBottom w:val="0"/>
                                          <w:divBdr>
                                            <w:top w:val="none" w:sz="0" w:space="0" w:color="auto"/>
                                            <w:left w:val="none" w:sz="0" w:space="0" w:color="auto"/>
                                            <w:bottom w:val="none" w:sz="0" w:space="0" w:color="auto"/>
                                            <w:right w:val="none" w:sz="0" w:space="0" w:color="auto"/>
                                          </w:divBdr>
                                          <w:divsChild>
                                            <w:div w:id="98266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3290813">
      <w:bodyDiv w:val="1"/>
      <w:marLeft w:val="0"/>
      <w:marRight w:val="0"/>
      <w:marTop w:val="0"/>
      <w:marBottom w:val="0"/>
      <w:divBdr>
        <w:top w:val="none" w:sz="0" w:space="0" w:color="auto"/>
        <w:left w:val="none" w:sz="0" w:space="0" w:color="auto"/>
        <w:bottom w:val="none" w:sz="0" w:space="0" w:color="auto"/>
        <w:right w:val="none" w:sz="0" w:space="0" w:color="auto"/>
      </w:divBdr>
      <w:divsChild>
        <w:div w:id="949161347">
          <w:marLeft w:val="0"/>
          <w:marRight w:val="0"/>
          <w:marTop w:val="0"/>
          <w:marBottom w:val="0"/>
          <w:divBdr>
            <w:top w:val="none" w:sz="0" w:space="0" w:color="auto"/>
            <w:left w:val="none" w:sz="0" w:space="0" w:color="auto"/>
            <w:bottom w:val="none" w:sz="0" w:space="0" w:color="auto"/>
            <w:right w:val="none" w:sz="0" w:space="0" w:color="auto"/>
          </w:divBdr>
          <w:divsChild>
            <w:div w:id="1432629389">
              <w:marLeft w:val="0"/>
              <w:marRight w:val="0"/>
              <w:marTop w:val="0"/>
              <w:marBottom w:val="0"/>
              <w:divBdr>
                <w:top w:val="none" w:sz="0" w:space="0" w:color="auto"/>
                <w:left w:val="none" w:sz="0" w:space="0" w:color="auto"/>
                <w:bottom w:val="none" w:sz="0" w:space="0" w:color="auto"/>
                <w:right w:val="none" w:sz="0" w:space="0" w:color="auto"/>
              </w:divBdr>
              <w:divsChild>
                <w:div w:id="955792594">
                  <w:marLeft w:val="8355"/>
                  <w:marRight w:val="0"/>
                  <w:marTop w:val="0"/>
                  <w:marBottom w:val="0"/>
                  <w:divBdr>
                    <w:top w:val="none" w:sz="0" w:space="0" w:color="auto"/>
                    <w:left w:val="none" w:sz="0" w:space="0" w:color="auto"/>
                    <w:bottom w:val="none" w:sz="0" w:space="0" w:color="auto"/>
                    <w:right w:val="none" w:sz="0" w:space="0" w:color="auto"/>
                  </w:divBdr>
                  <w:divsChild>
                    <w:div w:id="1423722316">
                      <w:marLeft w:val="0"/>
                      <w:marRight w:val="0"/>
                      <w:marTop w:val="0"/>
                      <w:marBottom w:val="0"/>
                      <w:divBdr>
                        <w:top w:val="none" w:sz="0" w:space="0" w:color="auto"/>
                        <w:left w:val="none" w:sz="0" w:space="0" w:color="auto"/>
                        <w:bottom w:val="none" w:sz="0" w:space="0" w:color="auto"/>
                        <w:right w:val="none" w:sz="0" w:space="0" w:color="auto"/>
                      </w:divBdr>
                      <w:divsChild>
                        <w:div w:id="442189017">
                          <w:marLeft w:val="0"/>
                          <w:marRight w:val="0"/>
                          <w:marTop w:val="0"/>
                          <w:marBottom w:val="0"/>
                          <w:divBdr>
                            <w:top w:val="none" w:sz="0" w:space="0" w:color="auto"/>
                            <w:left w:val="none" w:sz="0" w:space="0" w:color="auto"/>
                            <w:bottom w:val="none" w:sz="0" w:space="0" w:color="auto"/>
                            <w:right w:val="none" w:sz="0" w:space="0" w:color="auto"/>
                          </w:divBdr>
                          <w:divsChild>
                            <w:div w:id="107134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9454114">
      <w:bodyDiv w:val="1"/>
      <w:marLeft w:val="0"/>
      <w:marRight w:val="0"/>
      <w:marTop w:val="0"/>
      <w:marBottom w:val="0"/>
      <w:divBdr>
        <w:top w:val="none" w:sz="0" w:space="0" w:color="auto"/>
        <w:left w:val="none" w:sz="0" w:space="0" w:color="auto"/>
        <w:bottom w:val="none" w:sz="0" w:space="0" w:color="auto"/>
        <w:right w:val="none" w:sz="0" w:space="0" w:color="auto"/>
      </w:divBdr>
    </w:div>
    <w:div w:id="1758137799">
      <w:bodyDiv w:val="1"/>
      <w:marLeft w:val="0"/>
      <w:marRight w:val="0"/>
      <w:marTop w:val="0"/>
      <w:marBottom w:val="0"/>
      <w:divBdr>
        <w:top w:val="none" w:sz="0" w:space="0" w:color="auto"/>
        <w:left w:val="none" w:sz="0" w:space="0" w:color="auto"/>
        <w:bottom w:val="none" w:sz="0" w:space="0" w:color="auto"/>
        <w:right w:val="none" w:sz="0" w:space="0" w:color="auto"/>
      </w:divBdr>
      <w:divsChild>
        <w:div w:id="1986887445">
          <w:marLeft w:val="0"/>
          <w:marRight w:val="0"/>
          <w:marTop w:val="0"/>
          <w:marBottom w:val="0"/>
          <w:divBdr>
            <w:top w:val="none" w:sz="0" w:space="0" w:color="auto"/>
            <w:left w:val="none" w:sz="0" w:space="0" w:color="auto"/>
            <w:bottom w:val="none" w:sz="0" w:space="0" w:color="auto"/>
            <w:right w:val="none" w:sz="0" w:space="0" w:color="auto"/>
          </w:divBdr>
          <w:divsChild>
            <w:div w:id="1843281364">
              <w:marLeft w:val="0"/>
              <w:marRight w:val="0"/>
              <w:marTop w:val="0"/>
              <w:marBottom w:val="0"/>
              <w:divBdr>
                <w:top w:val="none" w:sz="0" w:space="0" w:color="auto"/>
                <w:left w:val="none" w:sz="0" w:space="0" w:color="auto"/>
                <w:bottom w:val="none" w:sz="0" w:space="0" w:color="auto"/>
                <w:right w:val="none" w:sz="0" w:space="0" w:color="auto"/>
              </w:divBdr>
              <w:divsChild>
                <w:div w:id="1340505473">
                  <w:marLeft w:val="3684"/>
                  <w:marRight w:val="0"/>
                  <w:marTop w:val="0"/>
                  <w:marBottom w:val="569"/>
                  <w:divBdr>
                    <w:top w:val="single" w:sz="6" w:space="0" w:color="FFFFFF"/>
                    <w:left w:val="single" w:sz="6" w:space="0" w:color="FFFFFF"/>
                    <w:bottom w:val="single" w:sz="6" w:space="0" w:color="FFFFFF"/>
                    <w:right w:val="single" w:sz="6" w:space="0" w:color="FFFFFF"/>
                  </w:divBdr>
                  <w:divsChild>
                    <w:div w:id="798105604">
                      <w:marLeft w:val="0"/>
                      <w:marRight w:val="-3349"/>
                      <w:marTop w:val="0"/>
                      <w:marBottom w:val="0"/>
                      <w:divBdr>
                        <w:top w:val="none" w:sz="0" w:space="0" w:color="auto"/>
                        <w:left w:val="none" w:sz="0" w:space="0" w:color="auto"/>
                        <w:bottom w:val="none" w:sz="0" w:space="0" w:color="auto"/>
                        <w:right w:val="none" w:sz="0" w:space="0" w:color="auto"/>
                      </w:divBdr>
                      <w:divsChild>
                        <w:div w:id="1117411749">
                          <w:marLeft w:val="0"/>
                          <w:marRight w:val="3349"/>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3621147">
      <w:bodyDiv w:val="1"/>
      <w:marLeft w:val="0"/>
      <w:marRight w:val="0"/>
      <w:marTop w:val="0"/>
      <w:marBottom w:val="0"/>
      <w:divBdr>
        <w:top w:val="none" w:sz="0" w:space="0" w:color="auto"/>
        <w:left w:val="none" w:sz="0" w:space="0" w:color="auto"/>
        <w:bottom w:val="none" w:sz="0" w:space="0" w:color="auto"/>
        <w:right w:val="none" w:sz="0" w:space="0" w:color="auto"/>
      </w:divBdr>
    </w:div>
    <w:div w:id="1781877933">
      <w:bodyDiv w:val="1"/>
      <w:marLeft w:val="0"/>
      <w:marRight w:val="0"/>
      <w:marTop w:val="0"/>
      <w:marBottom w:val="0"/>
      <w:divBdr>
        <w:top w:val="none" w:sz="0" w:space="0" w:color="auto"/>
        <w:left w:val="none" w:sz="0" w:space="0" w:color="auto"/>
        <w:bottom w:val="none" w:sz="0" w:space="0" w:color="auto"/>
        <w:right w:val="none" w:sz="0" w:space="0" w:color="auto"/>
      </w:divBdr>
      <w:divsChild>
        <w:div w:id="231430306">
          <w:marLeft w:val="0"/>
          <w:marRight w:val="0"/>
          <w:marTop w:val="0"/>
          <w:marBottom w:val="0"/>
          <w:divBdr>
            <w:top w:val="none" w:sz="0" w:space="0" w:color="auto"/>
            <w:left w:val="none" w:sz="0" w:space="0" w:color="auto"/>
            <w:bottom w:val="none" w:sz="0" w:space="0" w:color="auto"/>
            <w:right w:val="none" w:sz="0" w:space="0" w:color="auto"/>
          </w:divBdr>
          <w:divsChild>
            <w:div w:id="943734048">
              <w:marLeft w:val="0"/>
              <w:marRight w:val="0"/>
              <w:marTop w:val="0"/>
              <w:marBottom w:val="0"/>
              <w:divBdr>
                <w:top w:val="none" w:sz="0" w:space="0" w:color="auto"/>
                <w:left w:val="none" w:sz="0" w:space="0" w:color="auto"/>
                <w:bottom w:val="none" w:sz="0" w:space="0" w:color="auto"/>
                <w:right w:val="none" w:sz="0" w:space="0" w:color="auto"/>
              </w:divBdr>
              <w:divsChild>
                <w:div w:id="99960051">
                  <w:marLeft w:val="3684"/>
                  <w:marRight w:val="0"/>
                  <w:marTop w:val="0"/>
                  <w:marBottom w:val="569"/>
                  <w:divBdr>
                    <w:top w:val="single" w:sz="6" w:space="0" w:color="FFFFFF"/>
                    <w:left w:val="single" w:sz="6" w:space="0" w:color="FFFFFF"/>
                    <w:bottom w:val="single" w:sz="6" w:space="0" w:color="FFFFFF"/>
                    <w:right w:val="single" w:sz="6" w:space="0" w:color="FFFFFF"/>
                  </w:divBdr>
                  <w:divsChild>
                    <w:div w:id="1997026087">
                      <w:marLeft w:val="0"/>
                      <w:marRight w:val="-3349"/>
                      <w:marTop w:val="0"/>
                      <w:marBottom w:val="0"/>
                      <w:divBdr>
                        <w:top w:val="none" w:sz="0" w:space="0" w:color="auto"/>
                        <w:left w:val="none" w:sz="0" w:space="0" w:color="auto"/>
                        <w:bottom w:val="none" w:sz="0" w:space="0" w:color="auto"/>
                        <w:right w:val="none" w:sz="0" w:space="0" w:color="auto"/>
                      </w:divBdr>
                      <w:divsChild>
                        <w:div w:id="797605596">
                          <w:marLeft w:val="0"/>
                          <w:marRight w:val="3349"/>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913874">
      <w:bodyDiv w:val="1"/>
      <w:marLeft w:val="0"/>
      <w:marRight w:val="0"/>
      <w:marTop w:val="0"/>
      <w:marBottom w:val="0"/>
      <w:divBdr>
        <w:top w:val="none" w:sz="0" w:space="0" w:color="auto"/>
        <w:left w:val="none" w:sz="0" w:space="0" w:color="auto"/>
        <w:bottom w:val="none" w:sz="0" w:space="0" w:color="auto"/>
        <w:right w:val="none" w:sz="0" w:space="0" w:color="auto"/>
      </w:divBdr>
    </w:div>
    <w:div w:id="1925796668">
      <w:bodyDiv w:val="1"/>
      <w:marLeft w:val="0"/>
      <w:marRight w:val="0"/>
      <w:marTop w:val="0"/>
      <w:marBottom w:val="0"/>
      <w:divBdr>
        <w:top w:val="none" w:sz="0" w:space="0" w:color="auto"/>
        <w:left w:val="none" w:sz="0" w:space="0" w:color="auto"/>
        <w:bottom w:val="none" w:sz="0" w:space="0" w:color="auto"/>
        <w:right w:val="none" w:sz="0" w:space="0" w:color="auto"/>
      </w:divBdr>
      <w:divsChild>
        <w:div w:id="2087847102">
          <w:marLeft w:val="0"/>
          <w:marRight w:val="0"/>
          <w:marTop w:val="0"/>
          <w:marBottom w:val="0"/>
          <w:divBdr>
            <w:top w:val="none" w:sz="0" w:space="0" w:color="auto"/>
            <w:left w:val="none" w:sz="0" w:space="0" w:color="auto"/>
            <w:bottom w:val="none" w:sz="0" w:space="0" w:color="auto"/>
            <w:right w:val="none" w:sz="0" w:space="0" w:color="auto"/>
          </w:divBdr>
          <w:divsChild>
            <w:div w:id="714308973">
              <w:marLeft w:val="0"/>
              <w:marRight w:val="0"/>
              <w:marTop w:val="0"/>
              <w:marBottom w:val="0"/>
              <w:divBdr>
                <w:top w:val="none" w:sz="0" w:space="0" w:color="auto"/>
                <w:left w:val="none" w:sz="0" w:space="0" w:color="auto"/>
                <w:bottom w:val="none" w:sz="0" w:space="0" w:color="auto"/>
                <w:right w:val="none" w:sz="0" w:space="0" w:color="auto"/>
              </w:divBdr>
              <w:divsChild>
                <w:div w:id="2040080801">
                  <w:marLeft w:val="8355"/>
                  <w:marRight w:val="0"/>
                  <w:marTop w:val="0"/>
                  <w:marBottom w:val="0"/>
                  <w:divBdr>
                    <w:top w:val="none" w:sz="0" w:space="0" w:color="auto"/>
                    <w:left w:val="none" w:sz="0" w:space="0" w:color="auto"/>
                    <w:bottom w:val="none" w:sz="0" w:space="0" w:color="auto"/>
                    <w:right w:val="none" w:sz="0" w:space="0" w:color="auto"/>
                  </w:divBdr>
                  <w:divsChild>
                    <w:div w:id="370493975">
                      <w:marLeft w:val="0"/>
                      <w:marRight w:val="0"/>
                      <w:marTop w:val="0"/>
                      <w:marBottom w:val="0"/>
                      <w:divBdr>
                        <w:top w:val="none" w:sz="0" w:space="0" w:color="auto"/>
                        <w:left w:val="none" w:sz="0" w:space="0" w:color="auto"/>
                        <w:bottom w:val="none" w:sz="0" w:space="0" w:color="auto"/>
                        <w:right w:val="none" w:sz="0" w:space="0" w:color="auto"/>
                      </w:divBdr>
                      <w:divsChild>
                        <w:div w:id="1169368614">
                          <w:marLeft w:val="0"/>
                          <w:marRight w:val="0"/>
                          <w:marTop w:val="0"/>
                          <w:marBottom w:val="0"/>
                          <w:divBdr>
                            <w:top w:val="none" w:sz="0" w:space="0" w:color="auto"/>
                            <w:left w:val="none" w:sz="0" w:space="0" w:color="auto"/>
                            <w:bottom w:val="none" w:sz="0" w:space="0" w:color="auto"/>
                            <w:right w:val="none" w:sz="0" w:space="0" w:color="auto"/>
                          </w:divBdr>
                          <w:divsChild>
                            <w:div w:id="183587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0184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contract.bids@nice.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haron.martin@nice.org.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haron.martin@nice.org.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sharon.martin@nic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F8F7F-AA77-4AF4-B2B0-DC05FDB90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3201</Words>
  <Characters>18633</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21791</CharactersWithSpaces>
  <SharedDoc>false</SharedDoc>
  <HLinks>
    <vt:vector size="414" baseType="variant">
      <vt:variant>
        <vt:i4>2228257</vt:i4>
      </vt:variant>
      <vt:variant>
        <vt:i4>333</vt:i4>
      </vt:variant>
      <vt:variant>
        <vt:i4>0</vt:i4>
      </vt:variant>
      <vt:variant>
        <vt:i4>5</vt:i4>
      </vt:variant>
      <vt:variant>
        <vt:lpwstr>http://www.evidence.nhs.uk/</vt:lpwstr>
      </vt:variant>
      <vt:variant>
        <vt:lpwstr/>
      </vt:variant>
      <vt:variant>
        <vt:i4>1376273</vt:i4>
      </vt:variant>
      <vt:variant>
        <vt:i4>330</vt:i4>
      </vt:variant>
      <vt:variant>
        <vt:i4>0</vt:i4>
      </vt:variant>
      <vt:variant>
        <vt:i4>5</vt:i4>
      </vt:variant>
      <vt:variant>
        <vt:lpwstr/>
      </vt:variant>
      <vt:variant>
        <vt:lpwstr>Variants</vt:lpwstr>
      </vt:variant>
      <vt:variant>
        <vt:i4>2031646</vt:i4>
      </vt:variant>
      <vt:variant>
        <vt:i4>327</vt:i4>
      </vt:variant>
      <vt:variant>
        <vt:i4>0</vt:i4>
      </vt:variant>
      <vt:variant>
        <vt:i4>5</vt:i4>
      </vt:variant>
      <vt:variant>
        <vt:lpwstr>http://www.openarchives.org/OAI/openarchivesprotocol.html</vt:lpwstr>
      </vt:variant>
      <vt:variant>
        <vt:lpwstr/>
      </vt:variant>
      <vt:variant>
        <vt:i4>3473467</vt:i4>
      </vt:variant>
      <vt:variant>
        <vt:i4>324</vt:i4>
      </vt:variant>
      <vt:variant>
        <vt:i4>0</vt:i4>
      </vt:variant>
      <vt:variant>
        <vt:i4>5</vt:i4>
      </vt:variant>
      <vt:variant>
        <vt:lpwstr/>
      </vt:variant>
      <vt:variant>
        <vt:lpwstr>Para951</vt:lpwstr>
      </vt:variant>
      <vt:variant>
        <vt:i4>3932275</vt:i4>
      </vt:variant>
      <vt:variant>
        <vt:i4>321</vt:i4>
      </vt:variant>
      <vt:variant>
        <vt:i4>0</vt:i4>
      </vt:variant>
      <vt:variant>
        <vt:i4>5</vt:i4>
      </vt:variant>
      <vt:variant>
        <vt:lpwstr/>
      </vt:variant>
      <vt:variant>
        <vt:lpwstr>Table1</vt:lpwstr>
      </vt:variant>
      <vt:variant>
        <vt:i4>3473462</vt:i4>
      </vt:variant>
      <vt:variant>
        <vt:i4>318</vt:i4>
      </vt:variant>
      <vt:variant>
        <vt:i4>0</vt:i4>
      </vt:variant>
      <vt:variant>
        <vt:i4>5</vt:i4>
      </vt:variant>
      <vt:variant>
        <vt:lpwstr/>
      </vt:variant>
      <vt:variant>
        <vt:lpwstr>Para454</vt:lpwstr>
      </vt:variant>
      <vt:variant>
        <vt:i4>3473462</vt:i4>
      </vt:variant>
      <vt:variant>
        <vt:i4>315</vt:i4>
      </vt:variant>
      <vt:variant>
        <vt:i4>0</vt:i4>
      </vt:variant>
      <vt:variant>
        <vt:i4>5</vt:i4>
      </vt:variant>
      <vt:variant>
        <vt:lpwstr/>
      </vt:variant>
      <vt:variant>
        <vt:lpwstr>Para453</vt:lpwstr>
      </vt:variant>
      <vt:variant>
        <vt:i4>3932275</vt:i4>
      </vt:variant>
      <vt:variant>
        <vt:i4>312</vt:i4>
      </vt:variant>
      <vt:variant>
        <vt:i4>0</vt:i4>
      </vt:variant>
      <vt:variant>
        <vt:i4>5</vt:i4>
      </vt:variant>
      <vt:variant>
        <vt:lpwstr/>
      </vt:variant>
      <vt:variant>
        <vt:lpwstr>Table1</vt:lpwstr>
      </vt:variant>
      <vt:variant>
        <vt:i4>3932275</vt:i4>
      </vt:variant>
      <vt:variant>
        <vt:i4>309</vt:i4>
      </vt:variant>
      <vt:variant>
        <vt:i4>0</vt:i4>
      </vt:variant>
      <vt:variant>
        <vt:i4>5</vt:i4>
      </vt:variant>
      <vt:variant>
        <vt:lpwstr/>
      </vt:variant>
      <vt:variant>
        <vt:lpwstr>Table1</vt:lpwstr>
      </vt:variant>
      <vt:variant>
        <vt:i4>6357105</vt:i4>
      </vt:variant>
      <vt:variant>
        <vt:i4>306</vt:i4>
      </vt:variant>
      <vt:variant>
        <vt:i4>0</vt:i4>
      </vt:variant>
      <vt:variant>
        <vt:i4>5</vt:i4>
      </vt:variant>
      <vt:variant>
        <vt:lpwstr/>
      </vt:variant>
      <vt:variant>
        <vt:lpwstr>QA</vt:lpwstr>
      </vt:variant>
      <vt:variant>
        <vt:i4>3932275</vt:i4>
      </vt:variant>
      <vt:variant>
        <vt:i4>303</vt:i4>
      </vt:variant>
      <vt:variant>
        <vt:i4>0</vt:i4>
      </vt:variant>
      <vt:variant>
        <vt:i4>5</vt:i4>
      </vt:variant>
      <vt:variant>
        <vt:lpwstr/>
      </vt:variant>
      <vt:variant>
        <vt:lpwstr>Table1</vt:lpwstr>
      </vt:variant>
      <vt:variant>
        <vt:i4>3932275</vt:i4>
      </vt:variant>
      <vt:variant>
        <vt:i4>300</vt:i4>
      </vt:variant>
      <vt:variant>
        <vt:i4>0</vt:i4>
      </vt:variant>
      <vt:variant>
        <vt:i4>5</vt:i4>
      </vt:variant>
      <vt:variant>
        <vt:lpwstr/>
      </vt:variant>
      <vt:variant>
        <vt:lpwstr>Table1</vt:lpwstr>
      </vt:variant>
      <vt:variant>
        <vt:i4>6357105</vt:i4>
      </vt:variant>
      <vt:variant>
        <vt:i4>297</vt:i4>
      </vt:variant>
      <vt:variant>
        <vt:i4>0</vt:i4>
      </vt:variant>
      <vt:variant>
        <vt:i4>5</vt:i4>
      </vt:variant>
      <vt:variant>
        <vt:lpwstr/>
      </vt:variant>
      <vt:variant>
        <vt:lpwstr>QA</vt:lpwstr>
      </vt:variant>
      <vt:variant>
        <vt:i4>3932275</vt:i4>
      </vt:variant>
      <vt:variant>
        <vt:i4>294</vt:i4>
      </vt:variant>
      <vt:variant>
        <vt:i4>0</vt:i4>
      </vt:variant>
      <vt:variant>
        <vt:i4>5</vt:i4>
      </vt:variant>
      <vt:variant>
        <vt:lpwstr/>
      </vt:variant>
      <vt:variant>
        <vt:lpwstr>Table1</vt:lpwstr>
      </vt:variant>
      <vt:variant>
        <vt:i4>6357105</vt:i4>
      </vt:variant>
      <vt:variant>
        <vt:i4>291</vt:i4>
      </vt:variant>
      <vt:variant>
        <vt:i4>0</vt:i4>
      </vt:variant>
      <vt:variant>
        <vt:i4>5</vt:i4>
      </vt:variant>
      <vt:variant>
        <vt:lpwstr/>
      </vt:variant>
      <vt:variant>
        <vt:lpwstr>QA</vt:lpwstr>
      </vt:variant>
      <vt:variant>
        <vt:i4>1310740</vt:i4>
      </vt:variant>
      <vt:variant>
        <vt:i4>288</vt:i4>
      </vt:variant>
      <vt:variant>
        <vt:i4>0</vt:i4>
      </vt:variant>
      <vt:variant>
        <vt:i4>5</vt:i4>
      </vt:variant>
      <vt:variant>
        <vt:lpwstr/>
      </vt:variant>
      <vt:variant>
        <vt:lpwstr>Usage</vt:lpwstr>
      </vt:variant>
      <vt:variant>
        <vt:i4>393228</vt:i4>
      </vt:variant>
      <vt:variant>
        <vt:i4>285</vt:i4>
      </vt:variant>
      <vt:variant>
        <vt:i4>0</vt:i4>
      </vt:variant>
      <vt:variant>
        <vt:i4>5</vt:i4>
      </vt:variant>
      <vt:variant>
        <vt:lpwstr/>
      </vt:variant>
      <vt:variant>
        <vt:lpwstr>TopicCoverage</vt:lpwstr>
      </vt:variant>
      <vt:variant>
        <vt:i4>393228</vt:i4>
      </vt:variant>
      <vt:variant>
        <vt:i4>282</vt:i4>
      </vt:variant>
      <vt:variant>
        <vt:i4>0</vt:i4>
      </vt:variant>
      <vt:variant>
        <vt:i4>5</vt:i4>
      </vt:variant>
      <vt:variant>
        <vt:lpwstr/>
      </vt:variant>
      <vt:variant>
        <vt:lpwstr>TopicCoverage</vt:lpwstr>
      </vt:variant>
      <vt:variant>
        <vt:i4>393228</vt:i4>
      </vt:variant>
      <vt:variant>
        <vt:i4>279</vt:i4>
      </vt:variant>
      <vt:variant>
        <vt:i4>0</vt:i4>
      </vt:variant>
      <vt:variant>
        <vt:i4>5</vt:i4>
      </vt:variant>
      <vt:variant>
        <vt:lpwstr/>
      </vt:variant>
      <vt:variant>
        <vt:lpwstr>TopicCoverage</vt:lpwstr>
      </vt:variant>
      <vt:variant>
        <vt:i4>7405675</vt:i4>
      </vt:variant>
      <vt:variant>
        <vt:i4>276</vt:i4>
      </vt:variant>
      <vt:variant>
        <vt:i4>0</vt:i4>
      </vt:variant>
      <vt:variant>
        <vt:i4>5</vt:i4>
      </vt:variant>
      <vt:variant>
        <vt:lpwstr/>
      </vt:variant>
      <vt:variant>
        <vt:lpwstr>English</vt:lpwstr>
      </vt:variant>
      <vt:variant>
        <vt:i4>4456575</vt:i4>
      </vt:variant>
      <vt:variant>
        <vt:i4>273</vt:i4>
      </vt:variant>
      <vt:variant>
        <vt:i4>0</vt:i4>
      </vt:variant>
      <vt:variant>
        <vt:i4>5</vt:i4>
      </vt:variant>
      <vt:variant>
        <vt:lpwstr>mailto:irene.walker@nice.org.uk</vt:lpwstr>
      </vt:variant>
      <vt:variant>
        <vt:lpwstr/>
      </vt:variant>
      <vt:variant>
        <vt:i4>6160499</vt:i4>
      </vt:variant>
      <vt:variant>
        <vt:i4>270</vt:i4>
      </vt:variant>
      <vt:variant>
        <vt:i4>0</vt:i4>
      </vt:variant>
      <vt:variant>
        <vt:i4>5</vt:i4>
      </vt:variant>
      <vt:variant>
        <vt:lpwstr>mailto:Contract.bids@nice.org.uk</vt:lpwstr>
      </vt:variant>
      <vt:variant>
        <vt:lpwstr/>
      </vt:variant>
      <vt:variant>
        <vt:i4>3932275</vt:i4>
      </vt:variant>
      <vt:variant>
        <vt:i4>264</vt:i4>
      </vt:variant>
      <vt:variant>
        <vt:i4>0</vt:i4>
      </vt:variant>
      <vt:variant>
        <vt:i4>5</vt:i4>
      </vt:variant>
      <vt:variant>
        <vt:lpwstr/>
      </vt:variant>
      <vt:variant>
        <vt:lpwstr>Table1</vt:lpwstr>
      </vt:variant>
      <vt:variant>
        <vt:i4>5701639</vt:i4>
      </vt:variant>
      <vt:variant>
        <vt:i4>261</vt:i4>
      </vt:variant>
      <vt:variant>
        <vt:i4>0</vt:i4>
      </vt:variant>
      <vt:variant>
        <vt:i4>5</vt:i4>
      </vt:variant>
      <vt:variant>
        <vt:lpwstr>http://guidance.nice.org.uk/</vt:lpwstr>
      </vt:variant>
      <vt:variant>
        <vt:lpwstr/>
      </vt:variant>
      <vt:variant>
        <vt:i4>6357105</vt:i4>
      </vt:variant>
      <vt:variant>
        <vt:i4>258</vt:i4>
      </vt:variant>
      <vt:variant>
        <vt:i4>0</vt:i4>
      </vt:variant>
      <vt:variant>
        <vt:i4>5</vt:i4>
      </vt:variant>
      <vt:variant>
        <vt:lpwstr/>
      </vt:variant>
      <vt:variant>
        <vt:lpwstr>QA</vt:lpwstr>
      </vt:variant>
      <vt:variant>
        <vt:i4>4784148</vt:i4>
      </vt:variant>
      <vt:variant>
        <vt:i4>255</vt:i4>
      </vt:variant>
      <vt:variant>
        <vt:i4>0</vt:i4>
      </vt:variant>
      <vt:variant>
        <vt:i4>5</vt:i4>
      </vt:variant>
      <vt:variant>
        <vt:lpwstr>http://www.nice.org.uk/aboutnice</vt:lpwstr>
      </vt:variant>
      <vt:variant>
        <vt:lpwstr/>
      </vt:variant>
      <vt:variant>
        <vt:i4>4784148</vt:i4>
      </vt:variant>
      <vt:variant>
        <vt:i4>249</vt:i4>
      </vt:variant>
      <vt:variant>
        <vt:i4>0</vt:i4>
      </vt:variant>
      <vt:variant>
        <vt:i4>5</vt:i4>
      </vt:variant>
      <vt:variant>
        <vt:lpwstr>http://www.nice.org.uk/aboutnice</vt:lpwstr>
      </vt:variant>
      <vt:variant>
        <vt:lpwstr/>
      </vt:variant>
      <vt:variant>
        <vt:i4>2228257</vt:i4>
      </vt:variant>
      <vt:variant>
        <vt:i4>243</vt:i4>
      </vt:variant>
      <vt:variant>
        <vt:i4>0</vt:i4>
      </vt:variant>
      <vt:variant>
        <vt:i4>5</vt:i4>
      </vt:variant>
      <vt:variant>
        <vt:lpwstr>http://www.evidence.nhs.uk/</vt:lpwstr>
      </vt:variant>
      <vt:variant>
        <vt:lpwstr/>
      </vt:variant>
      <vt:variant>
        <vt:i4>2228257</vt:i4>
      </vt:variant>
      <vt:variant>
        <vt:i4>240</vt:i4>
      </vt:variant>
      <vt:variant>
        <vt:i4>0</vt:i4>
      </vt:variant>
      <vt:variant>
        <vt:i4>5</vt:i4>
      </vt:variant>
      <vt:variant>
        <vt:lpwstr>http://www.evidence.nhs.uk/</vt:lpwstr>
      </vt:variant>
      <vt:variant>
        <vt:lpwstr/>
      </vt:variant>
      <vt:variant>
        <vt:i4>1310740</vt:i4>
      </vt:variant>
      <vt:variant>
        <vt:i4>237</vt:i4>
      </vt:variant>
      <vt:variant>
        <vt:i4>0</vt:i4>
      </vt:variant>
      <vt:variant>
        <vt:i4>5</vt:i4>
      </vt:variant>
      <vt:variant>
        <vt:lpwstr/>
      </vt:variant>
      <vt:variant>
        <vt:lpwstr>Usage</vt:lpwstr>
      </vt:variant>
      <vt:variant>
        <vt:i4>1638448</vt:i4>
      </vt:variant>
      <vt:variant>
        <vt:i4>230</vt:i4>
      </vt:variant>
      <vt:variant>
        <vt:i4>0</vt:i4>
      </vt:variant>
      <vt:variant>
        <vt:i4>5</vt:i4>
      </vt:variant>
      <vt:variant>
        <vt:lpwstr/>
      </vt:variant>
      <vt:variant>
        <vt:lpwstr>_Toc276475385</vt:lpwstr>
      </vt:variant>
      <vt:variant>
        <vt:i4>1638448</vt:i4>
      </vt:variant>
      <vt:variant>
        <vt:i4>224</vt:i4>
      </vt:variant>
      <vt:variant>
        <vt:i4>0</vt:i4>
      </vt:variant>
      <vt:variant>
        <vt:i4>5</vt:i4>
      </vt:variant>
      <vt:variant>
        <vt:lpwstr/>
      </vt:variant>
      <vt:variant>
        <vt:lpwstr>_Toc276475384</vt:lpwstr>
      </vt:variant>
      <vt:variant>
        <vt:i4>1638448</vt:i4>
      </vt:variant>
      <vt:variant>
        <vt:i4>218</vt:i4>
      </vt:variant>
      <vt:variant>
        <vt:i4>0</vt:i4>
      </vt:variant>
      <vt:variant>
        <vt:i4>5</vt:i4>
      </vt:variant>
      <vt:variant>
        <vt:lpwstr/>
      </vt:variant>
      <vt:variant>
        <vt:lpwstr>_Toc276475383</vt:lpwstr>
      </vt:variant>
      <vt:variant>
        <vt:i4>1638448</vt:i4>
      </vt:variant>
      <vt:variant>
        <vt:i4>212</vt:i4>
      </vt:variant>
      <vt:variant>
        <vt:i4>0</vt:i4>
      </vt:variant>
      <vt:variant>
        <vt:i4>5</vt:i4>
      </vt:variant>
      <vt:variant>
        <vt:lpwstr/>
      </vt:variant>
      <vt:variant>
        <vt:lpwstr>_Toc276475382</vt:lpwstr>
      </vt:variant>
      <vt:variant>
        <vt:i4>1638448</vt:i4>
      </vt:variant>
      <vt:variant>
        <vt:i4>206</vt:i4>
      </vt:variant>
      <vt:variant>
        <vt:i4>0</vt:i4>
      </vt:variant>
      <vt:variant>
        <vt:i4>5</vt:i4>
      </vt:variant>
      <vt:variant>
        <vt:lpwstr/>
      </vt:variant>
      <vt:variant>
        <vt:lpwstr>_Toc276475381</vt:lpwstr>
      </vt:variant>
      <vt:variant>
        <vt:i4>1638448</vt:i4>
      </vt:variant>
      <vt:variant>
        <vt:i4>200</vt:i4>
      </vt:variant>
      <vt:variant>
        <vt:i4>0</vt:i4>
      </vt:variant>
      <vt:variant>
        <vt:i4>5</vt:i4>
      </vt:variant>
      <vt:variant>
        <vt:lpwstr/>
      </vt:variant>
      <vt:variant>
        <vt:lpwstr>_Toc276475380</vt:lpwstr>
      </vt:variant>
      <vt:variant>
        <vt:i4>1441840</vt:i4>
      </vt:variant>
      <vt:variant>
        <vt:i4>194</vt:i4>
      </vt:variant>
      <vt:variant>
        <vt:i4>0</vt:i4>
      </vt:variant>
      <vt:variant>
        <vt:i4>5</vt:i4>
      </vt:variant>
      <vt:variant>
        <vt:lpwstr/>
      </vt:variant>
      <vt:variant>
        <vt:lpwstr>_Toc276475379</vt:lpwstr>
      </vt:variant>
      <vt:variant>
        <vt:i4>1441840</vt:i4>
      </vt:variant>
      <vt:variant>
        <vt:i4>188</vt:i4>
      </vt:variant>
      <vt:variant>
        <vt:i4>0</vt:i4>
      </vt:variant>
      <vt:variant>
        <vt:i4>5</vt:i4>
      </vt:variant>
      <vt:variant>
        <vt:lpwstr/>
      </vt:variant>
      <vt:variant>
        <vt:lpwstr>_Toc276475378</vt:lpwstr>
      </vt:variant>
      <vt:variant>
        <vt:i4>1441840</vt:i4>
      </vt:variant>
      <vt:variant>
        <vt:i4>182</vt:i4>
      </vt:variant>
      <vt:variant>
        <vt:i4>0</vt:i4>
      </vt:variant>
      <vt:variant>
        <vt:i4>5</vt:i4>
      </vt:variant>
      <vt:variant>
        <vt:lpwstr/>
      </vt:variant>
      <vt:variant>
        <vt:lpwstr>_Toc276475377</vt:lpwstr>
      </vt:variant>
      <vt:variant>
        <vt:i4>1441840</vt:i4>
      </vt:variant>
      <vt:variant>
        <vt:i4>176</vt:i4>
      </vt:variant>
      <vt:variant>
        <vt:i4>0</vt:i4>
      </vt:variant>
      <vt:variant>
        <vt:i4>5</vt:i4>
      </vt:variant>
      <vt:variant>
        <vt:lpwstr/>
      </vt:variant>
      <vt:variant>
        <vt:lpwstr>_Toc276475376</vt:lpwstr>
      </vt:variant>
      <vt:variant>
        <vt:i4>1441840</vt:i4>
      </vt:variant>
      <vt:variant>
        <vt:i4>170</vt:i4>
      </vt:variant>
      <vt:variant>
        <vt:i4>0</vt:i4>
      </vt:variant>
      <vt:variant>
        <vt:i4>5</vt:i4>
      </vt:variant>
      <vt:variant>
        <vt:lpwstr/>
      </vt:variant>
      <vt:variant>
        <vt:lpwstr>_Toc276475375</vt:lpwstr>
      </vt:variant>
      <vt:variant>
        <vt:i4>1441840</vt:i4>
      </vt:variant>
      <vt:variant>
        <vt:i4>164</vt:i4>
      </vt:variant>
      <vt:variant>
        <vt:i4>0</vt:i4>
      </vt:variant>
      <vt:variant>
        <vt:i4>5</vt:i4>
      </vt:variant>
      <vt:variant>
        <vt:lpwstr/>
      </vt:variant>
      <vt:variant>
        <vt:lpwstr>_Toc276475374</vt:lpwstr>
      </vt:variant>
      <vt:variant>
        <vt:i4>1441840</vt:i4>
      </vt:variant>
      <vt:variant>
        <vt:i4>158</vt:i4>
      </vt:variant>
      <vt:variant>
        <vt:i4>0</vt:i4>
      </vt:variant>
      <vt:variant>
        <vt:i4>5</vt:i4>
      </vt:variant>
      <vt:variant>
        <vt:lpwstr/>
      </vt:variant>
      <vt:variant>
        <vt:lpwstr>_Toc276475373</vt:lpwstr>
      </vt:variant>
      <vt:variant>
        <vt:i4>1441840</vt:i4>
      </vt:variant>
      <vt:variant>
        <vt:i4>152</vt:i4>
      </vt:variant>
      <vt:variant>
        <vt:i4>0</vt:i4>
      </vt:variant>
      <vt:variant>
        <vt:i4>5</vt:i4>
      </vt:variant>
      <vt:variant>
        <vt:lpwstr/>
      </vt:variant>
      <vt:variant>
        <vt:lpwstr>_Toc276475372</vt:lpwstr>
      </vt:variant>
      <vt:variant>
        <vt:i4>1441840</vt:i4>
      </vt:variant>
      <vt:variant>
        <vt:i4>146</vt:i4>
      </vt:variant>
      <vt:variant>
        <vt:i4>0</vt:i4>
      </vt:variant>
      <vt:variant>
        <vt:i4>5</vt:i4>
      </vt:variant>
      <vt:variant>
        <vt:lpwstr/>
      </vt:variant>
      <vt:variant>
        <vt:lpwstr>_Toc276475371</vt:lpwstr>
      </vt:variant>
      <vt:variant>
        <vt:i4>1441840</vt:i4>
      </vt:variant>
      <vt:variant>
        <vt:i4>140</vt:i4>
      </vt:variant>
      <vt:variant>
        <vt:i4>0</vt:i4>
      </vt:variant>
      <vt:variant>
        <vt:i4>5</vt:i4>
      </vt:variant>
      <vt:variant>
        <vt:lpwstr/>
      </vt:variant>
      <vt:variant>
        <vt:lpwstr>_Toc276475370</vt:lpwstr>
      </vt:variant>
      <vt:variant>
        <vt:i4>1507376</vt:i4>
      </vt:variant>
      <vt:variant>
        <vt:i4>134</vt:i4>
      </vt:variant>
      <vt:variant>
        <vt:i4>0</vt:i4>
      </vt:variant>
      <vt:variant>
        <vt:i4>5</vt:i4>
      </vt:variant>
      <vt:variant>
        <vt:lpwstr/>
      </vt:variant>
      <vt:variant>
        <vt:lpwstr>_Toc276475369</vt:lpwstr>
      </vt:variant>
      <vt:variant>
        <vt:i4>1507376</vt:i4>
      </vt:variant>
      <vt:variant>
        <vt:i4>128</vt:i4>
      </vt:variant>
      <vt:variant>
        <vt:i4>0</vt:i4>
      </vt:variant>
      <vt:variant>
        <vt:i4>5</vt:i4>
      </vt:variant>
      <vt:variant>
        <vt:lpwstr/>
      </vt:variant>
      <vt:variant>
        <vt:lpwstr>_Toc276475368</vt:lpwstr>
      </vt:variant>
      <vt:variant>
        <vt:i4>1507376</vt:i4>
      </vt:variant>
      <vt:variant>
        <vt:i4>122</vt:i4>
      </vt:variant>
      <vt:variant>
        <vt:i4>0</vt:i4>
      </vt:variant>
      <vt:variant>
        <vt:i4>5</vt:i4>
      </vt:variant>
      <vt:variant>
        <vt:lpwstr/>
      </vt:variant>
      <vt:variant>
        <vt:lpwstr>_Toc276475367</vt:lpwstr>
      </vt:variant>
      <vt:variant>
        <vt:i4>1507376</vt:i4>
      </vt:variant>
      <vt:variant>
        <vt:i4>116</vt:i4>
      </vt:variant>
      <vt:variant>
        <vt:i4>0</vt:i4>
      </vt:variant>
      <vt:variant>
        <vt:i4>5</vt:i4>
      </vt:variant>
      <vt:variant>
        <vt:lpwstr/>
      </vt:variant>
      <vt:variant>
        <vt:lpwstr>_Toc276475366</vt:lpwstr>
      </vt:variant>
      <vt:variant>
        <vt:i4>1507376</vt:i4>
      </vt:variant>
      <vt:variant>
        <vt:i4>110</vt:i4>
      </vt:variant>
      <vt:variant>
        <vt:i4>0</vt:i4>
      </vt:variant>
      <vt:variant>
        <vt:i4>5</vt:i4>
      </vt:variant>
      <vt:variant>
        <vt:lpwstr/>
      </vt:variant>
      <vt:variant>
        <vt:lpwstr>_Toc276475365</vt:lpwstr>
      </vt:variant>
      <vt:variant>
        <vt:i4>1507376</vt:i4>
      </vt:variant>
      <vt:variant>
        <vt:i4>104</vt:i4>
      </vt:variant>
      <vt:variant>
        <vt:i4>0</vt:i4>
      </vt:variant>
      <vt:variant>
        <vt:i4>5</vt:i4>
      </vt:variant>
      <vt:variant>
        <vt:lpwstr/>
      </vt:variant>
      <vt:variant>
        <vt:lpwstr>_Toc276475364</vt:lpwstr>
      </vt:variant>
      <vt:variant>
        <vt:i4>1507376</vt:i4>
      </vt:variant>
      <vt:variant>
        <vt:i4>98</vt:i4>
      </vt:variant>
      <vt:variant>
        <vt:i4>0</vt:i4>
      </vt:variant>
      <vt:variant>
        <vt:i4>5</vt:i4>
      </vt:variant>
      <vt:variant>
        <vt:lpwstr/>
      </vt:variant>
      <vt:variant>
        <vt:lpwstr>_Toc276475363</vt:lpwstr>
      </vt:variant>
      <vt:variant>
        <vt:i4>1507376</vt:i4>
      </vt:variant>
      <vt:variant>
        <vt:i4>92</vt:i4>
      </vt:variant>
      <vt:variant>
        <vt:i4>0</vt:i4>
      </vt:variant>
      <vt:variant>
        <vt:i4>5</vt:i4>
      </vt:variant>
      <vt:variant>
        <vt:lpwstr/>
      </vt:variant>
      <vt:variant>
        <vt:lpwstr>_Toc276475362</vt:lpwstr>
      </vt:variant>
      <vt:variant>
        <vt:i4>1507376</vt:i4>
      </vt:variant>
      <vt:variant>
        <vt:i4>86</vt:i4>
      </vt:variant>
      <vt:variant>
        <vt:i4>0</vt:i4>
      </vt:variant>
      <vt:variant>
        <vt:i4>5</vt:i4>
      </vt:variant>
      <vt:variant>
        <vt:lpwstr/>
      </vt:variant>
      <vt:variant>
        <vt:lpwstr>_Toc276475361</vt:lpwstr>
      </vt:variant>
      <vt:variant>
        <vt:i4>1310768</vt:i4>
      </vt:variant>
      <vt:variant>
        <vt:i4>80</vt:i4>
      </vt:variant>
      <vt:variant>
        <vt:i4>0</vt:i4>
      </vt:variant>
      <vt:variant>
        <vt:i4>5</vt:i4>
      </vt:variant>
      <vt:variant>
        <vt:lpwstr/>
      </vt:variant>
      <vt:variant>
        <vt:lpwstr>_Toc276475359</vt:lpwstr>
      </vt:variant>
      <vt:variant>
        <vt:i4>1310768</vt:i4>
      </vt:variant>
      <vt:variant>
        <vt:i4>74</vt:i4>
      </vt:variant>
      <vt:variant>
        <vt:i4>0</vt:i4>
      </vt:variant>
      <vt:variant>
        <vt:i4>5</vt:i4>
      </vt:variant>
      <vt:variant>
        <vt:lpwstr/>
      </vt:variant>
      <vt:variant>
        <vt:lpwstr>_Toc276475358</vt:lpwstr>
      </vt:variant>
      <vt:variant>
        <vt:i4>1310768</vt:i4>
      </vt:variant>
      <vt:variant>
        <vt:i4>68</vt:i4>
      </vt:variant>
      <vt:variant>
        <vt:i4>0</vt:i4>
      </vt:variant>
      <vt:variant>
        <vt:i4>5</vt:i4>
      </vt:variant>
      <vt:variant>
        <vt:lpwstr/>
      </vt:variant>
      <vt:variant>
        <vt:lpwstr>_Toc276475357</vt:lpwstr>
      </vt:variant>
      <vt:variant>
        <vt:i4>1310768</vt:i4>
      </vt:variant>
      <vt:variant>
        <vt:i4>62</vt:i4>
      </vt:variant>
      <vt:variant>
        <vt:i4>0</vt:i4>
      </vt:variant>
      <vt:variant>
        <vt:i4>5</vt:i4>
      </vt:variant>
      <vt:variant>
        <vt:lpwstr/>
      </vt:variant>
      <vt:variant>
        <vt:lpwstr>_Toc276475356</vt:lpwstr>
      </vt:variant>
      <vt:variant>
        <vt:i4>1310768</vt:i4>
      </vt:variant>
      <vt:variant>
        <vt:i4>56</vt:i4>
      </vt:variant>
      <vt:variant>
        <vt:i4>0</vt:i4>
      </vt:variant>
      <vt:variant>
        <vt:i4>5</vt:i4>
      </vt:variant>
      <vt:variant>
        <vt:lpwstr/>
      </vt:variant>
      <vt:variant>
        <vt:lpwstr>_Toc276475355</vt:lpwstr>
      </vt:variant>
      <vt:variant>
        <vt:i4>1310768</vt:i4>
      </vt:variant>
      <vt:variant>
        <vt:i4>50</vt:i4>
      </vt:variant>
      <vt:variant>
        <vt:i4>0</vt:i4>
      </vt:variant>
      <vt:variant>
        <vt:i4>5</vt:i4>
      </vt:variant>
      <vt:variant>
        <vt:lpwstr/>
      </vt:variant>
      <vt:variant>
        <vt:lpwstr>_Toc276475354</vt:lpwstr>
      </vt:variant>
      <vt:variant>
        <vt:i4>1310768</vt:i4>
      </vt:variant>
      <vt:variant>
        <vt:i4>44</vt:i4>
      </vt:variant>
      <vt:variant>
        <vt:i4>0</vt:i4>
      </vt:variant>
      <vt:variant>
        <vt:i4>5</vt:i4>
      </vt:variant>
      <vt:variant>
        <vt:lpwstr/>
      </vt:variant>
      <vt:variant>
        <vt:lpwstr>_Toc276475353</vt:lpwstr>
      </vt:variant>
      <vt:variant>
        <vt:i4>1310768</vt:i4>
      </vt:variant>
      <vt:variant>
        <vt:i4>38</vt:i4>
      </vt:variant>
      <vt:variant>
        <vt:i4>0</vt:i4>
      </vt:variant>
      <vt:variant>
        <vt:i4>5</vt:i4>
      </vt:variant>
      <vt:variant>
        <vt:lpwstr/>
      </vt:variant>
      <vt:variant>
        <vt:lpwstr>_Toc276475352</vt:lpwstr>
      </vt:variant>
      <vt:variant>
        <vt:i4>1310768</vt:i4>
      </vt:variant>
      <vt:variant>
        <vt:i4>32</vt:i4>
      </vt:variant>
      <vt:variant>
        <vt:i4>0</vt:i4>
      </vt:variant>
      <vt:variant>
        <vt:i4>5</vt:i4>
      </vt:variant>
      <vt:variant>
        <vt:lpwstr/>
      </vt:variant>
      <vt:variant>
        <vt:lpwstr>_Toc276475351</vt:lpwstr>
      </vt:variant>
      <vt:variant>
        <vt:i4>1310768</vt:i4>
      </vt:variant>
      <vt:variant>
        <vt:i4>26</vt:i4>
      </vt:variant>
      <vt:variant>
        <vt:i4>0</vt:i4>
      </vt:variant>
      <vt:variant>
        <vt:i4>5</vt:i4>
      </vt:variant>
      <vt:variant>
        <vt:lpwstr/>
      </vt:variant>
      <vt:variant>
        <vt:lpwstr>_Toc276475350</vt:lpwstr>
      </vt:variant>
      <vt:variant>
        <vt:i4>1376304</vt:i4>
      </vt:variant>
      <vt:variant>
        <vt:i4>20</vt:i4>
      </vt:variant>
      <vt:variant>
        <vt:i4>0</vt:i4>
      </vt:variant>
      <vt:variant>
        <vt:i4>5</vt:i4>
      </vt:variant>
      <vt:variant>
        <vt:lpwstr/>
      </vt:variant>
      <vt:variant>
        <vt:lpwstr>_Toc276475349</vt:lpwstr>
      </vt:variant>
      <vt:variant>
        <vt:i4>1376304</vt:i4>
      </vt:variant>
      <vt:variant>
        <vt:i4>14</vt:i4>
      </vt:variant>
      <vt:variant>
        <vt:i4>0</vt:i4>
      </vt:variant>
      <vt:variant>
        <vt:i4>5</vt:i4>
      </vt:variant>
      <vt:variant>
        <vt:lpwstr/>
      </vt:variant>
      <vt:variant>
        <vt:lpwstr>_Toc276475347</vt:lpwstr>
      </vt:variant>
      <vt:variant>
        <vt:i4>1376304</vt:i4>
      </vt:variant>
      <vt:variant>
        <vt:i4>8</vt:i4>
      </vt:variant>
      <vt:variant>
        <vt:i4>0</vt:i4>
      </vt:variant>
      <vt:variant>
        <vt:i4>5</vt:i4>
      </vt:variant>
      <vt:variant>
        <vt:lpwstr/>
      </vt:variant>
      <vt:variant>
        <vt:lpwstr>_Toc276475346</vt:lpwstr>
      </vt:variant>
      <vt:variant>
        <vt:i4>1376304</vt:i4>
      </vt:variant>
      <vt:variant>
        <vt:i4>2</vt:i4>
      </vt:variant>
      <vt:variant>
        <vt:i4>0</vt:i4>
      </vt:variant>
      <vt:variant>
        <vt:i4>5</vt:i4>
      </vt:variant>
      <vt:variant>
        <vt:lpwstr/>
      </vt:variant>
      <vt:variant>
        <vt:lpwstr>_Toc276475345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dc:creator>
  <cp:lastModifiedBy>Sharon Martin</cp:lastModifiedBy>
  <cp:revision>4</cp:revision>
  <cp:lastPrinted>2016-04-27T16:05:00Z</cp:lastPrinted>
  <dcterms:created xsi:type="dcterms:W3CDTF">2022-05-31T09:11:00Z</dcterms:created>
  <dcterms:modified xsi:type="dcterms:W3CDTF">2022-05-31T15:20:00Z</dcterms:modified>
</cp:coreProperties>
</file>