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2A6E" w:rsidRDefault="004E7D64">
      <w:pPr>
        <w:pStyle w:val="Heading1"/>
        <w:jc w:val="center"/>
      </w:pPr>
      <w:bookmarkStart w:id="0" w:name="_nacby3315z5z" w:colFirst="0" w:colLast="0"/>
      <w:bookmarkEnd w:id="0"/>
      <w:r>
        <w:t>Technical Specification for Off-Site Cloud Backup</w:t>
      </w:r>
    </w:p>
    <w:p w:rsidR="00CF2A6E" w:rsidRDefault="00CF2A6E">
      <w:bookmarkStart w:id="1" w:name="_GoBack"/>
      <w:bookmarkEnd w:id="1"/>
    </w:p>
    <w:p w:rsidR="00CF2A6E" w:rsidRDefault="004E7D64">
      <w:pPr>
        <w:pStyle w:val="Heading2"/>
      </w:pPr>
      <w:bookmarkStart w:id="2" w:name="_w7uon8qx898k" w:colFirst="0" w:colLast="0"/>
      <w:bookmarkEnd w:id="2"/>
      <w:r>
        <w:t>Introduction</w:t>
      </w:r>
    </w:p>
    <w:p w:rsidR="00CF2A6E" w:rsidRDefault="004E7D64">
      <w:r>
        <w:t>The college uses VEEAM to provide all backup services but currently all backups are stored on site.  In response to having a more robust backup we wish to store a copy of the backups off site using a recognised Cloud service.</w:t>
      </w:r>
    </w:p>
    <w:p w:rsidR="00CF2A6E" w:rsidRDefault="00CF2A6E"/>
    <w:p w:rsidR="00CF2A6E" w:rsidRDefault="004E7D64">
      <w:r>
        <w:t xml:space="preserve">This service needs to </w:t>
      </w:r>
      <w:proofErr w:type="gramStart"/>
      <w:r>
        <w:t>be inte</w:t>
      </w:r>
      <w:r>
        <w:t>grated</w:t>
      </w:r>
      <w:proofErr w:type="gramEnd"/>
      <w:r>
        <w:t xml:space="preserve"> natively with VEEAM so that we can have full automation of the backups as well as reporting on our cloud usage and success or failure of backups.</w:t>
      </w:r>
    </w:p>
    <w:p w:rsidR="00CF2A6E" w:rsidRDefault="004E7D64">
      <w:pPr>
        <w:pStyle w:val="Heading2"/>
      </w:pPr>
      <w:bookmarkStart w:id="3" w:name="_yqqjthsf0yl8" w:colFirst="0" w:colLast="0"/>
      <w:bookmarkEnd w:id="3"/>
      <w:r>
        <w:t>Technical Requirements</w:t>
      </w:r>
    </w:p>
    <w:p w:rsidR="00CF2A6E" w:rsidRDefault="00CF2A6E"/>
    <w:p w:rsidR="00CF2A6E" w:rsidRDefault="004E7D64">
      <w:r>
        <w:t xml:space="preserve">The following are the minimum requirements that </w:t>
      </w:r>
      <w:proofErr w:type="gramStart"/>
      <w:r>
        <w:t>must be met</w:t>
      </w:r>
      <w:proofErr w:type="gramEnd"/>
      <w:r>
        <w:t xml:space="preserve"> by any supplier of </w:t>
      </w:r>
      <w:r>
        <w:t>Cloud backup services.  Failure of any of these aspects will result in a failure to meet specifications.</w:t>
      </w:r>
    </w:p>
    <w:p w:rsidR="00CF2A6E" w:rsidRDefault="00CF2A6E">
      <w:pPr>
        <w:rPr>
          <w:sz w:val="28"/>
          <w:szCs w:val="28"/>
        </w:rPr>
      </w:pPr>
    </w:p>
    <w:p w:rsidR="00CF2A6E" w:rsidRDefault="004E7D64">
      <w:pPr>
        <w:rPr>
          <w:sz w:val="28"/>
          <w:szCs w:val="28"/>
        </w:rPr>
      </w:pPr>
      <w:r>
        <w:rPr>
          <w:sz w:val="28"/>
          <w:szCs w:val="28"/>
        </w:rPr>
        <w:t>Core requirement:</w:t>
      </w:r>
    </w:p>
    <w:p w:rsidR="00CF2A6E" w:rsidRDefault="00CF2A6E">
      <w:pPr>
        <w:rPr>
          <w:sz w:val="28"/>
          <w:szCs w:val="28"/>
        </w:rPr>
      </w:pPr>
    </w:p>
    <w:p w:rsidR="00CF2A6E" w:rsidRDefault="004E7D64">
      <w:pPr>
        <w:numPr>
          <w:ilvl w:val="0"/>
          <w:numId w:val="2"/>
        </w:numPr>
      </w:pPr>
      <w:r>
        <w:rPr>
          <w:b/>
        </w:rPr>
        <w:t>The provider must be a VEEAM Platinum Partner</w:t>
      </w:r>
    </w:p>
    <w:p w:rsidR="00CF2A6E" w:rsidRDefault="00CF2A6E">
      <w:pPr>
        <w:ind w:left="720"/>
      </w:pPr>
    </w:p>
    <w:p w:rsidR="00CF2A6E" w:rsidRDefault="004E7D64">
      <w:r>
        <w:t>It is expected that to achieve VEEAM Platinum Partner status the provider should mee</w:t>
      </w:r>
      <w:r>
        <w:t xml:space="preserve">t our expected </w:t>
      </w:r>
      <w:proofErr w:type="gramStart"/>
      <w:r>
        <w:t>standard,</w:t>
      </w:r>
      <w:proofErr w:type="gramEnd"/>
      <w:r>
        <w:t xml:space="preserve"> however for transparency we would expect the successful partner to meet the additional specified requirements below:</w:t>
      </w:r>
    </w:p>
    <w:p w:rsidR="00CF2A6E" w:rsidRDefault="00CF2A6E"/>
    <w:p w:rsidR="00CF2A6E" w:rsidRDefault="004E7D64">
      <w:pPr>
        <w:numPr>
          <w:ilvl w:val="0"/>
          <w:numId w:val="1"/>
        </w:numPr>
      </w:pPr>
      <w:r>
        <w:t>The provider must offer the option to store the data in either the UK or EU</w:t>
      </w:r>
    </w:p>
    <w:p w:rsidR="00CF2A6E" w:rsidRDefault="004E7D64">
      <w:pPr>
        <w:numPr>
          <w:ilvl w:val="0"/>
          <w:numId w:val="1"/>
        </w:numPr>
      </w:pPr>
      <w:r>
        <w:t>They must have native support for the</w:t>
      </w:r>
      <w:r>
        <w:t xml:space="preserve"> VEEAM suite of products</w:t>
      </w:r>
    </w:p>
    <w:p w:rsidR="00CF2A6E" w:rsidRDefault="004E7D64">
      <w:pPr>
        <w:numPr>
          <w:ilvl w:val="0"/>
          <w:numId w:val="1"/>
        </w:numPr>
      </w:pPr>
      <w:r>
        <w:t>Fast &amp; reliable connectivity - no cap on inbound or outbound transactions</w:t>
      </w:r>
    </w:p>
    <w:p w:rsidR="00CF2A6E" w:rsidRDefault="004E7D64">
      <w:pPr>
        <w:numPr>
          <w:ilvl w:val="0"/>
          <w:numId w:val="1"/>
        </w:numPr>
      </w:pPr>
      <w:r>
        <w:t>Ability to restore data via shipping of a physical device e.g. NAS if you have no access to the production environment in a disaster scenario</w:t>
      </w:r>
    </w:p>
    <w:p w:rsidR="00CF2A6E" w:rsidRDefault="004E7D64">
      <w:pPr>
        <w:numPr>
          <w:ilvl w:val="0"/>
          <w:numId w:val="1"/>
        </w:numPr>
      </w:pPr>
      <w:r>
        <w:t xml:space="preserve">Data encrypted </w:t>
      </w:r>
      <w:r>
        <w:t>in transit and at rest</w:t>
      </w:r>
    </w:p>
    <w:p w:rsidR="00CF2A6E" w:rsidRDefault="004E7D64">
      <w:pPr>
        <w:numPr>
          <w:ilvl w:val="0"/>
          <w:numId w:val="1"/>
        </w:numPr>
      </w:pPr>
      <w:r>
        <w:t xml:space="preserve">UK based, Tier 3 &amp; 4 Data </w:t>
      </w:r>
      <w:proofErr w:type="spellStart"/>
      <w:r>
        <w:t>Centers</w:t>
      </w:r>
      <w:proofErr w:type="spellEnd"/>
      <w:r>
        <w:t xml:space="preserve"> or EU equivalent Data Centres</w:t>
      </w:r>
    </w:p>
    <w:p w:rsidR="00CF2A6E" w:rsidRDefault="004E7D64">
      <w:pPr>
        <w:numPr>
          <w:ilvl w:val="0"/>
          <w:numId w:val="1"/>
        </w:numPr>
      </w:pPr>
      <w:r>
        <w:t>ISO 27701 (PIMS) certification - extension of GDPR ISO 27001 - other certifications will be accepted as long as they are equivalent.</w:t>
      </w:r>
    </w:p>
    <w:p w:rsidR="00CF2A6E" w:rsidRDefault="004E7D64">
      <w:pPr>
        <w:numPr>
          <w:ilvl w:val="0"/>
          <w:numId w:val="1"/>
        </w:numPr>
      </w:pPr>
      <w:proofErr w:type="spellStart"/>
      <w:r>
        <w:t>Self service</w:t>
      </w:r>
      <w:proofErr w:type="spellEnd"/>
      <w:r>
        <w:t xml:space="preserve"> access to compliance do</w:t>
      </w:r>
      <w:r>
        <w:t>cumentation</w:t>
      </w:r>
    </w:p>
    <w:p w:rsidR="00CF2A6E" w:rsidRDefault="004E7D64">
      <w:pPr>
        <w:numPr>
          <w:ilvl w:val="0"/>
          <w:numId w:val="1"/>
        </w:numPr>
      </w:pPr>
      <w:r>
        <w:t>24/7/365 technical support included with the service</w:t>
      </w:r>
    </w:p>
    <w:p w:rsidR="00CF2A6E" w:rsidRDefault="004E7D64">
      <w:pPr>
        <w:numPr>
          <w:ilvl w:val="0"/>
          <w:numId w:val="1"/>
        </w:numPr>
      </w:pPr>
      <w:r>
        <w:t xml:space="preserve">Access to support via </w:t>
      </w:r>
      <w:proofErr w:type="spellStart"/>
      <w:r>
        <w:t>webchat</w:t>
      </w:r>
      <w:proofErr w:type="spellEnd"/>
      <w:r>
        <w:t>, phone and email</w:t>
      </w:r>
    </w:p>
    <w:p w:rsidR="00CF2A6E" w:rsidRDefault="004E7D64">
      <w:pPr>
        <w:numPr>
          <w:ilvl w:val="0"/>
          <w:numId w:val="1"/>
        </w:numPr>
      </w:pPr>
      <w:r>
        <w:t xml:space="preserve">SLA response time of less than 15 minutes for a high severity support ticket </w:t>
      </w:r>
    </w:p>
    <w:p w:rsidR="00CF2A6E" w:rsidRDefault="004E7D64">
      <w:pPr>
        <w:numPr>
          <w:ilvl w:val="0"/>
          <w:numId w:val="1"/>
        </w:numPr>
      </w:pPr>
      <w:proofErr w:type="spellStart"/>
      <w:r>
        <w:t>Onboarding</w:t>
      </w:r>
      <w:proofErr w:type="spellEnd"/>
      <w:r>
        <w:t xml:space="preserve"> support &amp; project manager</w:t>
      </w:r>
    </w:p>
    <w:p w:rsidR="00CF2A6E" w:rsidRDefault="004E7D64">
      <w:pPr>
        <w:numPr>
          <w:ilvl w:val="0"/>
          <w:numId w:val="1"/>
        </w:numPr>
      </w:pPr>
      <w:r>
        <w:t>Service availability status page</w:t>
      </w:r>
    </w:p>
    <w:p w:rsidR="00CF2A6E" w:rsidRDefault="004E7D64">
      <w:pPr>
        <w:numPr>
          <w:ilvl w:val="0"/>
          <w:numId w:val="1"/>
        </w:numPr>
      </w:pPr>
      <w:r>
        <w:t xml:space="preserve">Secure web console for monitoring and management of the cloud backup environment - in addition to on-premises </w:t>
      </w:r>
      <w:proofErr w:type="spellStart"/>
      <w:r>
        <w:t>Veeam</w:t>
      </w:r>
      <w:proofErr w:type="spellEnd"/>
      <w:r>
        <w:t xml:space="preserve"> B&amp;R GUI</w:t>
      </w:r>
    </w:p>
    <w:p w:rsidR="00CF2A6E" w:rsidRDefault="004E7D64">
      <w:pPr>
        <w:numPr>
          <w:ilvl w:val="0"/>
          <w:numId w:val="1"/>
        </w:numPr>
      </w:pPr>
      <w:r>
        <w:lastRenderedPageBreak/>
        <w:t>Ability to add storage via the console (without sales team intervention)</w:t>
      </w:r>
    </w:p>
    <w:p w:rsidR="00CF2A6E" w:rsidRDefault="004E7D64">
      <w:pPr>
        <w:numPr>
          <w:ilvl w:val="0"/>
          <w:numId w:val="1"/>
        </w:numPr>
      </w:pPr>
      <w:r>
        <w:t>Ability to view storage ut</w:t>
      </w:r>
      <w:r>
        <w:t>ilisation and set storage alerts</w:t>
      </w:r>
    </w:p>
    <w:p w:rsidR="00CF2A6E" w:rsidRDefault="004E7D64">
      <w:pPr>
        <w:numPr>
          <w:ilvl w:val="0"/>
          <w:numId w:val="1"/>
        </w:numPr>
      </w:pPr>
      <w:r>
        <w:t xml:space="preserve">Ability to access technical support via console </w:t>
      </w:r>
      <w:proofErr w:type="spellStart"/>
      <w:r>
        <w:t>webchat</w:t>
      </w:r>
      <w:proofErr w:type="spellEnd"/>
      <w:r>
        <w:t xml:space="preserve"> </w:t>
      </w:r>
    </w:p>
    <w:p w:rsidR="00CF2A6E" w:rsidRDefault="004E7D64">
      <w:pPr>
        <w:numPr>
          <w:ilvl w:val="0"/>
          <w:numId w:val="1"/>
        </w:numPr>
      </w:pPr>
      <w:r>
        <w:t>Predictable costs &amp; transparent billing - no hidden fees, such as data retrieval/ bandwidth fees</w:t>
      </w:r>
    </w:p>
    <w:p w:rsidR="00CF2A6E" w:rsidRDefault="004E7D64">
      <w:pPr>
        <w:numPr>
          <w:ilvl w:val="0"/>
          <w:numId w:val="1"/>
        </w:numPr>
      </w:pPr>
      <w:r>
        <w:t xml:space="preserve">No per </w:t>
      </w:r>
      <w:proofErr w:type="spellStart"/>
      <w:r>
        <w:t>vm</w:t>
      </w:r>
      <w:proofErr w:type="spellEnd"/>
      <w:r>
        <w:t xml:space="preserve"> or licensing fees</w:t>
      </w:r>
    </w:p>
    <w:p w:rsidR="00CF2A6E" w:rsidRDefault="00CF2A6E"/>
    <w:p w:rsidR="00CF2A6E" w:rsidRDefault="004E7D64">
      <w:pPr>
        <w:pStyle w:val="Heading2"/>
      </w:pPr>
      <w:bookmarkStart w:id="4" w:name="_e9d1cg48en61" w:colFirst="0" w:colLast="0"/>
      <w:bookmarkEnd w:id="4"/>
      <w:r>
        <w:t>Storage Requirements</w:t>
      </w:r>
    </w:p>
    <w:p w:rsidR="00CF2A6E" w:rsidRDefault="00CF2A6E"/>
    <w:p w:rsidR="00CF2A6E" w:rsidRDefault="004E7D64">
      <w:r>
        <w:t>The following is a</w:t>
      </w:r>
      <w:r>
        <w:t xml:space="preserve"> summary of the cloud storage we require.  We understand that you may have your own to</w:t>
      </w:r>
      <w:r>
        <w:t xml:space="preserve"> own tools for sizing our environment,</w:t>
      </w:r>
      <w:r>
        <w:t xml:space="preserve"> </w:t>
      </w:r>
      <w:r>
        <w:t>this is a summary produced from VEEAM.</w:t>
      </w:r>
    </w:p>
    <w:p w:rsidR="00CF2A6E" w:rsidRDefault="00CF2A6E"/>
    <w:p w:rsidR="00CF2A6E" w:rsidRDefault="004E7D64">
      <w:r>
        <w:t>We require the following for cloud storage:-</w:t>
      </w:r>
    </w:p>
    <w:p w:rsidR="00CF2A6E" w:rsidRDefault="00CF2A6E">
      <w:pPr>
        <w:rPr>
          <w:sz w:val="26"/>
          <w:szCs w:val="26"/>
        </w:rPr>
      </w:pPr>
    </w:p>
    <w:p w:rsidR="00CF2A6E" w:rsidRDefault="004E7D64">
      <w:pPr>
        <w:rPr>
          <w:sz w:val="32"/>
          <w:szCs w:val="32"/>
        </w:rPr>
      </w:pPr>
      <w:r>
        <w:rPr>
          <w:sz w:val="32"/>
          <w:szCs w:val="32"/>
        </w:rPr>
        <w:t>Retention periods</w:t>
      </w:r>
    </w:p>
    <w:p w:rsidR="00CF2A6E" w:rsidRDefault="00CF2A6E">
      <w:pPr>
        <w:rPr>
          <w:sz w:val="32"/>
          <w:szCs w:val="32"/>
        </w:rPr>
      </w:pPr>
    </w:p>
    <w:p w:rsidR="00CF2A6E" w:rsidRDefault="004E7D64">
      <w:proofErr w:type="gramStart"/>
      <w:r>
        <w:t>7</w:t>
      </w:r>
      <w:proofErr w:type="gramEnd"/>
      <w:r>
        <w:t xml:space="preserve"> daily, 5 weekly and 6 monthly</w:t>
      </w:r>
    </w:p>
    <w:p w:rsidR="00CF2A6E" w:rsidRDefault="004E7D64">
      <w:pPr>
        <w:rPr>
          <w:b/>
        </w:rPr>
      </w:pPr>
      <w:r>
        <w:t xml:space="preserve">Our </w:t>
      </w:r>
      <w:r>
        <w:t>estimation is</w:t>
      </w:r>
      <w:r>
        <w:t xml:space="preserve"> we require </w:t>
      </w:r>
      <w:proofErr w:type="gramStart"/>
      <w:r>
        <w:t xml:space="preserve">a total of </w:t>
      </w:r>
      <w:r>
        <w:rPr>
          <w:b/>
        </w:rPr>
        <w:t>88.8551</w:t>
      </w:r>
      <w:proofErr w:type="gramEnd"/>
      <w:r>
        <w:rPr>
          <w:b/>
        </w:rPr>
        <w:t xml:space="preserve"> TB</w:t>
      </w:r>
    </w:p>
    <w:p w:rsidR="00CF2A6E" w:rsidRDefault="00CF2A6E"/>
    <w:p w:rsidR="00CF2A6E" w:rsidRDefault="004E7D64">
      <w:r>
        <w:t>This number is consistent with the storage requirements the college is</w:t>
      </w:r>
      <w:r>
        <w:t xml:space="preserve"> using locally and will form the basis of</w:t>
      </w:r>
      <w:r>
        <w:t xml:space="preserve"> your quote.  As above, we</w:t>
      </w:r>
      <w:r>
        <w:t xml:space="preserve"> do understand that you may</w:t>
      </w:r>
      <w:r>
        <w:t xml:space="preserve"> want to run your</w:t>
      </w:r>
      <w:r>
        <w:t xml:space="preserve"> own analysis tools to confirm this storage requirement so please contact us as per the details in the RFQ document. </w:t>
      </w:r>
    </w:p>
    <w:p w:rsidR="00CF2A6E" w:rsidRDefault="00CF2A6E"/>
    <w:p w:rsidR="00CF2A6E" w:rsidRDefault="004E7D6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2antkr8np8pk" w:colFirst="0" w:colLast="0"/>
      <w:bookmarkEnd w:id="5"/>
      <w:r>
        <w:rPr>
          <w:b/>
          <w:sz w:val="34"/>
          <w:szCs w:val="34"/>
        </w:rPr>
        <w:t xml:space="preserve">Storage </w:t>
      </w:r>
      <w:proofErr w:type="spellStart"/>
      <w:r>
        <w:rPr>
          <w:b/>
          <w:sz w:val="34"/>
          <w:szCs w:val="34"/>
        </w:rPr>
        <w:t>Modeling</w:t>
      </w:r>
      <w:proofErr w:type="spellEnd"/>
      <w:r>
        <w:rPr>
          <w:b/>
          <w:sz w:val="34"/>
          <w:szCs w:val="34"/>
        </w:rPr>
        <w:t xml:space="preserve"> Result</w:t>
      </w:r>
    </w:p>
    <w:p w:rsidR="00CF2A6E" w:rsidRDefault="00CF2A6E"/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0"/>
        <w:gridCol w:w="977"/>
        <w:gridCol w:w="1871"/>
        <w:gridCol w:w="1605"/>
        <w:gridCol w:w="1431"/>
        <w:gridCol w:w="1391"/>
      </w:tblGrid>
      <w:tr w:rsidR="00CF2A6E">
        <w:trPr>
          <w:trHeight w:val="48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Retention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File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Size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-1 -1W 5M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8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-1 -1W 4M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9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-1 -1W 3M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-1 -1W 2M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1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lastRenderedPageBreak/>
              <w:t>-1 -1W 1M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2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4W 0M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3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3W 0M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4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2W 0M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5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-1 1W 0M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6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full.vbk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8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8049.6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incremental.vib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0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241.49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incremental.vib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1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241.49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7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incremental.vib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2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241.49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incremental.vib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3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241</w:t>
              </w:r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.49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5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incremental.vib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4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241.49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74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1 *W *M 0Q 0Y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>
                  <wp:extent cx="952500" cy="95250"/>
                  <wp:effectExtent l="0" t="0" r="0" b="0"/>
                  <wp:docPr id="1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incremental.vib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5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241.49 GB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51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4" w:type="dxa"/>
            <w:tcBorders>
              <w:top w:val="single" w:sz="12" w:space="0" w:color="444444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81944.93 GB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48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E64040"/>
                <w:sz w:val="20"/>
                <w:szCs w:val="20"/>
              </w:rPr>
              <w:t>Work Space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Verdana" w:eastAsia="Verdana" w:hAnsi="Verdana" w:cs="Verdana"/>
                <w:color w:val="E64040"/>
                <w:sz w:val="20"/>
                <w:szCs w:val="20"/>
              </w:rPr>
              <w:t>+6910.18 GB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2A6E">
        <w:trPr>
          <w:trHeight w:val="51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4" w:type="dxa"/>
            <w:tcBorders>
              <w:top w:val="single" w:sz="12" w:space="0" w:color="444444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4E7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6">
              <w:r>
                <w:rPr>
                  <w:rFonts w:ascii="Verdana" w:eastAsia="Verdana" w:hAnsi="Verdana" w:cs="Verdana"/>
                  <w:color w:val="333333"/>
                  <w:sz w:val="20"/>
                  <w:szCs w:val="20"/>
                  <w:u w:val="single"/>
                </w:rPr>
                <w:t>88855.1 GB</w:t>
              </w:r>
            </w:hyperlink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A6E" w:rsidRDefault="00CF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CF2A6E" w:rsidRDefault="00CF2A6E"/>
    <w:sectPr w:rsidR="00CF2A6E">
      <w:headerReference w:type="default" r:id="rId2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64" w:rsidRDefault="004E7D64" w:rsidP="004E7D64">
      <w:pPr>
        <w:spacing w:line="240" w:lineRule="auto"/>
      </w:pPr>
      <w:r>
        <w:separator/>
      </w:r>
    </w:p>
  </w:endnote>
  <w:endnote w:type="continuationSeparator" w:id="0">
    <w:p w:rsidR="004E7D64" w:rsidRDefault="004E7D64" w:rsidP="004E7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64" w:rsidRDefault="004E7D64" w:rsidP="004E7D64">
      <w:pPr>
        <w:spacing w:line="240" w:lineRule="auto"/>
      </w:pPr>
      <w:r>
        <w:separator/>
      </w:r>
    </w:p>
  </w:footnote>
  <w:footnote w:type="continuationSeparator" w:id="0">
    <w:p w:rsidR="004E7D64" w:rsidRDefault="004E7D64" w:rsidP="004E7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64" w:rsidRDefault="004E7D64">
    <w:pPr>
      <w:pStyle w:val="Header"/>
    </w:pPr>
    <w:r>
      <w:t xml:space="preserve">Appendix B: Technical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B6FF5"/>
    <w:multiLevelType w:val="multilevel"/>
    <w:tmpl w:val="AD7E3B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F8C7511"/>
    <w:multiLevelType w:val="multilevel"/>
    <w:tmpl w:val="A0D452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6E"/>
    <w:rsid w:val="004E7D64"/>
    <w:rsid w:val="00C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3BFE"/>
  <w15:docId w15:val="{11FD25E5-3E04-48FA-BA4C-F38A6761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7D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D64"/>
  </w:style>
  <w:style w:type="paragraph" w:styleId="Footer">
    <w:name w:val="footer"/>
    <w:basedOn w:val="Normal"/>
    <w:link w:val="FooterChar"/>
    <w:uiPriority w:val="99"/>
    <w:unhideWhenUsed/>
    <w:rsid w:val="004E7D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13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18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6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0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4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3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14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2" Type="http://schemas.openxmlformats.org/officeDocument/2006/relationships/hyperlink" Target="https://rps.dewin.me/?m=3&amp;s=20124&amp;r=7&amp;c=40&amp;d=3&amp;i=D&amp;dgr=10&amp;dgy=1&amp;dg=0&amp;re=0&amp;gaf=0&amp;g=4,5,0,0&amp;e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</Words>
  <Characters>4718</Characters>
  <Application>Microsoft Office Word</Application>
  <DocSecurity>0</DocSecurity>
  <Lines>39</Lines>
  <Paragraphs>11</Paragraphs>
  <ScaleCrop>false</ScaleCrop>
  <Company>City College Plymouth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Baker</cp:lastModifiedBy>
  <cp:revision>2</cp:revision>
  <dcterms:created xsi:type="dcterms:W3CDTF">2021-10-07T09:59:00Z</dcterms:created>
  <dcterms:modified xsi:type="dcterms:W3CDTF">2021-10-07T10:07:00Z</dcterms:modified>
</cp:coreProperties>
</file>