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66" w:rsidRDefault="00A12F94">
      <w:pPr>
        <w:rPr>
          <w:rFonts w:ascii="Arial" w:hAnsi="Arial" w:cs="Arial"/>
          <w:b/>
        </w:rPr>
      </w:pPr>
      <w:r w:rsidRPr="00A12F94">
        <w:rPr>
          <w:rFonts w:ascii="Arial" w:hAnsi="Arial" w:cs="Arial"/>
          <w:b/>
        </w:rPr>
        <w:t xml:space="preserve">QUESTIONS FOR </w:t>
      </w:r>
      <w:r w:rsidR="00836F2B">
        <w:rPr>
          <w:rFonts w:ascii="Arial" w:hAnsi="Arial" w:cs="Arial"/>
          <w:b/>
        </w:rPr>
        <w:t>HELM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6196"/>
        <w:gridCol w:w="5584"/>
      </w:tblGrid>
      <w:tr w:rsidR="00A12F94" w:rsidTr="00A12F94">
        <w:tc>
          <w:tcPr>
            <w:tcW w:w="1170" w:type="dxa"/>
            <w:shd w:val="clear" w:color="auto" w:fill="00B050"/>
          </w:tcPr>
          <w:p w:rsidR="00A12F94" w:rsidRDefault="00A12F94" w:rsidP="00A12F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 Number</w:t>
            </w:r>
          </w:p>
        </w:tc>
        <w:tc>
          <w:tcPr>
            <w:tcW w:w="6196" w:type="dxa"/>
            <w:shd w:val="clear" w:color="auto" w:fill="00B050"/>
          </w:tcPr>
          <w:p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5584" w:type="dxa"/>
            <w:shd w:val="clear" w:color="auto" w:fill="00B050"/>
          </w:tcPr>
          <w:p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</w:tr>
      <w:tr w:rsidR="00A12F94" w:rsidTr="00A12F94">
        <w:tc>
          <w:tcPr>
            <w:tcW w:w="1170" w:type="dxa"/>
          </w:tcPr>
          <w:p w:rsidR="00A12F94" w:rsidRDefault="00A12F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6196" w:type="dxa"/>
          </w:tcPr>
          <w:p w:rsidR="00836F2B" w:rsidRPr="005F30BE" w:rsidRDefault="00836F2B" w:rsidP="00836F2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5F30BE">
              <w:rPr>
                <w:rFonts w:ascii="Arial" w:eastAsia="Times New Roman" w:hAnsi="Arial" w:cs="Arial"/>
              </w:rPr>
              <w:t>The HELM Review Specification Document indicates the project must be complete by 25 March 2018 (and a project timescale of 4 months)</w:t>
            </w:r>
          </w:p>
          <w:p w:rsidR="00836F2B" w:rsidRPr="005F30BE" w:rsidRDefault="00836F2B" w:rsidP="00836F2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5F30BE">
              <w:rPr>
                <w:rFonts w:ascii="Arial" w:eastAsia="Times New Roman" w:hAnsi="Arial" w:cs="Arial"/>
              </w:rPr>
              <w:t>The HELM Opportunity Detail document gives a project End Date of 30 March 2018</w:t>
            </w:r>
          </w:p>
          <w:p w:rsidR="00836F2B" w:rsidRPr="005F30BE" w:rsidRDefault="00836F2B" w:rsidP="00836F2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5F30BE">
              <w:rPr>
                <w:rFonts w:ascii="Arial" w:eastAsia="Times New Roman" w:hAnsi="Arial" w:cs="Arial"/>
              </w:rPr>
              <w:t xml:space="preserve">Both documents indicate a start date of 8 Jan which </w:t>
            </w:r>
            <w:proofErr w:type="gramStart"/>
            <w:r w:rsidRPr="005F30BE">
              <w:rPr>
                <w:rFonts w:ascii="Arial" w:eastAsia="Times New Roman" w:hAnsi="Arial" w:cs="Arial"/>
              </w:rPr>
              <w:t>actually only</w:t>
            </w:r>
            <w:proofErr w:type="gramEnd"/>
            <w:r w:rsidRPr="005F30BE">
              <w:rPr>
                <w:rFonts w:ascii="Arial" w:eastAsia="Times New Roman" w:hAnsi="Arial" w:cs="Arial"/>
              </w:rPr>
              <w:t xml:space="preserve"> allows for less than 3 months ‘on task’ and not 4</w:t>
            </w:r>
          </w:p>
          <w:p w:rsidR="00836F2B" w:rsidRPr="005F30BE" w:rsidRDefault="00836F2B" w:rsidP="00836F2B">
            <w:pPr>
              <w:rPr>
                <w:rFonts w:ascii="Arial" w:hAnsi="Arial" w:cs="Arial"/>
              </w:rPr>
            </w:pPr>
          </w:p>
          <w:p w:rsidR="00836F2B" w:rsidRPr="005F30BE" w:rsidRDefault="00836F2B" w:rsidP="00836F2B">
            <w:pPr>
              <w:rPr>
                <w:rFonts w:ascii="Arial" w:hAnsi="Arial" w:cs="Arial"/>
              </w:rPr>
            </w:pPr>
            <w:r w:rsidRPr="005F30BE">
              <w:rPr>
                <w:rFonts w:ascii="Arial" w:hAnsi="Arial" w:cs="Arial"/>
              </w:rPr>
              <w:t>Can we confirm the actual project end date?</w:t>
            </w:r>
          </w:p>
          <w:p w:rsidR="00836F2B" w:rsidRPr="005F30BE" w:rsidRDefault="00836F2B" w:rsidP="00836F2B">
            <w:pPr>
              <w:rPr>
                <w:rFonts w:ascii="Arial" w:hAnsi="Arial" w:cs="Arial"/>
              </w:rPr>
            </w:pPr>
            <w:r w:rsidRPr="005F30BE">
              <w:rPr>
                <w:rFonts w:ascii="Arial" w:hAnsi="Arial" w:cs="Arial"/>
              </w:rPr>
              <w:br/>
              <w:t xml:space="preserve">Can we also confirm that this end date is specific to the submission of the final deliverable and that Customer Review will occur </w:t>
            </w:r>
            <w:proofErr w:type="gramStart"/>
            <w:r w:rsidRPr="005F30BE">
              <w:rPr>
                <w:rFonts w:ascii="Arial" w:hAnsi="Arial" w:cs="Arial"/>
              </w:rPr>
              <w:t>subsequent to</w:t>
            </w:r>
            <w:proofErr w:type="gramEnd"/>
            <w:r w:rsidRPr="005F30BE">
              <w:rPr>
                <w:rFonts w:ascii="Arial" w:hAnsi="Arial" w:cs="Arial"/>
              </w:rPr>
              <w:t xml:space="preserve"> the end date?  We would schedule and advise a </w:t>
            </w:r>
            <w:proofErr w:type="gramStart"/>
            <w:r w:rsidRPr="005F30BE">
              <w:rPr>
                <w:rFonts w:ascii="Arial" w:hAnsi="Arial" w:cs="Arial"/>
              </w:rPr>
              <w:t>20 day</w:t>
            </w:r>
            <w:proofErr w:type="gramEnd"/>
            <w:r w:rsidRPr="005F30BE">
              <w:rPr>
                <w:rFonts w:ascii="Arial" w:hAnsi="Arial" w:cs="Arial"/>
              </w:rPr>
              <w:t xml:space="preserve"> customer review period subsequent to the final deliverable submission which would also allow for amendment of the deliverable in line with Authority feedback/comment.</w:t>
            </w:r>
          </w:p>
          <w:p w:rsidR="00836F2B" w:rsidRPr="005F30BE" w:rsidRDefault="00836F2B" w:rsidP="00836F2B">
            <w:pPr>
              <w:rPr>
                <w:rFonts w:ascii="Arial" w:hAnsi="Arial" w:cs="Arial"/>
              </w:rPr>
            </w:pPr>
          </w:p>
          <w:p w:rsidR="00836F2B" w:rsidRPr="005F30BE" w:rsidRDefault="00836F2B" w:rsidP="00836F2B">
            <w:pPr>
              <w:rPr>
                <w:rFonts w:ascii="Arial" w:hAnsi="Arial" w:cs="Arial"/>
              </w:rPr>
            </w:pPr>
            <w:r w:rsidRPr="005F30BE">
              <w:rPr>
                <w:rFonts w:ascii="Arial" w:hAnsi="Arial" w:cs="Arial"/>
              </w:rPr>
              <w:t>It is assumed that final payment will not be made until the final deliverable has been submitted and endorsed/accepted?</w:t>
            </w:r>
          </w:p>
          <w:p w:rsidR="00836F2B" w:rsidRPr="005F30BE" w:rsidRDefault="00836F2B" w:rsidP="00836F2B">
            <w:pPr>
              <w:rPr>
                <w:rFonts w:ascii="Arial" w:hAnsi="Arial" w:cs="Arial"/>
              </w:rPr>
            </w:pPr>
          </w:p>
          <w:p w:rsidR="00A12F94" w:rsidRPr="005F30BE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C00E7F" w:rsidRDefault="00787280" w:rsidP="004064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C00E7F">
              <w:rPr>
                <w:rFonts w:ascii="Arial" w:hAnsi="Arial" w:cs="Arial"/>
                <w:sz w:val="24"/>
                <w:szCs w:val="24"/>
              </w:rPr>
              <w:t xml:space="preserve">o clarify the proposed timeline is as </w:t>
            </w:r>
            <w:r w:rsidR="00A62C47">
              <w:rPr>
                <w:rFonts w:ascii="Arial" w:hAnsi="Arial" w:cs="Arial"/>
                <w:sz w:val="24"/>
                <w:szCs w:val="24"/>
              </w:rPr>
              <w:t>follows: -</w:t>
            </w:r>
          </w:p>
          <w:p w:rsidR="00C00E7F" w:rsidRDefault="00C00E7F" w:rsidP="00C00E7F">
            <w:pPr>
              <w:rPr>
                <w:rFonts w:ascii="Arial" w:hAnsi="Arial" w:cs="Arial"/>
                <w:sz w:val="24"/>
                <w:szCs w:val="24"/>
              </w:rPr>
            </w:pPr>
          </w:p>
          <w:p w:rsidR="00C00E7F" w:rsidRDefault="00C00E7F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Tender deadline 15</w:t>
            </w:r>
            <w:r w:rsidRPr="00C00E7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December 2017</w:t>
            </w:r>
          </w:p>
          <w:p w:rsidR="00C00E7F" w:rsidRDefault="00787280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Tender evaluation w/c 18</w:t>
            </w:r>
            <w:r w:rsidRPr="0078728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December 2017</w:t>
            </w:r>
          </w:p>
          <w:p w:rsidR="00787280" w:rsidRDefault="00787280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Intention to award letter issued followed by an</w:t>
            </w:r>
          </w:p>
          <w:p w:rsidR="00C00E7F" w:rsidRDefault="00C00E7F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Alcatel Standstill period of 10 days </w:t>
            </w:r>
            <w:r w:rsidR="006A1E94">
              <w:rPr>
                <w:rFonts w:ascii="Arial" w:hAnsi="Arial" w:cs="Arial"/>
                <w:sz w:val="24"/>
                <w:szCs w:val="24"/>
              </w:rPr>
              <w:t>including bank holidays and weekends</w:t>
            </w:r>
            <w:r w:rsidR="00A62C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00E7F" w:rsidRDefault="00A62C47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C00E7F">
              <w:rPr>
                <w:rFonts w:ascii="Arial" w:hAnsi="Arial" w:cs="Arial"/>
                <w:sz w:val="24"/>
                <w:szCs w:val="24"/>
              </w:rPr>
              <w:t xml:space="preserve">Contract </w:t>
            </w:r>
            <w:r>
              <w:rPr>
                <w:rFonts w:ascii="Arial" w:hAnsi="Arial" w:cs="Arial"/>
                <w:sz w:val="24"/>
                <w:szCs w:val="24"/>
              </w:rPr>
              <w:t>award date 8</w:t>
            </w:r>
            <w:r w:rsidR="00C00E7F" w:rsidRPr="00C00E7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C00E7F">
              <w:rPr>
                <w:rFonts w:ascii="Arial" w:hAnsi="Arial" w:cs="Arial"/>
                <w:sz w:val="24"/>
                <w:szCs w:val="24"/>
              </w:rPr>
              <w:t xml:space="preserve"> January 2018</w:t>
            </w:r>
          </w:p>
          <w:p w:rsidR="00C00E7F" w:rsidRDefault="00787280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 end date </w:t>
            </w:r>
            <w:r w:rsidR="00C00E7F">
              <w:rPr>
                <w:rFonts w:ascii="Arial" w:hAnsi="Arial" w:cs="Arial"/>
                <w:sz w:val="24"/>
                <w:szCs w:val="24"/>
              </w:rPr>
              <w:t>31</w:t>
            </w:r>
            <w:r w:rsidR="00C00E7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C00E7F">
              <w:rPr>
                <w:rFonts w:ascii="Arial" w:hAnsi="Arial" w:cs="Arial"/>
                <w:sz w:val="24"/>
                <w:szCs w:val="24"/>
              </w:rPr>
              <w:t xml:space="preserve"> March</w:t>
            </w:r>
            <w:r>
              <w:rPr>
                <w:rFonts w:ascii="Arial" w:hAnsi="Arial" w:cs="Arial"/>
                <w:sz w:val="24"/>
                <w:szCs w:val="24"/>
              </w:rPr>
              <w:t xml:space="preserve"> 2018</w:t>
            </w:r>
          </w:p>
          <w:p w:rsidR="00787280" w:rsidRDefault="00787280" w:rsidP="00C00E7F">
            <w:pPr>
              <w:rPr>
                <w:rFonts w:ascii="Arial" w:hAnsi="Arial" w:cs="Arial"/>
                <w:sz w:val="24"/>
                <w:szCs w:val="24"/>
              </w:rPr>
            </w:pPr>
          </w:p>
          <w:p w:rsidR="00A62C47" w:rsidRDefault="00C00E7F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Milestones (depending on tendered work </w:t>
            </w:r>
            <w:r w:rsidR="00A62C47">
              <w:rPr>
                <w:rFonts w:ascii="Arial" w:hAnsi="Arial" w:cs="Arial"/>
                <w:sz w:val="24"/>
                <w:szCs w:val="24"/>
              </w:rPr>
              <w:t>program</w:t>
            </w:r>
            <w:r w:rsidR="006A1E94">
              <w:rPr>
                <w:rFonts w:ascii="Arial" w:hAnsi="Arial" w:cs="Arial"/>
                <w:sz w:val="24"/>
                <w:szCs w:val="24"/>
              </w:rPr>
              <w:t>m</w:t>
            </w:r>
            <w:r w:rsidR="00A62C47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) split into thirds covering interview program</w:t>
            </w:r>
            <w:r w:rsidR="006A1E94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e, analysis,</w:t>
            </w:r>
            <w:r w:rsidR="00A62C4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>report. </w:t>
            </w:r>
          </w:p>
          <w:p w:rsidR="00A62C47" w:rsidRDefault="00A62C47" w:rsidP="00C00E7F">
            <w:pPr>
              <w:rPr>
                <w:rFonts w:ascii="Arial" w:hAnsi="Arial" w:cs="Arial"/>
                <w:sz w:val="24"/>
                <w:szCs w:val="24"/>
              </w:rPr>
            </w:pPr>
          </w:p>
          <w:p w:rsidR="00C00E7F" w:rsidRDefault="00C00E7F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Attendance </w:t>
            </w:r>
            <w:r w:rsidR="00A62C47">
              <w:rPr>
                <w:rFonts w:ascii="Arial" w:hAnsi="Arial" w:cs="Arial"/>
                <w:sz w:val="24"/>
                <w:szCs w:val="24"/>
              </w:rPr>
              <w:t xml:space="preserve">will be required </w:t>
            </w:r>
            <w:r>
              <w:rPr>
                <w:rFonts w:ascii="Arial" w:hAnsi="Arial" w:cs="Arial"/>
                <w:sz w:val="24"/>
                <w:szCs w:val="24"/>
              </w:rPr>
              <w:t>at a working group</w:t>
            </w:r>
            <w:r w:rsidR="006A1E94">
              <w:rPr>
                <w:rFonts w:ascii="Arial" w:hAnsi="Arial" w:cs="Arial"/>
                <w:sz w:val="24"/>
                <w:szCs w:val="24"/>
              </w:rPr>
              <w:t xml:space="preserve"> will</w:t>
            </w:r>
            <w:r>
              <w:rPr>
                <w:rFonts w:ascii="Arial" w:hAnsi="Arial" w:cs="Arial"/>
                <w:sz w:val="24"/>
                <w:szCs w:val="24"/>
              </w:rPr>
              <w:t xml:space="preserve"> be after March </w:t>
            </w:r>
            <w:r w:rsidR="00A62C47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A12F94" w:rsidRDefault="00A12F94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Pr="00EE5175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F94" w:rsidTr="00A12F94">
        <w:tc>
          <w:tcPr>
            <w:tcW w:w="1170" w:type="dxa"/>
          </w:tcPr>
          <w:p w:rsidR="00A12F94" w:rsidRDefault="007854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1.2</w:t>
            </w:r>
          </w:p>
        </w:tc>
        <w:tc>
          <w:tcPr>
            <w:tcW w:w="6196" w:type="dxa"/>
          </w:tcPr>
          <w:p w:rsidR="007854BD" w:rsidRPr="005F30BE" w:rsidRDefault="007854BD" w:rsidP="007854BD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854BD" w:rsidRPr="005F30BE" w:rsidRDefault="007854BD" w:rsidP="005F30BE">
            <w:pPr>
              <w:ind w:left="360" w:hanging="360"/>
              <w:rPr>
                <w:rFonts w:ascii="Arial" w:eastAsia="Times New Roman" w:hAnsi="Arial" w:cs="Arial"/>
                <w:sz w:val="24"/>
                <w:szCs w:val="24"/>
              </w:rPr>
            </w:pPr>
            <w:r w:rsidRPr="005F30BE">
              <w:rPr>
                <w:rFonts w:ascii="Arial" w:eastAsia="Times New Roman" w:hAnsi="Arial" w:cs="Arial"/>
                <w:sz w:val="24"/>
                <w:szCs w:val="24"/>
              </w:rPr>
              <w:t>Is there a word or page limit on our submission?</w:t>
            </w:r>
          </w:p>
          <w:p w:rsidR="007854BD" w:rsidRPr="005F30BE" w:rsidRDefault="007854BD" w:rsidP="007854BD">
            <w:pPr>
              <w:rPr>
                <w:rFonts w:ascii="Arial" w:hAnsi="Arial" w:cs="Arial"/>
                <w:sz w:val="24"/>
                <w:szCs w:val="24"/>
              </w:rPr>
            </w:pPr>
          </w:p>
          <w:p w:rsidR="004064CF" w:rsidRPr="005F30BE" w:rsidRDefault="004064CF" w:rsidP="004064CF">
            <w:pPr>
              <w:rPr>
                <w:rFonts w:ascii="Arial" w:hAnsi="Arial" w:cs="Arial"/>
                <w:sz w:val="24"/>
                <w:szCs w:val="24"/>
              </w:rPr>
            </w:pPr>
          </w:p>
          <w:p w:rsidR="00A12F94" w:rsidRPr="005F30BE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4064CF" w:rsidRDefault="004064CF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7854BD" w:rsidP="0010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105232">
              <w:rPr>
                <w:rFonts w:ascii="Arial" w:hAnsi="Arial" w:cs="Arial"/>
                <w:sz w:val="24"/>
                <w:szCs w:val="24"/>
              </w:rPr>
              <w:t xml:space="preserve">, but </w:t>
            </w:r>
            <w:r w:rsidR="00105232" w:rsidRPr="00656E67">
              <w:rPr>
                <w:rFonts w:ascii="Arial" w:hAnsi="Arial" w:cs="Arial"/>
              </w:rPr>
              <w:t>Prospective tenders should respond to each of the specification criteria outlined in section 1</w:t>
            </w:r>
            <w:r w:rsidR="00105232">
              <w:rPr>
                <w:rFonts w:ascii="Arial" w:hAnsi="Arial" w:cs="Arial"/>
              </w:rPr>
              <w:t>2</w:t>
            </w:r>
            <w:r w:rsidR="00105232" w:rsidRPr="00656E67">
              <w:rPr>
                <w:rFonts w:ascii="Arial" w:hAnsi="Arial" w:cs="Arial"/>
              </w:rPr>
              <w:t xml:space="preserve"> of the specification document. The responses should be clear and concise and address each of the specification ID’s from 1.1 to 1.</w:t>
            </w:r>
            <w:r w:rsidR="00105232">
              <w:rPr>
                <w:rFonts w:ascii="Arial" w:hAnsi="Arial" w:cs="Arial"/>
              </w:rPr>
              <w:t>8</w:t>
            </w:r>
          </w:p>
          <w:p w:rsidR="007854BD" w:rsidRPr="00EE5175" w:rsidRDefault="007854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F94" w:rsidTr="00361BEE">
        <w:tc>
          <w:tcPr>
            <w:tcW w:w="1170" w:type="dxa"/>
          </w:tcPr>
          <w:p w:rsidR="00A12F94" w:rsidRDefault="007854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6196" w:type="dxa"/>
          </w:tcPr>
          <w:p w:rsidR="00A12F94" w:rsidRPr="005F30BE" w:rsidRDefault="007854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0BE">
              <w:rPr>
                <w:rFonts w:ascii="Arial" w:eastAsia="Times New Roman" w:hAnsi="Arial" w:cs="Arial"/>
                <w:sz w:val="24"/>
                <w:szCs w:val="24"/>
              </w:rPr>
              <w:t>Are you content for the Technical and Commercial proposals as separate documents</w:t>
            </w:r>
          </w:p>
        </w:tc>
        <w:tc>
          <w:tcPr>
            <w:tcW w:w="5584" w:type="dxa"/>
            <w:shd w:val="clear" w:color="auto" w:fill="auto"/>
          </w:tcPr>
          <w:p w:rsidR="005F30BE" w:rsidRDefault="005F30BE" w:rsidP="00105232">
            <w:pPr>
              <w:ind w:left="29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Yes,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as long </w:t>
            </w:r>
            <w:r w:rsidR="00F805EC">
              <w:rPr>
                <w:rFonts w:ascii="Arial" w:eastAsia="Times New Roman" w:hAnsi="Arial" w:cs="Arial"/>
                <w:sz w:val="24"/>
                <w:szCs w:val="24"/>
              </w:rPr>
              <w:t>as</w:t>
            </w:r>
            <w:proofErr w:type="gramEnd"/>
            <w:r w:rsidR="00F805E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it </w:t>
            </w:r>
            <w:r w:rsidR="00F805EC">
              <w:rPr>
                <w:rFonts w:ascii="Arial" w:eastAsia="Times New Roman" w:hAnsi="Arial" w:cs="Arial"/>
                <w:sz w:val="24"/>
                <w:szCs w:val="24"/>
              </w:rPr>
              <w:t>is clearly marked and</w:t>
            </w:r>
            <w:r w:rsidR="00105232">
              <w:rPr>
                <w:rFonts w:ascii="Arial" w:eastAsia="Times New Roman" w:hAnsi="Arial" w:cs="Arial"/>
                <w:sz w:val="24"/>
                <w:szCs w:val="24"/>
              </w:rPr>
              <w:t xml:space="preserve"> can easily be understood.</w:t>
            </w:r>
          </w:p>
          <w:p w:rsidR="00A12F94" w:rsidRPr="00EE5175" w:rsidRDefault="00A12F94" w:rsidP="00EE51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2F94" w:rsidTr="00A12F94">
        <w:tc>
          <w:tcPr>
            <w:tcW w:w="1170" w:type="dxa"/>
          </w:tcPr>
          <w:p w:rsidR="00A12F94" w:rsidRDefault="007854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6196" w:type="dxa"/>
          </w:tcPr>
          <w:p w:rsidR="005F30BE" w:rsidRPr="005F30BE" w:rsidRDefault="005F30BE" w:rsidP="005F30BE">
            <w:pPr>
              <w:ind w:left="271" w:hanging="14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5F30BE">
              <w:rPr>
                <w:rFonts w:ascii="Arial" w:eastAsia="Times New Roman" w:hAnsi="Arial" w:cs="Arial"/>
                <w:sz w:val="24"/>
                <w:szCs w:val="24"/>
              </w:rPr>
              <w:t xml:space="preserve">The Government website indicates that the document linked via </w:t>
            </w:r>
            <w:hyperlink r:id="rId7" w:history="1">
              <w:r w:rsidRPr="005F30BE">
                <w:rPr>
                  <w:rStyle w:val="Hyperlink"/>
                  <w:rFonts w:ascii="Arial" w:eastAsia="Times New Roman" w:hAnsi="Arial" w:cs="Arial"/>
                  <w:color w:val="0070C0"/>
                  <w:sz w:val="24"/>
                  <w:szCs w:val="24"/>
                </w:rPr>
                <w:t>http://www.defra.gov.uk/environment/business/marketing/glc/code.htm</w:t>
              </w:r>
            </w:hyperlink>
            <w:r w:rsidRPr="005F30BE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; </w:t>
            </w:r>
            <w:r w:rsidRPr="005F30BE">
              <w:rPr>
                <w:rFonts w:ascii="Arial" w:eastAsia="Times New Roman" w:hAnsi="Arial" w:cs="Arial"/>
                <w:sz w:val="24"/>
                <w:szCs w:val="24"/>
              </w:rPr>
              <w:t>has been archived.  Is there an alternative document which is available?</w:t>
            </w:r>
          </w:p>
          <w:p w:rsidR="00A12F94" w:rsidRPr="005F30BE" w:rsidRDefault="00A12F94" w:rsidP="00836F2B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5584" w:type="dxa"/>
          </w:tcPr>
          <w:p w:rsidR="00A12F94" w:rsidRDefault="00A12F94" w:rsidP="00836F2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7B8F" w:rsidRDefault="00C621FD" w:rsidP="00836F2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257B8F" w:rsidRPr="00EF4FD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https://www.gov.uk/government/publications/make-a-green-claim/make-an-environmental-claim-for-your-product-service-or-organisation</w:t>
              </w:r>
            </w:hyperlink>
          </w:p>
          <w:p w:rsidR="00257B8F" w:rsidRDefault="00257B8F" w:rsidP="00836F2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167F" w:rsidRPr="00EE5175" w:rsidRDefault="0095167F" w:rsidP="00836F2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F94" w:rsidTr="00A12F94">
        <w:tc>
          <w:tcPr>
            <w:tcW w:w="1170" w:type="dxa"/>
          </w:tcPr>
          <w:p w:rsidR="00A12F94" w:rsidRDefault="00A534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</w:t>
            </w:r>
          </w:p>
          <w:p w:rsidR="00A534E2" w:rsidRDefault="00A534E2">
            <w:pPr>
              <w:rPr>
                <w:rFonts w:ascii="Arial" w:hAnsi="Arial" w:cs="Arial"/>
                <w:b/>
              </w:rPr>
            </w:pPr>
          </w:p>
        </w:tc>
        <w:tc>
          <w:tcPr>
            <w:tcW w:w="6196" w:type="dxa"/>
          </w:tcPr>
          <w:p w:rsidR="00A12F94" w:rsidRPr="00C621FD" w:rsidRDefault="00C621FD">
            <w:pPr>
              <w:rPr>
                <w:rFonts w:ascii="Arial" w:hAnsi="Arial" w:cs="Arial"/>
                <w:sz w:val="24"/>
                <w:szCs w:val="24"/>
              </w:rPr>
            </w:pPr>
            <w:r w:rsidRPr="00C621FD">
              <w:rPr>
                <w:rFonts w:ascii="Arial" w:hAnsi="Arial" w:cs="Arial"/>
                <w:sz w:val="24"/>
                <w:szCs w:val="24"/>
              </w:rPr>
              <w:t xml:space="preserve">Will the time allowed for the </w:t>
            </w:r>
            <w:proofErr w:type="spellStart"/>
            <w:r w:rsidRPr="00C621FD">
              <w:rPr>
                <w:rFonts w:ascii="Arial" w:hAnsi="Arial" w:cs="Arial"/>
                <w:sz w:val="24"/>
                <w:szCs w:val="24"/>
              </w:rPr>
              <w:t>completein</w:t>
            </w:r>
            <w:proofErr w:type="spellEnd"/>
            <w:r w:rsidRPr="00C621FD">
              <w:rPr>
                <w:rFonts w:ascii="Arial" w:hAnsi="Arial" w:cs="Arial"/>
                <w:sz w:val="24"/>
                <w:szCs w:val="24"/>
              </w:rPr>
              <w:t xml:space="preserve"> of tenders be extended </w:t>
            </w:r>
          </w:p>
        </w:tc>
        <w:tc>
          <w:tcPr>
            <w:tcW w:w="5584" w:type="dxa"/>
          </w:tcPr>
          <w:p w:rsidR="00A12F94" w:rsidRPr="00C621FD" w:rsidRDefault="00C621FD">
            <w:pPr>
              <w:rPr>
                <w:rFonts w:ascii="Arial" w:hAnsi="Arial" w:cs="Arial"/>
                <w:sz w:val="24"/>
                <w:szCs w:val="24"/>
              </w:rPr>
            </w:pPr>
            <w:r w:rsidRPr="00C621FD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  <w:r w:rsidRPr="00C621FD">
              <w:rPr>
                <w:rFonts w:ascii="Arial" w:hAnsi="Arial" w:cs="Arial"/>
                <w:sz w:val="24"/>
                <w:szCs w:val="24"/>
              </w:rPr>
              <w:t xml:space="preserve"> this will still be the 15</w:t>
            </w:r>
            <w:r w:rsidRPr="00C621F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621FD">
              <w:rPr>
                <w:rFonts w:ascii="Arial" w:hAnsi="Arial" w:cs="Arial"/>
                <w:sz w:val="24"/>
                <w:szCs w:val="24"/>
              </w:rPr>
              <w:t xml:space="preserve"> December at 11:00 </w:t>
            </w:r>
            <w:proofErr w:type="spellStart"/>
            <w:r w:rsidRPr="00C621FD">
              <w:rPr>
                <w:rFonts w:ascii="Arial" w:hAnsi="Arial" w:cs="Arial"/>
                <w:sz w:val="24"/>
                <w:szCs w:val="24"/>
              </w:rPr>
              <w:t>a.m</w:t>
            </w:r>
            <w:proofErr w:type="spellEnd"/>
          </w:p>
        </w:tc>
      </w:tr>
    </w:tbl>
    <w:p w:rsidR="00A12F94" w:rsidRPr="00A12F94" w:rsidRDefault="00A12F94">
      <w:pPr>
        <w:rPr>
          <w:rFonts w:ascii="Arial" w:hAnsi="Arial" w:cs="Arial"/>
          <w:b/>
        </w:rPr>
      </w:pPr>
    </w:p>
    <w:sectPr w:rsidR="00A12F94" w:rsidRPr="00A12F94" w:rsidSect="00A12F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1A7" w:rsidRDefault="005331A7" w:rsidP="005331A7">
      <w:pPr>
        <w:spacing w:after="0" w:line="240" w:lineRule="auto"/>
      </w:pPr>
      <w:r>
        <w:separator/>
      </w:r>
    </w:p>
  </w:endnote>
  <w:endnote w:type="continuationSeparator" w:id="0">
    <w:p w:rsidR="005331A7" w:rsidRDefault="005331A7" w:rsidP="0053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1A7" w:rsidRDefault="00533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1A7" w:rsidRDefault="005331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1A7" w:rsidRDefault="00533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1A7" w:rsidRDefault="005331A7" w:rsidP="005331A7">
      <w:pPr>
        <w:spacing w:after="0" w:line="240" w:lineRule="auto"/>
      </w:pPr>
      <w:r>
        <w:separator/>
      </w:r>
    </w:p>
  </w:footnote>
  <w:footnote w:type="continuationSeparator" w:id="0">
    <w:p w:rsidR="005331A7" w:rsidRDefault="005331A7" w:rsidP="0053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1A7" w:rsidRDefault="00533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1A7" w:rsidRDefault="00533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1A7" w:rsidRDefault="00533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1F97"/>
    <w:multiLevelType w:val="hybridMultilevel"/>
    <w:tmpl w:val="8A0C6756"/>
    <w:lvl w:ilvl="0" w:tplc="B824B3AE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83D0AA3"/>
    <w:multiLevelType w:val="hybridMultilevel"/>
    <w:tmpl w:val="745E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37E5A"/>
    <w:multiLevelType w:val="hybridMultilevel"/>
    <w:tmpl w:val="3190B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37FAD"/>
    <w:multiLevelType w:val="hybridMultilevel"/>
    <w:tmpl w:val="23306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94"/>
    <w:rsid w:val="000C0379"/>
    <w:rsid w:val="00105232"/>
    <w:rsid w:val="0024022F"/>
    <w:rsid w:val="00257B8F"/>
    <w:rsid w:val="00345B03"/>
    <w:rsid w:val="0034724C"/>
    <w:rsid w:val="00361BEE"/>
    <w:rsid w:val="004064CF"/>
    <w:rsid w:val="00413AE3"/>
    <w:rsid w:val="0047045F"/>
    <w:rsid w:val="005331A7"/>
    <w:rsid w:val="005F30BE"/>
    <w:rsid w:val="00600500"/>
    <w:rsid w:val="00664266"/>
    <w:rsid w:val="006A1E94"/>
    <w:rsid w:val="00747486"/>
    <w:rsid w:val="007854BD"/>
    <w:rsid w:val="00787280"/>
    <w:rsid w:val="008058E4"/>
    <w:rsid w:val="00836F2B"/>
    <w:rsid w:val="0095167F"/>
    <w:rsid w:val="00A12F94"/>
    <w:rsid w:val="00A534E2"/>
    <w:rsid w:val="00A62C47"/>
    <w:rsid w:val="00C00E7F"/>
    <w:rsid w:val="00C445ED"/>
    <w:rsid w:val="00C621FD"/>
    <w:rsid w:val="00EE5175"/>
    <w:rsid w:val="00F8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BF71"/>
  <w15:chartTrackingRefBased/>
  <w15:docId w15:val="{4B1B326D-A2FA-46CB-9BA7-E37596ED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4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B8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B8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33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1A7"/>
  </w:style>
  <w:style w:type="paragraph" w:styleId="Footer">
    <w:name w:val="footer"/>
    <w:basedOn w:val="Normal"/>
    <w:link w:val="FooterChar"/>
    <w:uiPriority w:val="99"/>
    <w:unhideWhenUsed/>
    <w:rsid w:val="00533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make-a-green-claim/make-an-environmental-claim-for-your-product-service-or-organisatio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defra.gov.uk/environment/business/marketing/glc/code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Graham Smith</cp:lastModifiedBy>
  <cp:revision>2</cp:revision>
  <dcterms:created xsi:type="dcterms:W3CDTF">2017-12-08T07:09:00Z</dcterms:created>
  <dcterms:modified xsi:type="dcterms:W3CDTF">2017-12-08T07:09:00Z</dcterms:modified>
</cp:coreProperties>
</file>