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17E7" w:rsidRPr="00EF2D13" w:rsidRDefault="00EF2D13">
      <w:pPr>
        <w:rPr>
          <w:rFonts w:ascii="Arial" w:hAnsi="Arial" w:cs="Arial"/>
          <w:b/>
          <w:u w:val="single"/>
        </w:rPr>
      </w:pPr>
      <w:bookmarkStart w:id="0" w:name="_GoBack"/>
      <w:bookmarkEnd w:id="0"/>
      <w:r w:rsidRPr="00EF2D13">
        <w:rPr>
          <w:rFonts w:ascii="Arial" w:hAnsi="Arial" w:cs="Arial"/>
          <w:b/>
          <w:u w:val="single"/>
        </w:rPr>
        <w:t>Death in Service and Critical Illness Health Insurance Requirements – Proposed Specification Summary</w:t>
      </w:r>
    </w:p>
    <w:p w:rsidR="00EF2D13" w:rsidRPr="00EF2D13" w:rsidRDefault="00EF2D13" w:rsidP="00EF2D13">
      <w:pPr>
        <w:pStyle w:val="Heading1"/>
        <w:numPr>
          <w:ilvl w:val="0"/>
          <w:numId w:val="2"/>
        </w:numPr>
        <w:tabs>
          <w:tab w:val="clear" w:pos="720"/>
        </w:tabs>
        <w:overflowPunct w:val="0"/>
        <w:autoSpaceDE w:val="0"/>
        <w:autoSpaceDN w:val="0"/>
        <w:spacing w:after="120"/>
        <w:textAlignment w:val="baseline"/>
        <w:rPr>
          <w:rFonts w:cs="Arial"/>
          <w:szCs w:val="22"/>
        </w:rPr>
      </w:pPr>
      <w:bookmarkStart w:id="1" w:name="_Toc368573027"/>
      <w:bookmarkStart w:id="2" w:name="_Toc444518866"/>
      <w:r w:rsidRPr="00EF2D13">
        <w:rPr>
          <w:rFonts w:cs="Arial"/>
          <w:caps w:val="0"/>
          <w:szCs w:val="22"/>
        </w:rPr>
        <w:t>PURPOSE</w:t>
      </w:r>
      <w:bookmarkEnd w:id="1"/>
      <w:bookmarkEnd w:id="2"/>
    </w:p>
    <w:p w:rsidR="00D97397" w:rsidRDefault="00D97397" w:rsidP="00D97397">
      <w:pPr>
        <w:pStyle w:val="Heading2"/>
        <w:tabs>
          <w:tab w:val="clear" w:pos="720"/>
          <w:tab w:val="num" w:pos="709"/>
        </w:tabs>
        <w:overflowPunct w:val="0"/>
        <w:autoSpaceDE w:val="0"/>
        <w:autoSpaceDN w:val="0"/>
        <w:spacing w:after="120"/>
        <w:ind w:left="709" w:hanging="709"/>
        <w:textAlignment w:val="baseline"/>
        <w:rPr>
          <w:szCs w:val="22"/>
        </w:rPr>
      </w:pPr>
      <w:bookmarkStart w:id="3" w:name="_Toc296415791"/>
      <w:r w:rsidRPr="002C632C">
        <w:rPr>
          <w:szCs w:val="22"/>
        </w:rPr>
        <w:t>This statement of requirements is to procure insurance cover for death in service (“DIS”)</w:t>
      </w:r>
      <w:r>
        <w:rPr>
          <w:szCs w:val="22"/>
        </w:rPr>
        <w:t xml:space="preserve"> and </w:t>
      </w:r>
      <w:r w:rsidRPr="008F7BB1">
        <w:rPr>
          <w:szCs w:val="22"/>
        </w:rPr>
        <w:t>insurance cover</w:t>
      </w:r>
      <w:r w:rsidRPr="008B3F60">
        <w:rPr>
          <w:szCs w:val="22"/>
        </w:rPr>
        <w:t xml:space="preserve"> </w:t>
      </w:r>
      <w:r>
        <w:rPr>
          <w:szCs w:val="22"/>
        </w:rPr>
        <w:t xml:space="preserve">for </w:t>
      </w:r>
      <w:r w:rsidRPr="008F7BB1">
        <w:rPr>
          <w:szCs w:val="22"/>
        </w:rPr>
        <w:t>il</w:t>
      </w:r>
      <w:r>
        <w:rPr>
          <w:szCs w:val="22"/>
        </w:rPr>
        <w:t>l health retirement</w:t>
      </w:r>
      <w:r w:rsidRPr="002C632C">
        <w:rPr>
          <w:szCs w:val="22"/>
        </w:rPr>
        <w:t xml:space="preserve"> for employees of the Government Commercial Organisation (“GCO”). </w:t>
      </w:r>
    </w:p>
    <w:p w:rsidR="00D97397" w:rsidRPr="00D97397" w:rsidRDefault="00D97397" w:rsidP="00D97397">
      <w:pPr>
        <w:pStyle w:val="Heading2"/>
        <w:overflowPunct w:val="0"/>
        <w:autoSpaceDE w:val="0"/>
        <w:autoSpaceDN w:val="0"/>
        <w:spacing w:after="120"/>
        <w:ind w:left="709" w:hanging="709"/>
        <w:textAlignment w:val="baseline"/>
        <w:rPr>
          <w:szCs w:val="22"/>
        </w:rPr>
      </w:pPr>
      <w:r w:rsidRPr="002C632C">
        <w:rPr>
          <w:szCs w:val="22"/>
        </w:rPr>
        <w:t xml:space="preserve">The GCO is an employer of senior commercial staff across government. It will offer unique terms and conditions to its specialist employees, including a pension from Standard Life. This pension does not include DIS insurance cover. </w:t>
      </w:r>
    </w:p>
    <w:p w:rsidR="00EF2D13" w:rsidRPr="00EF2D13" w:rsidRDefault="00EF2D13" w:rsidP="00EF2D13">
      <w:pPr>
        <w:pStyle w:val="Heading1"/>
        <w:tabs>
          <w:tab w:val="clear" w:pos="720"/>
        </w:tabs>
        <w:overflowPunct w:val="0"/>
        <w:autoSpaceDE w:val="0"/>
        <w:autoSpaceDN w:val="0"/>
        <w:spacing w:after="120"/>
        <w:textAlignment w:val="baseline"/>
        <w:rPr>
          <w:rFonts w:cs="Arial"/>
          <w:szCs w:val="22"/>
        </w:rPr>
      </w:pPr>
      <w:bookmarkStart w:id="4" w:name="_Toc368573028"/>
      <w:bookmarkStart w:id="5" w:name="_Toc444518867"/>
      <w:bookmarkStart w:id="6" w:name="_Toc297554773"/>
      <w:bookmarkStart w:id="7" w:name="_Toc296415805"/>
      <w:bookmarkStart w:id="8" w:name="_Toc296415793"/>
      <w:bookmarkEnd w:id="3"/>
      <w:r w:rsidRPr="00EF2D13">
        <w:rPr>
          <w:rFonts w:cs="Arial"/>
          <w:szCs w:val="22"/>
        </w:rPr>
        <w:t>BACKGROUND TO THE CONTRACTING aUTHORITY</w:t>
      </w:r>
      <w:bookmarkEnd w:id="4"/>
      <w:bookmarkEnd w:id="5"/>
    </w:p>
    <w:p w:rsidR="00D97397" w:rsidRDefault="00D97397" w:rsidP="00D97397">
      <w:pPr>
        <w:pStyle w:val="Heading2"/>
        <w:tabs>
          <w:tab w:val="clear" w:pos="720"/>
          <w:tab w:val="num" w:pos="709"/>
        </w:tabs>
        <w:spacing w:after="120"/>
        <w:ind w:left="709" w:hanging="709"/>
      </w:pPr>
      <w:bookmarkStart w:id="9" w:name="_Toc368573029"/>
      <w:bookmarkStart w:id="10" w:name="_Toc444518868"/>
      <w:r>
        <w:rPr>
          <w:szCs w:val="22"/>
        </w:rPr>
        <w:t>Cabinet Office is a Ministerial UK Government department that provides support to the Prime Minister and, in partnership with HM Treasury, are the corporate headquarters for government</w:t>
      </w:r>
      <w:r>
        <w:t xml:space="preserve">. </w:t>
      </w:r>
    </w:p>
    <w:p w:rsidR="00D97397" w:rsidRPr="008F7BB1" w:rsidRDefault="00D97397" w:rsidP="00D97397">
      <w:pPr>
        <w:pStyle w:val="Heading2"/>
        <w:tabs>
          <w:tab w:val="clear" w:pos="720"/>
          <w:tab w:val="num" w:pos="709"/>
        </w:tabs>
        <w:spacing w:after="120"/>
        <w:ind w:left="709" w:hanging="709"/>
      </w:pPr>
      <w:r w:rsidRPr="008F7BB1">
        <w:rPr>
          <w:szCs w:val="22"/>
        </w:rPr>
        <w:t xml:space="preserve">The GCO is a </w:t>
      </w:r>
      <w:r>
        <w:rPr>
          <w:szCs w:val="22"/>
        </w:rPr>
        <w:t>business unit</w:t>
      </w:r>
      <w:r w:rsidRPr="008F7BB1">
        <w:rPr>
          <w:szCs w:val="22"/>
        </w:rPr>
        <w:t xml:space="preserve"> </w:t>
      </w:r>
      <w:r>
        <w:rPr>
          <w:szCs w:val="22"/>
        </w:rPr>
        <w:t>within</w:t>
      </w:r>
      <w:r w:rsidRPr="008F7BB1">
        <w:rPr>
          <w:szCs w:val="22"/>
        </w:rPr>
        <w:t xml:space="preserve"> Cabinet Office.</w:t>
      </w:r>
    </w:p>
    <w:p w:rsidR="00EF2D13" w:rsidRPr="00EF2D13" w:rsidRDefault="00EF2D13" w:rsidP="00EF2D13">
      <w:pPr>
        <w:pStyle w:val="Heading1"/>
        <w:tabs>
          <w:tab w:val="clear" w:pos="720"/>
        </w:tabs>
        <w:overflowPunct w:val="0"/>
        <w:autoSpaceDE w:val="0"/>
        <w:autoSpaceDN w:val="0"/>
        <w:spacing w:after="120"/>
        <w:textAlignment w:val="baseline"/>
        <w:rPr>
          <w:rFonts w:cs="Arial"/>
          <w:szCs w:val="22"/>
        </w:rPr>
      </w:pPr>
      <w:r w:rsidRPr="00EF2D13">
        <w:rPr>
          <w:rFonts w:cs="Arial"/>
          <w:szCs w:val="22"/>
        </w:rPr>
        <w:t>Background to requirement/OVERVIEW</w:t>
      </w:r>
      <w:bookmarkEnd w:id="6"/>
      <w:r w:rsidRPr="00EF2D13">
        <w:rPr>
          <w:rFonts w:cs="Arial"/>
          <w:szCs w:val="22"/>
        </w:rPr>
        <w:t xml:space="preserve"> of requirement</w:t>
      </w:r>
      <w:bookmarkEnd w:id="9"/>
      <w:bookmarkEnd w:id="10"/>
    </w:p>
    <w:p w:rsidR="00D97397" w:rsidRDefault="00D97397" w:rsidP="00D97397">
      <w:pPr>
        <w:pStyle w:val="Heading2"/>
        <w:spacing w:after="120"/>
        <w:ind w:left="709" w:hanging="709"/>
      </w:pPr>
      <w:bookmarkStart w:id="11" w:name="_Toc444518869"/>
      <w:bookmarkStart w:id="12" w:name="_Toc297554774"/>
      <w:bookmarkStart w:id="13" w:name="_Toc368573030"/>
      <w:bookmarkEnd w:id="7"/>
      <w:r>
        <w:t>The G</w:t>
      </w:r>
      <w:r w:rsidRPr="006305D3">
        <w:t xml:space="preserve">overnment </w:t>
      </w:r>
      <w:r>
        <w:t xml:space="preserve">has established the Government Commercial Function (GCF) to work as a function (profession) across government departments and agencies to increase the commercial capability of all staff and improve commercial outcomes. </w:t>
      </w:r>
    </w:p>
    <w:p w:rsidR="00D97397" w:rsidRDefault="00D97397" w:rsidP="00D97397">
      <w:pPr>
        <w:pStyle w:val="Heading2"/>
        <w:spacing w:after="120"/>
        <w:ind w:left="709" w:hanging="709"/>
      </w:pPr>
      <w:r>
        <w:t>As part of a transformation programme to increase the attractiveness of the profession and upskill senior staff the government has agreed to offer unique terms and conditions to senior commercial staff. This improved offer in pay is offset in part by changes to pension arrangements. As a result pension cover is being procured from the private sector and employees on the new terms and conditions will not be eligible for Civil Service pensions.</w:t>
      </w:r>
    </w:p>
    <w:p w:rsidR="00D97397" w:rsidRDefault="00D97397" w:rsidP="00D97397">
      <w:pPr>
        <w:pStyle w:val="Heading2"/>
        <w:spacing w:after="120"/>
        <w:ind w:left="709" w:hanging="709"/>
      </w:pPr>
      <w:r>
        <w:t>The GCO has been set up to manage this change to the government employment model. The GCO’s mission is to recruit, develop, retain, and deploy the best UK senior commercial talent on government’s commercial priorities.</w:t>
      </w:r>
    </w:p>
    <w:p w:rsidR="00D97397" w:rsidRPr="00DE568D" w:rsidRDefault="00D97397" w:rsidP="00D97397">
      <w:pPr>
        <w:pStyle w:val="Heading2"/>
        <w:tabs>
          <w:tab w:val="clear" w:pos="720"/>
          <w:tab w:val="num" w:pos="709"/>
        </w:tabs>
        <w:spacing w:after="120"/>
        <w:ind w:left="709" w:hanging="709"/>
      </w:pPr>
      <w:r w:rsidRPr="00DE568D">
        <w:t xml:space="preserve">The </w:t>
      </w:r>
      <w:r>
        <w:t xml:space="preserve">GCO is currently transitioning existing staff who assessed suitable (high-level of expertise) </w:t>
      </w:r>
      <w:r w:rsidRPr="00DE568D">
        <w:t xml:space="preserve">from departments </w:t>
      </w:r>
      <w:r>
        <w:t>in</w:t>
      </w:r>
      <w:r w:rsidRPr="00DE568D">
        <w:t>to the GCO. The transition process is happening in waves with the full transition of staff from t</w:t>
      </w:r>
      <w:r>
        <w:t xml:space="preserve">he main government departments </w:t>
      </w:r>
      <w:r w:rsidRPr="00DE568D">
        <w:t>expected to be completed by the end of 2017 calendar year. The first transitioning department to the GCO will be the Department for Work and Pensions</w:t>
      </w:r>
      <w:r>
        <w:t xml:space="preserve"> (DWP)</w:t>
      </w:r>
      <w:r w:rsidRPr="00DE568D">
        <w:t>, whose transition will take place on the 1</w:t>
      </w:r>
      <w:r w:rsidRPr="00DE568D">
        <w:rPr>
          <w:vertAlign w:val="superscript"/>
        </w:rPr>
        <w:t>st</w:t>
      </w:r>
      <w:r w:rsidRPr="00DE568D">
        <w:t xml:space="preserve"> February 2017, followed closely by other departments over the 2017 period. </w:t>
      </w:r>
      <w:r>
        <w:t>The GCO will provide a pension from Standard Life, which does not include ill health retirement insurance cover. It is important that this insurance is in place quickly in the event that any individuals are medically certified as unable to continue working, enabling cover for any liabilities that may subsequently result.</w:t>
      </w:r>
    </w:p>
    <w:p w:rsidR="00EF2D13" w:rsidRPr="00EF2D13" w:rsidRDefault="00EF2D13" w:rsidP="00EF2D13">
      <w:pPr>
        <w:pStyle w:val="Heading1"/>
        <w:tabs>
          <w:tab w:val="clear" w:pos="720"/>
        </w:tabs>
        <w:overflowPunct w:val="0"/>
        <w:autoSpaceDE w:val="0"/>
        <w:autoSpaceDN w:val="0"/>
        <w:spacing w:after="120"/>
        <w:textAlignment w:val="baseline"/>
        <w:rPr>
          <w:rFonts w:cs="Arial"/>
          <w:szCs w:val="22"/>
        </w:rPr>
      </w:pPr>
      <w:r w:rsidRPr="00EF2D13">
        <w:rPr>
          <w:rFonts w:cs="Arial"/>
          <w:szCs w:val="22"/>
        </w:rPr>
        <w:t>definitions</w:t>
      </w:r>
      <w:bookmarkEnd w:id="11"/>
      <w:r w:rsidRPr="00EF2D13">
        <w:rPr>
          <w:rFonts w:cs="Arial"/>
          <w:szCs w:val="22"/>
        </w:rPr>
        <w:t xml:space="preserve"> </w:t>
      </w:r>
    </w:p>
    <w:tbl>
      <w:tblPr>
        <w:tblStyle w:val="TableGrid"/>
        <w:tblW w:w="0" w:type="auto"/>
        <w:tblInd w:w="720" w:type="dxa"/>
        <w:tblLook w:val="04A0" w:firstRow="1" w:lastRow="0" w:firstColumn="1" w:lastColumn="0" w:noHBand="0" w:noVBand="1"/>
      </w:tblPr>
      <w:tblGrid>
        <w:gridCol w:w="2082"/>
        <w:gridCol w:w="6217"/>
      </w:tblGrid>
      <w:tr w:rsidR="00EF2D13" w:rsidRPr="00EF2D13" w:rsidTr="00F02223">
        <w:tc>
          <w:tcPr>
            <w:tcW w:w="2082" w:type="dxa"/>
            <w:shd w:val="clear" w:color="auto" w:fill="D5DCE4" w:themeFill="text2" w:themeFillTint="33"/>
          </w:tcPr>
          <w:p w:rsidR="00EF2D13" w:rsidRPr="00EF2D13" w:rsidRDefault="00EF2D13" w:rsidP="00F02223">
            <w:pPr>
              <w:pStyle w:val="Heading2"/>
              <w:numPr>
                <w:ilvl w:val="0"/>
                <w:numId w:val="0"/>
              </w:numPr>
              <w:spacing w:after="120"/>
              <w:ind w:left="18" w:hanging="18"/>
              <w:jc w:val="left"/>
              <w:outlineLvl w:val="1"/>
              <w:rPr>
                <w:rFonts w:cs="Arial"/>
                <w:sz w:val="22"/>
                <w:szCs w:val="22"/>
              </w:rPr>
            </w:pPr>
            <w:r w:rsidRPr="00EF2D13">
              <w:rPr>
                <w:rFonts w:cs="Arial"/>
                <w:sz w:val="22"/>
                <w:szCs w:val="22"/>
              </w:rPr>
              <w:t>Expression or Acronym</w:t>
            </w:r>
          </w:p>
        </w:tc>
        <w:tc>
          <w:tcPr>
            <w:tcW w:w="6217" w:type="dxa"/>
            <w:shd w:val="clear" w:color="auto" w:fill="D5DCE4" w:themeFill="text2" w:themeFillTint="33"/>
          </w:tcPr>
          <w:p w:rsidR="00EF2D13" w:rsidRPr="00EF2D13" w:rsidRDefault="00EF2D13" w:rsidP="00F02223">
            <w:pPr>
              <w:pStyle w:val="Heading2"/>
              <w:numPr>
                <w:ilvl w:val="0"/>
                <w:numId w:val="0"/>
              </w:numPr>
              <w:spacing w:after="120"/>
              <w:ind w:left="720" w:hanging="720"/>
              <w:outlineLvl w:val="1"/>
              <w:rPr>
                <w:rFonts w:cs="Arial"/>
                <w:sz w:val="22"/>
                <w:szCs w:val="22"/>
              </w:rPr>
            </w:pPr>
            <w:r w:rsidRPr="00EF2D13">
              <w:rPr>
                <w:rFonts w:cs="Arial"/>
                <w:sz w:val="22"/>
                <w:szCs w:val="22"/>
              </w:rPr>
              <w:t>Definition</w:t>
            </w:r>
          </w:p>
        </w:tc>
      </w:tr>
      <w:tr w:rsidR="00EF2D13" w:rsidRPr="00EF2D13" w:rsidTr="00F02223">
        <w:tc>
          <w:tcPr>
            <w:tcW w:w="2082" w:type="dxa"/>
          </w:tcPr>
          <w:p w:rsidR="00EF2D13" w:rsidRPr="00EF2D13" w:rsidRDefault="00EF2D13" w:rsidP="00F02223">
            <w:pPr>
              <w:pStyle w:val="Heading2"/>
              <w:numPr>
                <w:ilvl w:val="0"/>
                <w:numId w:val="0"/>
              </w:numPr>
              <w:spacing w:after="120"/>
              <w:ind w:left="720" w:hanging="720"/>
              <w:outlineLvl w:val="1"/>
              <w:rPr>
                <w:rFonts w:cs="Arial"/>
                <w:sz w:val="22"/>
                <w:szCs w:val="22"/>
              </w:rPr>
            </w:pPr>
            <w:r w:rsidRPr="00EF2D13">
              <w:rPr>
                <w:rFonts w:cs="Arial"/>
                <w:sz w:val="22"/>
                <w:szCs w:val="22"/>
              </w:rPr>
              <w:t>GCF</w:t>
            </w:r>
          </w:p>
        </w:tc>
        <w:tc>
          <w:tcPr>
            <w:tcW w:w="6217" w:type="dxa"/>
          </w:tcPr>
          <w:p w:rsidR="00EF2D13" w:rsidRPr="00EF2D13" w:rsidRDefault="00EF2D13" w:rsidP="00F02223">
            <w:pPr>
              <w:pStyle w:val="Heading2"/>
              <w:numPr>
                <w:ilvl w:val="0"/>
                <w:numId w:val="0"/>
              </w:numPr>
              <w:spacing w:after="120"/>
              <w:outlineLvl w:val="1"/>
              <w:rPr>
                <w:rFonts w:cs="Arial"/>
                <w:sz w:val="22"/>
                <w:szCs w:val="22"/>
              </w:rPr>
            </w:pPr>
            <w:proofErr w:type="gramStart"/>
            <w:r w:rsidRPr="00EF2D13">
              <w:rPr>
                <w:rFonts w:cs="Arial"/>
                <w:sz w:val="22"/>
                <w:szCs w:val="22"/>
              </w:rPr>
              <w:t>means</w:t>
            </w:r>
            <w:proofErr w:type="gramEnd"/>
            <w:r w:rsidRPr="00EF2D13">
              <w:rPr>
                <w:rFonts w:cs="Arial"/>
                <w:sz w:val="22"/>
                <w:szCs w:val="22"/>
              </w:rPr>
              <w:t xml:space="preserve"> Government Commercial Function.</w:t>
            </w:r>
          </w:p>
        </w:tc>
      </w:tr>
      <w:tr w:rsidR="00EF2D13" w:rsidRPr="00EF2D13" w:rsidTr="00F02223">
        <w:tc>
          <w:tcPr>
            <w:tcW w:w="2082" w:type="dxa"/>
          </w:tcPr>
          <w:p w:rsidR="00EF2D13" w:rsidRPr="00EF2D13" w:rsidRDefault="00EF2D13" w:rsidP="00F02223">
            <w:pPr>
              <w:pStyle w:val="Heading2"/>
              <w:numPr>
                <w:ilvl w:val="0"/>
                <w:numId w:val="0"/>
              </w:numPr>
              <w:spacing w:after="120"/>
              <w:ind w:left="720" w:hanging="720"/>
              <w:outlineLvl w:val="1"/>
              <w:rPr>
                <w:rFonts w:cs="Arial"/>
                <w:sz w:val="22"/>
                <w:szCs w:val="22"/>
              </w:rPr>
            </w:pPr>
            <w:r w:rsidRPr="00EF2D13">
              <w:rPr>
                <w:rFonts w:cs="Arial"/>
                <w:sz w:val="22"/>
                <w:szCs w:val="22"/>
              </w:rPr>
              <w:t>GCO</w:t>
            </w:r>
          </w:p>
        </w:tc>
        <w:tc>
          <w:tcPr>
            <w:tcW w:w="6217" w:type="dxa"/>
          </w:tcPr>
          <w:p w:rsidR="00EF2D13" w:rsidRPr="00EF2D13" w:rsidRDefault="00EF2D13" w:rsidP="00F02223">
            <w:pPr>
              <w:pStyle w:val="Heading2"/>
              <w:numPr>
                <w:ilvl w:val="0"/>
                <w:numId w:val="0"/>
              </w:numPr>
              <w:spacing w:after="120"/>
              <w:outlineLvl w:val="1"/>
              <w:rPr>
                <w:rFonts w:cs="Arial"/>
                <w:sz w:val="22"/>
                <w:szCs w:val="22"/>
              </w:rPr>
            </w:pPr>
            <w:proofErr w:type="gramStart"/>
            <w:r w:rsidRPr="00EF2D13">
              <w:rPr>
                <w:rFonts w:cs="Arial"/>
                <w:sz w:val="22"/>
                <w:szCs w:val="22"/>
              </w:rPr>
              <w:t>means</w:t>
            </w:r>
            <w:proofErr w:type="gramEnd"/>
            <w:r w:rsidRPr="00EF2D13">
              <w:rPr>
                <w:rFonts w:cs="Arial"/>
                <w:sz w:val="22"/>
                <w:szCs w:val="22"/>
              </w:rPr>
              <w:t xml:space="preserve"> Government Commercial Organisation. </w:t>
            </w:r>
          </w:p>
        </w:tc>
      </w:tr>
      <w:tr w:rsidR="00EF2D13" w:rsidRPr="00EF2D13" w:rsidTr="00F02223">
        <w:tc>
          <w:tcPr>
            <w:tcW w:w="2082" w:type="dxa"/>
          </w:tcPr>
          <w:p w:rsidR="00EF2D13" w:rsidRPr="00EF2D13" w:rsidRDefault="00EF2D13" w:rsidP="00F02223">
            <w:pPr>
              <w:pStyle w:val="Heading2"/>
              <w:numPr>
                <w:ilvl w:val="0"/>
                <w:numId w:val="0"/>
              </w:numPr>
              <w:spacing w:after="120"/>
              <w:ind w:left="720" w:hanging="720"/>
              <w:outlineLvl w:val="1"/>
              <w:rPr>
                <w:rFonts w:cs="Arial"/>
                <w:sz w:val="22"/>
                <w:szCs w:val="22"/>
              </w:rPr>
            </w:pPr>
            <w:r w:rsidRPr="00EF2D13">
              <w:rPr>
                <w:rFonts w:cs="Arial"/>
                <w:sz w:val="22"/>
                <w:szCs w:val="22"/>
              </w:rPr>
              <w:t>DIS</w:t>
            </w:r>
          </w:p>
        </w:tc>
        <w:tc>
          <w:tcPr>
            <w:tcW w:w="6217" w:type="dxa"/>
          </w:tcPr>
          <w:p w:rsidR="00EF2D13" w:rsidRPr="00EF2D13" w:rsidRDefault="00EF2D13" w:rsidP="00F02223">
            <w:pPr>
              <w:pStyle w:val="Heading2"/>
              <w:numPr>
                <w:ilvl w:val="0"/>
                <w:numId w:val="0"/>
              </w:numPr>
              <w:spacing w:after="120"/>
              <w:ind w:left="720" w:hanging="720"/>
              <w:outlineLvl w:val="1"/>
              <w:rPr>
                <w:rFonts w:cs="Arial"/>
                <w:sz w:val="22"/>
                <w:szCs w:val="22"/>
              </w:rPr>
            </w:pPr>
            <w:proofErr w:type="gramStart"/>
            <w:r w:rsidRPr="00EF2D13">
              <w:rPr>
                <w:rFonts w:cs="Arial"/>
                <w:sz w:val="22"/>
                <w:szCs w:val="22"/>
              </w:rPr>
              <w:t>means</w:t>
            </w:r>
            <w:proofErr w:type="gramEnd"/>
            <w:r w:rsidRPr="00EF2D13">
              <w:rPr>
                <w:rFonts w:cs="Arial"/>
                <w:sz w:val="22"/>
                <w:szCs w:val="22"/>
              </w:rPr>
              <w:t xml:space="preserve"> death in service.</w:t>
            </w:r>
          </w:p>
        </w:tc>
      </w:tr>
      <w:tr w:rsidR="00EF2D13" w:rsidRPr="00EF2D13" w:rsidTr="00F02223">
        <w:tc>
          <w:tcPr>
            <w:tcW w:w="2082" w:type="dxa"/>
          </w:tcPr>
          <w:p w:rsidR="00EF2D13" w:rsidRPr="00EF2D13" w:rsidRDefault="00EF2D13" w:rsidP="00F02223">
            <w:pPr>
              <w:pStyle w:val="Heading2"/>
              <w:numPr>
                <w:ilvl w:val="0"/>
                <w:numId w:val="0"/>
              </w:numPr>
              <w:spacing w:after="120"/>
              <w:ind w:left="720" w:hanging="720"/>
              <w:jc w:val="left"/>
              <w:outlineLvl w:val="1"/>
              <w:rPr>
                <w:rFonts w:cs="Arial"/>
                <w:sz w:val="22"/>
                <w:szCs w:val="22"/>
              </w:rPr>
            </w:pPr>
            <w:r w:rsidRPr="00EF2D13">
              <w:rPr>
                <w:rFonts w:cs="Arial"/>
                <w:sz w:val="22"/>
                <w:szCs w:val="22"/>
              </w:rPr>
              <w:t>Ill health insurance</w:t>
            </w:r>
          </w:p>
        </w:tc>
        <w:tc>
          <w:tcPr>
            <w:tcW w:w="6217" w:type="dxa"/>
          </w:tcPr>
          <w:p w:rsidR="00EF2D13" w:rsidRPr="00EF2D13" w:rsidRDefault="00EF2D13" w:rsidP="00F02223">
            <w:pPr>
              <w:pStyle w:val="Heading2"/>
              <w:numPr>
                <w:ilvl w:val="0"/>
                <w:numId w:val="0"/>
              </w:numPr>
              <w:spacing w:after="120"/>
              <w:outlineLvl w:val="1"/>
              <w:rPr>
                <w:rFonts w:cs="Arial"/>
                <w:sz w:val="22"/>
                <w:szCs w:val="22"/>
              </w:rPr>
            </w:pPr>
            <w:proofErr w:type="gramStart"/>
            <w:r w:rsidRPr="00EF2D13">
              <w:rPr>
                <w:rFonts w:cs="Arial"/>
                <w:sz w:val="22"/>
                <w:szCs w:val="22"/>
              </w:rPr>
              <w:t>means</w:t>
            </w:r>
            <w:proofErr w:type="gramEnd"/>
            <w:r w:rsidRPr="00EF2D13">
              <w:rPr>
                <w:rFonts w:cs="Arial"/>
                <w:sz w:val="22"/>
                <w:szCs w:val="22"/>
              </w:rPr>
              <w:t xml:space="preserve"> an insurance to provide for a payment to an individual who has been medically certified as unable to continue </w:t>
            </w:r>
            <w:r w:rsidRPr="00EF2D13">
              <w:rPr>
                <w:rFonts w:cs="Arial"/>
                <w:sz w:val="22"/>
                <w:szCs w:val="22"/>
              </w:rPr>
              <w:lastRenderedPageBreak/>
              <w:t>working.</w:t>
            </w:r>
          </w:p>
        </w:tc>
      </w:tr>
    </w:tbl>
    <w:p w:rsidR="00EF2D13" w:rsidRPr="00EF2D13" w:rsidRDefault="00EF2D13" w:rsidP="00EF2D13">
      <w:pPr>
        <w:pStyle w:val="Heading1"/>
        <w:tabs>
          <w:tab w:val="clear" w:pos="720"/>
        </w:tabs>
        <w:overflowPunct w:val="0"/>
        <w:autoSpaceDE w:val="0"/>
        <w:autoSpaceDN w:val="0"/>
        <w:spacing w:before="240" w:after="120"/>
        <w:textAlignment w:val="baseline"/>
        <w:rPr>
          <w:rFonts w:cs="Arial"/>
          <w:szCs w:val="22"/>
        </w:rPr>
      </w:pPr>
      <w:bookmarkStart w:id="14" w:name="_Toc444518870"/>
      <w:r w:rsidRPr="00EF2D13">
        <w:rPr>
          <w:rFonts w:cs="Arial"/>
          <w:szCs w:val="22"/>
        </w:rPr>
        <w:lastRenderedPageBreak/>
        <w:t>scope of requirement</w:t>
      </w:r>
      <w:bookmarkEnd w:id="12"/>
      <w:bookmarkEnd w:id="13"/>
      <w:bookmarkEnd w:id="14"/>
      <w:r w:rsidRPr="00EF2D13">
        <w:rPr>
          <w:rFonts w:cs="Arial"/>
          <w:szCs w:val="22"/>
        </w:rPr>
        <w:t xml:space="preserve"> </w:t>
      </w:r>
    </w:p>
    <w:bookmarkEnd w:id="8"/>
    <w:p w:rsidR="00D97397" w:rsidRDefault="00D97397" w:rsidP="00D97397">
      <w:pPr>
        <w:pStyle w:val="Heading2"/>
        <w:tabs>
          <w:tab w:val="clear" w:pos="720"/>
          <w:tab w:val="num" w:pos="862"/>
        </w:tabs>
        <w:overflowPunct w:val="0"/>
        <w:autoSpaceDE w:val="0"/>
        <w:autoSpaceDN w:val="0"/>
        <w:spacing w:after="120"/>
        <w:ind w:left="709" w:hanging="709"/>
        <w:textAlignment w:val="baseline"/>
      </w:pPr>
      <w:r>
        <w:t>S</w:t>
      </w:r>
      <w:r w:rsidRPr="00301BB5">
        <w:t xml:space="preserve">pecific details of individuals </w:t>
      </w:r>
      <w:r>
        <w:t>are currently not available as the transition details are still being finalised</w:t>
      </w:r>
      <w:r w:rsidRPr="00301BB5">
        <w:t xml:space="preserve">. </w:t>
      </w:r>
    </w:p>
    <w:p w:rsidR="00D97397" w:rsidRDefault="00D97397" w:rsidP="00D97397">
      <w:pPr>
        <w:pStyle w:val="Heading2"/>
        <w:tabs>
          <w:tab w:val="clear" w:pos="720"/>
          <w:tab w:val="num" w:pos="862"/>
        </w:tabs>
        <w:overflowPunct w:val="0"/>
        <w:autoSpaceDE w:val="0"/>
        <w:autoSpaceDN w:val="0"/>
        <w:spacing w:after="120"/>
        <w:ind w:left="709" w:hanging="709"/>
        <w:textAlignment w:val="baseline"/>
      </w:pPr>
      <w:r w:rsidRPr="00301BB5">
        <w:t>DIS</w:t>
      </w:r>
      <w:r>
        <w:t xml:space="preserve"> insurance cover is expected to provide </w:t>
      </w:r>
      <w:r w:rsidRPr="00301BB5">
        <w:t xml:space="preserve">3 times </w:t>
      </w:r>
      <w:r>
        <w:t xml:space="preserve">the individuals </w:t>
      </w:r>
      <w:r w:rsidRPr="00301BB5">
        <w:t xml:space="preserve">salary </w:t>
      </w:r>
      <w:r>
        <w:t>should they</w:t>
      </w:r>
      <w:r w:rsidRPr="00301BB5">
        <w:t xml:space="preserve"> die in service. The cover is </w:t>
      </w:r>
      <w:r>
        <w:t xml:space="preserve">initially </w:t>
      </w:r>
      <w:r w:rsidRPr="00301BB5">
        <w:t xml:space="preserve">required </w:t>
      </w:r>
      <w:r>
        <w:t xml:space="preserve">for up to </w:t>
      </w:r>
      <w:r w:rsidRPr="00301BB5">
        <w:t>200 employees</w:t>
      </w:r>
      <w:r>
        <w:t>, but the option to scale this up must also be provided, with the expectation that the GCO will employ more than 500 specialists in due course. Potential providers should provide cost estimates for the initial 200 employees, and an indication of potential costs for up to 500 employees.</w:t>
      </w:r>
    </w:p>
    <w:p w:rsidR="00D97397" w:rsidRDefault="00D97397" w:rsidP="00D97397">
      <w:pPr>
        <w:pStyle w:val="Heading2"/>
        <w:overflowPunct w:val="0"/>
        <w:autoSpaceDE w:val="0"/>
        <w:autoSpaceDN w:val="0"/>
        <w:spacing w:after="120"/>
        <w:ind w:left="709" w:hanging="709"/>
        <w:textAlignment w:val="baseline"/>
      </w:pPr>
      <w:r>
        <w:t xml:space="preserve">Ill health insurance cover is expected to provide 50% of salary for a period of up to 5 years, commencing after the expiry of statutory sick pay entitlement, and where an individual has been medically certified as unfit to continue working. </w:t>
      </w:r>
      <w:r w:rsidRPr="00301BB5">
        <w:t xml:space="preserve">The cover is </w:t>
      </w:r>
      <w:r>
        <w:t xml:space="preserve">initially </w:t>
      </w:r>
      <w:r w:rsidRPr="00301BB5">
        <w:t xml:space="preserve">required </w:t>
      </w:r>
      <w:r>
        <w:t xml:space="preserve">for up to </w:t>
      </w:r>
      <w:r w:rsidRPr="00301BB5">
        <w:t>200 employees</w:t>
      </w:r>
      <w:r>
        <w:t>, but the option to scale this up must also be provided, with the expectation that the GCO will employ more than 500 specialists in due course. Potential providers should provide cost estimates for the initial 200 employees, and an indication of potential costs for up to 500 employees.</w:t>
      </w:r>
    </w:p>
    <w:p w:rsidR="00D97397" w:rsidRPr="00C15493" w:rsidRDefault="00D97397" w:rsidP="00D97397">
      <w:pPr>
        <w:pStyle w:val="Heading2"/>
        <w:tabs>
          <w:tab w:val="clear" w:pos="720"/>
          <w:tab w:val="num" w:pos="862"/>
        </w:tabs>
        <w:overflowPunct w:val="0"/>
        <w:autoSpaceDE w:val="0"/>
        <w:autoSpaceDN w:val="0"/>
        <w:spacing w:after="120"/>
        <w:ind w:left="709" w:hanging="709"/>
        <w:textAlignment w:val="baseline"/>
      </w:pPr>
      <w:r w:rsidRPr="00C15493">
        <w:t xml:space="preserve">The pay scales for </w:t>
      </w:r>
      <w:r>
        <w:t>GCO</w:t>
      </w:r>
      <w:r w:rsidRPr="00C15493">
        <w:t xml:space="preserve"> staff, with an estimate of the distribution across the 3 specialist grades are as follows:</w:t>
      </w:r>
    </w:p>
    <w:tbl>
      <w:tblPr>
        <w:tblStyle w:val="TableGrid"/>
        <w:tblW w:w="8363" w:type="dxa"/>
        <w:tblInd w:w="704" w:type="dxa"/>
        <w:tblLook w:val="04A0" w:firstRow="1" w:lastRow="0" w:firstColumn="1" w:lastColumn="0" w:noHBand="0" w:noVBand="1"/>
      </w:tblPr>
      <w:tblGrid>
        <w:gridCol w:w="1391"/>
        <w:gridCol w:w="1378"/>
        <w:gridCol w:w="1323"/>
        <w:gridCol w:w="1324"/>
        <w:gridCol w:w="1546"/>
        <w:gridCol w:w="1401"/>
      </w:tblGrid>
      <w:tr w:rsidR="00D97397" w:rsidRPr="00AE154E" w:rsidTr="00D65233">
        <w:tc>
          <w:tcPr>
            <w:tcW w:w="1070" w:type="dxa"/>
            <w:shd w:val="clear" w:color="auto" w:fill="D9D9D9" w:themeFill="background1" w:themeFillShade="D9"/>
            <w:vAlign w:val="center"/>
          </w:tcPr>
          <w:p w:rsidR="00D97397" w:rsidRPr="00D97397" w:rsidRDefault="00D97397" w:rsidP="00D65233">
            <w:pPr>
              <w:jc w:val="center"/>
              <w:rPr>
                <w:rFonts w:ascii="Arial" w:eastAsia="STZhongsong" w:hAnsi="Arial"/>
                <w:sz w:val="22"/>
                <w:lang w:eastAsia="zh-CN"/>
              </w:rPr>
            </w:pPr>
            <w:r w:rsidRPr="00D97397">
              <w:rPr>
                <w:rFonts w:ascii="Arial" w:eastAsia="STZhongsong" w:hAnsi="Arial"/>
                <w:sz w:val="22"/>
                <w:lang w:eastAsia="zh-CN"/>
              </w:rPr>
              <w:t>Specialist Level</w:t>
            </w:r>
          </w:p>
        </w:tc>
        <w:tc>
          <w:tcPr>
            <w:tcW w:w="1482" w:type="dxa"/>
            <w:shd w:val="clear" w:color="auto" w:fill="D9D9D9" w:themeFill="background1" w:themeFillShade="D9"/>
            <w:vAlign w:val="center"/>
          </w:tcPr>
          <w:p w:rsidR="00D97397" w:rsidRPr="00D97397" w:rsidRDefault="00D97397" w:rsidP="00D65233">
            <w:pPr>
              <w:jc w:val="center"/>
              <w:rPr>
                <w:rFonts w:ascii="Arial" w:eastAsia="STZhongsong" w:hAnsi="Arial"/>
                <w:sz w:val="22"/>
                <w:lang w:eastAsia="zh-CN"/>
              </w:rPr>
            </w:pPr>
            <w:r w:rsidRPr="00D97397">
              <w:rPr>
                <w:rFonts w:ascii="Arial" w:eastAsia="STZhongsong" w:hAnsi="Arial"/>
                <w:sz w:val="22"/>
                <w:lang w:eastAsia="zh-CN"/>
              </w:rPr>
              <w:t>Base Pay Low</w:t>
            </w:r>
          </w:p>
        </w:tc>
        <w:tc>
          <w:tcPr>
            <w:tcW w:w="1417" w:type="dxa"/>
            <w:shd w:val="clear" w:color="auto" w:fill="D9D9D9" w:themeFill="background1" w:themeFillShade="D9"/>
            <w:vAlign w:val="center"/>
          </w:tcPr>
          <w:p w:rsidR="00D97397" w:rsidRPr="00D97397" w:rsidRDefault="00D97397" w:rsidP="00D65233">
            <w:pPr>
              <w:jc w:val="center"/>
              <w:rPr>
                <w:rFonts w:ascii="Arial" w:eastAsia="STZhongsong" w:hAnsi="Arial"/>
                <w:sz w:val="22"/>
                <w:lang w:eastAsia="zh-CN"/>
              </w:rPr>
            </w:pPr>
            <w:r w:rsidRPr="00D97397">
              <w:rPr>
                <w:rFonts w:ascii="Arial" w:eastAsia="STZhongsong" w:hAnsi="Arial"/>
                <w:sz w:val="22"/>
                <w:lang w:eastAsia="zh-CN"/>
              </w:rPr>
              <w:t>Base Pay Mid</w:t>
            </w:r>
          </w:p>
        </w:tc>
        <w:tc>
          <w:tcPr>
            <w:tcW w:w="1418" w:type="dxa"/>
            <w:shd w:val="clear" w:color="auto" w:fill="D9D9D9" w:themeFill="background1" w:themeFillShade="D9"/>
            <w:vAlign w:val="center"/>
          </w:tcPr>
          <w:p w:rsidR="00D97397" w:rsidRPr="00D97397" w:rsidRDefault="00D97397" w:rsidP="00D65233">
            <w:pPr>
              <w:jc w:val="center"/>
              <w:rPr>
                <w:rFonts w:ascii="Arial" w:eastAsia="STZhongsong" w:hAnsi="Arial"/>
                <w:sz w:val="22"/>
                <w:lang w:eastAsia="zh-CN"/>
              </w:rPr>
            </w:pPr>
            <w:r w:rsidRPr="00D97397">
              <w:rPr>
                <w:rFonts w:ascii="Arial" w:eastAsia="STZhongsong" w:hAnsi="Arial"/>
                <w:sz w:val="22"/>
                <w:lang w:eastAsia="zh-CN"/>
              </w:rPr>
              <w:t>Base Pay High</w:t>
            </w:r>
          </w:p>
        </w:tc>
        <w:tc>
          <w:tcPr>
            <w:tcW w:w="1559" w:type="dxa"/>
            <w:shd w:val="clear" w:color="auto" w:fill="D9D9D9" w:themeFill="background1" w:themeFillShade="D9"/>
            <w:vAlign w:val="center"/>
          </w:tcPr>
          <w:p w:rsidR="00D97397" w:rsidRPr="00D97397" w:rsidRDefault="00D97397" w:rsidP="00D65233">
            <w:pPr>
              <w:jc w:val="center"/>
              <w:rPr>
                <w:rFonts w:ascii="Arial" w:eastAsia="STZhongsong" w:hAnsi="Arial"/>
                <w:sz w:val="22"/>
                <w:lang w:eastAsia="zh-CN"/>
              </w:rPr>
            </w:pPr>
            <w:r w:rsidRPr="00D97397">
              <w:rPr>
                <w:rFonts w:ascii="Arial" w:eastAsia="STZhongsong" w:hAnsi="Arial"/>
                <w:sz w:val="22"/>
                <w:lang w:eastAsia="zh-CN"/>
              </w:rPr>
              <w:t>Non-consolidated Performance Related Pay</w:t>
            </w:r>
          </w:p>
        </w:tc>
        <w:tc>
          <w:tcPr>
            <w:tcW w:w="1417" w:type="dxa"/>
            <w:shd w:val="clear" w:color="auto" w:fill="D9D9D9" w:themeFill="background1" w:themeFillShade="D9"/>
            <w:vAlign w:val="center"/>
          </w:tcPr>
          <w:p w:rsidR="00D97397" w:rsidRPr="00D97397" w:rsidRDefault="00D97397" w:rsidP="00D65233">
            <w:pPr>
              <w:jc w:val="center"/>
              <w:rPr>
                <w:rFonts w:ascii="Arial" w:eastAsia="STZhongsong" w:hAnsi="Arial"/>
                <w:sz w:val="22"/>
                <w:lang w:eastAsia="zh-CN"/>
              </w:rPr>
            </w:pPr>
            <w:r w:rsidRPr="00D97397">
              <w:rPr>
                <w:rFonts w:ascii="Arial" w:eastAsia="STZhongsong" w:hAnsi="Arial"/>
                <w:sz w:val="22"/>
                <w:lang w:eastAsia="zh-CN"/>
              </w:rPr>
              <w:t>Distribution of Staff across Specialist</w:t>
            </w:r>
          </w:p>
        </w:tc>
      </w:tr>
      <w:tr w:rsidR="00D97397" w:rsidRPr="00AE154E" w:rsidTr="00D65233">
        <w:tc>
          <w:tcPr>
            <w:tcW w:w="1070" w:type="dxa"/>
            <w:vAlign w:val="center"/>
          </w:tcPr>
          <w:p w:rsidR="00D97397" w:rsidRPr="00D97397" w:rsidRDefault="00D97397" w:rsidP="00D65233">
            <w:pPr>
              <w:jc w:val="center"/>
              <w:rPr>
                <w:rFonts w:ascii="Arial" w:eastAsia="STZhongsong" w:hAnsi="Arial"/>
                <w:sz w:val="22"/>
                <w:lang w:eastAsia="zh-CN"/>
              </w:rPr>
            </w:pPr>
            <w:r w:rsidRPr="00D97397">
              <w:rPr>
                <w:rFonts w:ascii="Arial" w:eastAsia="STZhongsong" w:hAnsi="Arial"/>
                <w:sz w:val="22"/>
                <w:lang w:eastAsia="zh-CN"/>
              </w:rPr>
              <w:t>Senior Commercial Specialist</w:t>
            </w:r>
          </w:p>
        </w:tc>
        <w:tc>
          <w:tcPr>
            <w:tcW w:w="1482" w:type="dxa"/>
            <w:vAlign w:val="center"/>
          </w:tcPr>
          <w:p w:rsidR="00D97397" w:rsidRPr="00D97397" w:rsidRDefault="00D97397" w:rsidP="00D65233">
            <w:pPr>
              <w:jc w:val="center"/>
              <w:rPr>
                <w:rFonts w:ascii="Arial" w:eastAsia="STZhongsong" w:hAnsi="Arial"/>
                <w:sz w:val="22"/>
                <w:lang w:eastAsia="zh-CN"/>
              </w:rPr>
            </w:pPr>
            <w:r w:rsidRPr="00D97397">
              <w:rPr>
                <w:rFonts w:ascii="Arial" w:eastAsia="STZhongsong" w:hAnsi="Arial"/>
                <w:sz w:val="22"/>
                <w:lang w:eastAsia="zh-CN"/>
              </w:rPr>
              <w:t>£130k to £170k</w:t>
            </w:r>
          </w:p>
        </w:tc>
        <w:tc>
          <w:tcPr>
            <w:tcW w:w="1417" w:type="dxa"/>
            <w:vAlign w:val="center"/>
          </w:tcPr>
          <w:p w:rsidR="00D97397" w:rsidRPr="00D97397" w:rsidRDefault="00D97397" w:rsidP="00D65233">
            <w:pPr>
              <w:jc w:val="center"/>
              <w:rPr>
                <w:rFonts w:ascii="Arial" w:eastAsia="STZhongsong" w:hAnsi="Arial"/>
                <w:sz w:val="22"/>
                <w:lang w:eastAsia="zh-CN"/>
              </w:rPr>
            </w:pPr>
            <w:r w:rsidRPr="00D97397">
              <w:rPr>
                <w:rFonts w:ascii="Arial" w:eastAsia="STZhongsong" w:hAnsi="Arial"/>
                <w:sz w:val="22"/>
                <w:lang w:eastAsia="zh-CN"/>
              </w:rPr>
              <w:t>£170k to £180k</w:t>
            </w:r>
          </w:p>
        </w:tc>
        <w:tc>
          <w:tcPr>
            <w:tcW w:w="1418" w:type="dxa"/>
            <w:vAlign w:val="center"/>
          </w:tcPr>
          <w:p w:rsidR="00D97397" w:rsidRPr="00D97397" w:rsidRDefault="00D97397" w:rsidP="00D65233">
            <w:pPr>
              <w:jc w:val="center"/>
              <w:rPr>
                <w:rFonts w:ascii="Arial" w:eastAsia="STZhongsong" w:hAnsi="Arial"/>
                <w:sz w:val="22"/>
                <w:lang w:eastAsia="zh-CN"/>
              </w:rPr>
            </w:pPr>
            <w:r w:rsidRPr="00D97397">
              <w:rPr>
                <w:rFonts w:ascii="Arial" w:eastAsia="STZhongsong" w:hAnsi="Arial"/>
                <w:sz w:val="22"/>
                <w:lang w:eastAsia="zh-CN"/>
              </w:rPr>
              <w:t>£180k to £190k</w:t>
            </w:r>
          </w:p>
        </w:tc>
        <w:tc>
          <w:tcPr>
            <w:tcW w:w="1559" w:type="dxa"/>
            <w:vAlign w:val="center"/>
          </w:tcPr>
          <w:p w:rsidR="00D97397" w:rsidRPr="00D97397" w:rsidRDefault="00D97397" w:rsidP="00D65233">
            <w:pPr>
              <w:jc w:val="center"/>
              <w:rPr>
                <w:rFonts w:ascii="Arial" w:eastAsia="STZhongsong" w:hAnsi="Arial"/>
                <w:sz w:val="22"/>
                <w:lang w:eastAsia="zh-CN"/>
              </w:rPr>
            </w:pPr>
            <w:r w:rsidRPr="00D97397">
              <w:rPr>
                <w:rFonts w:ascii="Arial" w:eastAsia="STZhongsong" w:hAnsi="Arial"/>
                <w:sz w:val="22"/>
                <w:lang w:eastAsia="zh-CN"/>
              </w:rPr>
              <w:t>20%</w:t>
            </w:r>
          </w:p>
        </w:tc>
        <w:tc>
          <w:tcPr>
            <w:tcW w:w="1417" w:type="dxa"/>
            <w:vAlign w:val="center"/>
          </w:tcPr>
          <w:p w:rsidR="00D97397" w:rsidRPr="00D97397" w:rsidRDefault="00D97397" w:rsidP="00D65233">
            <w:pPr>
              <w:jc w:val="center"/>
              <w:rPr>
                <w:rFonts w:ascii="Arial" w:eastAsia="STZhongsong" w:hAnsi="Arial"/>
                <w:sz w:val="22"/>
                <w:lang w:eastAsia="zh-CN"/>
              </w:rPr>
            </w:pPr>
            <w:r w:rsidRPr="00D97397">
              <w:rPr>
                <w:rFonts w:ascii="Arial" w:eastAsia="STZhongsong" w:hAnsi="Arial"/>
                <w:sz w:val="22"/>
                <w:lang w:eastAsia="zh-CN"/>
              </w:rPr>
              <w:t>10%</w:t>
            </w:r>
          </w:p>
        </w:tc>
      </w:tr>
      <w:tr w:rsidR="00D97397" w:rsidRPr="00AE154E" w:rsidTr="00D65233">
        <w:tc>
          <w:tcPr>
            <w:tcW w:w="1070" w:type="dxa"/>
            <w:vAlign w:val="center"/>
          </w:tcPr>
          <w:p w:rsidR="00D97397" w:rsidRPr="00D97397" w:rsidRDefault="00D97397" w:rsidP="00D65233">
            <w:pPr>
              <w:jc w:val="center"/>
              <w:rPr>
                <w:rFonts w:ascii="Arial" w:eastAsia="STZhongsong" w:hAnsi="Arial"/>
                <w:sz w:val="22"/>
                <w:lang w:eastAsia="zh-CN"/>
              </w:rPr>
            </w:pPr>
            <w:r w:rsidRPr="00D97397">
              <w:rPr>
                <w:rFonts w:ascii="Arial" w:eastAsia="STZhongsong" w:hAnsi="Arial"/>
                <w:sz w:val="22"/>
                <w:lang w:eastAsia="zh-CN"/>
              </w:rPr>
              <w:t>Commercial Specialist</w:t>
            </w:r>
          </w:p>
        </w:tc>
        <w:tc>
          <w:tcPr>
            <w:tcW w:w="1482" w:type="dxa"/>
            <w:vAlign w:val="center"/>
          </w:tcPr>
          <w:p w:rsidR="00D97397" w:rsidRPr="00D97397" w:rsidRDefault="00D97397" w:rsidP="00D65233">
            <w:pPr>
              <w:jc w:val="center"/>
              <w:rPr>
                <w:rFonts w:ascii="Arial" w:eastAsia="STZhongsong" w:hAnsi="Arial"/>
                <w:sz w:val="22"/>
                <w:lang w:eastAsia="zh-CN"/>
              </w:rPr>
            </w:pPr>
            <w:r w:rsidRPr="00D97397">
              <w:rPr>
                <w:rFonts w:ascii="Arial" w:eastAsia="STZhongsong" w:hAnsi="Arial"/>
                <w:sz w:val="22"/>
                <w:lang w:eastAsia="zh-CN"/>
              </w:rPr>
              <w:t xml:space="preserve">£90k to £115k </w:t>
            </w:r>
          </w:p>
        </w:tc>
        <w:tc>
          <w:tcPr>
            <w:tcW w:w="1417" w:type="dxa"/>
            <w:vAlign w:val="center"/>
          </w:tcPr>
          <w:p w:rsidR="00D97397" w:rsidRPr="00D97397" w:rsidRDefault="00D97397" w:rsidP="00D65233">
            <w:pPr>
              <w:jc w:val="center"/>
              <w:rPr>
                <w:rFonts w:ascii="Arial" w:eastAsia="STZhongsong" w:hAnsi="Arial"/>
                <w:sz w:val="22"/>
                <w:lang w:eastAsia="zh-CN"/>
              </w:rPr>
            </w:pPr>
            <w:r w:rsidRPr="00D97397">
              <w:rPr>
                <w:rFonts w:ascii="Arial" w:eastAsia="STZhongsong" w:hAnsi="Arial"/>
                <w:sz w:val="22"/>
                <w:lang w:eastAsia="zh-CN"/>
              </w:rPr>
              <w:t>£115k to £125k</w:t>
            </w:r>
          </w:p>
        </w:tc>
        <w:tc>
          <w:tcPr>
            <w:tcW w:w="1418" w:type="dxa"/>
            <w:vAlign w:val="center"/>
          </w:tcPr>
          <w:p w:rsidR="00D97397" w:rsidRPr="00D97397" w:rsidRDefault="00D97397" w:rsidP="00D65233">
            <w:pPr>
              <w:jc w:val="center"/>
              <w:rPr>
                <w:rFonts w:ascii="Arial" w:eastAsia="STZhongsong" w:hAnsi="Arial"/>
                <w:sz w:val="22"/>
                <w:lang w:eastAsia="zh-CN"/>
              </w:rPr>
            </w:pPr>
            <w:r w:rsidRPr="00D97397">
              <w:rPr>
                <w:rFonts w:ascii="Arial" w:eastAsia="STZhongsong" w:hAnsi="Arial"/>
                <w:sz w:val="22"/>
                <w:lang w:eastAsia="zh-CN"/>
              </w:rPr>
              <w:t>£125k to £130k</w:t>
            </w:r>
          </w:p>
        </w:tc>
        <w:tc>
          <w:tcPr>
            <w:tcW w:w="1559" w:type="dxa"/>
            <w:vAlign w:val="center"/>
          </w:tcPr>
          <w:p w:rsidR="00D97397" w:rsidRPr="00D97397" w:rsidRDefault="00D97397" w:rsidP="00D65233">
            <w:pPr>
              <w:jc w:val="center"/>
              <w:rPr>
                <w:rFonts w:ascii="Arial" w:eastAsia="STZhongsong" w:hAnsi="Arial"/>
                <w:sz w:val="22"/>
                <w:lang w:eastAsia="zh-CN"/>
              </w:rPr>
            </w:pPr>
            <w:r w:rsidRPr="00D97397">
              <w:rPr>
                <w:rFonts w:ascii="Arial" w:eastAsia="STZhongsong" w:hAnsi="Arial"/>
                <w:sz w:val="22"/>
                <w:lang w:eastAsia="zh-CN"/>
              </w:rPr>
              <w:t>20%</w:t>
            </w:r>
          </w:p>
        </w:tc>
        <w:tc>
          <w:tcPr>
            <w:tcW w:w="1417" w:type="dxa"/>
            <w:vAlign w:val="center"/>
          </w:tcPr>
          <w:p w:rsidR="00D97397" w:rsidRPr="00D97397" w:rsidRDefault="00D97397" w:rsidP="00D65233">
            <w:pPr>
              <w:jc w:val="center"/>
              <w:rPr>
                <w:rFonts w:ascii="Arial" w:eastAsia="STZhongsong" w:hAnsi="Arial"/>
                <w:sz w:val="22"/>
                <w:lang w:eastAsia="zh-CN"/>
              </w:rPr>
            </w:pPr>
            <w:r w:rsidRPr="00D97397">
              <w:rPr>
                <w:rFonts w:ascii="Arial" w:eastAsia="STZhongsong" w:hAnsi="Arial"/>
                <w:sz w:val="22"/>
                <w:lang w:eastAsia="zh-CN"/>
              </w:rPr>
              <w:t>30%</w:t>
            </w:r>
          </w:p>
        </w:tc>
      </w:tr>
      <w:tr w:rsidR="00D97397" w:rsidRPr="00AE154E" w:rsidTr="00D65233">
        <w:tc>
          <w:tcPr>
            <w:tcW w:w="1070" w:type="dxa"/>
            <w:vAlign w:val="center"/>
          </w:tcPr>
          <w:p w:rsidR="00D97397" w:rsidRPr="00D97397" w:rsidRDefault="00D97397" w:rsidP="00D65233">
            <w:pPr>
              <w:jc w:val="center"/>
              <w:rPr>
                <w:rFonts w:ascii="Arial" w:eastAsia="STZhongsong" w:hAnsi="Arial"/>
                <w:sz w:val="22"/>
                <w:lang w:eastAsia="zh-CN"/>
              </w:rPr>
            </w:pPr>
            <w:r w:rsidRPr="00D97397">
              <w:rPr>
                <w:rFonts w:ascii="Arial" w:eastAsia="STZhongsong" w:hAnsi="Arial"/>
                <w:sz w:val="22"/>
                <w:lang w:eastAsia="zh-CN"/>
              </w:rPr>
              <w:t>Associate</w:t>
            </w:r>
          </w:p>
          <w:p w:rsidR="00D97397" w:rsidRPr="00D97397" w:rsidRDefault="00D97397" w:rsidP="00D65233">
            <w:pPr>
              <w:jc w:val="center"/>
              <w:rPr>
                <w:rFonts w:ascii="Arial" w:eastAsia="STZhongsong" w:hAnsi="Arial"/>
                <w:sz w:val="22"/>
                <w:lang w:eastAsia="zh-CN"/>
              </w:rPr>
            </w:pPr>
            <w:r w:rsidRPr="00D97397">
              <w:rPr>
                <w:rFonts w:ascii="Arial" w:eastAsia="STZhongsong" w:hAnsi="Arial"/>
                <w:sz w:val="22"/>
                <w:lang w:eastAsia="zh-CN"/>
              </w:rPr>
              <w:t>Commercial Specialist</w:t>
            </w:r>
          </w:p>
        </w:tc>
        <w:tc>
          <w:tcPr>
            <w:tcW w:w="1482" w:type="dxa"/>
            <w:vAlign w:val="center"/>
          </w:tcPr>
          <w:p w:rsidR="00D97397" w:rsidRPr="00D97397" w:rsidRDefault="00D97397" w:rsidP="00D65233">
            <w:pPr>
              <w:jc w:val="center"/>
              <w:rPr>
                <w:rFonts w:ascii="Arial" w:eastAsia="STZhongsong" w:hAnsi="Arial"/>
                <w:sz w:val="22"/>
                <w:lang w:eastAsia="zh-CN"/>
              </w:rPr>
            </w:pPr>
            <w:r w:rsidRPr="00D97397">
              <w:rPr>
                <w:rFonts w:ascii="Arial" w:eastAsia="STZhongsong" w:hAnsi="Arial"/>
                <w:sz w:val="22"/>
                <w:lang w:eastAsia="zh-CN"/>
              </w:rPr>
              <w:t xml:space="preserve">£65k to £85k </w:t>
            </w:r>
          </w:p>
        </w:tc>
        <w:tc>
          <w:tcPr>
            <w:tcW w:w="1417" w:type="dxa"/>
            <w:vAlign w:val="center"/>
          </w:tcPr>
          <w:p w:rsidR="00D97397" w:rsidRPr="00D97397" w:rsidRDefault="00D97397" w:rsidP="00D65233">
            <w:pPr>
              <w:jc w:val="center"/>
              <w:rPr>
                <w:rFonts w:ascii="Arial" w:eastAsia="STZhongsong" w:hAnsi="Arial"/>
                <w:sz w:val="22"/>
                <w:lang w:eastAsia="zh-CN"/>
              </w:rPr>
            </w:pPr>
            <w:r w:rsidRPr="00D97397">
              <w:rPr>
                <w:rFonts w:ascii="Arial" w:eastAsia="STZhongsong" w:hAnsi="Arial"/>
                <w:sz w:val="22"/>
                <w:lang w:eastAsia="zh-CN"/>
              </w:rPr>
              <w:t>£85k to £90k</w:t>
            </w:r>
          </w:p>
        </w:tc>
        <w:tc>
          <w:tcPr>
            <w:tcW w:w="1418" w:type="dxa"/>
            <w:vAlign w:val="center"/>
          </w:tcPr>
          <w:p w:rsidR="00D97397" w:rsidRPr="00D97397" w:rsidRDefault="00D97397" w:rsidP="00D65233">
            <w:pPr>
              <w:jc w:val="center"/>
              <w:rPr>
                <w:rFonts w:ascii="Arial" w:eastAsia="STZhongsong" w:hAnsi="Arial"/>
                <w:sz w:val="22"/>
                <w:lang w:eastAsia="zh-CN"/>
              </w:rPr>
            </w:pPr>
            <w:r w:rsidRPr="00D97397">
              <w:rPr>
                <w:rFonts w:ascii="Arial" w:eastAsia="STZhongsong" w:hAnsi="Arial"/>
                <w:sz w:val="22"/>
                <w:lang w:eastAsia="zh-CN"/>
              </w:rPr>
              <w:t>£90k to £95k</w:t>
            </w:r>
          </w:p>
        </w:tc>
        <w:tc>
          <w:tcPr>
            <w:tcW w:w="1559" w:type="dxa"/>
            <w:vAlign w:val="center"/>
          </w:tcPr>
          <w:p w:rsidR="00D97397" w:rsidRPr="00D97397" w:rsidRDefault="00D97397" w:rsidP="00D65233">
            <w:pPr>
              <w:jc w:val="center"/>
              <w:rPr>
                <w:rFonts w:ascii="Arial" w:eastAsia="STZhongsong" w:hAnsi="Arial"/>
                <w:sz w:val="22"/>
                <w:lang w:eastAsia="zh-CN"/>
              </w:rPr>
            </w:pPr>
            <w:r w:rsidRPr="00D97397">
              <w:rPr>
                <w:rFonts w:ascii="Arial" w:eastAsia="STZhongsong" w:hAnsi="Arial"/>
                <w:sz w:val="22"/>
                <w:lang w:eastAsia="zh-CN"/>
              </w:rPr>
              <w:t>15%</w:t>
            </w:r>
          </w:p>
        </w:tc>
        <w:tc>
          <w:tcPr>
            <w:tcW w:w="1417" w:type="dxa"/>
            <w:vAlign w:val="center"/>
          </w:tcPr>
          <w:p w:rsidR="00D97397" w:rsidRPr="00D97397" w:rsidRDefault="00D97397" w:rsidP="00D65233">
            <w:pPr>
              <w:jc w:val="center"/>
              <w:rPr>
                <w:rFonts w:ascii="Arial" w:eastAsia="STZhongsong" w:hAnsi="Arial"/>
                <w:sz w:val="22"/>
                <w:lang w:eastAsia="zh-CN"/>
              </w:rPr>
            </w:pPr>
            <w:r w:rsidRPr="00D97397">
              <w:rPr>
                <w:rFonts w:ascii="Arial" w:eastAsia="STZhongsong" w:hAnsi="Arial"/>
                <w:sz w:val="22"/>
                <w:lang w:eastAsia="zh-CN"/>
              </w:rPr>
              <w:t>60%</w:t>
            </w:r>
          </w:p>
        </w:tc>
      </w:tr>
    </w:tbl>
    <w:p w:rsidR="00EF2D13" w:rsidRPr="00EF2D13" w:rsidRDefault="00EF2D13">
      <w:pPr>
        <w:rPr>
          <w:rFonts w:ascii="Arial" w:hAnsi="Arial" w:cs="Arial"/>
        </w:rPr>
      </w:pPr>
    </w:p>
    <w:sectPr w:rsidR="00EF2D13" w:rsidRPr="00EF2D1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3044" w:rsidRDefault="00CD3044" w:rsidP="00600296">
      <w:pPr>
        <w:spacing w:after="0" w:line="240" w:lineRule="auto"/>
      </w:pPr>
      <w:r>
        <w:separator/>
      </w:r>
    </w:p>
  </w:endnote>
  <w:endnote w:type="continuationSeparator" w:id="0">
    <w:p w:rsidR="00CD3044" w:rsidRDefault="00CD3044" w:rsidP="00600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296" w:rsidRDefault="006002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296" w:rsidRDefault="0060029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296" w:rsidRDefault="006002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3044" w:rsidRDefault="00CD3044" w:rsidP="00600296">
      <w:pPr>
        <w:spacing w:after="0" w:line="240" w:lineRule="auto"/>
      </w:pPr>
      <w:r>
        <w:separator/>
      </w:r>
    </w:p>
  </w:footnote>
  <w:footnote w:type="continuationSeparator" w:id="0">
    <w:p w:rsidR="00CD3044" w:rsidRDefault="00CD3044" w:rsidP="006002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296" w:rsidRDefault="006002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5791709"/>
      <w:docPartObj>
        <w:docPartGallery w:val="Watermarks"/>
        <w:docPartUnique/>
      </w:docPartObj>
    </w:sdtPr>
    <w:sdtEndPr/>
    <w:sdtContent>
      <w:p w:rsidR="00600296" w:rsidRDefault="00CD3044">
        <w:pPr>
          <w:pStyle w:val="Header"/>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296" w:rsidRDefault="006002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 w15:restartNumberingAfterBreak="0">
    <w:nsid w:val="1003005D"/>
    <w:multiLevelType w:val="hybridMultilevel"/>
    <w:tmpl w:val="47527528"/>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 w15:restartNumberingAfterBreak="0">
    <w:nsid w:val="51200365"/>
    <w:multiLevelType w:val="multilevel"/>
    <w:tmpl w:val="6B285866"/>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D13"/>
    <w:rsid w:val="000617E7"/>
    <w:rsid w:val="001C1477"/>
    <w:rsid w:val="00600296"/>
    <w:rsid w:val="009F7411"/>
    <w:rsid w:val="00CD3044"/>
    <w:rsid w:val="00D97397"/>
    <w:rsid w:val="00EF2D1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5:docId w15:val="{69D9A774-AF8C-462C-AC0F-08C9F2B83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EF2D13"/>
    <w:pPr>
      <w:keepNext/>
      <w:numPr>
        <w:numId w:val="1"/>
      </w:numPr>
      <w:adjustRightInd w:val="0"/>
      <w:spacing w:after="240" w:line="240" w:lineRule="auto"/>
      <w:jc w:val="both"/>
      <w:outlineLvl w:val="0"/>
    </w:pPr>
    <w:rPr>
      <w:rFonts w:ascii="Arial" w:eastAsia="STZhongsong" w:hAnsi="Arial" w:cs="Times New Roman"/>
      <w:b/>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qFormat/>
    <w:rsid w:val="00EF2D13"/>
    <w:pPr>
      <w:numPr>
        <w:ilvl w:val="1"/>
        <w:numId w:val="1"/>
      </w:numPr>
      <w:adjustRightInd w:val="0"/>
      <w:spacing w:after="240" w:line="240" w:lineRule="auto"/>
      <w:jc w:val="both"/>
      <w:outlineLvl w:val="1"/>
    </w:pPr>
    <w:rPr>
      <w:rFonts w:ascii="Arial" w:eastAsia="STZhongsong" w:hAnsi="Arial" w:cs="Times New Roman"/>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qFormat/>
    <w:rsid w:val="00EF2D13"/>
    <w:pPr>
      <w:numPr>
        <w:ilvl w:val="2"/>
        <w:numId w:val="1"/>
      </w:numPr>
      <w:adjustRightInd w:val="0"/>
      <w:spacing w:after="240" w:line="240" w:lineRule="auto"/>
      <w:jc w:val="both"/>
      <w:outlineLvl w:val="2"/>
    </w:pPr>
    <w:rPr>
      <w:rFonts w:ascii="Arial" w:eastAsia="STZhongsong" w:hAnsi="Arial" w:cs="Times New Roman"/>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qFormat/>
    <w:rsid w:val="00EF2D13"/>
    <w:pPr>
      <w:numPr>
        <w:ilvl w:val="3"/>
        <w:numId w:val="1"/>
      </w:numPr>
      <w:adjustRightInd w:val="0"/>
      <w:spacing w:after="240" w:line="240" w:lineRule="auto"/>
      <w:jc w:val="both"/>
      <w:outlineLvl w:val="3"/>
    </w:pPr>
    <w:rPr>
      <w:rFonts w:ascii="Arial" w:eastAsia="STZhongsong" w:hAnsi="Arial" w:cs="Times New Roman"/>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EF2D13"/>
    <w:pPr>
      <w:numPr>
        <w:ilvl w:val="4"/>
        <w:numId w:val="1"/>
      </w:numPr>
      <w:adjustRightInd w:val="0"/>
      <w:spacing w:after="240" w:line="240" w:lineRule="auto"/>
      <w:jc w:val="both"/>
      <w:outlineLvl w:val="4"/>
    </w:pPr>
    <w:rPr>
      <w:rFonts w:ascii="Arial" w:eastAsia="STZhongsong" w:hAnsi="Arial" w:cs="Times New Roman"/>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EF2D13"/>
    <w:pPr>
      <w:numPr>
        <w:ilvl w:val="5"/>
        <w:numId w:val="1"/>
      </w:numPr>
      <w:adjustRightInd w:val="0"/>
      <w:spacing w:after="240" w:line="240" w:lineRule="auto"/>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qFormat/>
    <w:rsid w:val="00EF2D13"/>
    <w:pPr>
      <w:numPr>
        <w:ilvl w:val="6"/>
        <w:numId w:val="1"/>
      </w:numPr>
      <w:adjustRightInd w:val="0"/>
      <w:spacing w:after="240" w:line="240" w:lineRule="auto"/>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uiPriority w:val="99"/>
    <w:qFormat/>
    <w:rsid w:val="00EF2D13"/>
    <w:pPr>
      <w:numPr>
        <w:ilvl w:val="7"/>
        <w:numId w:val="1"/>
      </w:numPr>
      <w:adjustRightInd w:val="0"/>
      <w:spacing w:after="240" w:line="240" w:lineRule="auto"/>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EF2D13"/>
    <w:pPr>
      <w:numPr>
        <w:ilvl w:val="8"/>
        <w:numId w:val="1"/>
      </w:numPr>
      <w:adjustRightInd w:val="0"/>
      <w:spacing w:after="240" w:line="240" w:lineRule="auto"/>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EF2D13"/>
    <w:rPr>
      <w:rFonts w:ascii="Arial" w:eastAsia="STZhongsong" w:hAnsi="Arial" w:cs="Times New Roman"/>
      <w:b/>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EF2D13"/>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EF2D13"/>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EF2D13"/>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EF2D13"/>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EF2D13"/>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EF2D13"/>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EF2D13"/>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EF2D13"/>
    <w:rPr>
      <w:rFonts w:ascii="Arial" w:eastAsia="STZhongsong" w:hAnsi="Arial" w:cs="Times New Roman"/>
      <w:szCs w:val="20"/>
      <w:lang w:eastAsia="zh-CN"/>
    </w:rPr>
  </w:style>
  <w:style w:type="table" w:styleId="TableGrid">
    <w:name w:val="Table Grid"/>
    <w:basedOn w:val="TableNormal"/>
    <w:uiPriority w:val="59"/>
    <w:rsid w:val="00EF2D13"/>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02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0296"/>
  </w:style>
  <w:style w:type="paragraph" w:styleId="Footer">
    <w:name w:val="footer"/>
    <w:basedOn w:val="Normal"/>
    <w:link w:val="FooterChar"/>
    <w:uiPriority w:val="99"/>
    <w:unhideWhenUsed/>
    <w:rsid w:val="006002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0296"/>
  </w:style>
  <w:style w:type="numbering" w:styleId="111111">
    <w:name w:val="Outline List 2"/>
    <w:basedOn w:val="NoList"/>
    <w:rsid w:val="00D97397"/>
    <w:pPr>
      <w:numPr>
        <w:numId w:val="4"/>
      </w:numPr>
    </w:pPr>
  </w:style>
  <w:style w:type="character" w:styleId="CommentReference">
    <w:name w:val="annotation reference"/>
    <w:basedOn w:val="DefaultParagraphFont"/>
    <w:semiHidden/>
    <w:rsid w:val="00D97397"/>
    <w:rPr>
      <w:sz w:val="16"/>
      <w:szCs w:val="16"/>
    </w:rPr>
  </w:style>
  <w:style w:type="paragraph" w:styleId="CommentText">
    <w:name w:val="annotation text"/>
    <w:basedOn w:val="Normal"/>
    <w:link w:val="CommentTextChar"/>
    <w:semiHidden/>
    <w:rsid w:val="00D97397"/>
    <w:pPr>
      <w:spacing w:after="0" w:line="240" w:lineRule="auto"/>
    </w:pPr>
    <w:rPr>
      <w:rFonts w:ascii="Arial" w:eastAsia="SimSun" w:hAnsi="Arial" w:cs="Times New Roman"/>
      <w:sz w:val="20"/>
      <w:szCs w:val="20"/>
      <w:lang w:eastAsia="zh-CN"/>
    </w:rPr>
  </w:style>
  <w:style w:type="character" w:customStyle="1" w:styleId="CommentTextChar">
    <w:name w:val="Comment Text Char"/>
    <w:basedOn w:val="DefaultParagraphFont"/>
    <w:link w:val="CommentText"/>
    <w:semiHidden/>
    <w:rsid w:val="00D97397"/>
    <w:rPr>
      <w:rFonts w:ascii="Arial" w:eastAsia="SimSun" w:hAnsi="Arial" w:cs="Times New Roman"/>
      <w:sz w:val="20"/>
      <w:szCs w:val="20"/>
      <w:lang w:eastAsia="zh-CN"/>
    </w:rPr>
  </w:style>
  <w:style w:type="paragraph" w:styleId="BalloonText">
    <w:name w:val="Balloon Text"/>
    <w:basedOn w:val="Normal"/>
    <w:link w:val="BalloonTextChar"/>
    <w:uiPriority w:val="99"/>
    <w:semiHidden/>
    <w:unhideWhenUsed/>
    <w:rsid w:val="00D9739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9739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684</Words>
  <Characters>3902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4577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Bloomer</dc:creator>
  <cp:keywords/>
  <dc:description/>
  <cp:lastModifiedBy>Jonathan Bloomer</cp:lastModifiedBy>
  <cp:revision>2</cp:revision>
  <dcterms:created xsi:type="dcterms:W3CDTF">2017-01-26T16:59:00Z</dcterms:created>
  <dcterms:modified xsi:type="dcterms:W3CDTF">2017-01-26T16:59:00Z</dcterms:modified>
</cp:coreProperties>
</file>