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0234D4" w14:textId="77777777" w:rsidR="00C1653F" w:rsidRDefault="00C1653F">
      <w:pPr>
        <w:rPr>
          <w:rFonts w:ascii="Arial" w:eastAsia="Arial" w:hAnsi="Arial" w:cs="Arial"/>
          <w:b/>
          <w:bCs/>
          <w:sz w:val="36"/>
          <w:szCs w:val="36"/>
        </w:rPr>
      </w:pPr>
    </w:p>
    <w:p w14:paraId="76B17A9C" w14:textId="77777777" w:rsidR="00C1653F" w:rsidRDefault="00221C5E">
      <w:pPr>
        <w:rPr>
          <w:rFonts w:ascii="Arial" w:eastAsia="Arial" w:hAnsi="Arial" w:cs="Arial"/>
          <w:sz w:val="36"/>
          <w:szCs w:val="36"/>
        </w:rPr>
      </w:pPr>
      <w:r>
        <w:rPr>
          <w:rFonts w:ascii="Arial" w:eastAsia="Arial" w:hAnsi="Arial" w:cs="Arial"/>
          <w:b/>
          <w:bCs/>
          <w:sz w:val="36"/>
          <w:szCs w:val="36"/>
        </w:rPr>
        <w:t>Order Schedule 20 (Order Specification)</w:t>
      </w:r>
      <w:r>
        <w:rPr>
          <w:rFonts w:ascii="Arial" w:eastAsia="Arial" w:hAnsi="Arial" w:cs="Arial"/>
          <w:sz w:val="36"/>
          <w:szCs w:val="36"/>
        </w:rPr>
        <w:t xml:space="preserve"> </w:t>
      </w:r>
    </w:p>
    <w:p w14:paraId="11B9AB76" w14:textId="77777777" w:rsidR="00C1653F" w:rsidRDefault="00221C5E">
      <w:bookmarkStart w:id="0" w:name="_heading=h.gjdgxs" w:colFirst="0" w:colLast="0"/>
      <w:bookmarkEnd w:id="0"/>
      <w:r>
        <w:rPr>
          <w:noProof/>
        </w:rPr>
        <w:drawing>
          <wp:inline distT="0" distB="0" distL="0" distR="0" wp14:anchorId="24DDDE80" wp14:editId="6EADAAF7">
            <wp:extent cx="1645920" cy="1371600"/>
            <wp:effectExtent l="0" t="0" r="0" b="0"/>
            <wp:docPr id="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45920" cy="1371600"/>
                    </a:xfrm>
                    <a:prstGeom prst="rect">
                      <a:avLst/>
                    </a:prstGeom>
                    <a:ln/>
                  </pic:spPr>
                </pic:pic>
              </a:graphicData>
            </a:graphic>
          </wp:inline>
        </w:drawing>
      </w:r>
    </w:p>
    <w:p w14:paraId="1AF379DA" w14:textId="77777777" w:rsidR="00C1653F" w:rsidRDefault="00C1653F"/>
    <w:p w14:paraId="09966B94" w14:textId="77777777" w:rsidR="00C1653F" w:rsidRDefault="00221C5E">
      <w:pPr>
        <w:shd w:val="clear" w:color="auto" w:fill="FFFFFF"/>
        <w:rPr>
          <w:sz w:val="34"/>
          <w:szCs w:val="34"/>
          <w:shd w:val="clear" w:color="auto" w:fill="FFFF99"/>
        </w:rPr>
      </w:pPr>
      <w:bookmarkStart w:id="1" w:name="_heading=h.1fob9te" w:colFirst="0" w:colLast="0"/>
      <w:bookmarkEnd w:id="1"/>
      <w:r>
        <w:rPr>
          <w:b/>
          <w:bCs/>
          <w:sz w:val="34"/>
          <w:szCs w:val="34"/>
        </w:rPr>
        <w:t>Contract Reference:</w:t>
      </w:r>
      <w:r>
        <w:rPr>
          <w:sz w:val="34"/>
          <w:szCs w:val="34"/>
        </w:rPr>
        <w:t xml:space="preserve"> CCZZ25A17</w:t>
      </w:r>
    </w:p>
    <w:p w14:paraId="6AA9B5E6" w14:textId="77777777" w:rsidR="00C1653F" w:rsidRDefault="00C1653F">
      <w:pPr>
        <w:shd w:val="clear" w:color="auto" w:fill="FFFFFF"/>
        <w:rPr>
          <w:sz w:val="34"/>
          <w:szCs w:val="34"/>
          <w:shd w:val="clear" w:color="auto" w:fill="FFFF99"/>
        </w:rPr>
      </w:pPr>
    </w:p>
    <w:p w14:paraId="0BB42E0C" w14:textId="77777777" w:rsidR="00C1653F" w:rsidRDefault="00221C5E">
      <w:pPr>
        <w:shd w:val="clear" w:color="auto" w:fill="FFFFFF"/>
        <w:rPr>
          <w:sz w:val="34"/>
          <w:szCs w:val="34"/>
        </w:rPr>
      </w:pPr>
      <w:r>
        <w:rPr>
          <w:b/>
          <w:bCs/>
          <w:sz w:val="34"/>
          <w:szCs w:val="34"/>
        </w:rPr>
        <w:t>Procurement / Contract Title:</w:t>
      </w:r>
      <w:r>
        <w:rPr>
          <w:sz w:val="34"/>
          <w:szCs w:val="34"/>
        </w:rPr>
        <w:t xml:space="preserve"> Provision of Transitions from Education to Labour Market Literature Review</w:t>
      </w:r>
    </w:p>
    <w:p w14:paraId="1A572EA5" w14:textId="77777777" w:rsidR="00C1653F" w:rsidRDefault="00C1653F">
      <w:pPr>
        <w:shd w:val="clear" w:color="auto" w:fill="FFFFFF"/>
        <w:rPr>
          <w:sz w:val="20"/>
          <w:szCs w:val="20"/>
        </w:rPr>
      </w:pPr>
    </w:p>
    <w:p w14:paraId="1DA530D5" w14:textId="77777777" w:rsidR="00C1653F" w:rsidRDefault="00C1653F">
      <w:pPr>
        <w:shd w:val="clear" w:color="auto" w:fill="FFFFFF"/>
        <w:rPr>
          <w:b/>
          <w:bCs/>
          <w:sz w:val="20"/>
          <w:szCs w:val="20"/>
          <w:shd w:val="clear" w:color="auto" w:fill="FFFF99"/>
        </w:rPr>
      </w:pPr>
    </w:p>
    <w:p w14:paraId="654F1A64" w14:textId="77777777" w:rsidR="00C1653F" w:rsidRDefault="00C1653F">
      <w:pPr>
        <w:shd w:val="clear" w:color="auto" w:fill="FFFFFF"/>
        <w:rPr>
          <w:b/>
          <w:bCs/>
          <w:sz w:val="20"/>
          <w:szCs w:val="20"/>
          <w:shd w:val="clear" w:color="auto" w:fill="FFFF99"/>
        </w:rPr>
      </w:pPr>
    </w:p>
    <w:p w14:paraId="26B46551" w14:textId="77777777" w:rsidR="00C1653F" w:rsidRDefault="00C1653F">
      <w:pPr>
        <w:shd w:val="clear" w:color="auto" w:fill="FFFFFF"/>
        <w:ind w:left="567"/>
        <w:rPr>
          <w:b/>
          <w:bCs/>
          <w:sz w:val="20"/>
          <w:szCs w:val="20"/>
          <w:shd w:val="clear" w:color="auto" w:fill="FFFF99"/>
        </w:rPr>
      </w:pPr>
    </w:p>
    <w:p w14:paraId="719F98FC" w14:textId="77777777" w:rsidR="00C1653F" w:rsidRDefault="00C1653F">
      <w:pPr>
        <w:shd w:val="clear" w:color="auto" w:fill="FFFFFF"/>
        <w:ind w:left="567"/>
        <w:rPr>
          <w:b/>
          <w:bCs/>
          <w:sz w:val="20"/>
          <w:szCs w:val="20"/>
          <w:shd w:val="clear" w:color="auto" w:fill="FFFF99"/>
        </w:rPr>
      </w:pPr>
    </w:p>
    <w:p w14:paraId="12BCDD1B" w14:textId="77777777" w:rsidR="00C1653F" w:rsidRDefault="00C1653F">
      <w:pPr>
        <w:shd w:val="clear" w:color="auto" w:fill="FFFFFF"/>
        <w:ind w:left="567"/>
        <w:rPr>
          <w:b/>
          <w:bCs/>
          <w:sz w:val="20"/>
          <w:szCs w:val="20"/>
          <w:shd w:val="clear" w:color="auto" w:fill="FFFF99"/>
        </w:rPr>
      </w:pPr>
    </w:p>
    <w:p w14:paraId="727B1B77" w14:textId="77777777" w:rsidR="00C1653F" w:rsidRDefault="00C1653F">
      <w:pPr>
        <w:shd w:val="clear" w:color="auto" w:fill="FFFFFF"/>
        <w:ind w:left="567"/>
        <w:rPr>
          <w:b/>
          <w:bCs/>
          <w:sz w:val="20"/>
          <w:szCs w:val="20"/>
          <w:shd w:val="clear" w:color="auto" w:fill="FFFF99"/>
        </w:rPr>
      </w:pPr>
    </w:p>
    <w:p w14:paraId="77D98915" w14:textId="77777777" w:rsidR="00C1653F" w:rsidRDefault="00C1653F">
      <w:pPr>
        <w:shd w:val="clear" w:color="auto" w:fill="FFFFFF"/>
        <w:ind w:left="567"/>
        <w:rPr>
          <w:b/>
          <w:bCs/>
          <w:sz w:val="20"/>
          <w:szCs w:val="20"/>
          <w:shd w:val="clear" w:color="auto" w:fill="FFFF99"/>
        </w:rPr>
      </w:pPr>
    </w:p>
    <w:p w14:paraId="6F6CD759" w14:textId="77777777" w:rsidR="00C1653F" w:rsidRDefault="00C1653F">
      <w:pPr>
        <w:shd w:val="clear" w:color="auto" w:fill="FFFFFF"/>
        <w:ind w:left="567"/>
        <w:rPr>
          <w:b/>
          <w:bCs/>
          <w:sz w:val="20"/>
          <w:szCs w:val="20"/>
          <w:shd w:val="clear" w:color="auto" w:fill="FFFF99"/>
        </w:rPr>
      </w:pPr>
    </w:p>
    <w:p w14:paraId="3D8E60C0" w14:textId="77777777" w:rsidR="00C1653F" w:rsidRDefault="00C1653F">
      <w:pPr>
        <w:shd w:val="clear" w:color="auto" w:fill="FFFFFF"/>
        <w:ind w:left="567"/>
        <w:rPr>
          <w:b/>
          <w:bCs/>
          <w:sz w:val="20"/>
          <w:szCs w:val="20"/>
          <w:shd w:val="clear" w:color="auto" w:fill="FFFF99"/>
        </w:rPr>
      </w:pPr>
    </w:p>
    <w:p w14:paraId="1A22837D" w14:textId="77777777" w:rsidR="00C1653F" w:rsidRDefault="00C1653F">
      <w:pPr>
        <w:shd w:val="clear" w:color="auto" w:fill="FFFFFF"/>
        <w:ind w:left="567"/>
        <w:rPr>
          <w:b/>
          <w:bCs/>
          <w:sz w:val="20"/>
          <w:szCs w:val="20"/>
          <w:shd w:val="clear" w:color="auto" w:fill="FFFF99"/>
        </w:rPr>
      </w:pPr>
    </w:p>
    <w:p w14:paraId="391B0ECE" w14:textId="77777777" w:rsidR="00C1653F" w:rsidRDefault="00C1653F">
      <w:pPr>
        <w:shd w:val="clear" w:color="auto" w:fill="FFFFFF"/>
        <w:ind w:left="567"/>
        <w:rPr>
          <w:b/>
          <w:bCs/>
          <w:sz w:val="20"/>
          <w:szCs w:val="20"/>
          <w:shd w:val="clear" w:color="auto" w:fill="FFFF99"/>
        </w:rPr>
      </w:pPr>
    </w:p>
    <w:p w14:paraId="5E13B7BF" w14:textId="77777777" w:rsidR="00C1653F" w:rsidRDefault="00C1653F">
      <w:pPr>
        <w:shd w:val="clear" w:color="auto" w:fill="FFFFFF"/>
        <w:ind w:left="567"/>
        <w:rPr>
          <w:b/>
          <w:bCs/>
          <w:sz w:val="20"/>
          <w:szCs w:val="20"/>
          <w:shd w:val="clear" w:color="auto" w:fill="FFFF99"/>
        </w:rPr>
      </w:pPr>
    </w:p>
    <w:p w14:paraId="357CFC18" w14:textId="77777777" w:rsidR="00C1653F" w:rsidRDefault="00C1653F">
      <w:pPr>
        <w:shd w:val="clear" w:color="auto" w:fill="FFFFFF"/>
        <w:ind w:left="567"/>
        <w:rPr>
          <w:b/>
          <w:bCs/>
          <w:sz w:val="20"/>
          <w:szCs w:val="20"/>
          <w:shd w:val="clear" w:color="auto" w:fill="FFFF99"/>
        </w:rPr>
      </w:pPr>
    </w:p>
    <w:p w14:paraId="16DFF92A" w14:textId="77777777" w:rsidR="00C1653F" w:rsidRDefault="00C1653F">
      <w:pPr>
        <w:shd w:val="clear" w:color="auto" w:fill="FFFFFF"/>
        <w:ind w:left="567"/>
        <w:rPr>
          <w:b/>
          <w:bCs/>
          <w:sz w:val="20"/>
          <w:szCs w:val="20"/>
          <w:shd w:val="clear" w:color="auto" w:fill="FFFF99"/>
        </w:rPr>
      </w:pPr>
    </w:p>
    <w:p w14:paraId="29668EEF" w14:textId="77777777" w:rsidR="00C1653F" w:rsidRDefault="00C1653F">
      <w:pPr>
        <w:shd w:val="clear" w:color="auto" w:fill="FFFFFF"/>
        <w:ind w:left="567"/>
        <w:rPr>
          <w:b/>
          <w:bCs/>
          <w:sz w:val="20"/>
          <w:szCs w:val="20"/>
          <w:shd w:val="clear" w:color="auto" w:fill="FFFF99"/>
        </w:rPr>
      </w:pPr>
    </w:p>
    <w:p w14:paraId="5E863606" w14:textId="77777777" w:rsidR="00C1653F" w:rsidRDefault="00C1653F">
      <w:pPr>
        <w:shd w:val="clear" w:color="auto" w:fill="FFFFFF"/>
        <w:ind w:left="567"/>
        <w:rPr>
          <w:b/>
          <w:bCs/>
          <w:sz w:val="20"/>
          <w:szCs w:val="20"/>
          <w:shd w:val="clear" w:color="auto" w:fill="FFFF99"/>
        </w:rPr>
      </w:pPr>
    </w:p>
    <w:p w14:paraId="5DD35DCB" w14:textId="77777777" w:rsidR="00C1653F" w:rsidRDefault="00C1653F">
      <w:pPr>
        <w:shd w:val="clear" w:color="auto" w:fill="FFFFFF"/>
        <w:ind w:left="567"/>
        <w:rPr>
          <w:b/>
          <w:bCs/>
          <w:sz w:val="20"/>
          <w:szCs w:val="20"/>
          <w:shd w:val="clear" w:color="auto" w:fill="FFFF99"/>
        </w:rPr>
      </w:pPr>
    </w:p>
    <w:p w14:paraId="10C217E1" w14:textId="77777777" w:rsidR="00C1653F" w:rsidRDefault="00C1653F">
      <w:pPr>
        <w:shd w:val="clear" w:color="auto" w:fill="FFFFFF"/>
        <w:ind w:left="567"/>
        <w:rPr>
          <w:b/>
          <w:bCs/>
          <w:sz w:val="20"/>
          <w:szCs w:val="20"/>
          <w:shd w:val="clear" w:color="auto" w:fill="FFFF99"/>
        </w:rPr>
      </w:pPr>
    </w:p>
    <w:p w14:paraId="011AD222" w14:textId="77777777" w:rsidR="00C1653F" w:rsidRDefault="00C1653F">
      <w:pPr>
        <w:shd w:val="clear" w:color="auto" w:fill="FFFFFF"/>
        <w:ind w:left="567"/>
        <w:rPr>
          <w:b/>
          <w:bCs/>
          <w:sz w:val="20"/>
          <w:szCs w:val="20"/>
          <w:shd w:val="clear" w:color="auto" w:fill="FFFF99"/>
        </w:rPr>
      </w:pPr>
    </w:p>
    <w:p w14:paraId="7CFC0916" w14:textId="77777777" w:rsidR="00C1653F" w:rsidRDefault="00C1653F">
      <w:pPr>
        <w:shd w:val="clear" w:color="auto" w:fill="FFFFFF"/>
        <w:ind w:left="567"/>
        <w:rPr>
          <w:b/>
          <w:bCs/>
          <w:sz w:val="20"/>
          <w:szCs w:val="20"/>
          <w:shd w:val="clear" w:color="auto" w:fill="FFFF99"/>
        </w:rPr>
      </w:pPr>
    </w:p>
    <w:p w14:paraId="6BF58DAC" w14:textId="77777777" w:rsidR="00C1653F" w:rsidRDefault="00C1653F">
      <w:pPr>
        <w:shd w:val="clear" w:color="auto" w:fill="FFFFFF"/>
        <w:ind w:left="567"/>
        <w:rPr>
          <w:b/>
          <w:bCs/>
          <w:sz w:val="20"/>
          <w:szCs w:val="20"/>
          <w:shd w:val="clear" w:color="auto" w:fill="FFFF99"/>
        </w:rPr>
      </w:pPr>
    </w:p>
    <w:p w14:paraId="4648EE74" w14:textId="77777777" w:rsidR="00C1653F" w:rsidRDefault="00C1653F">
      <w:pPr>
        <w:shd w:val="clear" w:color="auto" w:fill="FFFFFF"/>
        <w:ind w:left="567"/>
        <w:rPr>
          <w:b/>
          <w:bCs/>
          <w:sz w:val="20"/>
          <w:szCs w:val="20"/>
          <w:shd w:val="clear" w:color="auto" w:fill="FFFF99"/>
        </w:rPr>
      </w:pPr>
    </w:p>
    <w:p w14:paraId="76F0B26D" w14:textId="77777777" w:rsidR="00C1653F" w:rsidRDefault="00C1653F">
      <w:pPr>
        <w:shd w:val="clear" w:color="auto" w:fill="FFFFFF"/>
        <w:ind w:left="567"/>
        <w:rPr>
          <w:b/>
          <w:bCs/>
          <w:sz w:val="20"/>
          <w:szCs w:val="20"/>
          <w:shd w:val="clear" w:color="auto" w:fill="FFFF99"/>
        </w:rPr>
      </w:pPr>
    </w:p>
    <w:p w14:paraId="0AF9FB15" w14:textId="77777777" w:rsidR="00C1653F" w:rsidRDefault="00C1653F">
      <w:pPr>
        <w:shd w:val="clear" w:color="auto" w:fill="FFFFFF"/>
        <w:ind w:left="567"/>
        <w:rPr>
          <w:b/>
          <w:bCs/>
          <w:sz w:val="20"/>
          <w:szCs w:val="20"/>
          <w:shd w:val="clear" w:color="auto" w:fill="FFFF99"/>
        </w:rPr>
      </w:pPr>
    </w:p>
    <w:p w14:paraId="3322154B" w14:textId="77777777" w:rsidR="00C1653F" w:rsidRDefault="00C1653F">
      <w:pPr>
        <w:shd w:val="clear" w:color="auto" w:fill="FFFFFF"/>
        <w:ind w:left="567"/>
        <w:rPr>
          <w:b/>
          <w:bCs/>
          <w:sz w:val="20"/>
          <w:szCs w:val="20"/>
          <w:shd w:val="clear" w:color="auto" w:fill="FFFF99"/>
        </w:rPr>
      </w:pPr>
    </w:p>
    <w:p w14:paraId="3D97AEB8" w14:textId="77777777" w:rsidR="00C1653F" w:rsidRDefault="00C1653F">
      <w:pPr>
        <w:shd w:val="clear" w:color="auto" w:fill="FFFFFF"/>
        <w:ind w:left="567"/>
        <w:rPr>
          <w:b/>
          <w:bCs/>
          <w:sz w:val="20"/>
          <w:szCs w:val="20"/>
          <w:shd w:val="clear" w:color="auto" w:fill="FFFF99"/>
        </w:rPr>
      </w:pPr>
    </w:p>
    <w:p w14:paraId="7F16A5D4" w14:textId="77777777" w:rsidR="00C1653F" w:rsidRDefault="00C1653F">
      <w:pPr>
        <w:shd w:val="clear" w:color="auto" w:fill="FFFFFF"/>
        <w:ind w:left="567"/>
        <w:rPr>
          <w:b/>
          <w:bCs/>
          <w:sz w:val="20"/>
          <w:szCs w:val="20"/>
          <w:shd w:val="clear" w:color="auto" w:fill="FFFF99"/>
        </w:rPr>
      </w:pPr>
    </w:p>
    <w:p w14:paraId="22E49FD1" w14:textId="77777777" w:rsidR="00C1653F" w:rsidRDefault="00C1653F">
      <w:pPr>
        <w:shd w:val="clear" w:color="auto" w:fill="FFFFFF"/>
        <w:ind w:left="567"/>
        <w:rPr>
          <w:b/>
          <w:bCs/>
          <w:sz w:val="20"/>
          <w:szCs w:val="20"/>
          <w:shd w:val="clear" w:color="auto" w:fill="FFFF99"/>
        </w:rPr>
      </w:pPr>
    </w:p>
    <w:p w14:paraId="37D3DAAF" w14:textId="77777777" w:rsidR="00C1653F" w:rsidRDefault="00C1653F">
      <w:pPr>
        <w:shd w:val="clear" w:color="auto" w:fill="FFFFFF"/>
        <w:ind w:left="567"/>
        <w:rPr>
          <w:b/>
          <w:bCs/>
          <w:sz w:val="20"/>
          <w:szCs w:val="20"/>
          <w:shd w:val="clear" w:color="auto" w:fill="FFFF99"/>
        </w:rPr>
      </w:pPr>
    </w:p>
    <w:p w14:paraId="55794989" w14:textId="77777777" w:rsidR="00C1653F" w:rsidRDefault="00C1653F">
      <w:pPr>
        <w:shd w:val="clear" w:color="auto" w:fill="FFFFFF"/>
        <w:ind w:left="567"/>
        <w:rPr>
          <w:b/>
          <w:bCs/>
          <w:sz w:val="20"/>
          <w:szCs w:val="20"/>
          <w:shd w:val="clear" w:color="auto" w:fill="FFFF99"/>
        </w:rPr>
      </w:pPr>
    </w:p>
    <w:p w14:paraId="2906DE12" w14:textId="77777777" w:rsidR="00C1653F" w:rsidRDefault="00C1653F">
      <w:pPr>
        <w:shd w:val="clear" w:color="auto" w:fill="FFFFFF"/>
        <w:ind w:left="567"/>
        <w:rPr>
          <w:b/>
          <w:bCs/>
          <w:sz w:val="20"/>
          <w:szCs w:val="20"/>
          <w:shd w:val="clear" w:color="auto" w:fill="FFFF99"/>
        </w:rPr>
      </w:pPr>
    </w:p>
    <w:p w14:paraId="07820F17" w14:textId="77777777" w:rsidR="00C1653F" w:rsidRDefault="00C1653F">
      <w:pPr>
        <w:shd w:val="clear" w:color="auto" w:fill="FFFFFF"/>
        <w:ind w:left="567"/>
        <w:rPr>
          <w:b/>
          <w:bCs/>
          <w:sz w:val="20"/>
          <w:szCs w:val="20"/>
          <w:shd w:val="clear" w:color="auto" w:fill="FFFF99"/>
        </w:rPr>
      </w:pPr>
    </w:p>
    <w:p w14:paraId="2389A1D3" w14:textId="77777777" w:rsidR="00C1653F" w:rsidRDefault="00C1653F">
      <w:pPr>
        <w:shd w:val="clear" w:color="auto" w:fill="FFFFFF"/>
        <w:ind w:left="567"/>
        <w:rPr>
          <w:b/>
          <w:bCs/>
          <w:sz w:val="20"/>
          <w:szCs w:val="20"/>
          <w:shd w:val="clear" w:color="auto" w:fill="FFFF99"/>
        </w:rPr>
      </w:pPr>
    </w:p>
    <w:p w14:paraId="7211E587" w14:textId="77777777" w:rsidR="00C1653F" w:rsidRDefault="00C1653F">
      <w:pPr>
        <w:shd w:val="clear" w:color="auto" w:fill="FFFFFF"/>
        <w:ind w:left="567"/>
        <w:rPr>
          <w:b/>
          <w:bCs/>
          <w:sz w:val="20"/>
          <w:szCs w:val="20"/>
          <w:shd w:val="clear" w:color="auto" w:fill="FFFF99"/>
        </w:rPr>
      </w:pPr>
    </w:p>
    <w:p w14:paraId="339F6FFE" w14:textId="77777777" w:rsidR="00C1653F" w:rsidRDefault="00C1653F">
      <w:pPr>
        <w:shd w:val="clear" w:color="auto" w:fill="FFFFFF"/>
        <w:ind w:left="567"/>
        <w:rPr>
          <w:b/>
          <w:bCs/>
          <w:sz w:val="20"/>
          <w:szCs w:val="20"/>
          <w:shd w:val="clear" w:color="auto" w:fill="FFFF99"/>
        </w:rPr>
      </w:pPr>
    </w:p>
    <w:p w14:paraId="0698382C" w14:textId="77777777" w:rsidR="00C1653F" w:rsidRDefault="00C1653F">
      <w:pPr>
        <w:shd w:val="clear" w:color="auto" w:fill="FFFFFF"/>
        <w:ind w:left="567"/>
        <w:rPr>
          <w:b/>
          <w:bCs/>
          <w:sz w:val="20"/>
          <w:szCs w:val="20"/>
          <w:shd w:val="clear" w:color="auto" w:fill="FFFF99"/>
        </w:rPr>
      </w:pPr>
    </w:p>
    <w:p w14:paraId="18AF9BBF" w14:textId="77777777" w:rsidR="00C1653F" w:rsidRDefault="00C1653F">
      <w:pPr>
        <w:shd w:val="clear" w:color="auto" w:fill="FFFFFF"/>
        <w:ind w:left="567"/>
        <w:rPr>
          <w:b/>
          <w:bCs/>
          <w:sz w:val="20"/>
          <w:szCs w:val="20"/>
          <w:shd w:val="clear" w:color="auto" w:fill="FFFF99"/>
        </w:rPr>
      </w:pPr>
    </w:p>
    <w:p w14:paraId="23F6A4DD" w14:textId="77777777" w:rsidR="00C1653F" w:rsidRDefault="00221C5E">
      <w:pPr>
        <w:shd w:val="clear" w:color="auto" w:fill="FFFFFF"/>
        <w:ind w:left="567"/>
        <w:rPr>
          <w:b/>
          <w:bCs/>
          <w:color w:val="000000"/>
          <w:sz w:val="20"/>
          <w:szCs w:val="20"/>
        </w:rPr>
      </w:pPr>
      <w:r>
        <w:rPr>
          <w:b/>
          <w:bCs/>
          <w:color w:val="000000"/>
          <w:sz w:val="20"/>
          <w:szCs w:val="20"/>
        </w:rPr>
        <w:t>CONTENTS</w:t>
      </w:r>
    </w:p>
    <w:p w14:paraId="481F67C9" w14:textId="77777777" w:rsidR="00C1653F" w:rsidRDefault="00C1653F">
      <w:pPr>
        <w:rPr>
          <w:sz w:val="20"/>
          <w:szCs w:val="20"/>
        </w:rPr>
      </w:pPr>
    </w:p>
    <w:sdt>
      <w:sdtPr>
        <w:id w:val="1343921842"/>
        <w:docPartObj>
          <w:docPartGallery w:val="Table of Contents"/>
          <w:docPartUnique/>
        </w:docPartObj>
      </w:sdtPr>
      <w:sdtEndPr/>
      <w:sdtContent>
        <w:p w14:paraId="77DD5804" w14:textId="77777777" w:rsidR="00C1653F" w:rsidRDefault="00221C5E">
          <w:pPr>
            <w:widowControl w:val="0"/>
            <w:tabs>
              <w:tab w:val="right" w:pos="12000"/>
            </w:tabs>
            <w:spacing w:before="60"/>
            <w:rPr>
              <w:b/>
              <w:bCs/>
              <w:color w:val="000000"/>
            </w:rPr>
          </w:pPr>
          <w:r>
            <w:fldChar w:fldCharType="begin"/>
          </w:r>
          <w:r>
            <w:instrText xml:space="preserve"> TOC \h \u \z \t "Heading 1,1,"</w:instrText>
          </w:r>
          <w:r>
            <w:fldChar w:fldCharType="separate"/>
          </w:r>
          <w:hyperlink w:anchor="_heading=h.2p2csry">
            <w:r>
              <w:rPr>
                <w:smallCaps/>
                <w:color w:val="000000"/>
              </w:rPr>
              <w:t>1. PURPOSE AND OVERVIEW OF THE REQUIREMENT</w:t>
            </w:r>
            <w:r>
              <w:rPr>
                <w:smallCaps/>
                <w:color w:val="000000"/>
              </w:rPr>
              <w:tab/>
              <w:t>4</w:t>
            </w:r>
          </w:hyperlink>
        </w:p>
        <w:p w14:paraId="01869508" w14:textId="77777777" w:rsidR="00C1653F" w:rsidRDefault="00221C5E">
          <w:pPr>
            <w:widowControl w:val="0"/>
            <w:tabs>
              <w:tab w:val="right" w:pos="12000"/>
            </w:tabs>
            <w:spacing w:before="60"/>
            <w:rPr>
              <w:b/>
              <w:bCs/>
              <w:color w:val="000000"/>
            </w:rPr>
          </w:pPr>
          <w:hyperlink w:anchor="_heading=h.147n2zr">
            <w:r>
              <w:rPr>
                <w:smallCaps/>
                <w:color w:val="000000"/>
              </w:rPr>
              <w:t>2. BACKGROUND TO THE BUYER</w:t>
            </w:r>
            <w:r>
              <w:rPr>
                <w:smallCaps/>
                <w:color w:val="000000"/>
              </w:rPr>
              <w:tab/>
              <w:t>4</w:t>
            </w:r>
          </w:hyperlink>
        </w:p>
        <w:p w14:paraId="231005E3" w14:textId="77777777" w:rsidR="00C1653F" w:rsidRDefault="00221C5E">
          <w:pPr>
            <w:widowControl w:val="0"/>
            <w:tabs>
              <w:tab w:val="right" w:pos="12000"/>
            </w:tabs>
            <w:spacing w:before="60"/>
            <w:rPr>
              <w:b/>
              <w:bCs/>
              <w:color w:val="000000"/>
            </w:rPr>
          </w:pPr>
          <w:hyperlink w:anchor="_heading=h.3o7alnk">
            <w:r>
              <w:rPr>
                <w:smallCaps/>
                <w:color w:val="000000"/>
              </w:rPr>
              <w:t>3. BACKGROUND TO THE REQUIREMENT</w:t>
            </w:r>
            <w:r>
              <w:rPr>
                <w:smallCaps/>
                <w:color w:val="000000"/>
              </w:rPr>
              <w:tab/>
              <w:t>4</w:t>
            </w:r>
          </w:hyperlink>
        </w:p>
        <w:p w14:paraId="38BE8EDD" w14:textId="77777777" w:rsidR="00C1653F" w:rsidRDefault="00221C5E">
          <w:pPr>
            <w:widowControl w:val="0"/>
            <w:tabs>
              <w:tab w:val="right" w:pos="12000"/>
            </w:tabs>
            <w:spacing w:before="60"/>
            <w:rPr>
              <w:b/>
              <w:bCs/>
              <w:color w:val="000000"/>
            </w:rPr>
          </w:pPr>
          <w:hyperlink w:anchor="_heading=h.23ckvvd">
            <w:r>
              <w:rPr>
                <w:smallCaps/>
                <w:color w:val="000000"/>
              </w:rPr>
              <w:t>4. DEFINITIONS (GUIDANCE – PLEASE ADD ADDITIONAL ROWS IF NEEDED)</w:t>
            </w:r>
            <w:r>
              <w:rPr>
                <w:smallCaps/>
                <w:color w:val="000000"/>
              </w:rPr>
              <w:tab/>
              <w:t>4</w:t>
            </w:r>
          </w:hyperlink>
        </w:p>
        <w:p w14:paraId="017B7883" w14:textId="77777777" w:rsidR="00C1653F" w:rsidRDefault="00221C5E">
          <w:pPr>
            <w:widowControl w:val="0"/>
            <w:tabs>
              <w:tab w:val="right" w:pos="12000"/>
            </w:tabs>
            <w:spacing w:before="60"/>
            <w:rPr>
              <w:b/>
              <w:bCs/>
              <w:color w:val="000000"/>
            </w:rPr>
          </w:pPr>
          <w:hyperlink w:anchor="_heading=h.ihv636">
            <w:r>
              <w:rPr>
                <w:smallCaps/>
                <w:color w:val="000000"/>
              </w:rPr>
              <w:t>5. SCOPE OF THE REQUIREMENT</w:t>
            </w:r>
            <w:r>
              <w:rPr>
                <w:smallCaps/>
                <w:color w:val="000000"/>
              </w:rPr>
              <w:tab/>
              <w:t>4</w:t>
            </w:r>
          </w:hyperlink>
        </w:p>
        <w:p w14:paraId="78CAE8A4" w14:textId="77777777" w:rsidR="00C1653F" w:rsidRDefault="00221C5E">
          <w:pPr>
            <w:widowControl w:val="0"/>
            <w:tabs>
              <w:tab w:val="right" w:pos="12000"/>
            </w:tabs>
            <w:spacing w:before="60"/>
            <w:rPr>
              <w:b/>
              <w:bCs/>
              <w:color w:val="000000"/>
            </w:rPr>
          </w:pPr>
          <w:hyperlink w:anchor="_heading=h.32hioqz">
            <w:r>
              <w:rPr>
                <w:smallCaps/>
                <w:color w:val="000000"/>
              </w:rPr>
              <w:t>6. MANDATORY DELIVERABLES (SUPPLIER RESPONSIBILITIES)</w:t>
            </w:r>
            <w:r>
              <w:rPr>
                <w:smallCaps/>
                <w:color w:val="000000"/>
              </w:rPr>
              <w:tab/>
              <w:t>5</w:t>
            </w:r>
          </w:hyperlink>
        </w:p>
        <w:p w14:paraId="1B4BDE7B" w14:textId="77777777" w:rsidR="00C1653F" w:rsidRDefault="00221C5E">
          <w:pPr>
            <w:widowControl w:val="0"/>
            <w:tabs>
              <w:tab w:val="right" w:pos="12000"/>
            </w:tabs>
            <w:spacing w:before="60"/>
            <w:rPr>
              <w:b/>
              <w:bCs/>
              <w:color w:val="000000"/>
              <w:sz w:val="20"/>
              <w:szCs w:val="20"/>
            </w:rPr>
          </w:pPr>
          <w:hyperlink w:anchor="_heading=h.1hmsyys">
            <w:r>
              <w:rPr>
                <w:smallCaps/>
                <w:color w:val="000000"/>
              </w:rPr>
              <w:t xml:space="preserve">7. </w:t>
            </w:r>
          </w:hyperlink>
          <w:hyperlink w:anchor="_heading=h.1hmsyys">
            <w:r>
              <w:rPr>
                <w:smallCaps/>
                <w:color w:val="000000"/>
                <w:sz w:val="20"/>
                <w:szCs w:val="20"/>
              </w:rPr>
              <w:t>NON-MANDATORY AND OPTIONAL DELIVERABLES (SUPPLIER RESPONSIBILITIES)</w:t>
            </w:r>
            <w:r>
              <w:rPr>
                <w:smallCaps/>
                <w:color w:val="000000"/>
                <w:sz w:val="20"/>
                <w:szCs w:val="20"/>
              </w:rPr>
              <w:tab/>
              <w:t>5</w:t>
            </w:r>
          </w:hyperlink>
        </w:p>
        <w:p w14:paraId="48A2E049" w14:textId="77777777" w:rsidR="00C1653F" w:rsidRDefault="00221C5E">
          <w:pPr>
            <w:widowControl w:val="0"/>
            <w:tabs>
              <w:tab w:val="right" w:pos="12000"/>
            </w:tabs>
            <w:spacing w:before="60"/>
            <w:rPr>
              <w:b/>
              <w:bCs/>
              <w:color w:val="000000"/>
            </w:rPr>
          </w:pPr>
          <w:hyperlink w:anchor="_heading=h.41mghml">
            <w:r>
              <w:rPr>
                <w:smallCaps/>
                <w:color w:val="000000"/>
              </w:rPr>
              <w:t>8. POTENTIAL, ACTUAL OR EXPECTED DELIVERY VOLUMES (IF APPLICABLE)</w:t>
            </w:r>
            <w:r>
              <w:rPr>
                <w:smallCaps/>
                <w:color w:val="000000"/>
              </w:rPr>
              <w:tab/>
              <w:t>5</w:t>
            </w:r>
          </w:hyperlink>
        </w:p>
        <w:p w14:paraId="2B8334ED" w14:textId="77777777" w:rsidR="00C1653F" w:rsidRDefault="00221C5E">
          <w:pPr>
            <w:widowControl w:val="0"/>
            <w:tabs>
              <w:tab w:val="right" w:pos="12000"/>
            </w:tabs>
            <w:spacing w:before="60"/>
            <w:rPr>
              <w:b/>
              <w:bCs/>
              <w:color w:val="000000"/>
            </w:rPr>
          </w:pPr>
          <w:hyperlink w:anchor="_heading=h.2grqrue">
            <w:r>
              <w:rPr>
                <w:smallCaps/>
                <w:color w:val="000000"/>
              </w:rPr>
              <w:t>9. LOCATION</w:t>
            </w:r>
            <w:r>
              <w:rPr>
                <w:smallCaps/>
                <w:color w:val="000000"/>
              </w:rPr>
              <w:tab/>
              <w:t>6</w:t>
            </w:r>
          </w:hyperlink>
        </w:p>
        <w:p w14:paraId="63922ADB" w14:textId="77777777" w:rsidR="00C1653F" w:rsidRDefault="00221C5E">
          <w:pPr>
            <w:widowControl w:val="0"/>
            <w:tabs>
              <w:tab w:val="right" w:pos="12000"/>
            </w:tabs>
            <w:spacing w:before="60"/>
            <w:rPr>
              <w:b/>
              <w:bCs/>
              <w:color w:val="000000"/>
            </w:rPr>
          </w:pPr>
          <w:hyperlink w:anchor="_heading=h.vx1227">
            <w:r>
              <w:rPr>
                <w:smallCaps/>
                <w:color w:val="000000"/>
              </w:rPr>
              <w:t>10. BUYER RESPONSIBILITIES</w:t>
            </w:r>
            <w:r>
              <w:rPr>
                <w:smallCaps/>
                <w:color w:val="000000"/>
              </w:rPr>
              <w:tab/>
              <w:t>6</w:t>
            </w:r>
          </w:hyperlink>
        </w:p>
        <w:p w14:paraId="79830DB0" w14:textId="77777777" w:rsidR="00C1653F" w:rsidRDefault="00221C5E">
          <w:pPr>
            <w:widowControl w:val="0"/>
            <w:tabs>
              <w:tab w:val="right" w:pos="12000"/>
            </w:tabs>
            <w:spacing w:before="60"/>
            <w:rPr>
              <w:b/>
              <w:bCs/>
              <w:color w:val="000000"/>
            </w:rPr>
          </w:pPr>
          <w:hyperlink w:anchor="_heading=h.3fwokq0">
            <w:r>
              <w:rPr>
                <w:smallCaps/>
                <w:color w:val="000000"/>
              </w:rPr>
              <w:t>11. KEY MILESTONES AND DELIVERABLES</w:t>
            </w:r>
            <w:r>
              <w:rPr>
                <w:smallCaps/>
                <w:color w:val="000000"/>
              </w:rPr>
              <w:tab/>
              <w:t>6</w:t>
            </w:r>
          </w:hyperlink>
        </w:p>
        <w:p w14:paraId="33B11BFD" w14:textId="77777777" w:rsidR="00C1653F" w:rsidRDefault="00221C5E">
          <w:pPr>
            <w:widowControl w:val="0"/>
            <w:tabs>
              <w:tab w:val="right" w:pos="12000"/>
            </w:tabs>
            <w:spacing w:before="60"/>
            <w:rPr>
              <w:b/>
              <w:bCs/>
              <w:color w:val="000000"/>
            </w:rPr>
          </w:pPr>
          <w:hyperlink w:anchor="_heading=h.1v1yuxt">
            <w:r>
              <w:rPr>
                <w:smallCaps/>
                <w:color w:val="000000"/>
              </w:rPr>
              <w:t>12. SUSTAINABILITY AND CARBON NET ZERO</w:t>
            </w:r>
            <w:r>
              <w:rPr>
                <w:smallCaps/>
                <w:color w:val="000000"/>
              </w:rPr>
              <w:tab/>
              <w:t>6</w:t>
            </w:r>
          </w:hyperlink>
        </w:p>
        <w:p w14:paraId="2C8B86E9" w14:textId="77777777" w:rsidR="00C1653F" w:rsidRDefault="00221C5E">
          <w:pPr>
            <w:widowControl w:val="0"/>
            <w:tabs>
              <w:tab w:val="right" w:pos="12000"/>
            </w:tabs>
            <w:spacing w:before="60"/>
            <w:rPr>
              <w:b/>
              <w:bCs/>
              <w:color w:val="000000"/>
            </w:rPr>
          </w:pPr>
          <w:hyperlink w:anchor="_heading=h.plhr2bchbfb2">
            <w:r>
              <w:rPr>
                <w:color w:val="000000"/>
              </w:rPr>
              <w:t>13. SOCIAL VALUE</w:t>
            </w:r>
            <w:r>
              <w:rPr>
                <w:color w:val="000000"/>
              </w:rPr>
              <w:tab/>
              <w:t>6</w:t>
            </w:r>
          </w:hyperlink>
        </w:p>
        <w:p w14:paraId="7FC375DA" w14:textId="77777777" w:rsidR="00C1653F" w:rsidRDefault="00221C5E">
          <w:pPr>
            <w:widowControl w:val="0"/>
            <w:tabs>
              <w:tab w:val="right" w:pos="12000"/>
            </w:tabs>
            <w:spacing w:before="60"/>
            <w:rPr>
              <w:b/>
              <w:bCs/>
              <w:color w:val="000000"/>
            </w:rPr>
          </w:pPr>
          <w:hyperlink w:anchor="_heading=h.2u6wntf">
            <w:r>
              <w:rPr>
                <w:smallCaps/>
                <w:color w:val="000000"/>
              </w:rPr>
              <w:t>14. STAFF AND CUST</w:t>
            </w:r>
            <w:r>
              <w:rPr>
                <w:smallCaps/>
                <w:color w:val="000000"/>
              </w:rPr>
              <w:t>OMER SERVICE</w:t>
            </w:r>
            <w:r>
              <w:rPr>
                <w:smallCaps/>
                <w:color w:val="000000"/>
              </w:rPr>
              <w:tab/>
              <w:t>7</w:t>
            </w:r>
          </w:hyperlink>
        </w:p>
        <w:p w14:paraId="088D2AE7" w14:textId="77777777" w:rsidR="00C1653F" w:rsidRDefault="00221C5E">
          <w:pPr>
            <w:widowControl w:val="0"/>
            <w:tabs>
              <w:tab w:val="right" w:pos="12000"/>
            </w:tabs>
            <w:spacing w:before="60"/>
            <w:rPr>
              <w:b/>
              <w:bCs/>
              <w:color w:val="000000"/>
            </w:rPr>
          </w:pPr>
          <w:hyperlink w:anchor="_heading=h.19c6y18">
            <w:r>
              <w:rPr>
                <w:smallCaps/>
                <w:color w:val="000000"/>
              </w:rPr>
              <w:t>15. CONTINUOUS IMPROVEMENT</w:t>
            </w:r>
            <w:r>
              <w:rPr>
                <w:smallCaps/>
                <w:color w:val="000000"/>
              </w:rPr>
              <w:tab/>
              <w:t>7</w:t>
            </w:r>
          </w:hyperlink>
        </w:p>
        <w:p w14:paraId="2AB39964" w14:textId="77777777" w:rsidR="00C1653F" w:rsidRDefault="00221C5E">
          <w:pPr>
            <w:widowControl w:val="0"/>
            <w:tabs>
              <w:tab w:val="right" w:pos="12000"/>
            </w:tabs>
            <w:spacing w:before="60"/>
            <w:rPr>
              <w:b/>
              <w:bCs/>
              <w:color w:val="000000"/>
            </w:rPr>
          </w:pPr>
          <w:hyperlink w:anchor="_heading=h.3tbugp1">
            <w:r>
              <w:rPr>
                <w:smallCaps/>
                <w:color w:val="000000"/>
              </w:rPr>
              <w:t>16. SECURITY AND CONFIDENTIALITY REQUIREMENTS</w:t>
            </w:r>
            <w:r>
              <w:rPr>
                <w:smallCaps/>
                <w:color w:val="000000"/>
              </w:rPr>
              <w:tab/>
              <w:t>7</w:t>
            </w:r>
          </w:hyperlink>
        </w:p>
        <w:p w14:paraId="47105104" w14:textId="77777777" w:rsidR="00C1653F" w:rsidRDefault="00221C5E">
          <w:pPr>
            <w:widowControl w:val="0"/>
            <w:tabs>
              <w:tab w:val="right" w:pos="12000"/>
            </w:tabs>
            <w:spacing w:before="60"/>
            <w:rPr>
              <w:b/>
              <w:bCs/>
              <w:color w:val="000000"/>
            </w:rPr>
          </w:pPr>
          <w:hyperlink w:anchor="_heading=h.28h4qwu">
            <w:r>
              <w:rPr>
                <w:smallCaps/>
                <w:color w:val="000000"/>
              </w:rPr>
              <w:t>17. PRICING MECHANISM</w:t>
            </w:r>
            <w:r>
              <w:rPr>
                <w:smallCaps/>
                <w:color w:val="000000"/>
              </w:rPr>
              <w:tab/>
              <w:t>8</w:t>
            </w:r>
          </w:hyperlink>
        </w:p>
        <w:p w14:paraId="5800EF6D" w14:textId="77777777" w:rsidR="00C1653F" w:rsidRDefault="00221C5E">
          <w:pPr>
            <w:widowControl w:val="0"/>
            <w:tabs>
              <w:tab w:val="right" w:pos="12000"/>
            </w:tabs>
            <w:spacing w:before="60"/>
            <w:rPr>
              <w:b/>
              <w:bCs/>
              <w:color w:val="000000"/>
            </w:rPr>
          </w:pPr>
          <w:hyperlink w:anchor="_heading=h.nmf14n">
            <w:r>
              <w:rPr>
                <w:smallCaps/>
                <w:color w:val="000000"/>
              </w:rPr>
              <w:t>18. PAYMENT AND INVOICING</w:t>
            </w:r>
            <w:r>
              <w:rPr>
                <w:smallCaps/>
                <w:color w:val="000000"/>
              </w:rPr>
              <w:tab/>
              <w:t>8</w:t>
            </w:r>
          </w:hyperlink>
        </w:p>
        <w:p w14:paraId="36EE14CC" w14:textId="77777777" w:rsidR="00C1653F" w:rsidRDefault="00221C5E">
          <w:pPr>
            <w:widowControl w:val="0"/>
            <w:tabs>
              <w:tab w:val="right" w:pos="12000"/>
            </w:tabs>
            <w:spacing w:before="60"/>
            <w:rPr>
              <w:b/>
              <w:bCs/>
              <w:color w:val="000000"/>
            </w:rPr>
          </w:pPr>
          <w:hyperlink w:anchor="_heading=h.37m2jsg">
            <w:r>
              <w:rPr>
                <w:smallCaps/>
                <w:color w:val="000000"/>
              </w:rPr>
              <w:t>19. CONTRACT MANAGEMENT AND KEY PERFORMANCE INDICATORS</w:t>
            </w:r>
            <w:r>
              <w:rPr>
                <w:smallCaps/>
                <w:color w:val="000000"/>
              </w:rPr>
              <w:tab/>
              <w:t>8</w:t>
            </w:r>
          </w:hyperlink>
          <w:r>
            <w:fldChar w:fldCharType="end"/>
          </w:r>
        </w:p>
      </w:sdtContent>
    </w:sdt>
    <w:p w14:paraId="66A094AC" w14:textId="77777777" w:rsidR="00C1653F" w:rsidRDefault="00221C5E">
      <w:pPr>
        <w:pStyle w:val="Heading1"/>
        <w:keepLines w:val="0"/>
        <w:numPr>
          <w:ilvl w:val="0"/>
          <w:numId w:val="7"/>
        </w:numPr>
        <w:pBdr>
          <w:top w:val="nil"/>
          <w:left w:val="nil"/>
          <w:bottom w:val="nil"/>
          <w:right w:val="nil"/>
          <w:between w:val="nil"/>
        </w:pBdr>
        <w:spacing w:before="0" w:line="240" w:lineRule="auto"/>
        <w:ind w:firstLine="720"/>
        <w:rPr>
          <w:sz w:val="20"/>
          <w:szCs w:val="20"/>
        </w:rPr>
      </w:pPr>
      <w:r>
        <w:br w:type="page"/>
      </w:r>
    </w:p>
    <w:p w14:paraId="39747E06"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 w:name="_heading=h.2p2csry" w:colFirst="0" w:colLast="0"/>
      <w:bookmarkEnd w:id="2"/>
      <w:r>
        <w:rPr>
          <w:sz w:val="20"/>
          <w:szCs w:val="20"/>
        </w:rPr>
        <w:lastRenderedPageBreak/>
        <w:t>PURPOSE AND OVERVIEW OF THE REQUIREMENT</w:t>
      </w:r>
    </w:p>
    <w:p w14:paraId="45138977" w14:textId="77777777" w:rsidR="00C1653F" w:rsidRDefault="00C1653F"/>
    <w:p w14:paraId="198D798B"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bookmarkStart w:id="3" w:name="_heading=h.tyjcwt" w:colFirst="0" w:colLast="0"/>
      <w:bookmarkEnd w:id="3"/>
      <w:r>
        <w:rPr>
          <w:sz w:val="20"/>
          <w:szCs w:val="20"/>
        </w:rPr>
        <w:t>The Authority invites quotes for the provision of a systematic literature review focusing on qualitative research investigating the decisions behind young people’s choices at ages 16 and 18, and post-higher educatio</w:t>
      </w:r>
      <w:r>
        <w:rPr>
          <w:sz w:val="20"/>
          <w:szCs w:val="20"/>
        </w:rPr>
        <w:t>n. Furthermore, it will investigate how different characteristics (ethnicity, disability, NSSEC and local area) impact upon those decisions.</w:t>
      </w:r>
    </w:p>
    <w:p w14:paraId="637C7EC5" w14:textId="77777777" w:rsidR="00C1653F" w:rsidRDefault="00C1653F">
      <w:pPr>
        <w:pStyle w:val="Heading2"/>
        <w:ind w:left="709" w:firstLine="1080"/>
        <w:rPr>
          <w:sz w:val="20"/>
          <w:szCs w:val="20"/>
        </w:rPr>
      </w:pPr>
    </w:p>
    <w:p w14:paraId="3A182B0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is expected to demonstrate value for money in their approach to this work, employing innovative techn</w:t>
      </w:r>
      <w:r>
        <w:rPr>
          <w:sz w:val="20"/>
          <w:szCs w:val="20"/>
        </w:rPr>
        <w:t>iques as appropriate to create efficiencies and deliver added value.</w:t>
      </w:r>
    </w:p>
    <w:p w14:paraId="4C376EC1" w14:textId="77777777" w:rsidR="00C1653F" w:rsidRDefault="00C1653F">
      <w:pPr>
        <w:pBdr>
          <w:top w:val="nil"/>
          <w:left w:val="nil"/>
          <w:bottom w:val="nil"/>
          <w:right w:val="nil"/>
          <w:between w:val="nil"/>
        </w:pBdr>
        <w:ind w:left="720"/>
        <w:rPr>
          <w:color w:val="000000"/>
          <w:sz w:val="20"/>
          <w:szCs w:val="20"/>
        </w:rPr>
      </w:pPr>
    </w:p>
    <w:p w14:paraId="05A0B955"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key objectives of this commission are to:</w:t>
      </w:r>
    </w:p>
    <w:p w14:paraId="01F2B5D8" w14:textId="77777777" w:rsidR="00C1653F" w:rsidRDefault="00C1653F">
      <w:pPr>
        <w:pBdr>
          <w:top w:val="nil"/>
          <w:left w:val="nil"/>
          <w:bottom w:val="nil"/>
          <w:right w:val="nil"/>
          <w:between w:val="nil"/>
        </w:pBdr>
        <w:ind w:left="720"/>
        <w:rPr>
          <w:color w:val="000000"/>
          <w:sz w:val="20"/>
          <w:szCs w:val="20"/>
        </w:rPr>
      </w:pPr>
    </w:p>
    <w:p w14:paraId="5736C947"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Identify a wide range of qualitative research that meets specified quality criteria.</w:t>
      </w:r>
    </w:p>
    <w:p w14:paraId="6BD49045"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Provide insights into young people’s decision-making towards various post-education pathways, accounting for different protected and non-protected characteristics.</w:t>
      </w:r>
    </w:p>
    <w:p w14:paraId="54AF91FD"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Clearly</w:t>
      </w:r>
      <w:r>
        <w:rPr>
          <w:color w:val="000000"/>
          <w:sz w:val="20"/>
          <w:szCs w:val="20"/>
        </w:rPr>
        <w:t xml:space="preserve"> illustrate how different protected and non-protected characteristics impact on young people’s post-education decision-making.</w:t>
      </w:r>
    </w:p>
    <w:p w14:paraId="6E80788A"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Identify gaps in the evidence to inform further qualitative research.</w:t>
      </w:r>
    </w:p>
    <w:p w14:paraId="519D39F9"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4" w:name="_heading=h.147n2zr" w:colFirst="0" w:colLast="0"/>
      <w:bookmarkEnd w:id="4"/>
      <w:r>
        <w:rPr>
          <w:sz w:val="20"/>
          <w:szCs w:val="20"/>
        </w:rPr>
        <w:t>BACKGROUND TO THE BUYER</w:t>
      </w:r>
    </w:p>
    <w:p w14:paraId="17C5D868" w14:textId="77777777" w:rsidR="00C1653F" w:rsidRDefault="00C1653F"/>
    <w:p w14:paraId="1C0BC42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Contracting Authority supports the Prime Minister, and ensures the effective running of government. The Contracting Authority is also the corporate headquarters for the government, in partnership with HM Treasury, and takes the lead in certain critical</w:t>
      </w:r>
      <w:r>
        <w:rPr>
          <w:sz w:val="20"/>
          <w:szCs w:val="20"/>
        </w:rPr>
        <w:t xml:space="preserve"> policy areas. More information about the Contracting Authority can be found on its website at:</w:t>
      </w:r>
      <w:r>
        <w:rPr>
          <w:sz w:val="20"/>
          <w:szCs w:val="20"/>
          <w:shd w:val="clear" w:color="auto" w:fill="FFFF99"/>
        </w:rPr>
        <w:t xml:space="preserve"> </w:t>
      </w:r>
    </w:p>
    <w:p w14:paraId="0A71ED9C" w14:textId="77777777" w:rsidR="00C1653F" w:rsidRDefault="00221C5E">
      <w:pPr>
        <w:pStyle w:val="Heading2"/>
        <w:ind w:left="720" w:firstLine="1080"/>
        <w:rPr>
          <w:sz w:val="20"/>
          <w:szCs w:val="20"/>
        </w:rPr>
      </w:pPr>
      <w:hyperlink r:id="rId9">
        <w:r>
          <w:rPr>
            <w:color w:val="0000FF"/>
            <w:sz w:val="20"/>
            <w:szCs w:val="20"/>
            <w:u w:val="single"/>
          </w:rPr>
          <w:t>https://www.gov.uk/government/organisations/cabinet-office</w:t>
        </w:r>
      </w:hyperlink>
    </w:p>
    <w:p w14:paraId="4FB5256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Office for Equalit</w:t>
      </w:r>
      <w:r>
        <w:rPr>
          <w:sz w:val="20"/>
          <w:szCs w:val="20"/>
        </w:rPr>
        <w:t>y and Opportunity (OEO) sits within the Contracting Authority. The OEO focuses on disability policy, ethnic disparities, gender equality, LGBT+ rights and the overall framework of equality legislation for the UK including the Equality Act 2010 and sponsors</w:t>
      </w:r>
      <w:r>
        <w:rPr>
          <w:sz w:val="20"/>
          <w:szCs w:val="20"/>
        </w:rPr>
        <w:t>hip of the Equality &amp; Human Rights Commission.</w:t>
      </w:r>
    </w:p>
    <w:p w14:paraId="7369C9CB" w14:textId="77777777" w:rsidR="00C1653F" w:rsidRDefault="00C1653F"/>
    <w:p w14:paraId="3C6F72F9"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5" w:name="_heading=h.3o7alnk" w:colFirst="0" w:colLast="0"/>
      <w:bookmarkEnd w:id="5"/>
      <w:r>
        <w:rPr>
          <w:sz w:val="20"/>
          <w:szCs w:val="20"/>
        </w:rPr>
        <w:t>BACKGROUND TO THE REQUIREMENT</w:t>
      </w:r>
    </w:p>
    <w:p w14:paraId="1A9A889C" w14:textId="77777777" w:rsidR="00C1653F" w:rsidRDefault="00C1653F"/>
    <w:p w14:paraId="35778D75"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bookmarkStart w:id="6" w:name="_heading=h.4d34og8" w:colFirst="0" w:colLast="0"/>
      <w:bookmarkEnd w:id="6"/>
      <w:r>
        <w:rPr>
          <w:sz w:val="20"/>
          <w:szCs w:val="20"/>
        </w:rPr>
        <w:t xml:space="preserve">The Office for Equality and Opportunity (OEO) is working on delivering the government’s Plan for Change, which sets out milestones to be achieved by the end of this Parliament. </w:t>
      </w:r>
      <w:r>
        <w:rPr>
          <w:sz w:val="20"/>
          <w:szCs w:val="20"/>
        </w:rPr>
        <w:t>The plan is split into five missions: growing the economy, an NHS fit for the future, safer streets, opportunity for all, and making Britain a clean energy superpower.</w:t>
      </w:r>
    </w:p>
    <w:p w14:paraId="467A919A" w14:textId="77777777" w:rsidR="00C1653F" w:rsidRDefault="00C1653F">
      <w:pPr>
        <w:pStyle w:val="Heading2"/>
        <w:rPr>
          <w:sz w:val="20"/>
          <w:szCs w:val="20"/>
        </w:rPr>
      </w:pPr>
    </w:p>
    <w:p w14:paraId="6730A17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OEO has been commissioned to overlay an equalities lens on the five missions, with a pr</w:t>
      </w:r>
      <w:r>
        <w:rPr>
          <w:sz w:val="20"/>
          <w:szCs w:val="20"/>
        </w:rPr>
        <w:t>imary focus on socio-economic disadvantage. We have work strands in place for all the five missions, with this project aligned to the Opportunity Mission.</w:t>
      </w:r>
    </w:p>
    <w:p w14:paraId="4FAEB72E" w14:textId="77777777" w:rsidR="00C1653F" w:rsidRDefault="00C1653F">
      <w:pPr>
        <w:pBdr>
          <w:top w:val="nil"/>
          <w:left w:val="nil"/>
          <w:bottom w:val="nil"/>
          <w:right w:val="nil"/>
          <w:between w:val="nil"/>
        </w:pBdr>
        <w:ind w:left="720"/>
        <w:rPr>
          <w:color w:val="000000"/>
          <w:sz w:val="20"/>
          <w:szCs w:val="20"/>
        </w:rPr>
      </w:pPr>
    </w:p>
    <w:p w14:paraId="7CB649F5"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lastRenderedPageBreak/>
        <w:t>This project seeks to provide policymakers in OEO and other government departments (primarily the Department for Education, the Department for Work and Pensions and the Department for Business and Trade) with an understanding of how young people’s protecte</w:t>
      </w:r>
      <w:r>
        <w:rPr>
          <w:sz w:val="20"/>
          <w:szCs w:val="20"/>
        </w:rPr>
        <w:t>d characteristics (as defined in the Equality Act 2010) impact the likelihood that they will make a positive transition to Further/Higher Education and employment. OEO is particularly interested in the impact which ethnicity and disability (including SEND)</w:t>
      </w:r>
      <w:r>
        <w:rPr>
          <w:sz w:val="20"/>
          <w:szCs w:val="20"/>
        </w:rPr>
        <w:t>, will have upon the decisions they make about whether or not to stay in education and where they look for employment.</w:t>
      </w:r>
    </w:p>
    <w:p w14:paraId="78402B92" w14:textId="77777777" w:rsidR="00C1653F" w:rsidRDefault="00C1653F">
      <w:pPr>
        <w:pBdr>
          <w:top w:val="nil"/>
          <w:left w:val="nil"/>
          <w:bottom w:val="nil"/>
          <w:right w:val="nil"/>
          <w:between w:val="nil"/>
        </w:pBdr>
        <w:ind w:left="720"/>
        <w:rPr>
          <w:color w:val="000000"/>
          <w:sz w:val="20"/>
          <w:szCs w:val="20"/>
        </w:rPr>
      </w:pPr>
    </w:p>
    <w:p w14:paraId="50D46BB6"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Additionally, OEO’s remit includes socio-economic disadvantage. Although this is not a protected characteristic, we are aware that socio-economic status and place/geography will have an impact on people’s experiences of opportunity and challenge. Therefore</w:t>
      </w:r>
      <w:r>
        <w:rPr>
          <w:sz w:val="20"/>
          <w:szCs w:val="20"/>
        </w:rPr>
        <w:t>, we are keen to ensure socio-economic status and geography are considered within this project.</w:t>
      </w:r>
    </w:p>
    <w:p w14:paraId="0034FFB6" w14:textId="77777777" w:rsidR="00C1653F" w:rsidRDefault="00C1653F">
      <w:pPr>
        <w:pBdr>
          <w:top w:val="nil"/>
          <w:left w:val="nil"/>
          <w:bottom w:val="nil"/>
          <w:right w:val="nil"/>
          <w:between w:val="nil"/>
        </w:pBdr>
        <w:ind w:left="720"/>
        <w:rPr>
          <w:color w:val="000000"/>
          <w:sz w:val="20"/>
          <w:szCs w:val="20"/>
        </w:rPr>
      </w:pPr>
    </w:p>
    <w:p w14:paraId="0C428D6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OEO are seeking to procure a literature review, with the intention in FY26/27 to procure further qualitative research to build on this. This will provide valua</w:t>
      </w:r>
      <w:r>
        <w:rPr>
          <w:sz w:val="20"/>
          <w:szCs w:val="20"/>
        </w:rPr>
        <w:t>ble insight for policymakers about the impact equalities have on the education and employment choices available to young people, which will aid in the further design of policy.</w:t>
      </w:r>
    </w:p>
    <w:p w14:paraId="7036BF25" w14:textId="77777777" w:rsidR="00C1653F" w:rsidRDefault="00C1653F">
      <w:pPr>
        <w:pBdr>
          <w:top w:val="nil"/>
          <w:left w:val="nil"/>
          <w:bottom w:val="nil"/>
          <w:right w:val="nil"/>
          <w:between w:val="nil"/>
        </w:pBdr>
        <w:ind w:left="720"/>
        <w:rPr>
          <w:color w:val="000000"/>
          <w:sz w:val="20"/>
          <w:szCs w:val="20"/>
        </w:rPr>
      </w:pPr>
    </w:p>
    <w:p w14:paraId="7F4FCEC9"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Research</w:t>
      </w:r>
    </w:p>
    <w:p w14:paraId="33BCFCB7" w14:textId="77777777" w:rsidR="00C1653F" w:rsidRDefault="00C1653F">
      <w:pPr>
        <w:pBdr>
          <w:top w:val="nil"/>
          <w:left w:val="nil"/>
          <w:bottom w:val="nil"/>
          <w:right w:val="nil"/>
          <w:between w:val="nil"/>
        </w:pBdr>
        <w:ind w:left="720"/>
        <w:rPr>
          <w:color w:val="000000"/>
          <w:sz w:val="20"/>
          <w:szCs w:val="20"/>
        </w:rPr>
      </w:pPr>
    </w:p>
    <w:p w14:paraId="7437D085"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DfE’s </w:t>
      </w:r>
      <w:r>
        <w:rPr>
          <w:i/>
          <w:iCs/>
          <w:sz w:val="20"/>
          <w:szCs w:val="20"/>
        </w:rPr>
        <w:t>Post 16 education and labour market activities, pathways and o</w:t>
      </w:r>
      <w:r>
        <w:rPr>
          <w:i/>
          <w:iCs/>
          <w:sz w:val="20"/>
          <w:szCs w:val="20"/>
        </w:rPr>
        <w:t>utcomes (LEO)</w:t>
      </w:r>
      <w:r>
        <w:rPr>
          <w:sz w:val="20"/>
          <w:szCs w:val="20"/>
        </w:rPr>
        <w:t xml:space="preserve"> research report found that pathways out of education were varied and complex</w:t>
      </w:r>
      <w:r>
        <w:rPr>
          <w:sz w:val="20"/>
          <w:szCs w:val="20"/>
          <w:vertAlign w:val="superscript"/>
        </w:rPr>
        <w:footnoteReference w:id="1"/>
      </w:r>
      <w:r>
        <w:rPr>
          <w:sz w:val="20"/>
          <w:szCs w:val="20"/>
        </w:rPr>
        <w:t>. For the 3.6 million individuals who took their GCSEs between 2002 and 2007 there were over 262,000 different pathways. Of these, almost 168,000 pathways were uniq</w:t>
      </w:r>
      <w:r>
        <w:rPr>
          <w:sz w:val="20"/>
          <w:szCs w:val="20"/>
        </w:rPr>
        <w:t xml:space="preserve">ue, </w:t>
      </w:r>
      <w:proofErr w:type="gramStart"/>
      <w:r>
        <w:rPr>
          <w:sz w:val="20"/>
          <w:szCs w:val="20"/>
        </w:rPr>
        <w:t>i.e.</w:t>
      </w:r>
      <w:proofErr w:type="gramEnd"/>
      <w:r>
        <w:rPr>
          <w:sz w:val="20"/>
          <w:szCs w:val="20"/>
        </w:rPr>
        <w:t xml:space="preserve"> each only observed for a single individual. However, it also found that Individuals from certain ethnic groups, who have a special education need, have poorer GCSE attainment (at KS4), are from a lower socioeconomic background or attended a state-</w:t>
      </w:r>
      <w:r>
        <w:rPr>
          <w:sz w:val="20"/>
          <w:szCs w:val="20"/>
        </w:rPr>
        <w:t>funded (non-selective) school have worse labour market outcomes than those from more “advantaged” comparator sub-groups.</w:t>
      </w:r>
    </w:p>
    <w:p w14:paraId="1C476891" w14:textId="77777777" w:rsidR="00C1653F" w:rsidRDefault="00C1653F">
      <w:pPr>
        <w:pBdr>
          <w:top w:val="nil"/>
          <w:left w:val="nil"/>
          <w:bottom w:val="nil"/>
          <w:right w:val="nil"/>
          <w:between w:val="nil"/>
        </w:pBdr>
        <w:ind w:left="720"/>
        <w:rPr>
          <w:color w:val="000000"/>
          <w:sz w:val="20"/>
          <w:szCs w:val="20"/>
        </w:rPr>
      </w:pPr>
    </w:p>
    <w:p w14:paraId="7A834C0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According to a study by the Institute for Fiscal Studies, the effect of higher education on geographical mobility is weaker for ethnic</w:t>
      </w:r>
      <w:r>
        <w:rPr>
          <w:sz w:val="20"/>
          <w:szCs w:val="20"/>
        </w:rPr>
        <w:t xml:space="preserve"> minorities and people from lower socio-economic backgrounds</w:t>
      </w:r>
      <w:r>
        <w:rPr>
          <w:sz w:val="20"/>
          <w:szCs w:val="20"/>
          <w:vertAlign w:val="superscript"/>
        </w:rPr>
        <w:footnoteReference w:id="2"/>
      </w:r>
      <w:r>
        <w:rPr>
          <w:sz w:val="20"/>
          <w:szCs w:val="20"/>
        </w:rPr>
        <w:t xml:space="preserve">. Graduates from Black and Asian ethnic groups were much less likely than White graduates to have moved areas between their last year of secondary school (usually aged 16) and 27 years old. The </w:t>
      </w:r>
      <w:r>
        <w:rPr>
          <w:sz w:val="20"/>
          <w:szCs w:val="20"/>
        </w:rPr>
        <w:t>‘mobility premium’ in average earnings is bigger for graduates who move compared to those who do not. This is likely to translate into even larger differences later in life.</w:t>
      </w:r>
    </w:p>
    <w:p w14:paraId="1A08A214" w14:textId="77777777" w:rsidR="00C1653F" w:rsidRDefault="00C1653F">
      <w:pPr>
        <w:pBdr>
          <w:top w:val="nil"/>
          <w:left w:val="nil"/>
          <w:bottom w:val="nil"/>
          <w:right w:val="nil"/>
          <w:between w:val="nil"/>
        </w:pBdr>
        <w:ind w:left="720"/>
        <w:rPr>
          <w:color w:val="000000"/>
          <w:sz w:val="20"/>
          <w:szCs w:val="20"/>
        </w:rPr>
      </w:pPr>
    </w:p>
    <w:p w14:paraId="583EA4B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Furthermore, the </w:t>
      </w:r>
      <w:r>
        <w:rPr>
          <w:i/>
          <w:iCs/>
          <w:sz w:val="20"/>
          <w:szCs w:val="20"/>
        </w:rPr>
        <w:t>2023 State of the Nation</w:t>
      </w:r>
      <w:r>
        <w:rPr>
          <w:sz w:val="20"/>
          <w:szCs w:val="20"/>
        </w:rPr>
        <w:t xml:space="preserve"> report by the Social Mobility Commissio</w:t>
      </w:r>
      <w:r>
        <w:rPr>
          <w:sz w:val="20"/>
          <w:szCs w:val="20"/>
        </w:rPr>
        <w:t>n identified that people from Chinese, Mixed, Indian, Black African and ‘Other’ ethnic groups were more likely to obtain a university degree than White British and Black Caribbean people from the same socioeconomic background</w:t>
      </w:r>
      <w:r>
        <w:rPr>
          <w:sz w:val="20"/>
          <w:szCs w:val="20"/>
          <w:vertAlign w:val="superscript"/>
        </w:rPr>
        <w:footnoteReference w:id="3"/>
      </w:r>
      <w:r>
        <w:rPr>
          <w:sz w:val="20"/>
          <w:szCs w:val="20"/>
        </w:rPr>
        <w:t xml:space="preserve">. However, that doesn’t always translate </w:t>
      </w:r>
      <w:r>
        <w:rPr>
          <w:sz w:val="20"/>
          <w:szCs w:val="20"/>
        </w:rPr>
        <w:lastRenderedPageBreak/>
        <w:t>to better occupational outcomes. People from the Bangladeshi and Pakistani ethnic groups had the highest proportion of downward occupational mobility, with occupational and educational mobility varying by generation</w:t>
      </w:r>
      <w:r>
        <w:rPr>
          <w:sz w:val="20"/>
          <w:szCs w:val="20"/>
        </w:rPr>
        <w:t>. Second generation migrants had better chances of occupational and educational mobility than first generation migrants.</w:t>
      </w:r>
    </w:p>
    <w:p w14:paraId="7641FD4F" w14:textId="77777777" w:rsidR="00C1653F" w:rsidRDefault="00C1653F">
      <w:pPr>
        <w:rPr>
          <w:sz w:val="20"/>
          <w:szCs w:val="20"/>
        </w:rPr>
      </w:pPr>
    </w:p>
    <w:p w14:paraId="5C9FB110"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pPr>
      <w:bookmarkStart w:id="7" w:name="_heading=h.23ckvvd" w:colFirst="0" w:colLast="0"/>
      <w:bookmarkEnd w:id="7"/>
      <w:r>
        <w:rPr>
          <w:sz w:val="20"/>
          <w:szCs w:val="20"/>
        </w:rPr>
        <w:t xml:space="preserve">DEFINITIONS </w:t>
      </w:r>
    </w:p>
    <w:p w14:paraId="7558AC45" w14:textId="77777777" w:rsidR="00C1653F" w:rsidRDefault="00C1653F">
      <w:pPr>
        <w:pStyle w:val="Heading1"/>
      </w:pPr>
    </w:p>
    <w:tbl>
      <w:tblPr>
        <w:tblStyle w:val="a"/>
        <w:tblW w:w="9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3"/>
        <w:gridCol w:w="6251"/>
      </w:tblGrid>
      <w:tr w:rsidR="00C1653F" w14:paraId="003BA86F" w14:textId="77777777">
        <w:trPr>
          <w:trHeight w:val="364"/>
        </w:trPr>
        <w:tc>
          <w:tcPr>
            <w:tcW w:w="2773" w:type="dxa"/>
            <w:shd w:val="clear" w:color="auto" w:fill="B8CCE4"/>
          </w:tcPr>
          <w:p w14:paraId="65D5BDC3" w14:textId="77777777" w:rsidR="00C1653F" w:rsidRDefault="00221C5E">
            <w:pPr>
              <w:pBdr>
                <w:top w:val="nil"/>
                <w:left w:val="nil"/>
                <w:bottom w:val="nil"/>
                <w:right w:val="nil"/>
                <w:between w:val="nil"/>
              </w:pBdr>
              <w:ind w:left="709" w:hanging="709"/>
              <w:rPr>
                <w:color w:val="000000"/>
                <w:sz w:val="20"/>
                <w:szCs w:val="20"/>
                <w:highlight w:val="yellow"/>
              </w:rPr>
            </w:pPr>
            <w:r>
              <w:rPr>
                <w:color w:val="000000"/>
                <w:sz w:val="20"/>
                <w:szCs w:val="20"/>
              </w:rPr>
              <w:t>Expression or Acronym</w:t>
            </w:r>
          </w:p>
        </w:tc>
        <w:tc>
          <w:tcPr>
            <w:tcW w:w="6251" w:type="dxa"/>
            <w:shd w:val="clear" w:color="auto" w:fill="B8CCE4"/>
          </w:tcPr>
          <w:p w14:paraId="53DDD4DB" w14:textId="77777777" w:rsidR="00C1653F" w:rsidRDefault="00221C5E">
            <w:pPr>
              <w:pBdr>
                <w:top w:val="nil"/>
                <w:left w:val="nil"/>
                <w:bottom w:val="nil"/>
                <w:right w:val="nil"/>
                <w:between w:val="nil"/>
              </w:pBdr>
              <w:ind w:left="709" w:hanging="709"/>
              <w:rPr>
                <w:color w:val="000000"/>
                <w:sz w:val="20"/>
                <w:szCs w:val="20"/>
                <w:highlight w:val="yellow"/>
              </w:rPr>
            </w:pPr>
            <w:r>
              <w:rPr>
                <w:color w:val="000000"/>
                <w:sz w:val="20"/>
                <w:szCs w:val="20"/>
              </w:rPr>
              <w:t>Definition</w:t>
            </w:r>
          </w:p>
        </w:tc>
      </w:tr>
      <w:tr w:rsidR="00C1653F" w14:paraId="1EB8441D" w14:textId="77777777">
        <w:tc>
          <w:tcPr>
            <w:tcW w:w="2773" w:type="dxa"/>
          </w:tcPr>
          <w:p w14:paraId="0BB959C2"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OEO</w:t>
            </w:r>
          </w:p>
        </w:tc>
        <w:tc>
          <w:tcPr>
            <w:tcW w:w="6251" w:type="dxa"/>
          </w:tcPr>
          <w:p w14:paraId="60B51A21" w14:textId="77777777" w:rsidR="00C1653F" w:rsidRDefault="00221C5E">
            <w:pPr>
              <w:pBdr>
                <w:top w:val="nil"/>
                <w:left w:val="nil"/>
                <w:bottom w:val="nil"/>
                <w:right w:val="nil"/>
                <w:between w:val="nil"/>
              </w:pBdr>
              <w:rPr>
                <w:b/>
                <w:bCs/>
                <w:color w:val="000000"/>
                <w:sz w:val="20"/>
                <w:szCs w:val="20"/>
                <w:highlight w:val="yellow"/>
              </w:rPr>
            </w:pPr>
            <w:r>
              <w:rPr>
                <w:color w:val="000000"/>
                <w:sz w:val="20"/>
                <w:szCs w:val="20"/>
              </w:rPr>
              <w:t>Means; Office for Equality and Opportunity</w:t>
            </w:r>
          </w:p>
        </w:tc>
      </w:tr>
      <w:tr w:rsidR="00C1653F" w14:paraId="61167009" w14:textId="77777777">
        <w:tc>
          <w:tcPr>
            <w:tcW w:w="2773" w:type="dxa"/>
          </w:tcPr>
          <w:p w14:paraId="1E19D8D1"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NEET</w:t>
            </w:r>
          </w:p>
        </w:tc>
        <w:tc>
          <w:tcPr>
            <w:tcW w:w="6251" w:type="dxa"/>
          </w:tcPr>
          <w:p w14:paraId="609F79F4" w14:textId="77777777" w:rsidR="00C1653F" w:rsidRDefault="00221C5E">
            <w:pPr>
              <w:pBdr>
                <w:top w:val="nil"/>
                <w:left w:val="nil"/>
                <w:bottom w:val="nil"/>
                <w:right w:val="nil"/>
                <w:between w:val="nil"/>
              </w:pBdr>
              <w:rPr>
                <w:b/>
                <w:bCs/>
                <w:color w:val="000000"/>
                <w:sz w:val="20"/>
                <w:szCs w:val="20"/>
              </w:rPr>
            </w:pPr>
            <w:r>
              <w:rPr>
                <w:color w:val="000000"/>
                <w:sz w:val="20"/>
                <w:szCs w:val="20"/>
              </w:rPr>
              <w:t>Means; Not in Education, Employment or Training</w:t>
            </w:r>
          </w:p>
        </w:tc>
      </w:tr>
      <w:tr w:rsidR="00C1653F" w14:paraId="05776DD1" w14:textId="77777777">
        <w:tc>
          <w:tcPr>
            <w:tcW w:w="2773" w:type="dxa"/>
          </w:tcPr>
          <w:p w14:paraId="34D506C7"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SEND</w:t>
            </w:r>
          </w:p>
        </w:tc>
        <w:tc>
          <w:tcPr>
            <w:tcW w:w="6251" w:type="dxa"/>
          </w:tcPr>
          <w:p w14:paraId="6B71BD48" w14:textId="77777777" w:rsidR="00C1653F" w:rsidRDefault="00221C5E">
            <w:pPr>
              <w:pBdr>
                <w:top w:val="nil"/>
                <w:left w:val="nil"/>
                <w:bottom w:val="nil"/>
                <w:right w:val="nil"/>
                <w:between w:val="nil"/>
              </w:pBdr>
              <w:rPr>
                <w:b/>
                <w:bCs/>
                <w:color w:val="000000"/>
                <w:sz w:val="20"/>
                <w:szCs w:val="20"/>
              </w:rPr>
            </w:pPr>
            <w:r>
              <w:rPr>
                <w:color w:val="000000"/>
                <w:sz w:val="20"/>
                <w:szCs w:val="20"/>
              </w:rPr>
              <w:t>Means; Special Education Needs and Disabilities</w:t>
            </w:r>
          </w:p>
        </w:tc>
      </w:tr>
      <w:tr w:rsidR="00C1653F" w14:paraId="22AD9749" w14:textId="77777777">
        <w:tc>
          <w:tcPr>
            <w:tcW w:w="2773" w:type="dxa"/>
          </w:tcPr>
          <w:p w14:paraId="51BCABBD"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DfE</w:t>
            </w:r>
          </w:p>
        </w:tc>
        <w:tc>
          <w:tcPr>
            <w:tcW w:w="6251" w:type="dxa"/>
          </w:tcPr>
          <w:p w14:paraId="4E155012" w14:textId="77777777" w:rsidR="00C1653F" w:rsidRDefault="00221C5E">
            <w:pPr>
              <w:pBdr>
                <w:top w:val="nil"/>
                <w:left w:val="nil"/>
                <w:bottom w:val="nil"/>
                <w:right w:val="nil"/>
                <w:between w:val="nil"/>
              </w:pBdr>
              <w:rPr>
                <w:b/>
                <w:bCs/>
                <w:color w:val="000000"/>
                <w:sz w:val="20"/>
                <w:szCs w:val="20"/>
              </w:rPr>
            </w:pPr>
            <w:r>
              <w:rPr>
                <w:color w:val="000000"/>
                <w:sz w:val="20"/>
                <w:szCs w:val="20"/>
              </w:rPr>
              <w:t>Means; Department for Education</w:t>
            </w:r>
          </w:p>
        </w:tc>
      </w:tr>
      <w:tr w:rsidR="00C1653F" w14:paraId="356AC3C8" w14:textId="77777777">
        <w:tc>
          <w:tcPr>
            <w:tcW w:w="2773" w:type="dxa"/>
          </w:tcPr>
          <w:p w14:paraId="78918FB3"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LEO</w:t>
            </w:r>
          </w:p>
        </w:tc>
        <w:tc>
          <w:tcPr>
            <w:tcW w:w="6251" w:type="dxa"/>
          </w:tcPr>
          <w:p w14:paraId="0342D179" w14:textId="77777777" w:rsidR="00C1653F" w:rsidRDefault="00221C5E">
            <w:pPr>
              <w:pBdr>
                <w:top w:val="nil"/>
                <w:left w:val="nil"/>
                <w:bottom w:val="nil"/>
                <w:right w:val="nil"/>
                <w:between w:val="nil"/>
              </w:pBdr>
              <w:rPr>
                <w:b/>
                <w:bCs/>
                <w:color w:val="000000"/>
                <w:sz w:val="20"/>
                <w:szCs w:val="20"/>
              </w:rPr>
            </w:pPr>
            <w:r>
              <w:rPr>
                <w:color w:val="000000"/>
                <w:sz w:val="20"/>
                <w:szCs w:val="20"/>
              </w:rPr>
              <w:t>Means; the Longitudinal Education Outcomes dataset</w:t>
            </w:r>
          </w:p>
        </w:tc>
      </w:tr>
      <w:tr w:rsidR="00C1653F" w14:paraId="7D76DBB6" w14:textId="77777777">
        <w:tc>
          <w:tcPr>
            <w:tcW w:w="2773" w:type="dxa"/>
          </w:tcPr>
          <w:p w14:paraId="5BE5ABAB"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NSSEC</w:t>
            </w:r>
          </w:p>
        </w:tc>
        <w:tc>
          <w:tcPr>
            <w:tcW w:w="6251" w:type="dxa"/>
          </w:tcPr>
          <w:p w14:paraId="14F7B210" w14:textId="77777777" w:rsidR="00C1653F" w:rsidRDefault="00221C5E">
            <w:pPr>
              <w:pBdr>
                <w:top w:val="nil"/>
                <w:left w:val="nil"/>
                <w:bottom w:val="nil"/>
                <w:right w:val="nil"/>
                <w:between w:val="nil"/>
              </w:pBdr>
              <w:rPr>
                <w:b/>
                <w:bCs/>
                <w:color w:val="000000"/>
                <w:sz w:val="20"/>
                <w:szCs w:val="20"/>
                <w:highlight w:val="yellow"/>
              </w:rPr>
            </w:pPr>
            <w:r>
              <w:rPr>
                <w:color w:val="000000"/>
                <w:sz w:val="20"/>
                <w:szCs w:val="20"/>
              </w:rPr>
              <w:t>Means; National Statistics Socio-Economic Classification</w:t>
            </w:r>
          </w:p>
        </w:tc>
      </w:tr>
    </w:tbl>
    <w:p w14:paraId="53D7D565" w14:textId="77777777" w:rsidR="00C1653F" w:rsidRDefault="00C1653F"/>
    <w:p w14:paraId="1A225C56"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8" w:name="_heading=h.ihv636" w:colFirst="0" w:colLast="0"/>
      <w:bookmarkEnd w:id="8"/>
      <w:r>
        <w:rPr>
          <w:sz w:val="20"/>
          <w:szCs w:val="20"/>
        </w:rPr>
        <w:t>SCOPE OF THE REQUIREMENT</w:t>
      </w:r>
    </w:p>
    <w:p w14:paraId="333CFE26" w14:textId="77777777" w:rsidR="00C1653F" w:rsidRDefault="00C1653F"/>
    <w:p w14:paraId="45EEC66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Interested Potential Providers should carefully read the requirements set out below and respond to the questions set out in the response guidance.</w:t>
      </w:r>
    </w:p>
    <w:p w14:paraId="743E4C02" w14:textId="77777777" w:rsidR="00C1653F" w:rsidRDefault="00C1653F">
      <w:pPr>
        <w:pStyle w:val="Heading2"/>
        <w:rPr>
          <w:sz w:val="20"/>
          <w:szCs w:val="20"/>
        </w:rPr>
      </w:pPr>
    </w:p>
    <w:p w14:paraId="14F6ECD4"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Please note: The Supplier is to assume that all requirements are core requirements and should therefore be i</w:t>
      </w:r>
      <w:r>
        <w:rPr>
          <w:sz w:val="20"/>
          <w:szCs w:val="20"/>
        </w:rPr>
        <w:t>ncluded in the core contract price unless otherwise specified.</w:t>
      </w:r>
    </w:p>
    <w:p w14:paraId="5FE83D7B" w14:textId="77777777" w:rsidR="00C1653F" w:rsidRDefault="00C1653F">
      <w:pPr>
        <w:pBdr>
          <w:top w:val="nil"/>
          <w:left w:val="nil"/>
          <w:bottom w:val="nil"/>
          <w:right w:val="nil"/>
          <w:between w:val="nil"/>
        </w:pBdr>
        <w:ind w:left="720"/>
        <w:rPr>
          <w:color w:val="000000"/>
          <w:sz w:val="20"/>
          <w:szCs w:val="20"/>
        </w:rPr>
      </w:pPr>
    </w:p>
    <w:p w14:paraId="6B8B87ED"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As the DfE report points out, we can’t know from quantitative analyses </w:t>
      </w:r>
      <w:r>
        <w:rPr>
          <w:i/>
          <w:iCs/>
          <w:sz w:val="20"/>
          <w:szCs w:val="20"/>
        </w:rPr>
        <w:t>why</w:t>
      </w:r>
      <w:r>
        <w:rPr>
          <w:sz w:val="20"/>
          <w:szCs w:val="20"/>
        </w:rPr>
        <w:t xml:space="preserve"> there are different paths taken by young people after education. Other unobserved factors such as motivation, persona</w:t>
      </w:r>
      <w:r>
        <w:rPr>
          <w:sz w:val="20"/>
          <w:szCs w:val="20"/>
        </w:rPr>
        <w:t xml:space="preserve">l and parental aspirations, innate ability, mental health and wellbeing, and home learning environment, have an impact on the decision-making process that young people go through when considering further education and employment opportunities, and need to </w:t>
      </w:r>
      <w:r>
        <w:rPr>
          <w:sz w:val="20"/>
          <w:szCs w:val="20"/>
        </w:rPr>
        <w:t>be explored.</w:t>
      </w:r>
    </w:p>
    <w:p w14:paraId="62EA6CAE" w14:textId="77777777" w:rsidR="00C1653F" w:rsidRDefault="00C1653F">
      <w:pPr>
        <w:pBdr>
          <w:top w:val="nil"/>
          <w:left w:val="nil"/>
          <w:bottom w:val="nil"/>
          <w:right w:val="nil"/>
          <w:between w:val="nil"/>
        </w:pBdr>
        <w:ind w:left="720"/>
        <w:rPr>
          <w:color w:val="000000"/>
          <w:sz w:val="20"/>
          <w:szCs w:val="20"/>
        </w:rPr>
      </w:pPr>
    </w:p>
    <w:p w14:paraId="56584A7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Authority is therefore commissioning a systematic literature review focusing on qualitative research which investigates the decisions behind young people’s choices at ages 16 and 18, and post-higher education, and how different characteristics (ethnici</w:t>
      </w:r>
      <w:r>
        <w:rPr>
          <w:sz w:val="20"/>
          <w:szCs w:val="20"/>
        </w:rPr>
        <w:t>ty, disability, NSSEC and local area) impact upon those decisions.</w:t>
      </w:r>
    </w:p>
    <w:p w14:paraId="142DAFB8" w14:textId="77777777" w:rsidR="00C1653F" w:rsidRDefault="00C1653F">
      <w:pPr>
        <w:pBdr>
          <w:top w:val="nil"/>
          <w:left w:val="nil"/>
          <w:bottom w:val="nil"/>
          <w:right w:val="nil"/>
          <w:between w:val="nil"/>
        </w:pBdr>
        <w:ind w:left="720"/>
        <w:rPr>
          <w:color w:val="000000"/>
          <w:sz w:val="20"/>
          <w:szCs w:val="20"/>
        </w:rPr>
      </w:pPr>
    </w:p>
    <w:p w14:paraId="37BADC5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is to implement all objectives and processes listed in their approaches once agreed and signed, if requested by the Authority.</w:t>
      </w:r>
    </w:p>
    <w:p w14:paraId="16A2EB4A" w14:textId="77777777" w:rsidR="00C1653F" w:rsidRDefault="00C1653F">
      <w:pPr>
        <w:pBdr>
          <w:top w:val="nil"/>
          <w:left w:val="nil"/>
          <w:bottom w:val="nil"/>
          <w:right w:val="nil"/>
          <w:between w:val="nil"/>
        </w:pBdr>
        <w:ind w:left="720"/>
        <w:rPr>
          <w:color w:val="000000"/>
          <w:sz w:val="20"/>
          <w:szCs w:val="20"/>
        </w:rPr>
      </w:pPr>
    </w:p>
    <w:p w14:paraId="032943E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lastRenderedPageBreak/>
        <w:t>The overall requirements of this work are liste</w:t>
      </w:r>
      <w:r>
        <w:rPr>
          <w:sz w:val="20"/>
          <w:szCs w:val="20"/>
        </w:rPr>
        <w:t>d below.</w:t>
      </w:r>
    </w:p>
    <w:p w14:paraId="611E1250" w14:textId="77777777" w:rsidR="00C1653F" w:rsidRDefault="00221C5E">
      <w:pPr>
        <w:pStyle w:val="Heading3"/>
        <w:numPr>
          <w:ilvl w:val="2"/>
          <w:numId w:val="1"/>
        </w:numPr>
        <w:spacing w:after="0"/>
        <w:ind w:left="2160" w:hanging="360"/>
        <w:rPr>
          <w:sz w:val="20"/>
          <w:szCs w:val="20"/>
        </w:rPr>
      </w:pPr>
      <w:bookmarkStart w:id="9" w:name="_heading=h.ff9dnqwui14" w:colFirst="0" w:colLast="0"/>
      <w:bookmarkEnd w:id="9"/>
      <w:r>
        <w:rPr>
          <w:sz w:val="20"/>
          <w:szCs w:val="20"/>
        </w:rPr>
        <w:t>Develop a written research protocol</w:t>
      </w:r>
    </w:p>
    <w:p w14:paraId="59B15F67" w14:textId="77777777" w:rsidR="00C1653F" w:rsidRDefault="00221C5E">
      <w:pPr>
        <w:pStyle w:val="Heading3"/>
        <w:numPr>
          <w:ilvl w:val="2"/>
          <w:numId w:val="1"/>
        </w:numPr>
        <w:spacing w:after="0"/>
        <w:ind w:left="2160" w:hanging="360"/>
        <w:rPr>
          <w:sz w:val="20"/>
          <w:szCs w:val="20"/>
        </w:rPr>
      </w:pPr>
      <w:bookmarkStart w:id="10" w:name="_heading=h.g5jlmknn9mjw" w:colFirst="0" w:colLast="0"/>
      <w:bookmarkEnd w:id="10"/>
      <w:r>
        <w:rPr>
          <w:sz w:val="20"/>
          <w:szCs w:val="20"/>
        </w:rPr>
        <w:t>Identify and quality assure relevant research</w:t>
      </w:r>
    </w:p>
    <w:p w14:paraId="04A5E92F" w14:textId="77777777" w:rsidR="00C1653F" w:rsidRDefault="00221C5E">
      <w:pPr>
        <w:pStyle w:val="Heading3"/>
        <w:numPr>
          <w:ilvl w:val="2"/>
          <w:numId w:val="1"/>
        </w:numPr>
        <w:spacing w:after="0"/>
        <w:ind w:left="2160" w:hanging="360"/>
        <w:rPr>
          <w:sz w:val="20"/>
          <w:szCs w:val="20"/>
        </w:rPr>
      </w:pPr>
      <w:r>
        <w:rPr>
          <w:sz w:val="20"/>
          <w:szCs w:val="20"/>
        </w:rPr>
        <w:t>Summarise the evidence</w:t>
      </w:r>
    </w:p>
    <w:p w14:paraId="6BEF5FBA" w14:textId="77777777" w:rsidR="00C1653F" w:rsidRDefault="00221C5E">
      <w:pPr>
        <w:pStyle w:val="Heading3"/>
        <w:numPr>
          <w:ilvl w:val="2"/>
          <w:numId w:val="1"/>
        </w:numPr>
        <w:spacing w:after="0"/>
        <w:ind w:left="2160" w:hanging="360"/>
        <w:rPr>
          <w:sz w:val="20"/>
          <w:szCs w:val="20"/>
        </w:rPr>
      </w:pPr>
      <w:r>
        <w:rPr>
          <w:sz w:val="20"/>
          <w:szCs w:val="20"/>
        </w:rPr>
        <w:t>Interpret the findings</w:t>
      </w:r>
    </w:p>
    <w:p w14:paraId="5938507D" w14:textId="77777777" w:rsidR="00C1653F" w:rsidRDefault="00221C5E">
      <w:pPr>
        <w:pStyle w:val="Heading3"/>
        <w:numPr>
          <w:ilvl w:val="2"/>
          <w:numId w:val="1"/>
        </w:numPr>
        <w:spacing w:after="0"/>
        <w:ind w:left="2160" w:hanging="360"/>
        <w:rPr>
          <w:sz w:val="20"/>
          <w:szCs w:val="20"/>
        </w:rPr>
      </w:pPr>
      <w:bookmarkStart w:id="11" w:name="_heading=h.rnafw8vw9kpi" w:colFirst="0" w:colLast="0"/>
      <w:bookmarkEnd w:id="11"/>
      <w:r>
        <w:rPr>
          <w:sz w:val="20"/>
          <w:szCs w:val="20"/>
        </w:rPr>
        <w:t>Reporting</w:t>
      </w:r>
    </w:p>
    <w:p w14:paraId="6074B73B" w14:textId="77777777" w:rsidR="00C1653F" w:rsidRDefault="00C1653F">
      <w:pPr>
        <w:pStyle w:val="Heading2"/>
        <w:ind w:left="720" w:firstLine="1080"/>
        <w:rPr>
          <w:sz w:val="20"/>
          <w:szCs w:val="20"/>
        </w:rPr>
      </w:pPr>
    </w:p>
    <w:p w14:paraId="78A63AE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Authority recognises that AI has the potential to enhance the efficiency, scale, and scope of research a</w:t>
      </w:r>
      <w:r>
        <w:rPr>
          <w:sz w:val="20"/>
          <w:szCs w:val="20"/>
        </w:rPr>
        <w:t>nd evaluation. However, its use must not compromise the fundamental principles of rigour, proportionality, transparency, and replicability — cornerstones of robust research, evaluation, and evidence-based decision-making. The Supplier shall notify the Buye</w:t>
      </w:r>
      <w:r>
        <w:rPr>
          <w:sz w:val="20"/>
          <w:szCs w:val="20"/>
        </w:rPr>
        <w:t>r in advance of using Artificial Intelligence to deliver any of the Requirements.  The Supplier shall provide details as requested by the Buyer whose decision on whether to allow its use will be final. Any proposal to use AI should be fully justified, prop</w:t>
      </w:r>
      <w:r>
        <w:rPr>
          <w:sz w:val="20"/>
          <w:szCs w:val="20"/>
        </w:rPr>
        <w:t>ortionate and ethical. The Supplier shall not use AI for training purposes.</w:t>
      </w:r>
    </w:p>
    <w:p w14:paraId="1C2DD1E3" w14:textId="77777777" w:rsidR="00C1653F" w:rsidRDefault="00C1653F">
      <w:pPr>
        <w:pStyle w:val="Heading2"/>
        <w:rPr>
          <w:sz w:val="20"/>
          <w:szCs w:val="20"/>
        </w:rPr>
      </w:pPr>
    </w:p>
    <w:p w14:paraId="24D9A69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In meeting these requirements, the project must comply with the data ethics framework laid out by the UK Statistics Authority. Further information can be found on the UK Statistics Authority’s data ethics webpages</w:t>
      </w:r>
      <w:r>
        <w:rPr>
          <w:sz w:val="20"/>
          <w:szCs w:val="20"/>
          <w:vertAlign w:val="superscript"/>
        </w:rPr>
        <w:footnoteReference w:id="4"/>
      </w:r>
      <w:r>
        <w:rPr>
          <w:sz w:val="20"/>
          <w:szCs w:val="20"/>
        </w:rPr>
        <w:t>.</w:t>
      </w:r>
    </w:p>
    <w:p w14:paraId="4CD8C061" w14:textId="77777777" w:rsidR="00C1653F" w:rsidRDefault="00C1653F"/>
    <w:p w14:paraId="325914B1"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2" w:name="_heading=h.32hioqz" w:colFirst="0" w:colLast="0"/>
      <w:bookmarkEnd w:id="12"/>
      <w:r>
        <w:rPr>
          <w:sz w:val="20"/>
          <w:szCs w:val="20"/>
        </w:rPr>
        <w:t>MANDATORY DELIVERABLES (SUPPLIER RESPO</w:t>
      </w:r>
      <w:r>
        <w:rPr>
          <w:sz w:val="20"/>
          <w:szCs w:val="20"/>
        </w:rPr>
        <w:t>NSIBILITIES)</w:t>
      </w:r>
    </w:p>
    <w:p w14:paraId="1E7BA0C5" w14:textId="77777777" w:rsidR="00C1653F" w:rsidRDefault="00C1653F"/>
    <w:p w14:paraId="07D3709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Develop a research protocol: The Authority requires the development of a research protocol to plan and document the search strategy to be used in advance. This mitigates against bias and promotes transparency and replicability. The Protocol w</w:t>
      </w:r>
      <w:r>
        <w:rPr>
          <w:sz w:val="20"/>
          <w:szCs w:val="20"/>
        </w:rPr>
        <w:t>ill also provide inclusion and exclusion criteria for identifying appropriate studies and setting quality parameters. The search strategy and inclusion/exclusion criteria will be developed in collaboration with the Authority.</w:t>
      </w:r>
    </w:p>
    <w:p w14:paraId="5592640F" w14:textId="77777777" w:rsidR="00C1653F" w:rsidRDefault="00C1653F">
      <w:pPr>
        <w:pStyle w:val="Heading2"/>
        <w:rPr>
          <w:sz w:val="20"/>
          <w:szCs w:val="20"/>
        </w:rPr>
      </w:pPr>
    </w:p>
    <w:p w14:paraId="6C15772D"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Identify and quality assure r</w:t>
      </w:r>
      <w:r>
        <w:rPr>
          <w:sz w:val="20"/>
          <w:szCs w:val="20"/>
        </w:rPr>
        <w:t>esearch: The Supplier will use the search criteria developed in the protocol to identify literature from a variety of journal databases, including grey literature as the quality allows. The inclusion and exclusion criteria will be applied to establish rele</w:t>
      </w:r>
      <w:r>
        <w:rPr>
          <w:sz w:val="20"/>
          <w:szCs w:val="20"/>
        </w:rPr>
        <w:t>vance and quality. The selected literature should include as many of the following characteristics as possible:</w:t>
      </w:r>
    </w:p>
    <w:p w14:paraId="0E89F07D" w14:textId="77777777" w:rsidR="00C1653F" w:rsidRDefault="00C1653F">
      <w:pPr>
        <w:pStyle w:val="Heading2"/>
        <w:rPr>
          <w:sz w:val="20"/>
          <w:szCs w:val="20"/>
        </w:rPr>
      </w:pPr>
    </w:p>
    <w:p w14:paraId="5CDB97B1" w14:textId="77777777" w:rsidR="00C1653F" w:rsidRDefault="00221C5E">
      <w:pPr>
        <w:numPr>
          <w:ilvl w:val="0"/>
          <w:numId w:val="2"/>
        </w:numPr>
        <w:spacing w:after="0" w:line="240" w:lineRule="auto"/>
        <w:rPr>
          <w:color w:val="000000"/>
          <w:sz w:val="20"/>
          <w:szCs w:val="20"/>
        </w:rPr>
      </w:pPr>
      <w:r>
        <w:rPr>
          <w:color w:val="000000"/>
          <w:sz w:val="20"/>
          <w:szCs w:val="20"/>
        </w:rPr>
        <w:t>Ethnic groups</w:t>
      </w:r>
    </w:p>
    <w:p w14:paraId="6F57488D" w14:textId="77777777" w:rsidR="00C1653F" w:rsidRDefault="00221C5E">
      <w:pPr>
        <w:numPr>
          <w:ilvl w:val="1"/>
          <w:numId w:val="2"/>
        </w:numPr>
        <w:spacing w:after="0" w:line="240" w:lineRule="auto"/>
        <w:rPr>
          <w:color w:val="000000"/>
          <w:sz w:val="20"/>
          <w:szCs w:val="20"/>
        </w:rPr>
      </w:pPr>
      <w:r>
        <w:rPr>
          <w:color w:val="000000"/>
          <w:sz w:val="20"/>
          <w:szCs w:val="20"/>
        </w:rPr>
        <w:t>Black Caribbean</w:t>
      </w:r>
    </w:p>
    <w:p w14:paraId="02872E9B" w14:textId="77777777" w:rsidR="00C1653F" w:rsidRDefault="00221C5E">
      <w:pPr>
        <w:numPr>
          <w:ilvl w:val="1"/>
          <w:numId w:val="2"/>
        </w:numPr>
        <w:spacing w:after="0" w:line="240" w:lineRule="auto"/>
        <w:rPr>
          <w:color w:val="000000"/>
          <w:sz w:val="20"/>
          <w:szCs w:val="20"/>
        </w:rPr>
      </w:pPr>
      <w:r>
        <w:rPr>
          <w:color w:val="000000"/>
          <w:sz w:val="20"/>
          <w:szCs w:val="20"/>
        </w:rPr>
        <w:t>Black African</w:t>
      </w:r>
    </w:p>
    <w:p w14:paraId="17139AA5" w14:textId="77777777" w:rsidR="00C1653F" w:rsidRDefault="00221C5E">
      <w:pPr>
        <w:numPr>
          <w:ilvl w:val="1"/>
          <w:numId w:val="2"/>
        </w:numPr>
        <w:spacing w:after="0" w:line="240" w:lineRule="auto"/>
        <w:rPr>
          <w:color w:val="000000"/>
          <w:sz w:val="20"/>
          <w:szCs w:val="20"/>
        </w:rPr>
      </w:pPr>
      <w:r>
        <w:rPr>
          <w:color w:val="000000"/>
          <w:sz w:val="20"/>
          <w:szCs w:val="20"/>
        </w:rPr>
        <w:t>Gypsy, Roma, or Traveller</w:t>
      </w:r>
    </w:p>
    <w:p w14:paraId="66207778" w14:textId="77777777" w:rsidR="00C1653F" w:rsidRDefault="00221C5E">
      <w:pPr>
        <w:numPr>
          <w:ilvl w:val="1"/>
          <w:numId w:val="2"/>
        </w:numPr>
        <w:spacing w:after="0" w:line="240" w:lineRule="auto"/>
        <w:rPr>
          <w:color w:val="000000"/>
          <w:sz w:val="20"/>
          <w:szCs w:val="20"/>
        </w:rPr>
      </w:pPr>
      <w:r>
        <w:rPr>
          <w:color w:val="000000"/>
          <w:sz w:val="20"/>
          <w:szCs w:val="20"/>
        </w:rPr>
        <w:t>Indian</w:t>
      </w:r>
    </w:p>
    <w:p w14:paraId="06942B09" w14:textId="77777777" w:rsidR="00C1653F" w:rsidRDefault="00221C5E">
      <w:pPr>
        <w:numPr>
          <w:ilvl w:val="1"/>
          <w:numId w:val="2"/>
        </w:numPr>
        <w:spacing w:after="0" w:line="240" w:lineRule="auto"/>
        <w:rPr>
          <w:color w:val="000000"/>
          <w:sz w:val="20"/>
          <w:szCs w:val="20"/>
        </w:rPr>
      </w:pPr>
      <w:r>
        <w:rPr>
          <w:color w:val="000000"/>
          <w:sz w:val="20"/>
          <w:szCs w:val="20"/>
        </w:rPr>
        <w:t>Chinese</w:t>
      </w:r>
    </w:p>
    <w:p w14:paraId="7D43B615" w14:textId="77777777" w:rsidR="00C1653F" w:rsidRDefault="00221C5E">
      <w:pPr>
        <w:numPr>
          <w:ilvl w:val="1"/>
          <w:numId w:val="2"/>
        </w:numPr>
        <w:spacing w:after="0" w:line="240" w:lineRule="auto"/>
        <w:rPr>
          <w:color w:val="000000"/>
          <w:sz w:val="20"/>
          <w:szCs w:val="20"/>
        </w:rPr>
      </w:pPr>
      <w:r>
        <w:rPr>
          <w:color w:val="000000"/>
          <w:sz w:val="20"/>
          <w:szCs w:val="20"/>
        </w:rPr>
        <w:t>Pakistani</w:t>
      </w:r>
    </w:p>
    <w:p w14:paraId="29AD3E37" w14:textId="77777777" w:rsidR="00C1653F" w:rsidRDefault="00221C5E">
      <w:pPr>
        <w:numPr>
          <w:ilvl w:val="1"/>
          <w:numId w:val="2"/>
        </w:numPr>
        <w:spacing w:after="0" w:line="240" w:lineRule="auto"/>
        <w:rPr>
          <w:color w:val="000000"/>
          <w:sz w:val="20"/>
          <w:szCs w:val="20"/>
        </w:rPr>
      </w:pPr>
      <w:r>
        <w:rPr>
          <w:color w:val="000000"/>
          <w:sz w:val="20"/>
          <w:szCs w:val="20"/>
        </w:rPr>
        <w:t>Bangladeshi</w:t>
      </w:r>
    </w:p>
    <w:p w14:paraId="76387DBF" w14:textId="77777777" w:rsidR="00C1653F" w:rsidRDefault="00221C5E">
      <w:pPr>
        <w:numPr>
          <w:ilvl w:val="0"/>
          <w:numId w:val="2"/>
        </w:numPr>
        <w:spacing w:after="0" w:line="240" w:lineRule="auto"/>
        <w:rPr>
          <w:color w:val="000000"/>
          <w:sz w:val="20"/>
          <w:szCs w:val="20"/>
        </w:rPr>
      </w:pPr>
      <w:r>
        <w:rPr>
          <w:color w:val="000000"/>
          <w:sz w:val="20"/>
          <w:szCs w:val="20"/>
        </w:rPr>
        <w:t>Disability</w:t>
      </w:r>
    </w:p>
    <w:p w14:paraId="703D0A4F" w14:textId="77777777" w:rsidR="00C1653F" w:rsidRDefault="00221C5E">
      <w:pPr>
        <w:numPr>
          <w:ilvl w:val="1"/>
          <w:numId w:val="2"/>
        </w:numPr>
        <w:spacing w:after="0" w:line="240" w:lineRule="auto"/>
        <w:rPr>
          <w:color w:val="000000"/>
          <w:sz w:val="20"/>
          <w:szCs w:val="20"/>
        </w:rPr>
      </w:pPr>
      <w:r>
        <w:rPr>
          <w:color w:val="000000"/>
          <w:sz w:val="20"/>
          <w:szCs w:val="20"/>
        </w:rPr>
        <w:t>Physical</w:t>
      </w:r>
    </w:p>
    <w:p w14:paraId="70C177B3" w14:textId="77777777" w:rsidR="00C1653F" w:rsidRDefault="00221C5E">
      <w:pPr>
        <w:numPr>
          <w:ilvl w:val="1"/>
          <w:numId w:val="2"/>
        </w:numPr>
        <w:spacing w:after="0" w:line="240" w:lineRule="auto"/>
        <w:rPr>
          <w:color w:val="000000"/>
          <w:sz w:val="20"/>
          <w:szCs w:val="20"/>
        </w:rPr>
      </w:pPr>
      <w:r>
        <w:rPr>
          <w:color w:val="000000"/>
          <w:sz w:val="20"/>
          <w:szCs w:val="20"/>
        </w:rPr>
        <w:t>Neurodiversity</w:t>
      </w:r>
    </w:p>
    <w:p w14:paraId="491A09BC" w14:textId="77777777" w:rsidR="00C1653F" w:rsidRDefault="00221C5E">
      <w:pPr>
        <w:numPr>
          <w:ilvl w:val="1"/>
          <w:numId w:val="2"/>
        </w:numPr>
        <w:spacing w:after="0" w:line="240" w:lineRule="auto"/>
        <w:rPr>
          <w:color w:val="000000"/>
          <w:sz w:val="20"/>
          <w:szCs w:val="20"/>
        </w:rPr>
      </w:pPr>
      <w:r>
        <w:rPr>
          <w:color w:val="000000"/>
          <w:sz w:val="20"/>
          <w:szCs w:val="20"/>
        </w:rPr>
        <w:lastRenderedPageBreak/>
        <w:t>Mental health</w:t>
      </w:r>
    </w:p>
    <w:p w14:paraId="06F446F2" w14:textId="77777777" w:rsidR="00C1653F" w:rsidRDefault="00221C5E">
      <w:pPr>
        <w:numPr>
          <w:ilvl w:val="0"/>
          <w:numId w:val="2"/>
        </w:numPr>
        <w:spacing w:after="0" w:line="240" w:lineRule="auto"/>
        <w:rPr>
          <w:color w:val="000000"/>
          <w:sz w:val="20"/>
          <w:szCs w:val="20"/>
        </w:rPr>
      </w:pPr>
      <w:r>
        <w:rPr>
          <w:color w:val="000000"/>
          <w:sz w:val="20"/>
          <w:szCs w:val="20"/>
        </w:rPr>
        <w:t>NSSEC (based on parent’s occupation or education level)</w:t>
      </w:r>
    </w:p>
    <w:p w14:paraId="645256A1" w14:textId="77777777" w:rsidR="00C1653F" w:rsidRDefault="00221C5E">
      <w:pPr>
        <w:numPr>
          <w:ilvl w:val="1"/>
          <w:numId w:val="2"/>
        </w:numPr>
        <w:spacing w:after="0" w:line="240" w:lineRule="auto"/>
        <w:rPr>
          <w:color w:val="000000"/>
          <w:sz w:val="20"/>
          <w:szCs w:val="20"/>
        </w:rPr>
      </w:pPr>
      <w:r>
        <w:rPr>
          <w:color w:val="000000"/>
          <w:sz w:val="20"/>
          <w:szCs w:val="20"/>
        </w:rPr>
        <w:t>Routine, semi-routine and manual occupations</w:t>
      </w:r>
    </w:p>
    <w:p w14:paraId="45D2387A" w14:textId="77777777" w:rsidR="00C1653F" w:rsidRDefault="00221C5E">
      <w:pPr>
        <w:numPr>
          <w:ilvl w:val="1"/>
          <w:numId w:val="2"/>
        </w:numPr>
        <w:spacing w:after="0" w:line="240" w:lineRule="auto"/>
        <w:rPr>
          <w:color w:val="000000"/>
          <w:sz w:val="20"/>
          <w:szCs w:val="20"/>
        </w:rPr>
      </w:pPr>
      <w:r>
        <w:rPr>
          <w:color w:val="000000"/>
          <w:sz w:val="20"/>
          <w:szCs w:val="20"/>
        </w:rPr>
        <w:t>Lower supervisory and technical occupations</w:t>
      </w:r>
    </w:p>
    <w:p w14:paraId="2CCD7FEE" w14:textId="77777777" w:rsidR="00C1653F" w:rsidRDefault="00221C5E">
      <w:pPr>
        <w:numPr>
          <w:ilvl w:val="1"/>
          <w:numId w:val="2"/>
        </w:numPr>
        <w:spacing w:after="0" w:line="240" w:lineRule="auto"/>
        <w:rPr>
          <w:color w:val="000000"/>
          <w:sz w:val="20"/>
          <w:szCs w:val="20"/>
        </w:rPr>
      </w:pPr>
      <w:r>
        <w:rPr>
          <w:color w:val="000000"/>
          <w:sz w:val="20"/>
          <w:szCs w:val="20"/>
        </w:rPr>
        <w:t>Never worked and long-term unemployed</w:t>
      </w:r>
    </w:p>
    <w:p w14:paraId="62B19E9B" w14:textId="77777777" w:rsidR="00C1653F" w:rsidRDefault="00221C5E">
      <w:pPr>
        <w:numPr>
          <w:ilvl w:val="1"/>
          <w:numId w:val="2"/>
        </w:numPr>
        <w:spacing w:after="0" w:line="240" w:lineRule="auto"/>
        <w:rPr>
          <w:color w:val="000000"/>
          <w:sz w:val="20"/>
          <w:szCs w:val="20"/>
        </w:rPr>
      </w:pPr>
      <w:r>
        <w:rPr>
          <w:color w:val="000000"/>
          <w:sz w:val="20"/>
          <w:szCs w:val="20"/>
        </w:rPr>
        <w:t>Up to Level 2 (Good GCSEs)</w:t>
      </w:r>
    </w:p>
    <w:p w14:paraId="531E95A5" w14:textId="77777777" w:rsidR="00C1653F" w:rsidRDefault="00221C5E">
      <w:pPr>
        <w:numPr>
          <w:ilvl w:val="1"/>
          <w:numId w:val="2"/>
        </w:numPr>
        <w:spacing w:after="0" w:line="240" w:lineRule="auto"/>
        <w:rPr>
          <w:color w:val="000000"/>
          <w:sz w:val="20"/>
          <w:szCs w:val="20"/>
        </w:rPr>
      </w:pPr>
      <w:r>
        <w:rPr>
          <w:color w:val="000000"/>
          <w:sz w:val="20"/>
          <w:szCs w:val="20"/>
        </w:rPr>
        <w:t>Up to Level 5 (HN</w:t>
      </w:r>
      <w:r>
        <w:rPr>
          <w:color w:val="000000"/>
          <w:sz w:val="20"/>
          <w:szCs w:val="20"/>
        </w:rPr>
        <w:t>D)</w:t>
      </w:r>
    </w:p>
    <w:p w14:paraId="575FC603" w14:textId="77777777" w:rsidR="00C1653F" w:rsidRDefault="00221C5E">
      <w:pPr>
        <w:numPr>
          <w:ilvl w:val="1"/>
          <w:numId w:val="2"/>
        </w:numPr>
        <w:spacing w:after="0" w:line="240" w:lineRule="auto"/>
        <w:rPr>
          <w:color w:val="000000"/>
          <w:sz w:val="20"/>
          <w:szCs w:val="20"/>
        </w:rPr>
      </w:pPr>
      <w:r>
        <w:rPr>
          <w:color w:val="000000"/>
          <w:sz w:val="20"/>
          <w:szCs w:val="20"/>
        </w:rPr>
        <w:t>Level 6 and over (Degree, post-grad etc)</w:t>
      </w:r>
    </w:p>
    <w:p w14:paraId="103C5096" w14:textId="77777777" w:rsidR="00C1653F" w:rsidRDefault="00221C5E">
      <w:pPr>
        <w:numPr>
          <w:ilvl w:val="0"/>
          <w:numId w:val="2"/>
        </w:numPr>
        <w:spacing w:after="0" w:line="240" w:lineRule="auto"/>
        <w:rPr>
          <w:color w:val="000000"/>
          <w:sz w:val="20"/>
          <w:szCs w:val="20"/>
        </w:rPr>
      </w:pPr>
      <w:r>
        <w:rPr>
          <w:color w:val="000000"/>
          <w:sz w:val="20"/>
          <w:szCs w:val="20"/>
        </w:rPr>
        <w:t>Local area</w:t>
      </w:r>
    </w:p>
    <w:p w14:paraId="74EC48C1" w14:textId="77777777" w:rsidR="00C1653F" w:rsidRDefault="00221C5E">
      <w:pPr>
        <w:numPr>
          <w:ilvl w:val="1"/>
          <w:numId w:val="2"/>
        </w:numPr>
        <w:spacing w:after="0" w:line="240" w:lineRule="auto"/>
        <w:rPr>
          <w:color w:val="000000"/>
          <w:sz w:val="20"/>
          <w:szCs w:val="20"/>
        </w:rPr>
      </w:pPr>
      <w:r>
        <w:rPr>
          <w:color w:val="000000"/>
          <w:sz w:val="20"/>
          <w:szCs w:val="20"/>
        </w:rPr>
        <w:t>Lowest quintile IMD</w:t>
      </w:r>
    </w:p>
    <w:p w14:paraId="27B01225" w14:textId="77777777" w:rsidR="00C1653F" w:rsidRDefault="00221C5E">
      <w:pPr>
        <w:numPr>
          <w:ilvl w:val="1"/>
          <w:numId w:val="2"/>
        </w:numPr>
        <w:spacing w:after="0" w:line="240" w:lineRule="auto"/>
        <w:rPr>
          <w:color w:val="000000"/>
          <w:sz w:val="20"/>
          <w:szCs w:val="20"/>
        </w:rPr>
      </w:pPr>
      <w:r>
        <w:rPr>
          <w:color w:val="000000"/>
          <w:sz w:val="20"/>
          <w:szCs w:val="20"/>
        </w:rPr>
        <w:t>Inner city</w:t>
      </w:r>
    </w:p>
    <w:p w14:paraId="28B4DD00" w14:textId="77777777" w:rsidR="00C1653F" w:rsidRDefault="00221C5E">
      <w:pPr>
        <w:numPr>
          <w:ilvl w:val="1"/>
          <w:numId w:val="2"/>
        </w:numPr>
        <w:spacing w:after="0" w:line="240" w:lineRule="auto"/>
        <w:rPr>
          <w:color w:val="000000"/>
          <w:sz w:val="20"/>
          <w:szCs w:val="20"/>
        </w:rPr>
      </w:pPr>
      <w:r>
        <w:rPr>
          <w:color w:val="000000"/>
          <w:sz w:val="20"/>
          <w:szCs w:val="20"/>
        </w:rPr>
        <w:t>Remote rural</w:t>
      </w:r>
    </w:p>
    <w:p w14:paraId="3D8F0E62" w14:textId="77777777" w:rsidR="00C1653F" w:rsidRDefault="00221C5E">
      <w:pPr>
        <w:numPr>
          <w:ilvl w:val="1"/>
          <w:numId w:val="2"/>
        </w:numPr>
        <w:spacing w:after="0" w:line="240" w:lineRule="auto"/>
        <w:rPr>
          <w:color w:val="000000"/>
          <w:sz w:val="20"/>
          <w:szCs w:val="20"/>
        </w:rPr>
      </w:pPr>
      <w:r>
        <w:rPr>
          <w:color w:val="000000"/>
          <w:sz w:val="20"/>
          <w:szCs w:val="20"/>
        </w:rPr>
        <w:t>Coastal town</w:t>
      </w:r>
    </w:p>
    <w:p w14:paraId="3427A716" w14:textId="77777777" w:rsidR="00C1653F" w:rsidRDefault="00C1653F">
      <w:pPr>
        <w:pStyle w:val="Heading2"/>
        <w:spacing w:after="120"/>
        <w:ind w:left="709" w:firstLine="1080"/>
        <w:rPr>
          <w:sz w:val="24"/>
          <w:szCs w:val="24"/>
        </w:rPr>
      </w:pPr>
    </w:p>
    <w:p w14:paraId="7041B68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must clearly critically review (</w:t>
      </w:r>
      <w:proofErr w:type="gramStart"/>
      <w:r>
        <w:rPr>
          <w:sz w:val="20"/>
          <w:szCs w:val="20"/>
        </w:rPr>
        <w:t>i.e.</w:t>
      </w:r>
      <w:proofErr w:type="gramEnd"/>
      <w:r>
        <w:rPr>
          <w:sz w:val="20"/>
          <w:szCs w:val="20"/>
        </w:rPr>
        <w:t xml:space="preserve"> assess the strengths and weaknesses of) and document the following elements of each study considered when reviewing the relevant literature:</w:t>
      </w:r>
    </w:p>
    <w:p w14:paraId="24045A72" w14:textId="77777777" w:rsidR="00C1653F" w:rsidRDefault="00221C5E">
      <w:pPr>
        <w:pStyle w:val="Heading2"/>
        <w:keepNext w:val="0"/>
        <w:keepLines w:val="0"/>
        <w:numPr>
          <w:ilvl w:val="1"/>
          <w:numId w:val="3"/>
        </w:numPr>
        <w:pBdr>
          <w:top w:val="nil"/>
          <w:left w:val="nil"/>
          <w:bottom w:val="nil"/>
          <w:right w:val="nil"/>
          <w:between w:val="nil"/>
        </w:pBdr>
        <w:spacing w:before="0" w:line="240" w:lineRule="auto"/>
        <w:rPr>
          <w:sz w:val="20"/>
          <w:szCs w:val="20"/>
        </w:rPr>
      </w:pPr>
      <w:r>
        <w:rPr>
          <w:sz w:val="20"/>
          <w:szCs w:val="20"/>
        </w:rPr>
        <w:t>The scope and size of the sample, including response rates.</w:t>
      </w:r>
    </w:p>
    <w:p w14:paraId="560E9590"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0"/>
          <w:szCs w:val="20"/>
        </w:rPr>
      </w:pPr>
      <w:r>
        <w:rPr>
          <w:sz w:val="20"/>
          <w:szCs w:val="20"/>
        </w:rPr>
        <w:t>The r</w:t>
      </w:r>
      <w:r>
        <w:rPr>
          <w:sz w:val="20"/>
          <w:szCs w:val="20"/>
        </w:rPr>
        <w:t>esearch questions/hypotheses posed.</w:t>
      </w:r>
    </w:p>
    <w:p w14:paraId="088CA077"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0"/>
          <w:szCs w:val="20"/>
        </w:rPr>
      </w:pPr>
      <w:r>
        <w:rPr>
          <w:sz w:val="20"/>
          <w:szCs w:val="20"/>
        </w:rPr>
        <w:t xml:space="preserve">The research </w:t>
      </w:r>
      <w:proofErr w:type="gramStart"/>
      <w:r>
        <w:rPr>
          <w:sz w:val="20"/>
          <w:szCs w:val="20"/>
        </w:rPr>
        <w:t>design</w:t>
      </w:r>
      <w:proofErr w:type="gramEnd"/>
      <w:r>
        <w:rPr>
          <w:sz w:val="20"/>
          <w:szCs w:val="20"/>
        </w:rPr>
        <w:t>.</w:t>
      </w:r>
    </w:p>
    <w:p w14:paraId="15F49EF8"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0"/>
          <w:szCs w:val="20"/>
        </w:rPr>
      </w:pPr>
      <w:r>
        <w:rPr>
          <w:sz w:val="20"/>
          <w:szCs w:val="20"/>
        </w:rPr>
        <w:t>The nature and quality of the fieldwork.</w:t>
      </w:r>
    </w:p>
    <w:p w14:paraId="64834A3C"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0"/>
          <w:szCs w:val="20"/>
        </w:rPr>
      </w:pPr>
      <w:r>
        <w:rPr>
          <w:sz w:val="20"/>
          <w:szCs w:val="20"/>
        </w:rPr>
        <w:t>The analysis and the nature and robustness of findings.</w:t>
      </w:r>
    </w:p>
    <w:p w14:paraId="1BC3DE34"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0"/>
          <w:szCs w:val="20"/>
        </w:rPr>
      </w:pPr>
      <w:r>
        <w:rPr>
          <w:sz w:val="20"/>
          <w:szCs w:val="20"/>
        </w:rPr>
        <w:t>Any evidence gaps and/or limitations associated with the methodology employed.</w:t>
      </w:r>
    </w:p>
    <w:p w14:paraId="443034C7" w14:textId="77777777" w:rsidR="00C1653F" w:rsidRDefault="00221C5E">
      <w:pPr>
        <w:pStyle w:val="Heading2"/>
        <w:keepNext w:val="0"/>
        <w:keepLines w:val="0"/>
        <w:numPr>
          <w:ilvl w:val="1"/>
          <w:numId w:val="3"/>
        </w:numPr>
        <w:pBdr>
          <w:top w:val="nil"/>
          <w:left w:val="nil"/>
          <w:bottom w:val="nil"/>
          <w:right w:val="nil"/>
          <w:between w:val="nil"/>
        </w:pBdr>
        <w:spacing w:before="0" w:after="120" w:line="240" w:lineRule="auto"/>
        <w:jc w:val="both"/>
        <w:rPr>
          <w:sz w:val="24"/>
          <w:szCs w:val="24"/>
        </w:rPr>
      </w:pPr>
      <w:r>
        <w:rPr>
          <w:sz w:val="20"/>
          <w:szCs w:val="20"/>
        </w:rPr>
        <w:t>How the findings should</w:t>
      </w:r>
      <w:r>
        <w:rPr>
          <w:sz w:val="20"/>
          <w:szCs w:val="20"/>
        </w:rPr>
        <w:t xml:space="preserve"> inform subsequent research</w:t>
      </w:r>
      <w:r>
        <w:rPr>
          <w:sz w:val="24"/>
          <w:szCs w:val="24"/>
        </w:rPr>
        <w:t>.</w:t>
      </w:r>
    </w:p>
    <w:p w14:paraId="08657F80"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Summarise the evidence: The Supplier will provide a narrative summary of the evidence. This will identify key themes and areas where further evidence is needed.</w:t>
      </w:r>
    </w:p>
    <w:p w14:paraId="38D916BC" w14:textId="77777777" w:rsidR="00C1653F" w:rsidRDefault="00C1653F">
      <w:pPr>
        <w:pStyle w:val="Heading2"/>
        <w:rPr>
          <w:sz w:val="20"/>
          <w:szCs w:val="20"/>
        </w:rPr>
      </w:pPr>
    </w:p>
    <w:p w14:paraId="7B49FDD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Interpret the findings: The Supplier will interpret the findings provided in the literature th</w:t>
      </w:r>
      <w:r>
        <w:rPr>
          <w:sz w:val="20"/>
          <w:szCs w:val="20"/>
        </w:rPr>
        <w:t>rough, for example a qualitative evidence synthesis</w:t>
      </w:r>
      <w:r>
        <w:rPr>
          <w:sz w:val="20"/>
          <w:szCs w:val="20"/>
          <w:vertAlign w:val="superscript"/>
        </w:rPr>
        <w:footnoteReference w:id="5"/>
      </w:r>
      <w:r>
        <w:rPr>
          <w:sz w:val="20"/>
          <w:szCs w:val="20"/>
        </w:rPr>
        <w:t xml:space="preserve"> using the COM-B framework</w:t>
      </w:r>
      <w:r>
        <w:rPr>
          <w:sz w:val="20"/>
          <w:szCs w:val="20"/>
          <w:vertAlign w:val="superscript"/>
        </w:rPr>
        <w:footnoteReference w:id="6"/>
      </w:r>
      <w:r>
        <w:rPr>
          <w:sz w:val="20"/>
          <w:szCs w:val="20"/>
        </w:rPr>
        <w:t>. This will provide insights into the prevalence and impact of unobserved factors related to protected and non-protected characteristics.</w:t>
      </w:r>
    </w:p>
    <w:p w14:paraId="609C0F40" w14:textId="77777777" w:rsidR="00C1653F" w:rsidRDefault="00C1653F">
      <w:pPr>
        <w:pBdr>
          <w:top w:val="nil"/>
          <w:left w:val="nil"/>
          <w:bottom w:val="nil"/>
          <w:right w:val="nil"/>
          <w:between w:val="nil"/>
        </w:pBdr>
        <w:ind w:left="720"/>
        <w:rPr>
          <w:color w:val="000000"/>
          <w:sz w:val="20"/>
          <w:szCs w:val="20"/>
        </w:rPr>
      </w:pPr>
    </w:p>
    <w:p w14:paraId="5E01E4B0"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findings should endeavour to ill</w:t>
      </w:r>
      <w:r>
        <w:rPr>
          <w:sz w:val="20"/>
          <w:szCs w:val="20"/>
        </w:rPr>
        <w:t>ustrate drivers, barriers and impacts faced by people with protected and non-protected characteristics. Any gaps in the evidence-base should be clearly identified.</w:t>
      </w:r>
    </w:p>
    <w:p w14:paraId="09AF16FF" w14:textId="77777777" w:rsidR="00C1653F" w:rsidRDefault="00C1653F">
      <w:pPr>
        <w:pBdr>
          <w:top w:val="nil"/>
          <w:left w:val="nil"/>
          <w:bottom w:val="nil"/>
          <w:right w:val="nil"/>
          <w:between w:val="nil"/>
        </w:pBdr>
        <w:ind w:left="720"/>
        <w:rPr>
          <w:color w:val="000000"/>
          <w:sz w:val="20"/>
          <w:szCs w:val="20"/>
        </w:rPr>
      </w:pPr>
    </w:p>
    <w:p w14:paraId="1D11ED0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Reporting: As well as the research protocol, the Supplier should produce a succinct, inform</w:t>
      </w:r>
      <w:r>
        <w:rPr>
          <w:sz w:val="20"/>
          <w:szCs w:val="20"/>
        </w:rPr>
        <w:t>ative and engaging report, including a bibliography of research, with highlighted quality criteria. The Authority is open to the potential Supplier suggesting alternative ways of presenting the findings. It is also expected that the Supplier will provide t</w:t>
      </w:r>
      <w:r>
        <w:rPr>
          <w:sz w:val="20"/>
          <w:szCs w:val="20"/>
        </w:rPr>
        <w:t xml:space="preserve">he Authority with access to the underlying components of the review, including an Excel spreadsheet of accessed literature. </w:t>
      </w:r>
    </w:p>
    <w:p w14:paraId="53C029AC" w14:textId="77777777" w:rsidR="00C1653F" w:rsidRDefault="00C1653F">
      <w:pPr>
        <w:pStyle w:val="Heading2"/>
        <w:ind w:left="709" w:firstLine="1080"/>
        <w:rPr>
          <w:sz w:val="20"/>
          <w:szCs w:val="20"/>
        </w:rPr>
      </w:pPr>
    </w:p>
    <w:p w14:paraId="0E0B816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Authority requires the draft report will meet the following quality standards to ensure constructive and timely feedback can b</w:t>
      </w:r>
      <w:r>
        <w:rPr>
          <w:sz w:val="20"/>
          <w:szCs w:val="20"/>
        </w:rPr>
        <w:t>e provided:</w:t>
      </w:r>
    </w:p>
    <w:p w14:paraId="6A71198C" w14:textId="77777777" w:rsidR="00C1653F" w:rsidRDefault="00221C5E">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Plain English aiming for an audience reading age of 12</w:t>
      </w:r>
    </w:p>
    <w:p w14:paraId="0FEDFFBB" w14:textId="77777777" w:rsidR="00C1653F" w:rsidRDefault="00221C5E">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Analysis is presented objectively, with no projection </w:t>
      </w:r>
    </w:p>
    <w:p w14:paraId="387863AE" w14:textId="77777777" w:rsidR="00C1653F" w:rsidRDefault="00221C5E">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Clear of internal comments and tracked changes</w:t>
      </w:r>
    </w:p>
    <w:p w14:paraId="7D94CD45" w14:textId="77777777" w:rsidR="00C1653F" w:rsidRDefault="00221C5E">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Proof-read for coherence and typos </w:t>
      </w:r>
    </w:p>
    <w:p w14:paraId="5093BFB5" w14:textId="77777777" w:rsidR="00C1653F" w:rsidRDefault="00221C5E">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Include footnotes and citations where appropriate</w:t>
      </w:r>
    </w:p>
    <w:p w14:paraId="4F2E7578" w14:textId="77777777" w:rsidR="00C1653F" w:rsidRDefault="00C1653F">
      <w:pPr>
        <w:pStyle w:val="Heading2"/>
        <w:rPr>
          <w:sz w:val="20"/>
          <w:szCs w:val="20"/>
        </w:rPr>
      </w:pPr>
    </w:p>
    <w:p w14:paraId="445D59F4" w14:textId="77777777" w:rsidR="00C1653F" w:rsidRDefault="00C1653F">
      <w:pPr>
        <w:pBdr>
          <w:top w:val="nil"/>
          <w:left w:val="nil"/>
          <w:bottom w:val="nil"/>
          <w:right w:val="nil"/>
          <w:between w:val="nil"/>
        </w:pBdr>
        <w:ind w:left="720"/>
        <w:rPr>
          <w:color w:val="000000"/>
          <w:sz w:val="20"/>
          <w:szCs w:val="20"/>
        </w:rPr>
      </w:pPr>
    </w:p>
    <w:p w14:paraId="4C50CBEB"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final outputs should be accessible to a range of audiences. This should include using plain language and avoiding technical jargon where possible. They will also need to incorporate some aspects of th</w:t>
      </w:r>
      <w:r>
        <w:rPr>
          <w:sz w:val="20"/>
          <w:szCs w:val="20"/>
        </w:rPr>
        <w:t>e Contracting Authority’s style guides. This includes, but is not limited to: accessibility guidance and our Writing about Ethnicity guide</w:t>
      </w:r>
      <w:r>
        <w:rPr>
          <w:sz w:val="20"/>
          <w:szCs w:val="20"/>
          <w:vertAlign w:val="superscript"/>
        </w:rPr>
        <w:footnoteReference w:id="7"/>
      </w:r>
      <w:r>
        <w:rPr>
          <w:sz w:val="20"/>
          <w:szCs w:val="20"/>
        </w:rPr>
        <w:t>.</w:t>
      </w:r>
    </w:p>
    <w:p w14:paraId="52ABCDE3" w14:textId="77777777" w:rsidR="00C1653F" w:rsidRDefault="00C1653F">
      <w:pPr>
        <w:pBdr>
          <w:top w:val="nil"/>
          <w:left w:val="nil"/>
          <w:bottom w:val="nil"/>
          <w:right w:val="nil"/>
          <w:between w:val="nil"/>
        </w:pBdr>
        <w:ind w:left="720"/>
        <w:rPr>
          <w:color w:val="000000"/>
          <w:sz w:val="20"/>
          <w:szCs w:val="20"/>
        </w:rPr>
      </w:pPr>
    </w:p>
    <w:p w14:paraId="24065D4D"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final outputs, including the research protocol, Excel spreadsheet of accessed literature and data synthesis will remain the intellectual property of the Contracting Authority. Decisions regarding the timings, format and publication of reports will be t</w:t>
      </w:r>
      <w:r>
        <w:rPr>
          <w:sz w:val="20"/>
          <w:szCs w:val="20"/>
        </w:rPr>
        <w:t>aken by the Contracting Authority.</w:t>
      </w:r>
    </w:p>
    <w:p w14:paraId="233612AA" w14:textId="77777777" w:rsidR="00C1653F" w:rsidRDefault="00C1653F">
      <w:pPr>
        <w:pBdr>
          <w:top w:val="nil"/>
          <w:left w:val="nil"/>
          <w:bottom w:val="nil"/>
          <w:right w:val="nil"/>
          <w:between w:val="nil"/>
        </w:pBdr>
        <w:ind w:left="720"/>
        <w:rPr>
          <w:color w:val="000000"/>
          <w:sz w:val="20"/>
          <w:szCs w:val="20"/>
        </w:rPr>
      </w:pPr>
    </w:p>
    <w:p w14:paraId="6C76C65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b w:val="0"/>
          <w:bCs w:val="0"/>
          <w:sz w:val="20"/>
          <w:szCs w:val="20"/>
        </w:rPr>
      </w:pPr>
      <w:r>
        <w:rPr>
          <w:sz w:val="20"/>
          <w:szCs w:val="20"/>
        </w:rPr>
        <w:t>Management Information</w:t>
      </w:r>
    </w:p>
    <w:p w14:paraId="23A4F059" w14:textId="77777777" w:rsidR="00C1653F" w:rsidRDefault="00C1653F">
      <w:pPr>
        <w:pBdr>
          <w:top w:val="nil"/>
          <w:left w:val="nil"/>
          <w:bottom w:val="nil"/>
          <w:right w:val="nil"/>
          <w:between w:val="nil"/>
        </w:pBdr>
        <w:ind w:left="720"/>
        <w:rPr>
          <w:color w:val="000000"/>
          <w:sz w:val="20"/>
          <w:szCs w:val="20"/>
        </w:rPr>
      </w:pPr>
    </w:p>
    <w:p w14:paraId="2450F8BC" w14:textId="5D668540" w:rsidR="00C1653F" w:rsidRDefault="00221C5E" w:rsidP="00BC0783">
      <w:pPr>
        <w:pStyle w:val="Heading2"/>
        <w:keepNext w:val="0"/>
        <w:keepLines w:val="0"/>
        <w:numPr>
          <w:ilvl w:val="1"/>
          <w:numId w:val="8"/>
        </w:numPr>
        <w:pBdr>
          <w:top w:val="nil"/>
          <w:left w:val="nil"/>
          <w:bottom w:val="nil"/>
          <w:right w:val="nil"/>
          <w:between w:val="nil"/>
        </w:pBdr>
        <w:spacing w:before="0" w:line="240" w:lineRule="auto"/>
        <w:ind w:hanging="709"/>
        <w:rPr>
          <w:sz w:val="20"/>
          <w:szCs w:val="20"/>
        </w:rPr>
      </w:pPr>
      <w:r w:rsidRPr="00BC0783">
        <w:rPr>
          <w:sz w:val="20"/>
          <w:szCs w:val="20"/>
        </w:rPr>
        <w:t xml:space="preserve">The Supplier must have one lead project manager responsible for all components of the research. The Project Manager for the Contracting Authority will </w:t>
      </w:r>
      <w:r w:rsidR="00BC0783">
        <w:rPr>
          <w:sz w:val="20"/>
          <w:szCs w:val="20"/>
        </w:rPr>
        <w:t>be REDACTED UNDER FOIA 40 – PERSONAL INFORMATION</w:t>
      </w:r>
    </w:p>
    <w:p w14:paraId="036D2BC6" w14:textId="77777777" w:rsidR="00BC0783" w:rsidRPr="00BC0783" w:rsidRDefault="00BC0783" w:rsidP="00BC0783"/>
    <w:p w14:paraId="5162FB3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w:t>
      </w:r>
      <w:r>
        <w:rPr>
          <w:sz w:val="20"/>
          <w:szCs w:val="20"/>
        </w:rPr>
        <w:t>he Contracting Authority’s research project manager and/or team will provide advice and guidance on any issues during the course of the project. Where comments or input are required from the Contracting Authority, the Supplier should allow sufficien</w:t>
      </w:r>
      <w:r>
        <w:rPr>
          <w:sz w:val="20"/>
          <w:szCs w:val="20"/>
        </w:rPr>
        <w:t>t time for turnaround and give advance notice where possible. As a general guide the Contracting Authority will aim to turnaround minor requests within one week and major requests (</w:t>
      </w:r>
      <w:proofErr w:type="gramStart"/>
      <w:r>
        <w:rPr>
          <w:sz w:val="20"/>
          <w:szCs w:val="20"/>
        </w:rPr>
        <w:t>e.g.</w:t>
      </w:r>
      <w:proofErr w:type="gramEnd"/>
      <w:r>
        <w:rPr>
          <w:sz w:val="20"/>
          <w:szCs w:val="20"/>
        </w:rPr>
        <w:t xml:space="preserve"> commenting on drafts of reports, or checking data outputs) within two </w:t>
      </w:r>
      <w:r>
        <w:rPr>
          <w:sz w:val="20"/>
          <w:szCs w:val="20"/>
        </w:rPr>
        <w:t>weeks. Key documents and decisions will require feedback from wider stakeholders. The Supplier should factor these clearance periods into project timings and indicate clearly in any project timetable when such outputs will be submitted for clearance.</w:t>
      </w:r>
    </w:p>
    <w:p w14:paraId="5D4C72A7" w14:textId="77777777" w:rsidR="00C1653F" w:rsidRDefault="00C1653F">
      <w:pPr>
        <w:pBdr>
          <w:top w:val="nil"/>
          <w:left w:val="nil"/>
          <w:bottom w:val="nil"/>
          <w:right w:val="nil"/>
          <w:between w:val="nil"/>
        </w:pBdr>
        <w:ind w:left="720"/>
        <w:rPr>
          <w:color w:val="000000"/>
          <w:sz w:val="20"/>
          <w:szCs w:val="20"/>
        </w:rPr>
      </w:pPr>
    </w:p>
    <w:p w14:paraId="58D74C4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It i</w:t>
      </w:r>
      <w:r>
        <w:rPr>
          <w:sz w:val="20"/>
          <w:szCs w:val="20"/>
        </w:rPr>
        <w:t>s expected that project leads for the Contracting Authority and Supplier, plus additional team members as required, will hold weekly teleconferences and meet at key points (to be agreed between the Contracting Authority and Supplier) to discuss the progres</w:t>
      </w:r>
      <w:r>
        <w:rPr>
          <w:sz w:val="20"/>
          <w:szCs w:val="20"/>
        </w:rPr>
        <w:t>s of the research. Expenses for such meetings if held in person must be included in the core contract price.</w:t>
      </w:r>
    </w:p>
    <w:p w14:paraId="56972BCB" w14:textId="77777777" w:rsidR="00C1653F" w:rsidRDefault="00C1653F">
      <w:pPr>
        <w:pBdr>
          <w:top w:val="nil"/>
          <w:left w:val="nil"/>
          <w:bottom w:val="nil"/>
          <w:right w:val="nil"/>
          <w:between w:val="nil"/>
        </w:pBdr>
        <w:ind w:left="720"/>
        <w:rPr>
          <w:color w:val="000000"/>
          <w:sz w:val="20"/>
          <w:szCs w:val="20"/>
        </w:rPr>
      </w:pPr>
    </w:p>
    <w:p w14:paraId="0077F45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As part of the management of the research the Supplier will be required to produce and submit the following management information to the Contract</w:t>
      </w:r>
      <w:r>
        <w:rPr>
          <w:sz w:val="20"/>
          <w:szCs w:val="20"/>
        </w:rPr>
        <w:t>ing Authority:</w:t>
      </w:r>
    </w:p>
    <w:p w14:paraId="14E4C502" w14:textId="77777777" w:rsidR="00C1653F" w:rsidRDefault="00221C5E">
      <w:pPr>
        <w:pStyle w:val="Heading3"/>
        <w:numPr>
          <w:ilvl w:val="2"/>
          <w:numId w:val="4"/>
        </w:numPr>
        <w:ind w:left="2160" w:hanging="360"/>
        <w:rPr>
          <w:sz w:val="20"/>
          <w:szCs w:val="20"/>
        </w:rPr>
      </w:pPr>
      <w:r>
        <w:rPr>
          <w:sz w:val="20"/>
          <w:szCs w:val="20"/>
        </w:rPr>
        <w:lastRenderedPageBreak/>
        <w:t>Brief weekly progress updates – to update on progress towards milestones and management of risks arising. The format of these reports should be agreed with the Contracting Authority and submitted in advance of the teleconference.</w:t>
      </w:r>
    </w:p>
    <w:p w14:paraId="2766A1B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Monthly con</w:t>
      </w:r>
      <w:r>
        <w:rPr>
          <w:sz w:val="20"/>
          <w:szCs w:val="20"/>
        </w:rPr>
        <w:t>tract review updates - to review adherence to objectives and milestones, and consider any course correction required.</w:t>
      </w:r>
    </w:p>
    <w:p w14:paraId="2755B89D" w14:textId="77777777" w:rsidR="00C1653F" w:rsidRDefault="00C1653F">
      <w:pPr>
        <w:pStyle w:val="Heading2"/>
        <w:ind w:left="709" w:firstLine="1080"/>
        <w:rPr>
          <w:sz w:val="20"/>
          <w:szCs w:val="20"/>
        </w:rPr>
      </w:pPr>
    </w:p>
    <w:p w14:paraId="1E982ECC"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b w:val="0"/>
          <w:bCs w:val="0"/>
          <w:sz w:val="20"/>
          <w:szCs w:val="20"/>
        </w:rPr>
      </w:pPr>
      <w:r>
        <w:rPr>
          <w:sz w:val="20"/>
          <w:szCs w:val="20"/>
        </w:rPr>
        <w:t>Quality</w:t>
      </w:r>
    </w:p>
    <w:p w14:paraId="4F481C71" w14:textId="77777777" w:rsidR="00C1653F" w:rsidRDefault="00C1653F">
      <w:pPr>
        <w:pBdr>
          <w:top w:val="nil"/>
          <w:left w:val="nil"/>
          <w:bottom w:val="nil"/>
          <w:right w:val="nil"/>
          <w:between w:val="nil"/>
        </w:pBdr>
        <w:ind w:left="720"/>
        <w:rPr>
          <w:color w:val="000000"/>
          <w:sz w:val="20"/>
          <w:szCs w:val="20"/>
        </w:rPr>
      </w:pPr>
    </w:p>
    <w:p w14:paraId="1C77F275"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Contracting Authority will measure the quality of the Supplier’s delivery by:</w:t>
      </w:r>
    </w:p>
    <w:p w14:paraId="409D34BE" w14:textId="77777777" w:rsidR="00C1653F" w:rsidRDefault="00C1653F">
      <w:pPr>
        <w:pStyle w:val="Heading2"/>
        <w:rPr>
          <w:sz w:val="20"/>
          <w:szCs w:val="20"/>
        </w:rPr>
      </w:pPr>
    </w:p>
    <w:p w14:paraId="69FD2660" w14:textId="77777777" w:rsidR="00C1653F" w:rsidRDefault="00221C5E">
      <w:pPr>
        <w:pStyle w:val="Heading2"/>
        <w:keepNext w:val="0"/>
        <w:keepLines w:val="0"/>
        <w:numPr>
          <w:ilvl w:val="0"/>
          <w:numId w:val="5"/>
        </w:numPr>
        <w:pBdr>
          <w:top w:val="nil"/>
          <w:left w:val="nil"/>
          <w:bottom w:val="nil"/>
          <w:right w:val="nil"/>
          <w:between w:val="nil"/>
        </w:pBdr>
        <w:spacing w:before="0" w:after="120" w:line="240" w:lineRule="auto"/>
        <w:ind w:left="720"/>
        <w:jc w:val="both"/>
        <w:rPr>
          <w:sz w:val="20"/>
          <w:szCs w:val="20"/>
        </w:rPr>
      </w:pPr>
      <w:r>
        <w:rPr>
          <w:sz w:val="20"/>
          <w:szCs w:val="20"/>
        </w:rPr>
        <w:t>Supplier experience and capability: the supplier will demonstrate excellent project management of delivering projects of similar size and scope, with awareness of risk and p</w:t>
      </w:r>
      <w:r>
        <w:rPr>
          <w:sz w:val="20"/>
          <w:szCs w:val="20"/>
        </w:rPr>
        <w:t>roposals for mitigation. Suppliers will also demonstrate experience of producing reports for government, adhering to appropriates styles and language.</w:t>
      </w:r>
    </w:p>
    <w:p w14:paraId="2FB62A69" w14:textId="77777777" w:rsidR="00C1653F" w:rsidRDefault="00221C5E">
      <w:pPr>
        <w:pStyle w:val="Heading2"/>
        <w:keepNext w:val="0"/>
        <w:keepLines w:val="0"/>
        <w:numPr>
          <w:ilvl w:val="0"/>
          <w:numId w:val="5"/>
        </w:numPr>
        <w:pBdr>
          <w:top w:val="nil"/>
          <w:left w:val="nil"/>
          <w:bottom w:val="nil"/>
          <w:right w:val="nil"/>
          <w:between w:val="nil"/>
        </w:pBdr>
        <w:spacing w:before="0" w:after="120" w:line="240" w:lineRule="auto"/>
        <w:ind w:left="720"/>
        <w:jc w:val="both"/>
        <w:rPr>
          <w:sz w:val="20"/>
          <w:szCs w:val="20"/>
        </w:rPr>
      </w:pPr>
      <w:r>
        <w:rPr>
          <w:sz w:val="20"/>
          <w:szCs w:val="20"/>
        </w:rPr>
        <w:t>Research design: the supplier will demonstrate an excellent understanding of methodological rigour in qua</w:t>
      </w:r>
      <w:r>
        <w:rPr>
          <w:sz w:val="20"/>
          <w:szCs w:val="20"/>
        </w:rPr>
        <w:t>litative research, systematic literature reviews, quality assurance processes, and clear reporting plans. Should the use of AI be proposed, the Supplier will be expected to review and adhere to the principles outlined in the AI Playbook for the UK Governme</w:t>
      </w:r>
      <w:r>
        <w:rPr>
          <w:sz w:val="20"/>
          <w:szCs w:val="20"/>
        </w:rPr>
        <w:t>nt</w:t>
      </w:r>
      <w:r>
        <w:rPr>
          <w:rFonts w:ascii="Times New Roman" w:eastAsia="Times New Roman" w:hAnsi="Times New Roman" w:cs="Times New Roman"/>
          <w:vertAlign w:val="superscript"/>
        </w:rPr>
        <w:footnoteReference w:id="8"/>
      </w:r>
      <w:r>
        <w:rPr>
          <w:sz w:val="20"/>
          <w:szCs w:val="20"/>
        </w:rPr>
        <w:t>, and confirm that they are aware that any output produced by an AI tool and incorporated into the deliverable does not relinquish human responsibility and accountability: The Supplier is directly responsible and accountable regardless of the extent of the</w:t>
      </w:r>
      <w:r>
        <w:rPr>
          <w:sz w:val="20"/>
          <w:szCs w:val="20"/>
        </w:rPr>
        <w:t xml:space="preserve"> involvement of AI.</w:t>
      </w:r>
    </w:p>
    <w:p w14:paraId="7A85C972" w14:textId="77777777" w:rsidR="00C1653F" w:rsidRDefault="00C1653F">
      <w:pPr>
        <w:pStyle w:val="Heading2"/>
        <w:ind w:left="709" w:firstLine="1080"/>
        <w:rPr>
          <w:sz w:val="20"/>
          <w:szCs w:val="20"/>
        </w:rPr>
      </w:pPr>
    </w:p>
    <w:p w14:paraId="798E094E" w14:textId="77777777" w:rsidR="00C1653F" w:rsidRDefault="00221C5E">
      <w:pPr>
        <w:pStyle w:val="Heading2"/>
        <w:keepNext w:val="0"/>
        <w:keepLines w:val="0"/>
        <w:numPr>
          <w:ilvl w:val="0"/>
          <w:numId w:val="5"/>
        </w:numPr>
        <w:pBdr>
          <w:top w:val="nil"/>
          <w:left w:val="nil"/>
          <w:bottom w:val="nil"/>
          <w:right w:val="nil"/>
          <w:between w:val="nil"/>
        </w:pBdr>
        <w:spacing w:before="0" w:after="120" w:line="240" w:lineRule="auto"/>
        <w:ind w:left="720"/>
        <w:jc w:val="both"/>
        <w:rPr>
          <w:sz w:val="20"/>
          <w:szCs w:val="20"/>
        </w:rPr>
      </w:pPr>
      <w:r>
        <w:rPr>
          <w:sz w:val="20"/>
          <w:szCs w:val="20"/>
        </w:rPr>
        <w:t>Project management, data security and ethics: the supplier will be able to meet key milestones and have excellent awareness of ethical issues and means of mitigation. They will also comply with all data security requirements.</w:t>
      </w:r>
    </w:p>
    <w:p w14:paraId="5907EEF1" w14:textId="77777777" w:rsidR="00C1653F" w:rsidRDefault="00C1653F">
      <w:pPr>
        <w:pStyle w:val="Heading2"/>
        <w:rPr>
          <w:sz w:val="20"/>
          <w:szCs w:val="20"/>
        </w:rPr>
      </w:pPr>
    </w:p>
    <w:p w14:paraId="20668C43"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3" w:name="_heading=h.1hmsyys" w:colFirst="0" w:colLast="0"/>
      <w:bookmarkEnd w:id="13"/>
      <w:r>
        <w:rPr>
          <w:sz w:val="20"/>
          <w:szCs w:val="20"/>
        </w:rPr>
        <w:t>NON-MAND</w:t>
      </w:r>
      <w:r>
        <w:rPr>
          <w:sz w:val="20"/>
          <w:szCs w:val="20"/>
        </w:rPr>
        <w:t>ATORY AND OPTIONAL DELIVERABLES (SUPPLIER RESPONSIBILITIES)</w:t>
      </w:r>
    </w:p>
    <w:p w14:paraId="191FB1B8" w14:textId="77777777" w:rsidR="00C1653F" w:rsidRDefault="00C1653F"/>
    <w:p w14:paraId="6FF1AF5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Not applicable</w:t>
      </w:r>
    </w:p>
    <w:p w14:paraId="25E09218" w14:textId="77777777" w:rsidR="00C1653F" w:rsidRDefault="00C1653F">
      <w:pPr>
        <w:pStyle w:val="Heading2"/>
        <w:ind w:left="709" w:firstLine="1080"/>
        <w:rPr>
          <w:sz w:val="20"/>
          <w:szCs w:val="20"/>
        </w:rPr>
      </w:pPr>
    </w:p>
    <w:p w14:paraId="3351755E"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4" w:name="_heading=h.41mghml" w:colFirst="0" w:colLast="0"/>
      <w:bookmarkEnd w:id="14"/>
      <w:r>
        <w:rPr>
          <w:sz w:val="20"/>
          <w:szCs w:val="20"/>
        </w:rPr>
        <w:t xml:space="preserve">POTENTIAL, ACTUAL OR EXPECTED DELIVERY VOLUMES </w:t>
      </w:r>
    </w:p>
    <w:p w14:paraId="57105809" w14:textId="77777777" w:rsidR="00C1653F" w:rsidRDefault="00C1653F"/>
    <w:p w14:paraId="290E36A6"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is expected to produce one research protocol and one report summarising and interpreting the findings of the systematic literature review.</w:t>
      </w:r>
    </w:p>
    <w:p w14:paraId="21534EEE" w14:textId="77777777" w:rsidR="00C1653F" w:rsidRDefault="00C1653F">
      <w:pPr>
        <w:pStyle w:val="Heading2"/>
        <w:rPr>
          <w:sz w:val="20"/>
          <w:szCs w:val="20"/>
          <w:shd w:val="clear" w:color="auto" w:fill="FFFF99"/>
        </w:rPr>
      </w:pPr>
    </w:p>
    <w:p w14:paraId="1407C506"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5" w:name="_heading=h.2grqrue" w:colFirst="0" w:colLast="0"/>
      <w:bookmarkEnd w:id="15"/>
      <w:r>
        <w:rPr>
          <w:sz w:val="20"/>
          <w:szCs w:val="20"/>
        </w:rPr>
        <w:t xml:space="preserve">LOCATION </w:t>
      </w:r>
    </w:p>
    <w:p w14:paraId="091E3260" w14:textId="77777777" w:rsidR="00C1653F" w:rsidRDefault="00C1653F"/>
    <w:p w14:paraId="667F536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location of services will be carried out at the supplier’s address.</w:t>
      </w:r>
    </w:p>
    <w:p w14:paraId="3DAEAD85" w14:textId="77777777" w:rsidR="00C1653F" w:rsidRDefault="00C1653F"/>
    <w:p w14:paraId="714395C3"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6" w:name="_heading=h.vx1227" w:colFirst="0" w:colLast="0"/>
      <w:bookmarkEnd w:id="16"/>
      <w:r>
        <w:rPr>
          <w:sz w:val="20"/>
          <w:szCs w:val="20"/>
        </w:rPr>
        <w:lastRenderedPageBreak/>
        <w:t>BUYER RESPONSIBILITIES</w:t>
      </w:r>
    </w:p>
    <w:p w14:paraId="48D560DC" w14:textId="77777777" w:rsidR="00C1653F" w:rsidRDefault="00C1653F"/>
    <w:p w14:paraId="3CF1BE0D"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The Contracting Authority will be required to sign off the research protocol before the literature search and review can proceed. The Contracting Authority wil</w:t>
      </w:r>
      <w:r>
        <w:rPr>
          <w:sz w:val="20"/>
          <w:szCs w:val="20"/>
        </w:rPr>
        <w:t xml:space="preserve">l also sign off the final report before publication. </w:t>
      </w:r>
    </w:p>
    <w:p w14:paraId="2114C24E" w14:textId="77777777" w:rsidR="00C1653F" w:rsidRDefault="00C1653F"/>
    <w:p w14:paraId="346EEC0D"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7" w:name="_heading=h.3fwokq0" w:colFirst="0" w:colLast="0"/>
      <w:bookmarkEnd w:id="17"/>
      <w:r>
        <w:rPr>
          <w:sz w:val="20"/>
          <w:szCs w:val="20"/>
        </w:rPr>
        <w:t>KEY MILESTONES AND DELIVERABLES</w:t>
      </w:r>
    </w:p>
    <w:p w14:paraId="1E626DAA" w14:textId="77777777" w:rsidR="00C1653F" w:rsidRDefault="00C1653F"/>
    <w:p w14:paraId="4115DC6A"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t>The Contracting Authority will measure the quality of the Supplier’s delivery by delivering against the following timetable and milestones. It is expected that the Supplier shall be available to start work immediately on award of contract</w:t>
      </w:r>
    </w:p>
    <w:p w14:paraId="7EB5972F" w14:textId="77777777" w:rsidR="00C1653F" w:rsidRDefault="00C1653F">
      <w:pPr>
        <w:pStyle w:val="Heading2"/>
      </w:pPr>
    </w:p>
    <w:p w14:paraId="1775ED9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t>Potential Provid</w:t>
      </w:r>
      <w:r>
        <w:t xml:space="preserve">ers should confirm in their response that these timetables are acceptable, or outline clearly any alternative timings that will be put in place to ensure that work can commence in December 2025, and that all deliverables and final outputs can be delivered </w:t>
      </w:r>
      <w:r>
        <w:t>to the deadlines below:</w:t>
      </w:r>
    </w:p>
    <w:p w14:paraId="2229B6DE" w14:textId="77777777" w:rsidR="00C1653F" w:rsidRDefault="00C1653F"/>
    <w:tbl>
      <w:tblPr>
        <w:tblStyle w:val="a0"/>
        <w:tblW w:w="90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4961"/>
        <w:gridCol w:w="2503"/>
      </w:tblGrid>
      <w:tr w:rsidR="00C1653F" w14:paraId="5EAB0739" w14:textId="77777777">
        <w:trPr>
          <w:trHeight w:val="828"/>
        </w:trPr>
        <w:tc>
          <w:tcPr>
            <w:tcW w:w="1555" w:type="dxa"/>
            <w:shd w:val="clear" w:color="auto" w:fill="B8CCE4"/>
            <w:vAlign w:val="center"/>
          </w:tcPr>
          <w:p w14:paraId="35592EC7"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Milestone /</w:t>
            </w:r>
          </w:p>
          <w:p w14:paraId="396450C0"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Deliverable</w:t>
            </w:r>
          </w:p>
        </w:tc>
        <w:tc>
          <w:tcPr>
            <w:tcW w:w="4961" w:type="dxa"/>
            <w:shd w:val="clear" w:color="auto" w:fill="B8CCE4"/>
            <w:vAlign w:val="center"/>
          </w:tcPr>
          <w:p w14:paraId="587AA207"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Description</w:t>
            </w:r>
          </w:p>
        </w:tc>
        <w:tc>
          <w:tcPr>
            <w:tcW w:w="2503" w:type="dxa"/>
            <w:shd w:val="clear" w:color="auto" w:fill="B8CCE4"/>
            <w:vAlign w:val="center"/>
          </w:tcPr>
          <w:p w14:paraId="73A6BCEF"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Timeframe or Delivery Date</w:t>
            </w:r>
          </w:p>
        </w:tc>
      </w:tr>
      <w:tr w:rsidR="00C1653F" w14:paraId="0640021D" w14:textId="77777777">
        <w:tc>
          <w:tcPr>
            <w:tcW w:w="1555" w:type="dxa"/>
            <w:vAlign w:val="center"/>
          </w:tcPr>
          <w:p w14:paraId="6240ECD9"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1</w:t>
            </w:r>
          </w:p>
        </w:tc>
        <w:tc>
          <w:tcPr>
            <w:tcW w:w="4961" w:type="dxa"/>
            <w:vAlign w:val="center"/>
          </w:tcPr>
          <w:p w14:paraId="6FCB242F"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Kick off meeting</w:t>
            </w:r>
          </w:p>
        </w:tc>
        <w:tc>
          <w:tcPr>
            <w:tcW w:w="2503" w:type="dxa"/>
            <w:vAlign w:val="center"/>
          </w:tcPr>
          <w:p w14:paraId="5F3819BB" w14:textId="77777777" w:rsidR="00C1653F" w:rsidRDefault="00221C5E">
            <w:pPr>
              <w:pBdr>
                <w:top w:val="nil"/>
                <w:left w:val="nil"/>
                <w:bottom w:val="nil"/>
                <w:right w:val="nil"/>
                <w:between w:val="nil"/>
              </w:pBdr>
              <w:ind w:left="34"/>
              <w:rPr>
                <w:b/>
                <w:bCs/>
                <w:color w:val="000000"/>
                <w:sz w:val="20"/>
                <w:szCs w:val="20"/>
                <w:highlight w:val="yellow"/>
              </w:rPr>
            </w:pPr>
            <w:r>
              <w:rPr>
                <w:color w:val="000000"/>
                <w:sz w:val="20"/>
                <w:szCs w:val="20"/>
              </w:rPr>
              <w:t>Within week 1 of Contract Award or no later than 19/12/25</w:t>
            </w:r>
          </w:p>
        </w:tc>
      </w:tr>
      <w:tr w:rsidR="00C1653F" w14:paraId="1D9C8E08" w14:textId="77777777">
        <w:tc>
          <w:tcPr>
            <w:tcW w:w="1555" w:type="dxa"/>
            <w:vAlign w:val="center"/>
          </w:tcPr>
          <w:p w14:paraId="609DCA94"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2</w:t>
            </w:r>
          </w:p>
        </w:tc>
        <w:tc>
          <w:tcPr>
            <w:tcW w:w="4961" w:type="dxa"/>
            <w:vAlign w:val="center"/>
          </w:tcPr>
          <w:p w14:paraId="20718AE0"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Agreed research protocol</w:t>
            </w:r>
          </w:p>
        </w:tc>
        <w:tc>
          <w:tcPr>
            <w:tcW w:w="2503" w:type="dxa"/>
            <w:vAlign w:val="center"/>
          </w:tcPr>
          <w:p w14:paraId="3EE9778F" w14:textId="77777777" w:rsidR="00C1653F" w:rsidRDefault="00221C5E">
            <w:pPr>
              <w:pBdr>
                <w:top w:val="nil"/>
                <w:left w:val="nil"/>
                <w:bottom w:val="nil"/>
                <w:right w:val="nil"/>
                <w:between w:val="nil"/>
              </w:pBdr>
              <w:ind w:left="34"/>
              <w:rPr>
                <w:b/>
                <w:bCs/>
                <w:color w:val="000000"/>
                <w:sz w:val="20"/>
                <w:szCs w:val="20"/>
                <w:highlight w:val="yellow"/>
              </w:rPr>
            </w:pPr>
            <w:r>
              <w:rPr>
                <w:color w:val="000000"/>
                <w:sz w:val="20"/>
                <w:szCs w:val="20"/>
              </w:rPr>
              <w:t>09/01/26</w:t>
            </w:r>
          </w:p>
        </w:tc>
      </w:tr>
      <w:tr w:rsidR="00C1653F" w14:paraId="56388CF6" w14:textId="77777777">
        <w:tc>
          <w:tcPr>
            <w:tcW w:w="1555" w:type="dxa"/>
            <w:vAlign w:val="center"/>
          </w:tcPr>
          <w:p w14:paraId="1A017DA9"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3</w:t>
            </w:r>
          </w:p>
        </w:tc>
        <w:tc>
          <w:tcPr>
            <w:tcW w:w="4961" w:type="dxa"/>
            <w:vAlign w:val="center"/>
          </w:tcPr>
          <w:p w14:paraId="463E6B13"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Begin literature search</w:t>
            </w:r>
          </w:p>
        </w:tc>
        <w:tc>
          <w:tcPr>
            <w:tcW w:w="2503" w:type="dxa"/>
            <w:vAlign w:val="center"/>
          </w:tcPr>
          <w:p w14:paraId="639E97F5" w14:textId="77777777" w:rsidR="00C1653F" w:rsidRDefault="00221C5E">
            <w:pPr>
              <w:pBdr>
                <w:top w:val="nil"/>
                <w:left w:val="nil"/>
                <w:bottom w:val="nil"/>
                <w:right w:val="nil"/>
                <w:between w:val="nil"/>
              </w:pBdr>
              <w:ind w:left="34"/>
              <w:rPr>
                <w:b/>
                <w:bCs/>
                <w:color w:val="000000"/>
                <w:sz w:val="20"/>
                <w:szCs w:val="20"/>
                <w:highlight w:val="yellow"/>
              </w:rPr>
            </w:pPr>
            <w:r>
              <w:rPr>
                <w:color w:val="000000"/>
                <w:sz w:val="20"/>
                <w:szCs w:val="20"/>
              </w:rPr>
              <w:t>Week commencing 12/01/26</w:t>
            </w:r>
          </w:p>
        </w:tc>
      </w:tr>
      <w:tr w:rsidR="00C1653F" w14:paraId="507C1B23" w14:textId="77777777">
        <w:tc>
          <w:tcPr>
            <w:tcW w:w="1555" w:type="dxa"/>
            <w:vAlign w:val="center"/>
          </w:tcPr>
          <w:p w14:paraId="528495FA"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4</w:t>
            </w:r>
          </w:p>
        </w:tc>
        <w:tc>
          <w:tcPr>
            <w:tcW w:w="4961" w:type="dxa"/>
            <w:vAlign w:val="center"/>
          </w:tcPr>
          <w:p w14:paraId="437A8524" w14:textId="77777777" w:rsidR="00C1653F" w:rsidRDefault="00221C5E">
            <w:pPr>
              <w:pBdr>
                <w:top w:val="nil"/>
                <w:left w:val="nil"/>
                <w:bottom w:val="nil"/>
                <w:right w:val="nil"/>
                <w:between w:val="nil"/>
              </w:pBdr>
              <w:ind w:left="709" w:hanging="709"/>
              <w:rPr>
                <w:b/>
                <w:bCs/>
                <w:color w:val="000000"/>
                <w:sz w:val="20"/>
                <w:szCs w:val="20"/>
                <w:highlight w:val="yellow"/>
              </w:rPr>
            </w:pPr>
            <w:r>
              <w:rPr>
                <w:color w:val="000000"/>
                <w:sz w:val="20"/>
                <w:szCs w:val="20"/>
              </w:rPr>
              <w:t>Initial themes and gaps</w:t>
            </w:r>
          </w:p>
        </w:tc>
        <w:tc>
          <w:tcPr>
            <w:tcW w:w="2503" w:type="dxa"/>
            <w:vAlign w:val="center"/>
          </w:tcPr>
          <w:p w14:paraId="4E529071" w14:textId="77777777" w:rsidR="00C1653F" w:rsidRDefault="00221C5E">
            <w:pPr>
              <w:pBdr>
                <w:top w:val="nil"/>
                <w:left w:val="nil"/>
                <w:bottom w:val="nil"/>
                <w:right w:val="nil"/>
                <w:between w:val="nil"/>
              </w:pBdr>
              <w:ind w:left="34"/>
              <w:rPr>
                <w:b/>
                <w:bCs/>
                <w:color w:val="000000"/>
                <w:sz w:val="20"/>
                <w:szCs w:val="20"/>
              </w:rPr>
            </w:pPr>
            <w:r>
              <w:rPr>
                <w:color w:val="000000"/>
                <w:sz w:val="20"/>
                <w:szCs w:val="20"/>
              </w:rPr>
              <w:t>Week commencing 09/02/26</w:t>
            </w:r>
          </w:p>
        </w:tc>
      </w:tr>
      <w:tr w:rsidR="00C1653F" w14:paraId="790199E8" w14:textId="77777777">
        <w:trPr>
          <w:trHeight w:val="50"/>
        </w:trPr>
        <w:tc>
          <w:tcPr>
            <w:tcW w:w="1555" w:type="dxa"/>
            <w:vAlign w:val="center"/>
          </w:tcPr>
          <w:p w14:paraId="4429F09F"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5</w:t>
            </w:r>
          </w:p>
        </w:tc>
        <w:tc>
          <w:tcPr>
            <w:tcW w:w="4961" w:type="dxa"/>
            <w:vAlign w:val="center"/>
          </w:tcPr>
          <w:p w14:paraId="1800D49D"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First draft report</w:t>
            </w:r>
          </w:p>
        </w:tc>
        <w:tc>
          <w:tcPr>
            <w:tcW w:w="2503" w:type="dxa"/>
            <w:vAlign w:val="center"/>
          </w:tcPr>
          <w:p w14:paraId="72E93E22" w14:textId="77777777" w:rsidR="00C1653F" w:rsidRDefault="00221C5E">
            <w:pPr>
              <w:pBdr>
                <w:top w:val="nil"/>
                <w:left w:val="nil"/>
                <w:bottom w:val="nil"/>
                <w:right w:val="nil"/>
                <w:between w:val="nil"/>
              </w:pBdr>
              <w:ind w:left="34"/>
              <w:rPr>
                <w:b/>
                <w:bCs/>
                <w:color w:val="000000"/>
                <w:sz w:val="20"/>
                <w:szCs w:val="20"/>
              </w:rPr>
            </w:pPr>
            <w:r>
              <w:rPr>
                <w:color w:val="000000"/>
                <w:sz w:val="20"/>
                <w:szCs w:val="20"/>
              </w:rPr>
              <w:t>27/02/26</w:t>
            </w:r>
          </w:p>
        </w:tc>
      </w:tr>
      <w:tr w:rsidR="00C1653F" w14:paraId="50D073D8" w14:textId="77777777">
        <w:tc>
          <w:tcPr>
            <w:tcW w:w="1555" w:type="dxa"/>
            <w:vAlign w:val="center"/>
          </w:tcPr>
          <w:p w14:paraId="4D7A475A"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6</w:t>
            </w:r>
          </w:p>
        </w:tc>
        <w:tc>
          <w:tcPr>
            <w:tcW w:w="4961" w:type="dxa"/>
            <w:vAlign w:val="center"/>
          </w:tcPr>
          <w:p w14:paraId="67101B17"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Final report</w:t>
            </w:r>
          </w:p>
        </w:tc>
        <w:tc>
          <w:tcPr>
            <w:tcW w:w="2503" w:type="dxa"/>
            <w:vAlign w:val="center"/>
          </w:tcPr>
          <w:p w14:paraId="6FEC2190" w14:textId="77777777" w:rsidR="00C1653F" w:rsidRDefault="00221C5E">
            <w:pPr>
              <w:pBdr>
                <w:top w:val="nil"/>
                <w:left w:val="nil"/>
                <w:bottom w:val="nil"/>
                <w:right w:val="nil"/>
                <w:between w:val="nil"/>
              </w:pBdr>
              <w:ind w:left="34"/>
              <w:rPr>
                <w:b/>
                <w:bCs/>
                <w:color w:val="000000"/>
                <w:sz w:val="20"/>
                <w:szCs w:val="20"/>
              </w:rPr>
            </w:pPr>
            <w:r>
              <w:rPr>
                <w:color w:val="000000"/>
                <w:sz w:val="20"/>
                <w:szCs w:val="20"/>
              </w:rPr>
              <w:t>20/03/26</w:t>
            </w:r>
          </w:p>
        </w:tc>
      </w:tr>
    </w:tbl>
    <w:p w14:paraId="67F8F9E9" w14:textId="77777777" w:rsidR="00C1653F" w:rsidRDefault="00C1653F">
      <w:bookmarkStart w:id="18" w:name="_heading=h.lnxbz9" w:colFirst="0" w:colLast="0"/>
      <w:bookmarkEnd w:id="18"/>
    </w:p>
    <w:p w14:paraId="559854A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Contracting Authority reserves the right to extend to contract for a time only period of one month.</w:t>
      </w:r>
    </w:p>
    <w:p w14:paraId="4FF58CC6" w14:textId="77777777" w:rsidR="00C1653F" w:rsidRDefault="00C1653F"/>
    <w:p w14:paraId="1A26618C"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19" w:name="_heading=h.1v1yuxt" w:colFirst="0" w:colLast="0"/>
      <w:bookmarkEnd w:id="19"/>
      <w:r>
        <w:rPr>
          <w:sz w:val="20"/>
          <w:szCs w:val="20"/>
        </w:rPr>
        <w:lastRenderedPageBreak/>
        <w:t>SUSTAINABILITY AND CARBON NET ZERO</w:t>
      </w:r>
    </w:p>
    <w:p w14:paraId="4D78F4A0" w14:textId="77777777" w:rsidR="00C1653F" w:rsidRDefault="00C1653F"/>
    <w:p w14:paraId="344D83E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All meetings to be held virtually, unless specifically requested by the Contracting Authority.</w:t>
      </w:r>
    </w:p>
    <w:p w14:paraId="1CC91BD8" w14:textId="77777777" w:rsidR="00C1653F" w:rsidRDefault="00C1653F">
      <w:pPr>
        <w:pStyle w:val="Heading2"/>
      </w:pPr>
    </w:p>
    <w:p w14:paraId="6A3DDD6C"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0" w:name="_heading=h.plhr2bchbfb2" w:colFirst="0" w:colLast="0"/>
      <w:bookmarkEnd w:id="20"/>
      <w:r>
        <w:rPr>
          <w:sz w:val="20"/>
          <w:szCs w:val="20"/>
        </w:rPr>
        <w:t>SOCIAL VALUE</w:t>
      </w:r>
    </w:p>
    <w:p w14:paraId="62645BAA" w14:textId="77777777" w:rsidR="00C1653F" w:rsidRDefault="00C1653F">
      <w:pPr>
        <w:pBdr>
          <w:top w:val="nil"/>
          <w:left w:val="nil"/>
          <w:bottom w:val="nil"/>
          <w:right w:val="nil"/>
          <w:between w:val="nil"/>
        </w:pBdr>
        <w:ind w:left="709" w:hanging="709"/>
        <w:rPr>
          <w:color w:val="000000"/>
          <w:sz w:val="20"/>
          <w:szCs w:val="20"/>
        </w:rPr>
      </w:pPr>
    </w:p>
    <w:p w14:paraId="3F1D6405" w14:textId="77777777" w:rsidR="00C1653F" w:rsidRDefault="00221C5E">
      <w:pPr>
        <w:numPr>
          <w:ilvl w:val="1"/>
          <w:numId w:val="8"/>
        </w:numPr>
        <w:pBdr>
          <w:top w:val="nil"/>
          <w:left w:val="nil"/>
          <w:bottom w:val="nil"/>
          <w:right w:val="nil"/>
          <w:between w:val="nil"/>
        </w:pBdr>
        <w:spacing w:after="0" w:line="240" w:lineRule="auto"/>
        <w:ind w:left="709" w:hanging="709"/>
        <w:rPr>
          <w:color w:val="000000"/>
          <w:sz w:val="20"/>
          <w:szCs w:val="20"/>
        </w:rPr>
      </w:pPr>
      <w:r>
        <w:rPr>
          <w:sz w:val="20"/>
          <w:szCs w:val="20"/>
        </w:rPr>
        <w:t>The Supplier should meet the social value commitment by ensuring that effective measures to deliver any of the following benefits through the contract are made:</w:t>
      </w:r>
    </w:p>
    <w:p w14:paraId="6592F6CB" w14:textId="77777777" w:rsidR="00C1653F" w:rsidRDefault="00C1653F">
      <w:pPr>
        <w:pBdr>
          <w:top w:val="nil"/>
          <w:left w:val="nil"/>
          <w:bottom w:val="nil"/>
          <w:right w:val="nil"/>
          <w:between w:val="nil"/>
        </w:pBdr>
        <w:rPr>
          <w:color w:val="000000"/>
          <w:sz w:val="20"/>
          <w:szCs w:val="20"/>
        </w:rPr>
      </w:pPr>
    </w:p>
    <w:p w14:paraId="5212C7ED"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Demonstrate action to increase the representation of disabled people in the supplier workforce.</w:t>
      </w:r>
    </w:p>
    <w:p w14:paraId="358CA471"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Support disabled people in developing new skills relevant to the supplier, including through training schemes that result in recognised qualifications.</w:t>
      </w:r>
    </w:p>
    <w:p w14:paraId="6F8D589E"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Demonstr</w:t>
      </w:r>
      <w:r>
        <w:rPr>
          <w:color w:val="000000"/>
          <w:sz w:val="20"/>
          <w:szCs w:val="20"/>
        </w:rPr>
        <w:t>ate action to identify and tackle inequality in employment, skills and pay in the supplier workforce.</w:t>
      </w:r>
    </w:p>
    <w:p w14:paraId="1C8D8FE0" w14:textId="77777777" w:rsidR="00C1653F" w:rsidRDefault="00221C5E">
      <w:pPr>
        <w:numPr>
          <w:ilvl w:val="2"/>
          <w:numId w:val="8"/>
        </w:numPr>
        <w:pBdr>
          <w:top w:val="nil"/>
          <w:left w:val="nil"/>
          <w:bottom w:val="nil"/>
          <w:right w:val="nil"/>
          <w:between w:val="nil"/>
        </w:pBdr>
        <w:spacing w:after="240" w:line="240" w:lineRule="auto"/>
        <w:jc w:val="both"/>
        <w:rPr>
          <w:color w:val="000000"/>
          <w:sz w:val="20"/>
          <w:szCs w:val="20"/>
        </w:rPr>
      </w:pPr>
      <w:r>
        <w:rPr>
          <w:color w:val="000000"/>
          <w:sz w:val="20"/>
          <w:szCs w:val="20"/>
        </w:rPr>
        <w:t xml:space="preserve">Support in-work progression to help people, including those from disadvantaged or minority groups, to move into higher paid work by developing new skills </w:t>
      </w:r>
      <w:r>
        <w:rPr>
          <w:color w:val="000000"/>
          <w:sz w:val="20"/>
          <w:szCs w:val="20"/>
        </w:rPr>
        <w:t>relevant to the supplier.</w:t>
      </w:r>
    </w:p>
    <w:p w14:paraId="7DD53C31" w14:textId="77777777" w:rsidR="00C1653F" w:rsidRDefault="00C1653F"/>
    <w:p w14:paraId="7873305D"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1" w:name="_heading=h.2u6wntf" w:colFirst="0" w:colLast="0"/>
      <w:bookmarkEnd w:id="21"/>
      <w:r>
        <w:rPr>
          <w:sz w:val="20"/>
          <w:szCs w:val="20"/>
        </w:rPr>
        <w:t>STAFF AND CUSTOMER SERVICE</w:t>
      </w:r>
    </w:p>
    <w:p w14:paraId="761356B2" w14:textId="77777777" w:rsidR="00C1653F" w:rsidRDefault="00C1653F"/>
    <w:p w14:paraId="5EF1CEB1"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The Supplier shall provide a sufficient level of resource throughout the duration of the Contract in order to consistently deliver a quality service.</w:t>
      </w:r>
    </w:p>
    <w:p w14:paraId="7D934905" w14:textId="77777777" w:rsidR="00C1653F" w:rsidRDefault="00C1653F"/>
    <w:p w14:paraId="1665342A"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The Supplier’s staff assigned to the Contract shall have the relevant qualifications and experience (as d</w:t>
      </w:r>
      <w:r>
        <w:rPr>
          <w:sz w:val="20"/>
          <w:szCs w:val="20"/>
        </w:rPr>
        <w:t xml:space="preserve">etailed in the Mandatory Requirements Section) to deliver the Contract to the required standard. </w:t>
      </w:r>
    </w:p>
    <w:p w14:paraId="438EDFBD" w14:textId="77777777" w:rsidR="00C1653F" w:rsidRDefault="00C1653F"/>
    <w:p w14:paraId="5B2A1D24"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The Supplier shall ensure that staff understand the Buyer’s vision and objectives and will provide excellent customer service to the Buyer throughout the dur</w:t>
      </w:r>
      <w:r>
        <w:rPr>
          <w:sz w:val="20"/>
          <w:szCs w:val="20"/>
        </w:rPr>
        <w:t xml:space="preserve">ation of the Contract.  </w:t>
      </w:r>
    </w:p>
    <w:p w14:paraId="79ACD2DA" w14:textId="77777777" w:rsidR="00C1653F" w:rsidRDefault="00C1653F"/>
    <w:p w14:paraId="76220129"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2" w:name="_heading=h.19c6y18" w:colFirst="0" w:colLast="0"/>
      <w:bookmarkEnd w:id="22"/>
      <w:r>
        <w:rPr>
          <w:sz w:val="20"/>
          <w:szCs w:val="20"/>
        </w:rPr>
        <w:t>CONTINUOUS IMPROVEMENT</w:t>
      </w:r>
    </w:p>
    <w:p w14:paraId="1193676D" w14:textId="77777777" w:rsidR="00C1653F" w:rsidRDefault="00C1653F"/>
    <w:p w14:paraId="5EF378D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should present potential new ways of working to the Authority during weekly review meetings.</w:t>
      </w:r>
    </w:p>
    <w:p w14:paraId="3D70C64C" w14:textId="77777777" w:rsidR="00C1653F" w:rsidRDefault="00C1653F"/>
    <w:p w14:paraId="2A742FCC"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Changes to the way in which the Services are to be delivered must be brought to the Buyer’s attenti</w:t>
      </w:r>
      <w:r>
        <w:rPr>
          <w:sz w:val="20"/>
          <w:szCs w:val="20"/>
        </w:rPr>
        <w:t>on and agreed prior to any changes being implemented.</w:t>
      </w:r>
    </w:p>
    <w:p w14:paraId="465A64F3" w14:textId="77777777" w:rsidR="00C1653F" w:rsidRDefault="00C1653F"/>
    <w:p w14:paraId="14DF8ED4"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3" w:name="_heading=h.3tbugp1" w:colFirst="0" w:colLast="0"/>
      <w:bookmarkEnd w:id="23"/>
      <w:r>
        <w:rPr>
          <w:sz w:val="20"/>
          <w:szCs w:val="20"/>
        </w:rPr>
        <w:t>SECURITY AND CONFIDENTIALITY REQUIREMENTS</w:t>
      </w:r>
    </w:p>
    <w:p w14:paraId="5F77189B" w14:textId="77777777" w:rsidR="00C1653F" w:rsidRDefault="00C1653F"/>
    <w:p w14:paraId="76F7D7FC"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The Supplier is required to implement appropriate arrangements for data security at all times, particularly relating to the transmission and storage of personal data.  Such procedures must meet the standards outlined in the framework terms and conditions, </w:t>
      </w:r>
      <w:r>
        <w:rPr>
          <w:sz w:val="20"/>
          <w:szCs w:val="20"/>
        </w:rPr>
        <w:t>UK GDPR and the Data Protection Act 2018.</w:t>
      </w:r>
    </w:p>
    <w:p w14:paraId="1D25CB0C" w14:textId="77777777" w:rsidR="00C1653F" w:rsidRDefault="00C1653F">
      <w:pPr>
        <w:pStyle w:val="Heading2"/>
        <w:rPr>
          <w:sz w:val="20"/>
          <w:szCs w:val="20"/>
        </w:rPr>
      </w:pPr>
    </w:p>
    <w:p w14:paraId="4DEB3F6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Suppliers should confirm they hold either Cyber Essentials, Cyber Essentials Plus, or ISO27001 certification.</w:t>
      </w:r>
    </w:p>
    <w:p w14:paraId="54ED6861" w14:textId="77777777" w:rsidR="00C1653F" w:rsidRDefault="00C1653F">
      <w:pPr>
        <w:pBdr>
          <w:top w:val="nil"/>
          <w:left w:val="nil"/>
          <w:bottom w:val="nil"/>
          <w:right w:val="nil"/>
          <w:between w:val="nil"/>
        </w:pBdr>
        <w:ind w:left="720"/>
        <w:rPr>
          <w:color w:val="000000"/>
          <w:sz w:val="20"/>
          <w:szCs w:val="20"/>
        </w:rPr>
      </w:pPr>
    </w:p>
    <w:p w14:paraId="32CA3006"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Ideally, data processing will be UK-based; </w:t>
      </w:r>
      <w:proofErr w:type="gramStart"/>
      <w:r>
        <w:rPr>
          <w:sz w:val="20"/>
          <w:szCs w:val="20"/>
        </w:rPr>
        <w:t>otherwise</w:t>
      </w:r>
      <w:proofErr w:type="gramEnd"/>
      <w:r>
        <w:rPr>
          <w:sz w:val="20"/>
          <w:szCs w:val="20"/>
        </w:rPr>
        <w:t xml:space="preserve"> Suppliers should confirm the legal gateway for ex</w:t>
      </w:r>
      <w:r>
        <w:rPr>
          <w:sz w:val="20"/>
          <w:szCs w:val="20"/>
        </w:rPr>
        <w:t>porting the data out of the UK.</w:t>
      </w:r>
    </w:p>
    <w:p w14:paraId="11A12768" w14:textId="77777777" w:rsidR="00C1653F" w:rsidRDefault="00C1653F">
      <w:pPr>
        <w:pBdr>
          <w:top w:val="nil"/>
          <w:left w:val="nil"/>
          <w:bottom w:val="nil"/>
          <w:right w:val="nil"/>
          <w:between w:val="nil"/>
        </w:pBdr>
        <w:ind w:left="720"/>
        <w:rPr>
          <w:color w:val="000000"/>
          <w:sz w:val="20"/>
          <w:szCs w:val="20"/>
        </w:rPr>
      </w:pPr>
    </w:p>
    <w:p w14:paraId="6E71705C"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Processes should be in place for securing data, including appropriate risk management procedures. Potential Suppliers should confirm within their response that such procedures will be implemented and outline the technical m</w:t>
      </w:r>
      <w:r>
        <w:rPr>
          <w:sz w:val="20"/>
          <w:szCs w:val="20"/>
        </w:rPr>
        <w:t>easures to be put in place to meet such requirements.</w:t>
      </w:r>
    </w:p>
    <w:p w14:paraId="10F06060" w14:textId="77777777" w:rsidR="00C1653F" w:rsidRDefault="00C1653F">
      <w:pPr>
        <w:pBdr>
          <w:top w:val="nil"/>
          <w:left w:val="nil"/>
          <w:bottom w:val="nil"/>
          <w:right w:val="nil"/>
          <w:between w:val="nil"/>
        </w:pBdr>
        <w:ind w:left="720"/>
        <w:rPr>
          <w:color w:val="000000"/>
          <w:sz w:val="20"/>
          <w:szCs w:val="20"/>
        </w:rPr>
      </w:pPr>
    </w:p>
    <w:p w14:paraId="70AE0C8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Suppliers should not use confidential contracting authority information, or information not already in the public domain as training data for AI systems </w:t>
      </w:r>
      <w:proofErr w:type="gramStart"/>
      <w:r>
        <w:rPr>
          <w:sz w:val="20"/>
          <w:szCs w:val="20"/>
        </w:rPr>
        <w:t>e.g.</w:t>
      </w:r>
      <w:proofErr w:type="gramEnd"/>
      <w:r>
        <w:rPr>
          <w:sz w:val="20"/>
          <w:szCs w:val="20"/>
        </w:rPr>
        <w:t xml:space="preserve"> using confidential Government tender docume</w:t>
      </w:r>
      <w:r>
        <w:rPr>
          <w:sz w:val="20"/>
          <w:szCs w:val="20"/>
        </w:rPr>
        <w:t>nts to train AI or Large Language Models to create future tender responses.</w:t>
      </w:r>
    </w:p>
    <w:p w14:paraId="60238616" w14:textId="77777777" w:rsidR="00C1653F" w:rsidRDefault="00C1653F"/>
    <w:p w14:paraId="4DDBDB53"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4" w:name="_heading=h.28h4qwu" w:colFirst="0" w:colLast="0"/>
      <w:bookmarkEnd w:id="24"/>
      <w:r>
        <w:rPr>
          <w:sz w:val="20"/>
          <w:szCs w:val="20"/>
        </w:rPr>
        <w:t>PRICING MECHANISM</w:t>
      </w:r>
    </w:p>
    <w:p w14:paraId="0679D71F" w14:textId="77777777" w:rsidR="00C1653F" w:rsidRDefault="00C1653F"/>
    <w:p w14:paraId="169D74D2" w14:textId="04774D94" w:rsidR="00BC0783" w:rsidRDefault="00221C5E" w:rsidP="00BC0783">
      <w:pPr>
        <w:pStyle w:val="Heading2"/>
        <w:keepNext w:val="0"/>
        <w:keepLines w:val="0"/>
        <w:numPr>
          <w:ilvl w:val="1"/>
          <w:numId w:val="8"/>
        </w:numPr>
        <w:pBdr>
          <w:top w:val="nil"/>
          <w:left w:val="nil"/>
          <w:bottom w:val="nil"/>
          <w:right w:val="nil"/>
          <w:between w:val="nil"/>
        </w:pBdr>
        <w:spacing w:before="0" w:line="240" w:lineRule="auto"/>
        <w:ind w:hanging="709"/>
        <w:rPr>
          <w:sz w:val="20"/>
          <w:szCs w:val="20"/>
        </w:rPr>
      </w:pPr>
      <w:r>
        <w:rPr>
          <w:sz w:val="20"/>
          <w:szCs w:val="20"/>
        </w:rPr>
        <w:t>We do not expect this project to cost more</w:t>
      </w:r>
      <w:r w:rsidR="00BC0783">
        <w:rPr>
          <w:sz w:val="20"/>
          <w:szCs w:val="20"/>
        </w:rPr>
        <w:t xml:space="preserve"> than </w:t>
      </w:r>
      <w:r w:rsidR="00BC0783">
        <w:rPr>
          <w:sz w:val="20"/>
          <w:szCs w:val="20"/>
        </w:rPr>
        <w:t>REDACTED UNDER FOIA 4</w:t>
      </w:r>
      <w:r w:rsidR="00BC0783">
        <w:rPr>
          <w:sz w:val="20"/>
          <w:szCs w:val="20"/>
        </w:rPr>
        <w:t>3</w:t>
      </w:r>
      <w:r w:rsidR="00BC0783">
        <w:rPr>
          <w:sz w:val="20"/>
          <w:szCs w:val="20"/>
        </w:rPr>
        <w:t xml:space="preserve"> – </w:t>
      </w:r>
      <w:r w:rsidR="00BC0783">
        <w:rPr>
          <w:sz w:val="20"/>
          <w:szCs w:val="20"/>
        </w:rPr>
        <w:t>COMMERCIAL INTERESTS</w:t>
      </w:r>
    </w:p>
    <w:p w14:paraId="6FE7D7FE" w14:textId="77777777" w:rsidR="00BC0783" w:rsidRPr="00BC0783" w:rsidRDefault="00BC0783" w:rsidP="00BC0783"/>
    <w:p w14:paraId="0B3E7D2F" w14:textId="31976BF0"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 Please note, if a Potential Supplier’s tendered price exceeds this </w:t>
      </w:r>
      <w:proofErr w:type="gramStart"/>
      <w:r>
        <w:rPr>
          <w:sz w:val="20"/>
          <w:szCs w:val="20"/>
        </w:rPr>
        <w:t>value</w:t>
      </w:r>
      <w:proofErr w:type="gramEnd"/>
      <w:r>
        <w:rPr>
          <w:sz w:val="20"/>
          <w:szCs w:val="20"/>
        </w:rPr>
        <w:t xml:space="preserve"> they will be deemed non-compliant and therefore excluded from the Procurement.</w:t>
      </w:r>
    </w:p>
    <w:p w14:paraId="77551B09" w14:textId="77777777" w:rsidR="00C1653F" w:rsidRDefault="00C1653F">
      <w:pPr>
        <w:pStyle w:val="Heading2"/>
        <w:rPr>
          <w:sz w:val="20"/>
          <w:szCs w:val="20"/>
        </w:rPr>
      </w:pPr>
    </w:p>
    <w:p w14:paraId="16FB137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Contracting Authority is loo</w:t>
      </w:r>
      <w:r>
        <w:rPr>
          <w:sz w:val="20"/>
          <w:szCs w:val="20"/>
        </w:rPr>
        <w:t>king for the most competitive bid that can deliver maximum value for money. This will be assessed in accordance with Attachment 2.</w:t>
      </w:r>
    </w:p>
    <w:p w14:paraId="39279FEA" w14:textId="77777777" w:rsidR="00C1653F" w:rsidRDefault="00C1653F">
      <w:pPr>
        <w:pBdr>
          <w:top w:val="nil"/>
          <w:left w:val="nil"/>
          <w:bottom w:val="nil"/>
          <w:right w:val="nil"/>
          <w:between w:val="nil"/>
        </w:pBdr>
        <w:ind w:left="720"/>
        <w:rPr>
          <w:color w:val="000000"/>
          <w:sz w:val="20"/>
          <w:szCs w:val="20"/>
        </w:rPr>
      </w:pPr>
    </w:p>
    <w:p w14:paraId="402EB75D"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Usage of, and charges from, third party suppliers should be clearly identified and explained. The Contracting Authority expe</w:t>
      </w:r>
      <w:r>
        <w:rPr>
          <w:sz w:val="20"/>
          <w:szCs w:val="20"/>
        </w:rPr>
        <w:t>cts the Supplier to ensure that third party suppliers are commissioned on a clear value for money basis, and that such activities are passed on at cost.</w:t>
      </w:r>
    </w:p>
    <w:p w14:paraId="5B3D3F14" w14:textId="77777777" w:rsidR="00C1653F" w:rsidRDefault="00C1653F">
      <w:pPr>
        <w:pStyle w:val="Heading2"/>
        <w:rPr>
          <w:sz w:val="20"/>
          <w:szCs w:val="20"/>
        </w:rPr>
      </w:pPr>
    </w:p>
    <w:p w14:paraId="57A9C95E"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Prices are to be submitted via the e-Sourcing Suite (Attachment 4 – Price Schedule) excluding VAT and including all other expenses relating to Contract delivery.</w:t>
      </w:r>
    </w:p>
    <w:p w14:paraId="279EF297" w14:textId="77777777" w:rsidR="00C1653F" w:rsidRDefault="00C1653F">
      <w:pPr>
        <w:pBdr>
          <w:top w:val="nil"/>
          <w:left w:val="nil"/>
          <w:bottom w:val="nil"/>
          <w:right w:val="nil"/>
          <w:between w:val="nil"/>
        </w:pBdr>
        <w:ind w:left="709" w:hanging="709"/>
        <w:rPr>
          <w:color w:val="000000"/>
          <w:sz w:val="20"/>
          <w:szCs w:val="20"/>
        </w:rPr>
      </w:pPr>
    </w:p>
    <w:p w14:paraId="17CD63B9"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mallCaps/>
        </w:rPr>
      </w:pPr>
      <w:r>
        <w:rPr>
          <w:sz w:val="20"/>
          <w:szCs w:val="20"/>
        </w:rPr>
        <w:lastRenderedPageBreak/>
        <w:t>All prices are inclusive of expenses, such as travel and subsistence.</w:t>
      </w:r>
    </w:p>
    <w:p w14:paraId="3D777405" w14:textId="77777777" w:rsidR="00C1653F" w:rsidRDefault="00221C5E">
      <w:r>
        <w:t xml:space="preserve"> </w:t>
      </w:r>
    </w:p>
    <w:p w14:paraId="2AAAA60E"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5" w:name="_heading=h.nmf14n" w:colFirst="0" w:colLast="0"/>
      <w:bookmarkEnd w:id="25"/>
      <w:r>
        <w:rPr>
          <w:sz w:val="20"/>
          <w:szCs w:val="20"/>
        </w:rPr>
        <w:t>PAYMENT AND INVOICING</w:t>
      </w:r>
      <w:r>
        <w:rPr>
          <w:sz w:val="20"/>
          <w:szCs w:val="20"/>
        </w:rPr>
        <w:t xml:space="preserve"> </w:t>
      </w:r>
    </w:p>
    <w:p w14:paraId="6FB13070" w14:textId="77777777" w:rsidR="00C1653F" w:rsidRDefault="00C1653F"/>
    <w:p w14:paraId="7B9C323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will be invoiced to the following schedule:</w:t>
      </w:r>
    </w:p>
    <w:tbl>
      <w:tblPr>
        <w:tblStyle w:val="a1"/>
        <w:tblW w:w="829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7"/>
        <w:gridCol w:w="2092"/>
        <w:gridCol w:w="2118"/>
        <w:gridCol w:w="2032"/>
      </w:tblGrid>
      <w:tr w:rsidR="00C1653F" w14:paraId="7ABCCC59" w14:textId="77777777">
        <w:tc>
          <w:tcPr>
            <w:tcW w:w="2057" w:type="dxa"/>
          </w:tcPr>
          <w:p w14:paraId="323F8029" w14:textId="77777777" w:rsidR="00C1653F" w:rsidRDefault="00221C5E">
            <w:pPr>
              <w:pStyle w:val="Heading3"/>
              <w:spacing w:after="0"/>
              <w:ind w:left="0" w:firstLine="0"/>
              <w:jc w:val="left"/>
              <w:rPr>
                <w:b/>
                <w:bCs/>
                <w:sz w:val="20"/>
                <w:szCs w:val="20"/>
              </w:rPr>
            </w:pPr>
            <w:r>
              <w:rPr>
                <w:b/>
                <w:bCs/>
                <w:sz w:val="20"/>
                <w:szCs w:val="20"/>
              </w:rPr>
              <w:t>Invoice</w:t>
            </w:r>
          </w:p>
        </w:tc>
        <w:tc>
          <w:tcPr>
            <w:tcW w:w="2092" w:type="dxa"/>
          </w:tcPr>
          <w:p w14:paraId="49247B70" w14:textId="77777777" w:rsidR="00C1653F" w:rsidRDefault="00221C5E">
            <w:pPr>
              <w:pStyle w:val="Heading3"/>
              <w:spacing w:after="0"/>
              <w:ind w:left="0" w:firstLine="0"/>
              <w:jc w:val="left"/>
              <w:rPr>
                <w:b/>
                <w:bCs/>
                <w:sz w:val="20"/>
                <w:szCs w:val="20"/>
              </w:rPr>
            </w:pPr>
            <w:r>
              <w:rPr>
                <w:b/>
                <w:bCs/>
                <w:sz w:val="20"/>
                <w:szCs w:val="20"/>
              </w:rPr>
              <w:t>Milestone</w:t>
            </w:r>
          </w:p>
        </w:tc>
        <w:tc>
          <w:tcPr>
            <w:tcW w:w="2118" w:type="dxa"/>
          </w:tcPr>
          <w:p w14:paraId="17A049A9" w14:textId="77777777" w:rsidR="00C1653F" w:rsidRDefault="00221C5E">
            <w:pPr>
              <w:pStyle w:val="Heading3"/>
              <w:spacing w:after="0"/>
              <w:ind w:left="0" w:firstLine="0"/>
              <w:jc w:val="left"/>
              <w:rPr>
                <w:b/>
                <w:bCs/>
                <w:sz w:val="20"/>
                <w:szCs w:val="20"/>
              </w:rPr>
            </w:pPr>
            <w:r>
              <w:rPr>
                <w:b/>
                <w:bCs/>
                <w:sz w:val="20"/>
                <w:szCs w:val="20"/>
              </w:rPr>
              <w:t>Description</w:t>
            </w:r>
          </w:p>
        </w:tc>
        <w:tc>
          <w:tcPr>
            <w:tcW w:w="2032" w:type="dxa"/>
          </w:tcPr>
          <w:p w14:paraId="7B36A74A" w14:textId="77777777" w:rsidR="00C1653F" w:rsidRDefault="00221C5E">
            <w:pPr>
              <w:pStyle w:val="Heading3"/>
              <w:spacing w:after="0"/>
              <w:ind w:left="0" w:firstLine="0"/>
              <w:jc w:val="left"/>
              <w:rPr>
                <w:b/>
                <w:bCs/>
                <w:sz w:val="20"/>
                <w:szCs w:val="20"/>
              </w:rPr>
            </w:pPr>
            <w:r>
              <w:rPr>
                <w:b/>
                <w:bCs/>
                <w:sz w:val="20"/>
                <w:szCs w:val="20"/>
              </w:rPr>
              <w:t xml:space="preserve">% </w:t>
            </w:r>
            <w:proofErr w:type="gramStart"/>
            <w:r>
              <w:rPr>
                <w:b/>
                <w:bCs/>
                <w:sz w:val="20"/>
                <w:szCs w:val="20"/>
              </w:rPr>
              <w:t>of</w:t>
            </w:r>
            <w:proofErr w:type="gramEnd"/>
            <w:r>
              <w:rPr>
                <w:b/>
                <w:bCs/>
                <w:sz w:val="20"/>
                <w:szCs w:val="20"/>
              </w:rPr>
              <w:t xml:space="preserve"> value</w:t>
            </w:r>
          </w:p>
        </w:tc>
      </w:tr>
      <w:tr w:rsidR="00C1653F" w14:paraId="5F9DE9D5" w14:textId="77777777">
        <w:tc>
          <w:tcPr>
            <w:tcW w:w="2057" w:type="dxa"/>
          </w:tcPr>
          <w:p w14:paraId="37F865F2" w14:textId="77777777" w:rsidR="00C1653F" w:rsidRDefault="00221C5E">
            <w:pPr>
              <w:pStyle w:val="Heading2"/>
              <w:jc w:val="center"/>
              <w:rPr>
                <w:sz w:val="20"/>
                <w:szCs w:val="20"/>
              </w:rPr>
            </w:pPr>
            <w:r>
              <w:rPr>
                <w:sz w:val="20"/>
                <w:szCs w:val="20"/>
              </w:rPr>
              <w:t>1</w:t>
            </w:r>
          </w:p>
        </w:tc>
        <w:tc>
          <w:tcPr>
            <w:tcW w:w="2092" w:type="dxa"/>
          </w:tcPr>
          <w:p w14:paraId="4F6BD93E" w14:textId="77777777" w:rsidR="00C1653F" w:rsidRDefault="00221C5E">
            <w:pPr>
              <w:pStyle w:val="Heading2"/>
              <w:jc w:val="center"/>
              <w:rPr>
                <w:sz w:val="20"/>
                <w:szCs w:val="20"/>
              </w:rPr>
            </w:pPr>
            <w:r>
              <w:rPr>
                <w:sz w:val="20"/>
                <w:szCs w:val="20"/>
              </w:rPr>
              <w:t>2</w:t>
            </w:r>
          </w:p>
        </w:tc>
        <w:tc>
          <w:tcPr>
            <w:tcW w:w="2118" w:type="dxa"/>
          </w:tcPr>
          <w:p w14:paraId="777A01AD" w14:textId="77777777" w:rsidR="00C1653F" w:rsidRDefault="00221C5E">
            <w:pPr>
              <w:pStyle w:val="Heading2"/>
              <w:rPr>
                <w:sz w:val="20"/>
                <w:szCs w:val="20"/>
              </w:rPr>
            </w:pPr>
            <w:r>
              <w:rPr>
                <w:sz w:val="20"/>
                <w:szCs w:val="20"/>
              </w:rPr>
              <w:t>Protocol agreed</w:t>
            </w:r>
          </w:p>
        </w:tc>
        <w:tc>
          <w:tcPr>
            <w:tcW w:w="2032" w:type="dxa"/>
          </w:tcPr>
          <w:p w14:paraId="1E9F481B" w14:textId="77777777" w:rsidR="00C1653F" w:rsidRDefault="00221C5E">
            <w:pPr>
              <w:pStyle w:val="Heading2"/>
              <w:jc w:val="center"/>
              <w:rPr>
                <w:sz w:val="20"/>
                <w:szCs w:val="20"/>
              </w:rPr>
            </w:pPr>
            <w:r>
              <w:rPr>
                <w:sz w:val="20"/>
                <w:szCs w:val="20"/>
              </w:rPr>
              <w:t>30%</w:t>
            </w:r>
          </w:p>
        </w:tc>
      </w:tr>
      <w:tr w:rsidR="00C1653F" w14:paraId="32979268" w14:textId="77777777">
        <w:tc>
          <w:tcPr>
            <w:tcW w:w="2057" w:type="dxa"/>
          </w:tcPr>
          <w:p w14:paraId="482068CB" w14:textId="77777777" w:rsidR="00C1653F" w:rsidRDefault="00221C5E">
            <w:pPr>
              <w:pStyle w:val="Heading2"/>
              <w:jc w:val="center"/>
              <w:rPr>
                <w:sz w:val="20"/>
                <w:szCs w:val="20"/>
              </w:rPr>
            </w:pPr>
            <w:r>
              <w:rPr>
                <w:sz w:val="20"/>
                <w:szCs w:val="20"/>
              </w:rPr>
              <w:t>2</w:t>
            </w:r>
          </w:p>
        </w:tc>
        <w:tc>
          <w:tcPr>
            <w:tcW w:w="2092" w:type="dxa"/>
          </w:tcPr>
          <w:p w14:paraId="1E611A7A" w14:textId="77777777" w:rsidR="00C1653F" w:rsidRDefault="00221C5E">
            <w:pPr>
              <w:pStyle w:val="Heading2"/>
              <w:jc w:val="center"/>
              <w:rPr>
                <w:sz w:val="20"/>
                <w:szCs w:val="20"/>
              </w:rPr>
            </w:pPr>
            <w:r>
              <w:rPr>
                <w:sz w:val="20"/>
                <w:szCs w:val="20"/>
              </w:rPr>
              <w:t>4</w:t>
            </w:r>
          </w:p>
        </w:tc>
        <w:tc>
          <w:tcPr>
            <w:tcW w:w="2118" w:type="dxa"/>
          </w:tcPr>
          <w:p w14:paraId="0E416EEC" w14:textId="77777777" w:rsidR="00C1653F" w:rsidRDefault="00221C5E">
            <w:pPr>
              <w:pStyle w:val="Heading2"/>
              <w:rPr>
                <w:sz w:val="20"/>
                <w:szCs w:val="20"/>
              </w:rPr>
            </w:pPr>
            <w:r>
              <w:rPr>
                <w:sz w:val="20"/>
                <w:szCs w:val="20"/>
              </w:rPr>
              <w:t>Initial themes and gaps</w:t>
            </w:r>
          </w:p>
        </w:tc>
        <w:tc>
          <w:tcPr>
            <w:tcW w:w="2032" w:type="dxa"/>
          </w:tcPr>
          <w:p w14:paraId="7F491AD6" w14:textId="77777777" w:rsidR="00C1653F" w:rsidRDefault="00221C5E">
            <w:pPr>
              <w:pStyle w:val="Heading2"/>
              <w:jc w:val="center"/>
              <w:rPr>
                <w:sz w:val="20"/>
                <w:szCs w:val="20"/>
              </w:rPr>
            </w:pPr>
            <w:r>
              <w:rPr>
                <w:sz w:val="20"/>
                <w:szCs w:val="20"/>
              </w:rPr>
              <w:t>30%</w:t>
            </w:r>
          </w:p>
        </w:tc>
      </w:tr>
      <w:tr w:rsidR="00C1653F" w14:paraId="0AA818C6" w14:textId="77777777">
        <w:tc>
          <w:tcPr>
            <w:tcW w:w="2057" w:type="dxa"/>
          </w:tcPr>
          <w:p w14:paraId="7BD8739F" w14:textId="77777777" w:rsidR="00C1653F" w:rsidRDefault="00221C5E">
            <w:pPr>
              <w:pStyle w:val="Heading2"/>
              <w:jc w:val="center"/>
              <w:rPr>
                <w:sz w:val="20"/>
                <w:szCs w:val="20"/>
              </w:rPr>
            </w:pPr>
            <w:r>
              <w:rPr>
                <w:sz w:val="20"/>
                <w:szCs w:val="20"/>
              </w:rPr>
              <w:t>3</w:t>
            </w:r>
          </w:p>
        </w:tc>
        <w:tc>
          <w:tcPr>
            <w:tcW w:w="2092" w:type="dxa"/>
          </w:tcPr>
          <w:p w14:paraId="39D8A4C8" w14:textId="77777777" w:rsidR="00C1653F" w:rsidRDefault="00221C5E">
            <w:pPr>
              <w:pStyle w:val="Heading2"/>
              <w:jc w:val="center"/>
              <w:rPr>
                <w:sz w:val="20"/>
                <w:szCs w:val="20"/>
              </w:rPr>
            </w:pPr>
            <w:r>
              <w:rPr>
                <w:sz w:val="20"/>
                <w:szCs w:val="20"/>
              </w:rPr>
              <w:t>5</w:t>
            </w:r>
          </w:p>
        </w:tc>
        <w:tc>
          <w:tcPr>
            <w:tcW w:w="2118" w:type="dxa"/>
          </w:tcPr>
          <w:p w14:paraId="4736569C" w14:textId="77777777" w:rsidR="00C1653F" w:rsidRDefault="00221C5E">
            <w:pPr>
              <w:pStyle w:val="Heading2"/>
              <w:rPr>
                <w:sz w:val="20"/>
                <w:szCs w:val="20"/>
              </w:rPr>
            </w:pPr>
            <w:r>
              <w:rPr>
                <w:sz w:val="20"/>
                <w:szCs w:val="20"/>
              </w:rPr>
              <w:t>First draft received</w:t>
            </w:r>
          </w:p>
        </w:tc>
        <w:tc>
          <w:tcPr>
            <w:tcW w:w="2032" w:type="dxa"/>
          </w:tcPr>
          <w:p w14:paraId="0AA5833B" w14:textId="77777777" w:rsidR="00C1653F" w:rsidRDefault="00221C5E">
            <w:pPr>
              <w:pStyle w:val="Heading2"/>
              <w:jc w:val="center"/>
              <w:rPr>
                <w:sz w:val="20"/>
                <w:szCs w:val="20"/>
              </w:rPr>
            </w:pPr>
            <w:r>
              <w:rPr>
                <w:sz w:val="20"/>
                <w:szCs w:val="20"/>
              </w:rPr>
              <w:t>20%</w:t>
            </w:r>
          </w:p>
        </w:tc>
      </w:tr>
      <w:tr w:rsidR="00C1653F" w14:paraId="56D2FD04" w14:textId="77777777">
        <w:tc>
          <w:tcPr>
            <w:tcW w:w="2057" w:type="dxa"/>
          </w:tcPr>
          <w:p w14:paraId="6DCB0917" w14:textId="77777777" w:rsidR="00C1653F" w:rsidRDefault="00221C5E">
            <w:pPr>
              <w:pStyle w:val="Heading2"/>
              <w:jc w:val="center"/>
              <w:rPr>
                <w:sz w:val="20"/>
                <w:szCs w:val="20"/>
              </w:rPr>
            </w:pPr>
            <w:r>
              <w:rPr>
                <w:sz w:val="20"/>
                <w:szCs w:val="20"/>
              </w:rPr>
              <w:t>4</w:t>
            </w:r>
          </w:p>
        </w:tc>
        <w:tc>
          <w:tcPr>
            <w:tcW w:w="2092" w:type="dxa"/>
          </w:tcPr>
          <w:p w14:paraId="2128BB28" w14:textId="77777777" w:rsidR="00C1653F" w:rsidRDefault="00221C5E">
            <w:pPr>
              <w:pStyle w:val="Heading2"/>
              <w:jc w:val="center"/>
              <w:rPr>
                <w:sz w:val="20"/>
                <w:szCs w:val="20"/>
              </w:rPr>
            </w:pPr>
            <w:r>
              <w:rPr>
                <w:sz w:val="20"/>
                <w:szCs w:val="20"/>
              </w:rPr>
              <w:t>6</w:t>
            </w:r>
          </w:p>
        </w:tc>
        <w:tc>
          <w:tcPr>
            <w:tcW w:w="2118" w:type="dxa"/>
          </w:tcPr>
          <w:p w14:paraId="32A0B47D" w14:textId="77777777" w:rsidR="00C1653F" w:rsidRDefault="00221C5E">
            <w:pPr>
              <w:pStyle w:val="Heading2"/>
              <w:rPr>
                <w:sz w:val="20"/>
                <w:szCs w:val="20"/>
              </w:rPr>
            </w:pPr>
            <w:r>
              <w:rPr>
                <w:sz w:val="20"/>
                <w:szCs w:val="20"/>
              </w:rPr>
              <w:t>Final draft agreed</w:t>
            </w:r>
          </w:p>
        </w:tc>
        <w:tc>
          <w:tcPr>
            <w:tcW w:w="2032" w:type="dxa"/>
          </w:tcPr>
          <w:p w14:paraId="5A38F9C6" w14:textId="77777777" w:rsidR="00C1653F" w:rsidRDefault="00221C5E">
            <w:pPr>
              <w:pStyle w:val="Heading2"/>
              <w:jc w:val="center"/>
              <w:rPr>
                <w:sz w:val="20"/>
                <w:szCs w:val="20"/>
              </w:rPr>
            </w:pPr>
            <w:r>
              <w:rPr>
                <w:sz w:val="20"/>
                <w:szCs w:val="20"/>
              </w:rPr>
              <w:t>20%</w:t>
            </w:r>
          </w:p>
        </w:tc>
      </w:tr>
    </w:tbl>
    <w:p w14:paraId="7741655B" w14:textId="77777777" w:rsidR="00C1653F" w:rsidRDefault="00C1653F">
      <w:pPr>
        <w:rPr>
          <w:sz w:val="20"/>
          <w:szCs w:val="20"/>
        </w:rPr>
      </w:pPr>
    </w:p>
    <w:p w14:paraId="22DA4B46"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highlight w:val="white"/>
        </w:rPr>
        <w:t xml:space="preserve">Payment can only be made following satisfactory delivery of pre-agreed certified products and deliverables. </w:t>
      </w:r>
    </w:p>
    <w:p w14:paraId="2B866F9B" w14:textId="77777777" w:rsidR="00C1653F" w:rsidRDefault="00C1653F">
      <w:pPr>
        <w:rPr>
          <w:sz w:val="20"/>
          <w:szCs w:val="20"/>
        </w:rPr>
      </w:pPr>
    </w:p>
    <w:p w14:paraId="5F74697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highlight w:val="white"/>
        </w:rPr>
        <w:t xml:space="preserve">Before payment can be considered, each invoice must include a detailed elemental breakdown of work completed and the associated costs. </w:t>
      </w:r>
    </w:p>
    <w:p w14:paraId="0FFF0A78" w14:textId="77777777" w:rsidR="00C1653F" w:rsidRDefault="00C1653F">
      <w:pPr>
        <w:pBdr>
          <w:top w:val="nil"/>
          <w:left w:val="nil"/>
          <w:bottom w:val="nil"/>
          <w:right w:val="nil"/>
          <w:between w:val="nil"/>
        </w:pBdr>
        <w:ind w:left="720"/>
        <w:rPr>
          <w:color w:val="000000"/>
          <w:sz w:val="20"/>
          <w:szCs w:val="20"/>
          <w:highlight w:val="white"/>
        </w:rPr>
      </w:pPr>
    </w:p>
    <w:p w14:paraId="46416A52" w14:textId="4437F0EB"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highlight w:val="white"/>
        </w:rPr>
        <w:t xml:space="preserve">Invoices </w:t>
      </w:r>
      <w:r>
        <w:rPr>
          <w:sz w:val="20"/>
          <w:szCs w:val="20"/>
          <w:highlight w:val="white"/>
        </w:rPr>
        <w:t xml:space="preserve">should be submitted directly to </w:t>
      </w:r>
      <w:r w:rsidR="00BC0783">
        <w:rPr>
          <w:sz w:val="20"/>
          <w:szCs w:val="20"/>
          <w:highlight w:val="white"/>
        </w:rPr>
        <w:t>REDACTED TEXT UNDER FOIA SECTION 40 – PERSONAL INFORMATION</w:t>
      </w:r>
      <w:r>
        <w:rPr>
          <w:sz w:val="20"/>
          <w:szCs w:val="20"/>
          <w:highlight w:val="white"/>
        </w:rPr>
        <w:t>.</w:t>
      </w:r>
    </w:p>
    <w:p w14:paraId="5698A5A1" w14:textId="77777777" w:rsidR="00C1653F" w:rsidRDefault="00C1653F">
      <w:pPr>
        <w:rPr>
          <w:sz w:val="20"/>
          <w:szCs w:val="20"/>
        </w:rPr>
      </w:pPr>
    </w:p>
    <w:p w14:paraId="43C3C6AE" w14:textId="3304EAF6" w:rsidR="00C1653F" w:rsidRPr="00BC0783" w:rsidRDefault="00221C5E" w:rsidP="00BC0783">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highlight w:val="white"/>
        </w:rPr>
        <w:t xml:space="preserve">Invoices should be submitted to: </w:t>
      </w:r>
      <w:r w:rsidR="00BC0783">
        <w:rPr>
          <w:sz w:val="20"/>
          <w:szCs w:val="20"/>
        </w:rPr>
        <w:t>REDACTED TEXT UNDER FOIA SECTION 4O PERSONAL INFORMATION</w:t>
      </w:r>
    </w:p>
    <w:p w14:paraId="48A9CC4A" w14:textId="77777777" w:rsidR="00C1653F" w:rsidRDefault="00C1653F">
      <w:pPr>
        <w:rPr>
          <w:sz w:val="20"/>
          <w:szCs w:val="20"/>
        </w:rPr>
      </w:pPr>
    </w:p>
    <w:p w14:paraId="350F0CD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highlight w:val="white"/>
        </w:rPr>
        <w:t>C</w:t>
      </w:r>
      <w:r>
        <w:rPr>
          <w:sz w:val="20"/>
          <w:szCs w:val="20"/>
          <w:highlight w:val="white"/>
        </w:rPr>
        <w:t>ontracting Authority purchase order numbers must be clearly stated on all invoices. Any supplier invoices received without a valid purchase order number will not be paid and will be sent back.</w:t>
      </w:r>
    </w:p>
    <w:p w14:paraId="1D6DA69F" w14:textId="77777777" w:rsidR="00C1653F" w:rsidRDefault="00C1653F"/>
    <w:p w14:paraId="129DF2EA" w14:textId="77777777" w:rsidR="00C1653F" w:rsidRDefault="00221C5E">
      <w:pPr>
        <w:pStyle w:val="Heading1"/>
        <w:keepLines w:val="0"/>
        <w:numPr>
          <w:ilvl w:val="0"/>
          <w:numId w:val="8"/>
        </w:numPr>
        <w:pBdr>
          <w:top w:val="nil"/>
          <w:left w:val="nil"/>
          <w:bottom w:val="nil"/>
          <w:right w:val="nil"/>
          <w:between w:val="nil"/>
        </w:pBdr>
        <w:spacing w:before="0" w:line="240" w:lineRule="auto"/>
        <w:ind w:left="709" w:hanging="709"/>
        <w:rPr>
          <w:sz w:val="20"/>
          <w:szCs w:val="20"/>
        </w:rPr>
      </w:pPr>
      <w:bookmarkStart w:id="26" w:name="_heading=h.37m2jsg" w:colFirst="0" w:colLast="0"/>
      <w:bookmarkEnd w:id="26"/>
      <w:r>
        <w:rPr>
          <w:sz w:val="20"/>
          <w:szCs w:val="20"/>
        </w:rPr>
        <w:t>CONTRACT MANAGEMENT AND KEY PERFORMANCE INDICATORS</w:t>
      </w:r>
    </w:p>
    <w:p w14:paraId="507CA39E" w14:textId="77777777" w:rsidR="00C1653F" w:rsidRDefault="00C1653F"/>
    <w:p w14:paraId="589DCF78"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pPr>
      <w:r>
        <w:rPr>
          <w:sz w:val="20"/>
          <w:szCs w:val="20"/>
        </w:rPr>
        <w:t>The Buyer</w:t>
      </w:r>
      <w:r>
        <w:rPr>
          <w:sz w:val="20"/>
          <w:szCs w:val="20"/>
        </w:rPr>
        <w:t xml:space="preserve"> will measure the quality of the Supplier’s delivery by:</w:t>
      </w:r>
    </w:p>
    <w:p w14:paraId="392D1E16" w14:textId="77777777" w:rsidR="00C1653F" w:rsidRDefault="00C1653F">
      <w:pPr>
        <w:pBdr>
          <w:top w:val="nil"/>
          <w:left w:val="nil"/>
          <w:bottom w:val="nil"/>
          <w:right w:val="nil"/>
          <w:between w:val="nil"/>
        </w:pBdr>
        <w:ind w:left="720"/>
        <w:rPr>
          <w:color w:val="000000"/>
          <w:sz w:val="20"/>
          <w:szCs w:val="20"/>
        </w:rPr>
      </w:pPr>
    </w:p>
    <w:p w14:paraId="12E816A0"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Authority will measure the quality of the Supplier’s delivery against timeliness of deliveries and alignment to the Aqua book</w:t>
      </w:r>
      <w:r>
        <w:rPr>
          <w:rFonts w:ascii="Times New Roman" w:eastAsia="Times New Roman" w:hAnsi="Times New Roman" w:cs="Times New Roman"/>
          <w:sz w:val="20"/>
          <w:szCs w:val="20"/>
          <w:vertAlign w:val="superscript"/>
        </w:rPr>
        <w:footnoteReference w:id="9"/>
      </w:r>
      <w:r>
        <w:rPr>
          <w:sz w:val="20"/>
          <w:szCs w:val="20"/>
        </w:rPr>
        <w:t>.</w:t>
      </w:r>
    </w:p>
    <w:p w14:paraId="6CB8A96D" w14:textId="77777777" w:rsidR="00C1653F" w:rsidRDefault="00C1653F">
      <w:pPr>
        <w:pBdr>
          <w:top w:val="nil"/>
          <w:left w:val="nil"/>
          <w:bottom w:val="nil"/>
          <w:right w:val="nil"/>
          <w:between w:val="nil"/>
        </w:pBdr>
        <w:ind w:left="720"/>
        <w:rPr>
          <w:color w:val="000000"/>
          <w:sz w:val="20"/>
          <w:szCs w:val="20"/>
        </w:rPr>
      </w:pPr>
    </w:p>
    <w:p w14:paraId="0348A85F"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We will also assess the clarity and coherence of the written report to ensure suitability for publication.</w:t>
      </w:r>
    </w:p>
    <w:tbl>
      <w:tblPr>
        <w:tblStyle w:val="a2"/>
        <w:tblW w:w="90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368"/>
        <w:gridCol w:w="3746"/>
        <w:gridCol w:w="1634"/>
      </w:tblGrid>
      <w:tr w:rsidR="00C1653F" w14:paraId="0802F99D" w14:textId="77777777">
        <w:trPr>
          <w:trHeight w:val="686"/>
        </w:trPr>
        <w:tc>
          <w:tcPr>
            <w:tcW w:w="1276" w:type="dxa"/>
            <w:shd w:val="clear" w:color="auto" w:fill="B8CCE4"/>
          </w:tcPr>
          <w:p w14:paraId="156FFC09"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lastRenderedPageBreak/>
              <w:t>KPI/SLA</w:t>
            </w:r>
          </w:p>
        </w:tc>
        <w:tc>
          <w:tcPr>
            <w:tcW w:w="2368" w:type="dxa"/>
            <w:shd w:val="clear" w:color="auto" w:fill="B8CCE4"/>
          </w:tcPr>
          <w:p w14:paraId="0424AF9B"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Service Area</w:t>
            </w:r>
          </w:p>
        </w:tc>
        <w:tc>
          <w:tcPr>
            <w:tcW w:w="3746" w:type="dxa"/>
            <w:shd w:val="clear" w:color="auto" w:fill="B8CCE4"/>
          </w:tcPr>
          <w:p w14:paraId="0E71789F"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KPI/SLA description</w:t>
            </w:r>
          </w:p>
        </w:tc>
        <w:tc>
          <w:tcPr>
            <w:tcW w:w="1634" w:type="dxa"/>
            <w:shd w:val="clear" w:color="auto" w:fill="B8CCE4"/>
          </w:tcPr>
          <w:p w14:paraId="322D1ECA"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Target</w:t>
            </w:r>
          </w:p>
        </w:tc>
      </w:tr>
      <w:tr w:rsidR="00C1653F" w14:paraId="0C5DF810" w14:textId="77777777">
        <w:tc>
          <w:tcPr>
            <w:tcW w:w="1276" w:type="dxa"/>
          </w:tcPr>
          <w:p w14:paraId="752EA16C"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1</w:t>
            </w:r>
          </w:p>
        </w:tc>
        <w:tc>
          <w:tcPr>
            <w:tcW w:w="2368" w:type="dxa"/>
          </w:tcPr>
          <w:p w14:paraId="18F39E94" w14:textId="77777777" w:rsidR="00C1653F" w:rsidRDefault="00221C5E">
            <w:pPr>
              <w:pBdr>
                <w:top w:val="nil"/>
                <w:left w:val="nil"/>
                <w:bottom w:val="nil"/>
                <w:right w:val="nil"/>
                <w:between w:val="nil"/>
              </w:pBdr>
              <w:rPr>
                <w:b/>
                <w:bCs/>
                <w:color w:val="000000"/>
                <w:sz w:val="20"/>
                <w:szCs w:val="20"/>
              </w:rPr>
            </w:pPr>
            <w:r>
              <w:rPr>
                <w:color w:val="000000"/>
                <w:sz w:val="20"/>
                <w:szCs w:val="20"/>
              </w:rPr>
              <w:t>Research protocol</w:t>
            </w:r>
          </w:p>
        </w:tc>
        <w:tc>
          <w:tcPr>
            <w:tcW w:w="3746" w:type="dxa"/>
          </w:tcPr>
          <w:p w14:paraId="55174E6F" w14:textId="77777777" w:rsidR="00C1653F" w:rsidRDefault="00221C5E">
            <w:pPr>
              <w:pBdr>
                <w:top w:val="nil"/>
                <w:left w:val="nil"/>
                <w:bottom w:val="nil"/>
                <w:right w:val="nil"/>
                <w:between w:val="nil"/>
              </w:pBdr>
              <w:rPr>
                <w:b/>
                <w:bCs/>
                <w:color w:val="000000"/>
                <w:sz w:val="20"/>
                <w:szCs w:val="20"/>
              </w:rPr>
            </w:pPr>
            <w:r>
              <w:rPr>
                <w:color w:val="000000"/>
                <w:sz w:val="20"/>
                <w:szCs w:val="20"/>
              </w:rPr>
              <w:t>Research protocol to plan and document the search strategy, providing inclusion and exclusion criteria and quality parameters</w:t>
            </w:r>
          </w:p>
        </w:tc>
        <w:tc>
          <w:tcPr>
            <w:tcW w:w="1634" w:type="dxa"/>
          </w:tcPr>
          <w:p w14:paraId="7A28DAC7" w14:textId="77777777" w:rsidR="00C1653F" w:rsidRDefault="00221C5E">
            <w:pPr>
              <w:pBdr>
                <w:top w:val="nil"/>
                <w:left w:val="nil"/>
                <w:bottom w:val="nil"/>
                <w:right w:val="nil"/>
                <w:between w:val="nil"/>
              </w:pBdr>
            </w:pPr>
            <w:bookmarkStart w:id="27" w:name="_heading=h.3znysh7" w:colFirst="0" w:colLast="0"/>
            <w:bookmarkEnd w:id="27"/>
            <w:r>
              <w:rPr>
                <w:color w:val="000000"/>
                <w:sz w:val="20"/>
                <w:szCs w:val="20"/>
              </w:rPr>
              <w:t>09/01/26</w:t>
            </w:r>
          </w:p>
        </w:tc>
      </w:tr>
      <w:tr w:rsidR="00C1653F" w14:paraId="4ACB3C82" w14:textId="77777777">
        <w:tc>
          <w:tcPr>
            <w:tcW w:w="1276" w:type="dxa"/>
          </w:tcPr>
          <w:p w14:paraId="0C02235B"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2</w:t>
            </w:r>
          </w:p>
        </w:tc>
        <w:tc>
          <w:tcPr>
            <w:tcW w:w="2368" w:type="dxa"/>
          </w:tcPr>
          <w:p w14:paraId="49130D9C"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Written report</w:t>
            </w:r>
          </w:p>
        </w:tc>
        <w:tc>
          <w:tcPr>
            <w:tcW w:w="3746" w:type="dxa"/>
          </w:tcPr>
          <w:p w14:paraId="7AFDF24F" w14:textId="77777777" w:rsidR="00C1653F" w:rsidRDefault="00221C5E">
            <w:pPr>
              <w:pBdr>
                <w:top w:val="nil"/>
                <w:left w:val="nil"/>
                <w:bottom w:val="nil"/>
                <w:right w:val="nil"/>
                <w:between w:val="nil"/>
              </w:pBdr>
              <w:rPr>
                <w:b/>
                <w:bCs/>
                <w:color w:val="000000"/>
                <w:sz w:val="20"/>
                <w:szCs w:val="20"/>
              </w:rPr>
            </w:pPr>
            <w:r>
              <w:rPr>
                <w:color w:val="000000"/>
                <w:sz w:val="20"/>
                <w:szCs w:val="20"/>
              </w:rPr>
              <w:t>Plain English aiming for an audience reading age of 12</w:t>
            </w:r>
          </w:p>
          <w:p w14:paraId="7B45BC54" w14:textId="77777777" w:rsidR="00C1653F" w:rsidRDefault="00221C5E">
            <w:pPr>
              <w:pBdr>
                <w:top w:val="nil"/>
                <w:left w:val="nil"/>
                <w:bottom w:val="nil"/>
                <w:right w:val="nil"/>
                <w:between w:val="nil"/>
              </w:pBdr>
              <w:rPr>
                <w:b/>
                <w:bCs/>
                <w:color w:val="000000"/>
                <w:sz w:val="20"/>
                <w:szCs w:val="20"/>
              </w:rPr>
            </w:pPr>
            <w:r>
              <w:rPr>
                <w:color w:val="000000"/>
                <w:sz w:val="20"/>
                <w:szCs w:val="20"/>
              </w:rPr>
              <w:t>Analysis is presented objectively, with no projection (</w:t>
            </w:r>
            <w:proofErr w:type="spellStart"/>
            <w:proofErr w:type="gramStart"/>
            <w:r>
              <w:rPr>
                <w:color w:val="000000"/>
                <w:sz w:val="20"/>
                <w:szCs w:val="20"/>
              </w:rPr>
              <w:t>ie</w:t>
            </w:r>
            <w:proofErr w:type="spellEnd"/>
            <w:proofErr w:type="gramEnd"/>
            <w:r>
              <w:rPr>
                <w:color w:val="000000"/>
                <w:sz w:val="20"/>
                <w:szCs w:val="20"/>
              </w:rPr>
              <w:t xml:space="preserve"> ensuring it is the participants’ voice, not the researchers’)</w:t>
            </w:r>
          </w:p>
          <w:p w14:paraId="3D56D7A1" w14:textId="77777777" w:rsidR="00C1653F" w:rsidRDefault="00221C5E">
            <w:pPr>
              <w:pBdr>
                <w:top w:val="nil"/>
                <w:left w:val="nil"/>
                <w:bottom w:val="nil"/>
                <w:right w:val="nil"/>
                <w:between w:val="nil"/>
              </w:pBdr>
              <w:rPr>
                <w:b/>
                <w:bCs/>
                <w:color w:val="000000"/>
                <w:sz w:val="20"/>
                <w:szCs w:val="20"/>
              </w:rPr>
            </w:pPr>
            <w:r>
              <w:rPr>
                <w:color w:val="000000"/>
                <w:sz w:val="20"/>
                <w:szCs w:val="20"/>
              </w:rPr>
              <w:t>Clear of internal comments and tracked changes</w:t>
            </w:r>
          </w:p>
          <w:p w14:paraId="479B11BB" w14:textId="77777777" w:rsidR="00C1653F" w:rsidRDefault="00221C5E">
            <w:pPr>
              <w:pBdr>
                <w:top w:val="nil"/>
                <w:left w:val="nil"/>
                <w:bottom w:val="nil"/>
                <w:right w:val="nil"/>
                <w:between w:val="nil"/>
              </w:pBdr>
              <w:rPr>
                <w:b/>
                <w:bCs/>
                <w:color w:val="000000"/>
                <w:sz w:val="20"/>
                <w:szCs w:val="20"/>
              </w:rPr>
            </w:pPr>
            <w:r>
              <w:rPr>
                <w:color w:val="000000"/>
                <w:sz w:val="20"/>
                <w:szCs w:val="20"/>
              </w:rPr>
              <w:t>Proof-read for coherence and typos</w:t>
            </w:r>
            <w:r>
              <w:rPr>
                <w:color w:val="000000"/>
                <w:sz w:val="20"/>
                <w:szCs w:val="20"/>
              </w:rPr>
              <w:t xml:space="preserve"> </w:t>
            </w:r>
          </w:p>
          <w:p w14:paraId="23040F66" w14:textId="77777777" w:rsidR="00C1653F" w:rsidRDefault="00221C5E">
            <w:pPr>
              <w:pBdr>
                <w:top w:val="nil"/>
                <w:left w:val="nil"/>
                <w:bottom w:val="nil"/>
                <w:right w:val="nil"/>
                <w:between w:val="nil"/>
              </w:pBdr>
              <w:rPr>
                <w:b/>
                <w:bCs/>
                <w:color w:val="000000"/>
                <w:sz w:val="20"/>
                <w:szCs w:val="20"/>
              </w:rPr>
            </w:pPr>
            <w:r>
              <w:rPr>
                <w:color w:val="000000"/>
                <w:sz w:val="20"/>
                <w:szCs w:val="20"/>
              </w:rPr>
              <w:t>Include footnotes and citations where appropriate</w:t>
            </w:r>
          </w:p>
        </w:tc>
        <w:tc>
          <w:tcPr>
            <w:tcW w:w="1634" w:type="dxa"/>
          </w:tcPr>
          <w:p w14:paraId="6DCF7513" w14:textId="77777777" w:rsidR="00C1653F" w:rsidRDefault="00221C5E">
            <w:pPr>
              <w:pBdr>
                <w:top w:val="nil"/>
                <w:left w:val="nil"/>
                <w:bottom w:val="nil"/>
                <w:right w:val="nil"/>
                <w:between w:val="nil"/>
              </w:pBdr>
              <w:ind w:left="709" w:hanging="709"/>
              <w:rPr>
                <w:b/>
                <w:bCs/>
                <w:color w:val="000000"/>
                <w:sz w:val="20"/>
                <w:szCs w:val="20"/>
              </w:rPr>
            </w:pPr>
            <w:r>
              <w:rPr>
                <w:color w:val="000000"/>
                <w:sz w:val="20"/>
                <w:szCs w:val="20"/>
              </w:rPr>
              <w:t>27/02/26</w:t>
            </w:r>
          </w:p>
        </w:tc>
      </w:tr>
    </w:tbl>
    <w:p w14:paraId="71DD2290" w14:textId="77777777" w:rsidR="00C1653F" w:rsidRDefault="00C1653F">
      <w:pPr>
        <w:pStyle w:val="Heading2"/>
        <w:rPr>
          <w:sz w:val="20"/>
          <w:szCs w:val="20"/>
        </w:rPr>
      </w:pPr>
    </w:p>
    <w:p w14:paraId="4B83D843"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Supplier will be required to implement a structured approach to risk management, outlining the key risks identified and how these will be managed. This is to include risks relating to project delivery, in addition to presentational risks due to the sen</w:t>
      </w:r>
      <w:r>
        <w:rPr>
          <w:sz w:val="20"/>
          <w:szCs w:val="20"/>
        </w:rPr>
        <w:t>sitive nature of this research.</w:t>
      </w:r>
    </w:p>
    <w:p w14:paraId="1C0C5630" w14:textId="77777777" w:rsidR="00C1653F" w:rsidRDefault="00C1653F">
      <w:pPr>
        <w:pStyle w:val="Heading2"/>
        <w:rPr>
          <w:sz w:val="20"/>
          <w:szCs w:val="20"/>
        </w:rPr>
      </w:pPr>
    </w:p>
    <w:p w14:paraId="20532CBB"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 xml:space="preserve">Potential Suppliers should outline full details of this plan as part of their response, including the course of action to be followed should risks to project delivery arise, </w:t>
      </w:r>
      <w:proofErr w:type="gramStart"/>
      <w:r>
        <w:rPr>
          <w:sz w:val="20"/>
          <w:szCs w:val="20"/>
        </w:rPr>
        <w:t>e.g.</w:t>
      </w:r>
      <w:proofErr w:type="gramEnd"/>
      <w:r>
        <w:rPr>
          <w:sz w:val="20"/>
          <w:szCs w:val="20"/>
        </w:rPr>
        <w:t xml:space="preserve"> in the case of low search rates and/or slipp</w:t>
      </w:r>
      <w:r>
        <w:rPr>
          <w:sz w:val="20"/>
          <w:szCs w:val="20"/>
        </w:rPr>
        <w:t>age.</w:t>
      </w:r>
    </w:p>
    <w:p w14:paraId="31E7CBBD" w14:textId="77777777" w:rsidR="00C1653F" w:rsidRDefault="00C1653F">
      <w:pPr>
        <w:pStyle w:val="Heading2"/>
        <w:rPr>
          <w:sz w:val="20"/>
          <w:szCs w:val="20"/>
        </w:rPr>
      </w:pPr>
    </w:p>
    <w:p w14:paraId="247FE847"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As part of the weekly progress reports outlined above, the Supplier should report on performance against relevant milestones and include an update on risks identified and how these will be managed.</w:t>
      </w:r>
    </w:p>
    <w:p w14:paraId="59FEC4BB" w14:textId="77777777" w:rsidR="00C1653F" w:rsidRDefault="00C1653F">
      <w:pPr>
        <w:pStyle w:val="Heading2"/>
        <w:rPr>
          <w:sz w:val="20"/>
          <w:szCs w:val="20"/>
        </w:rPr>
      </w:pPr>
    </w:p>
    <w:p w14:paraId="1DCE2B14"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The Contracting Authority will assess performance based on these reports and will require additional meetings with the Supplier if milestones are not met, either in terms of timings or quality.</w:t>
      </w:r>
    </w:p>
    <w:p w14:paraId="09575C63" w14:textId="77777777" w:rsidR="00C1653F" w:rsidRDefault="00C1653F">
      <w:pPr>
        <w:pStyle w:val="Heading2"/>
        <w:rPr>
          <w:sz w:val="20"/>
          <w:szCs w:val="20"/>
        </w:rPr>
      </w:pPr>
    </w:p>
    <w:p w14:paraId="777FE554" w14:textId="77777777" w:rsidR="00C1653F" w:rsidRDefault="00221C5E">
      <w:pPr>
        <w:pStyle w:val="Heading2"/>
        <w:keepNext w:val="0"/>
        <w:keepLines w:val="0"/>
        <w:numPr>
          <w:ilvl w:val="1"/>
          <w:numId w:val="8"/>
        </w:numPr>
        <w:pBdr>
          <w:top w:val="nil"/>
          <w:left w:val="nil"/>
          <w:bottom w:val="nil"/>
          <w:right w:val="nil"/>
          <w:between w:val="nil"/>
        </w:pBdr>
        <w:spacing w:before="0" w:line="240" w:lineRule="auto"/>
        <w:ind w:left="709" w:hanging="709"/>
        <w:rPr>
          <w:sz w:val="20"/>
          <w:szCs w:val="20"/>
        </w:rPr>
      </w:pPr>
      <w:r>
        <w:rPr>
          <w:sz w:val="20"/>
          <w:szCs w:val="20"/>
        </w:rPr>
        <w:t>Attendance at contract review meetings shall be at the suppli</w:t>
      </w:r>
      <w:r>
        <w:rPr>
          <w:sz w:val="20"/>
          <w:szCs w:val="20"/>
        </w:rPr>
        <w:t xml:space="preserve">er’s own expense.  </w:t>
      </w:r>
    </w:p>
    <w:p w14:paraId="008DBD88" w14:textId="77777777" w:rsidR="00C1653F" w:rsidRDefault="00C1653F">
      <w:pPr>
        <w:tabs>
          <w:tab w:val="left" w:pos="1392"/>
        </w:tabs>
        <w:rPr>
          <w:sz w:val="20"/>
          <w:szCs w:val="20"/>
        </w:rPr>
      </w:pPr>
    </w:p>
    <w:p w14:paraId="58ACC12D" w14:textId="77777777" w:rsidR="00C1653F" w:rsidRDefault="00C1653F">
      <w:pPr>
        <w:pBdr>
          <w:top w:val="nil"/>
          <w:left w:val="nil"/>
          <w:bottom w:val="nil"/>
          <w:right w:val="nil"/>
          <w:between w:val="nil"/>
        </w:pBdr>
        <w:tabs>
          <w:tab w:val="left" w:pos="142"/>
        </w:tabs>
        <w:spacing w:before="240" w:after="120" w:line="240" w:lineRule="auto"/>
        <w:ind w:left="720" w:hanging="720"/>
        <w:jc w:val="both"/>
        <w:rPr>
          <w:rFonts w:ascii="Arial" w:eastAsia="Arial" w:hAnsi="Arial" w:cs="Arial"/>
          <w:smallCaps/>
          <w:color w:val="000000"/>
          <w:sz w:val="24"/>
          <w:szCs w:val="24"/>
        </w:rPr>
      </w:pPr>
    </w:p>
    <w:p w14:paraId="767BD315" w14:textId="77777777" w:rsidR="00C1653F" w:rsidRDefault="00C1653F"/>
    <w:p w14:paraId="075DBBFA" w14:textId="77777777" w:rsidR="00C1653F" w:rsidRDefault="00C1653F"/>
    <w:p w14:paraId="3201164D" w14:textId="77777777" w:rsidR="00C1653F" w:rsidRDefault="00C1653F"/>
    <w:p w14:paraId="6EC14F74" w14:textId="77777777" w:rsidR="00C1653F" w:rsidRDefault="00C1653F"/>
    <w:p w14:paraId="0911F9EC" w14:textId="77777777" w:rsidR="00C1653F" w:rsidRDefault="00C1653F"/>
    <w:p w14:paraId="11AD920D" w14:textId="77777777" w:rsidR="00C1653F" w:rsidRDefault="00C1653F"/>
    <w:p w14:paraId="4AC8C2DB" w14:textId="77777777" w:rsidR="00C1653F" w:rsidRDefault="00C1653F"/>
    <w:p w14:paraId="12E82600" w14:textId="77777777" w:rsidR="00C1653F" w:rsidRDefault="00C1653F"/>
    <w:p w14:paraId="6F068AB0" w14:textId="77777777" w:rsidR="00C1653F" w:rsidRDefault="00C1653F"/>
    <w:p w14:paraId="69038715" w14:textId="77777777" w:rsidR="00C1653F" w:rsidRDefault="00C1653F"/>
    <w:p w14:paraId="4762284A" w14:textId="77777777" w:rsidR="00C1653F" w:rsidRDefault="00C1653F"/>
    <w:p w14:paraId="1BB07BCC" w14:textId="77777777" w:rsidR="00C1653F" w:rsidRDefault="00C1653F"/>
    <w:p w14:paraId="5C89FD93" w14:textId="77777777" w:rsidR="00C1653F" w:rsidRDefault="00C1653F"/>
    <w:p w14:paraId="34D1E0A5" w14:textId="77777777" w:rsidR="00C1653F" w:rsidRDefault="00C1653F"/>
    <w:p w14:paraId="72A3F786" w14:textId="77777777" w:rsidR="00C1653F" w:rsidRDefault="00C1653F"/>
    <w:p w14:paraId="175BCADD" w14:textId="77777777" w:rsidR="00C1653F" w:rsidRDefault="00221C5E">
      <w:pPr>
        <w:tabs>
          <w:tab w:val="left" w:pos="1320"/>
        </w:tabs>
      </w:pPr>
      <w:r>
        <w:tab/>
      </w:r>
    </w:p>
    <w:p w14:paraId="37824B70" w14:textId="77777777" w:rsidR="00C1653F" w:rsidRDefault="00C1653F"/>
    <w:p w14:paraId="1C94E8A6" w14:textId="77777777" w:rsidR="00C1653F" w:rsidRDefault="00C1653F"/>
    <w:p w14:paraId="17ADDD6E" w14:textId="77777777" w:rsidR="00C1653F" w:rsidRDefault="00C1653F"/>
    <w:p w14:paraId="0414967D" w14:textId="77777777" w:rsidR="00C1653F" w:rsidRDefault="00221C5E">
      <w:pPr>
        <w:tabs>
          <w:tab w:val="left" w:pos="1460"/>
        </w:tabs>
      </w:pPr>
      <w:r>
        <w:tab/>
      </w:r>
    </w:p>
    <w:sectPr w:rsidR="00C1653F">
      <w:headerReference w:type="default" r:id="rId10"/>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5626C8" w14:textId="77777777" w:rsidR="00221C5E" w:rsidRDefault="00221C5E">
      <w:pPr>
        <w:spacing w:after="0" w:line="240" w:lineRule="auto"/>
      </w:pPr>
      <w:r>
        <w:separator/>
      </w:r>
    </w:p>
  </w:endnote>
  <w:endnote w:type="continuationSeparator" w:id="0">
    <w:p w14:paraId="1277DAB8" w14:textId="77777777" w:rsidR="00221C5E" w:rsidRDefault="00221C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60AD4E9-5C46-48FC-9350-CF85E791D717}"/>
    <w:embedBold r:id="rId2" w:fontKey="{FBDBB7D6-0F07-4D1C-BF80-6B3D50A19ADF}"/>
  </w:font>
  <w:font w:name="Cambria">
    <w:panose1 w:val="02040503050406030204"/>
    <w:charset w:val="00"/>
    <w:family w:val="roman"/>
    <w:pitch w:val="variable"/>
    <w:sig w:usb0="E00006FF" w:usb1="420024FF" w:usb2="02000000" w:usb3="00000000" w:csb0="0000019F" w:csb1="00000000"/>
    <w:embedRegular r:id="rId3" w:fontKey="{DF6CBBFF-F21B-4218-ADFB-6A82F9F8C03F}"/>
    <w:embedBold r:id="rId4" w:fontKey="{A57C8AA5-A32B-4283-B886-8C27BF88A7A7}"/>
    <w:embedBoldItalic r:id="rId5" w:fontKey="{1BD5E85D-F703-4003-BCF2-D83D846F7C80}"/>
  </w:font>
  <w:font w:name="Arial">
    <w:panose1 w:val="020B0604020202020204"/>
    <w:charset w:val="00"/>
    <w:family w:val="swiss"/>
    <w:pitch w:val="variable"/>
    <w:sig w:usb0="E0002EFF" w:usb1="C000785B" w:usb2="00000009" w:usb3="00000000" w:csb0="000001FF" w:csb1="00000000"/>
  </w:font>
  <w:font w:name="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embedRegular r:id="rId6" w:fontKey="{D57CA64E-B032-4908-ADE5-EAD0F98B775D}"/>
  </w:font>
  <w:font w:name="Arial Bold">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7" w:fontKey="{F5426669-5E8B-4F01-BF4C-4CC4A5975B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3D6B1" w14:textId="77777777" w:rsidR="00C1653F" w:rsidRDefault="00C1653F">
    <w:pPr>
      <w:tabs>
        <w:tab w:val="center" w:pos="4513"/>
        <w:tab w:val="right" w:pos="9026"/>
      </w:tabs>
      <w:spacing w:after="0"/>
      <w:rPr>
        <w:rFonts w:ascii="Arial" w:eastAsia="Arial" w:hAnsi="Arial" w:cs="Arial"/>
        <w:sz w:val="20"/>
        <w:szCs w:val="20"/>
      </w:rPr>
    </w:pPr>
  </w:p>
  <w:p w14:paraId="56B00902" w14:textId="77777777" w:rsidR="00C1653F" w:rsidRDefault="00221C5E">
    <w:pPr>
      <w:tabs>
        <w:tab w:val="center" w:pos="4513"/>
        <w:tab w:val="right" w:pos="9026"/>
      </w:tabs>
      <w:spacing w:after="0"/>
      <w:rPr>
        <w:rFonts w:ascii="Arial" w:eastAsia="Arial" w:hAnsi="Arial" w:cs="Arial"/>
        <w:sz w:val="20"/>
        <w:szCs w:val="20"/>
      </w:rPr>
    </w:pPr>
    <w:r>
      <w:rPr>
        <w:rFonts w:ascii="Arial" w:eastAsia="Arial" w:hAnsi="Arial" w:cs="Arial"/>
        <w:sz w:val="20"/>
        <w:szCs w:val="20"/>
      </w:rPr>
      <w:t>RM6126 - Research &amp; Insights DPS</w:t>
    </w:r>
  </w:p>
  <w:p w14:paraId="3A568138" w14:textId="77777777" w:rsidR="00C1653F" w:rsidRDefault="00221C5E">
    <w:pPr>
      <w:tabs>
        <w:tab w:val="center" w:pos="4513"/>
        <w:tab w:val="right" w:pos="9026"/>
      </w:tabs>
      <w:spacing w:after="0"/>
      <w:rPr>
        <w:rFonts w:ascii="Arial" w:eastAsia="Arial" w:hAnsi="Arial" w:cs="Arial"/>
        <w:sz w:val="20"/>
        <w:szCs w:val="20"/>
      </w:rPr>
    </w:pPr>
    <w:r>
      <w:rPr>
        <w:rFonts w:ascii="Arial" w:eastAsia="Arial" w:hAnsi="Arial" w:cs="Arial"/>
        <w:sz w:val="20"/>
        <w:szCs w:val="20"/>
      </w:rPr>
      <w:t>Project Version: v1.0</w:t>
    </w:r>
  </w:p>
  <w:p w14:paraId="23A825F9" w14:textId="77777777" w:rsidR="00C1653F" w:rsidRDefault="00221C5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Model Version: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2283E" w14:textId="77777777" w:rsidR="00221C5E" w:rsidRDefault="00221C5E">
      <w:pPr>
        <w:spacing w:after="0" w:line="240" w:lineRule="auto"/>
      </w:pPr>
      <w:r>
        <w:separator/>
      </w:r>
    </w:p>
  </w:footnote>
  <w:footnote w:type="continuationSeparator" w:id="0">
    <w:p w14:paraId="4A416703" w14:textId="77777777" w:rsidR="00221C5E" w:rsidRDefault="00221C5E">
      <w:pPr>
        <w:spacing w:after="0" w:line="240" w:lineRule="auto"/>
      </w:pPr>
      <w:r>
        <w:continuationSeparator/>
      </w:r>
    </w:p>
  </w:footnote>
  <w:footnote w:id="1">
    <w:p w14:paraId="545C98B7"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1">
        <w:r>
          <w:rPr>
            <w:color w:val="0000FF"/>
            <w:sz w:val="16"/>
            <w:szCs w:val="16"/>
            <w:u w:val="single"/>
          </w:rPr>
          <w:t>https://www.gov.uk/government/publications/post-16-education-and-labour-market-activities-pathways-and-outcomes-leo</w:t>
        </w:r>
      </w:hyperlink>
      <w:r>
        <w:rPr>
          <w:color w:val="000000"/>
          <w:sz w:val="16"/>
          <w:szCs w:val="16"/>
        </w:rPr>
        <w:t xml:space="preserve"> </w:t>
      </w:r>
    </w:p>
  </w:footnote>
  <w:footnote w:id="2">
    <w:p w14:paraId="7F5B8E33"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2">
        <w:r>
          <w:rPr>
            <w:color w:val="0000FF"/>
            <w:sz w:val="16"/>
            <w:szCs w:val="16"/>
            <w:u w:val="single"/>
          </w:rPr>
          <w:t>https://ifs.org.uk/publications/london-calling-higher-education-geographical-mobility-and-early-career-earnings</w:t>
        </w:r>
      </w:hyperlink>
      <w:r>
        <w:rPr>
          <w:color w:val="000000"/>
          <w:sz w:val="16"/>
          <w:szCs w:val="16"/>
        </w:rPr>
        <w:t xml:space="preserve"> </w:t>
      </w:r>
    </w:p>
  </w:footnote>
  <w:footnote w:id="3">
    <w:p w14:paraId="766B460A"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3">
        <w:r>
          <w:rPr>
            <w:color w:val="0000FF"/>
            <w:sz w:val="16"/>
            <w:szCs w:val="16"/>
            <w:u w:val="single"/>
          </w:rPr>
          <w:t>https://www.gov.uk/government/publications/state-of-the-nation-2023-people-and-places</w:t>
        </w:r>
      </w:hyperlink>
      <w:r>
        <w:rPr>
          <w:color w:val="000000"/>
          <w:sz w:val="16"/>
          <w:szCs w:val="16"/>
        </w:rPr>
        <w:t xml:space="preserve"> </w:t>
      </w:r>
    </w:p>
  </w:footnote>
  <w:footnote w:id="4">
    <w:p w14:paraId="0C6AF63B"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hyperlink r:id="rId4">
        <w:r>
          <w:rPr>
            <w:color w:val="0000FF"/>
            <w:sz w:val="16"/>
            <w:szCs w:val="16"/>
            <w:u w:val="single"/>
          </w:rPr>
          <w:t>https://uksa.statisticsauthority.gov.uk/the-authority-board/committees/national-statisticians-advisory-com</w:t>
        </w:r>
        <w:r>
          <w:rPr>
            <w:color w:val="0000FF"/>
            <w:sz w:val="16"/>
            <w:szCs w:val="16"/>
            <w:u w:val="single"/>
          </w:rPr>
          <w:t>mittees-and-panels/national-statisticians-data-ethics-advisory-committee/ethics-self-assessment-tool/</w:t>
        </w:r>
      </w:hyperlink>
      <w:r>
        <w:rPr>
          <w:color w:val="000000"/>
          <w:sz w:val="16"/>
          <w:szCs w:val="16"/>
        </w:rPr>
        <w:t xml:space="preserve"> </w:t>
      </w:r>
    </w:p>
  </w:footnote>
  <w:footnote w:id="5">
    <w:p w14:paraId="7E74EE00"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5">
        <w:r>
          <w:rPr>
            <w:color w:val="0000FF"/>
            <w:sz w:val="16"/>
            <w:szCs w:val="16"/>
            <w:u w:val="single"/>
          </w:rPr>
          <w:t>https://unimelb.libguides.com/whichreview/qualitativeevidence</w:t>
        </w:r>
        <w:r>
          <w:rPr>
            <w:color w:val="0000FF"/>
            <w:sz w:val="16"/>
            <w:szCs w:val="16"/>
            <w:u w:val="single"/>
          </w:rPr>
          <w:t>synthesis</w:t>
        </w:r>
      </w:hyperlink>
      <w:r>
        <w:rPr>
          <w:color w:val="000000"/>
          <w:sz w:val="16"/>
          <w:szCs w:val="16"/>
        </w:rPr>
        <w:t xml:space="preserve"> </w:t>
      </w:r>
    </w:p>
  </w:footnote>
  <w:footnote w:id="6">
    <w:p w14:paraId="66DB7B85"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6">
        <w:r>
          <w:rPr>
            <w:color w:val="0000FF"/>
            <w:sz w:val="16"/>
            <w:szCs w:val="16"/>
            <w:u w:val="single"/>
          </w:rPr>
          <w:t>https://social-change.co.uk/files/02.09.19_COM-B_and_changing_behaviour_.pdf</w:t>
        </w:r>
      </w:hyperlink>
      <w:r>
        <w:rPr>
          <w:color w:val="000000"/>
          <w:sz w:val="16"/>
          <w:szCs w:val="16"/>
        </w:rPr>
        <w:t xml:space="preserve"> </w:t>
      </w:r>
    </w:p>
  </w:footnote>
  <w:footnote w:id="7">
    <w:p w14:paraId="0D1E9189"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7">
        <w:r>
          <w:rPr>
            <w:color w:val="0000FF"/>
            <w:sz w:val="16"/>
            <w:szCs w:val="16"/>
            <w:u w:val="single"/>
          </w:rPr>
          <w:t>https://www.ethnicity-facts-figures.service.gov.uk/style-guide/writin</w:t>
        </w:r>
        <w:r>
          <w:rPr>
            <w:color w:val="0000FF"/>
            <w:sz w:val="16"/>
            <w:szCs w:val="16"/>
            <w:u w:val="single"/>
          </w:rPr>
          <w:t>g-about-ethnicity/</w:t>
        </w:r>
      </w:hyperlink>
      <w:r>
        <w:rPr>
          <w:color w:val="000000"/>
          <w:sz w:val="16"/>
          <w:szCs w:val="16"/>
        </w:rPr>
        <w:t xml:space="preserve"> </w:t>
      </w:r>
    </w:p>
  </w:footnote>
  <w:footnote w:id="8">
    <w:p w14:paraId="68C1DDAE"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8">
        <w:r>
          <w:rPr>
            <w:color w:val="0000FF"/>
            <w:sz w:val="20"/>
            <w:szCs w:val="20"/>
            <w:u w:val="single"/>
          </w:rPr>
          <w:t>AI Playbook for the UK Government</w:t>
        </w:r>
      </w:hyperlink>
    </w:p>
  </w:footnote>
  <w:footnote w:id="9">
    <w:p w14:paraId="70623CCA" w14:textId="77777777" w:rsidR="00C1653F" w:rsidRDefault="00221C5E">
      <w:pPr>
        <w:pBdr>
          <w:top w:val="nil"/>
          <w:left w:val="nil"/>
          <w:bottom w:val="nil"/>
          <w:right w:val="nil"/>
          <w:between w:val="nil"/>
        </w:pBdr>
        <w:spacing w:after="60"/>
        <w:ind w:left="720" w:hanging="720"/>
        <w:jc w:val="both"/>
        <w:rPr>
          <w:color w:val="000000"/>
          <w:sz w:val="16"/>
          <w:szCs w:val="16"/>
        </w:rPr>
      </w:pPr>
      <w:r>
        <w:rPr>
          <w:rStyle w:val="FootnoteReference"/>
        </w:rPr>
        <w:footnoteRef/>
      </w:r>
      <w:r>
        <w:rPr>
          <w:color w:val="000000"/>
          <w:sz w:val="16"/>
          <w:szCs w:val="16"/>
        </w:rPr>
        <w:t xml:space="preserve"> </w:t>
      </w:r>
      <w:hyperlink r:id="rId9">
        <w:r>
          <w:rPr>
            <w:color w:val="0000FF"/>
            <w:sz w:val="16"/>
            <w:szCs w:val="16"/>
            <w:u w:val="single"/>
          </w:rPr>
          <w:t>https://www.gov.uk/government/publications/the-aqua-book-guidance-on-producing-quality-analysis-for-government</w:t>
        </w:r>
      </w:hyperlink>
      <w:r>
        <w:rPr>
          <w:color w:val="000000"/>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9D8AF" w14:textId="77777777" w:rsidR="00C1653F" w:rsidRDefault="00221C5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Order Schedule 20 (Order Specification)</w:t>
    </w:r>
  </w:p>
  <w:p w14:paraId="075AA232" w14:textId="77777777" w:rsidR="00C1653F" w:rsidRDefault="00221C5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Order Ref:</w:t>
    </w:r>
  </w:p>
  <w:p w14:paraId="3B0D0BF1" w14:textId="77777777" w:rsidR="00C1653F" w:rsidRDefault="00221C5E">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 2021</w:t>
    </w:r>
  </w:p>
  <w:p w14:paraId="7E8FE3BB" w14:textId="77777777" w:rsidR="00C1653F" w:rsidRDefault="00C1653F">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90038"/>
    <w:multiLevelType w:val="multilevel"/>
    <w:tmpl w:val="1D5E15EC"/>
    <w:lvl w:ilvl="0">
      <w:start w:val="1"/>
      <w:numFmt w:val="bullet"/>
      <w:pStyle w:val="GPsDefinition"/>
      <w:lvlText w:val="●"/>
      <w:lvlJc w:val="left"/>
      <w:pPr>
        <w:ind w:left="720" w:hanging="360"/>
      </w:pPr>
      <w:rPr>
        <w:rFonts w:ascii="Noto Sans Symbols" w:eastAsia="Noto Sans Symbols" w:hAnsi="Noto Sans Symbols" w:cs="Noto Sans Symbols"/>
        <w:sz w:val="20"/>
        <w:szCs w:val="20"/>
      </w:rPr>
    </w:lvl>
    <w:lvl w:ilvl="1">
      <w:start w:val="1"/>
      <w:numFmt w:val="bullet"/>
      <w:pStyle w:val="GPSDefinitionL2"/>
      <w:lvlText w:val="o"/>
      <w:lvlJc w:val="left"/>
      <w:pPr>
        <w:ind w:left="1440" w:hanging="360"/>
      </w:pPr>
      <w:rPr>
        <w:rFonts w:ascii="Courier New" w:eastAsia="Courier New" w:hAnsi="Courier New" w:cs="Courier New"/>
        <w:sz w:val="20"/>
        <w:szCs w:val="20"/>
      </w:rPr>
    </w:lvl>
    <w:lvl w:ilvl="2">
      <w:start w:val="1"/>
      <w:numFmt w:val="bullet"/>
      <w:pStyle w:val="GPSDefinitionL3"/>
      <w:lvlText w:val="▪"/>
      <w:lvlJc w:val="left"/>
      <w:pPr>
        <w:ind w:left="2160" w:hanging="360"/>
      </w:pPr>
      <w:rPr>
        <w:rFonts w:ascii="Noto Sans Symbols" w:eastAsia="Noto Sans Symbols" w:hAnsi="Noto Sans Symbols" w:cs="Noto Sans Symbols"/>
        <w:sz w:val="20"/>
        <w:szCs w:val="20"/>
      </w:rPr>
    </w:lvl>
    <w:lvl w:ilvl="3">
      <w:start w:val="1"/>
      <w:numFmt w:val="bullet"/>
      <w:pStyle w:val="GPSDefinitionL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2504065"/>
    <w:multiLevelType w:val="multilevel"/>
    <w:tmpl w:val="50D0908C"/>
    <w:lvl w:ilvl="0">
      <w:start w:val="1"/>
      <w:numFmt w:val="bullet"/>
      <w:pStyle w:val="ScheduleL1"/>
      <w:lvlText w:val="●"/>
      <w:lvlJc w:val="left"/>
      <w:pPr>
        <w:ind w:left="1440" w:hanging="360"/>
      </w:pPr>
      <w:rPr>
        <w:rFonts w:ascii="Noto Sans Symbols" w:eastAsia="Noto Sans Symbols" w:hAnsi="Noto Sans Symbols" w:cs="Noto Sans Symbols"/>
      </w:rPr>
    </w:lvl>
    <w:lvl w:ilvl="1">
      <w:start w:val="1"/>
      <w:numFmt w:val="bullet"/>
      <w:pStyle w:val="ScheduleL2"/>
      <w:lvlText w:val="o"/>
      <w:lvlJc w:val="left"/>
      <w:pPr>
        <w:ind w:left="2160" w:hanging="360"/>
      </w:pPr>
      <w:rPr>
        <w:rFonts w:ascii="Courier New" w:eastAsia="Courier New" w:hAnsi="Courier New" w:cs="Courier New"/>
      </w:rPr>
    </w:lvl>
    <w:lvl w:ilvl="2">
      <w:start w:val="1"/>
      <w:numFmt w:val="bullet"/>
      <w:pStyle w:val="ScheduleL3"/>
      <w:lvlText w:val="▪"/>
      <w:lvlJc w:val="left"/>
      <w:pPr>
        <w:ind w:left="2880" w:hanging="360"/>
      </w:pPr>
      <w:rPr>
        <w:rFonts w:ascii="Noto Sans Symbols" w:eastAsia="Noto Sans Symbols" w:hAnsi="Noto Sans Symbols" w:cs="Noto Sans Symbols"/>
      </w:rPr>
    </w:lvl>
    <w:lvl w:ilvl="3">
      <w:start w:val="1"/>
      <w:numFmt w:val="bullet"/>
      <w:pStyle w:val="ScheduleL4"/>
      <w:lvlText w:val="●"/>
      <w:lvlJc w:val="left"/>
      <w:pPr>
        <w:ind w:left="3600" w:hanging="360"/>
      </w:pPr>
      <w:rPr>
        <w:rFonts w:ascii="Noto Sans Symbols" w:eastAsia="Noto Sans Symbols" w:hAnsi="Noto Sans Symbols" w:cs="Noto Sans Symbols"/>
      </w:rPr>
    </w:lvl>
    <w:lvl w:ilvl="4">
      <w:start w:val="1"/>
      <w:numFmt w:val="bullet"/>
      <w:pStyle w:val="ScheduleL5"/>
      <w:lvlText w:val="o"/>
      <w:lvlJc w:val="left"/>
      <w:pPr>
        <w:ind w:left="4320" w:hanging="360"/>
      </w:pPr>
      <w:rPr>
        <w:rFonts w:ascii="Courier New" w:eastAsia="Courier New" w:hAnsi="Courier New" w:cs="Courier New"/>
      </w:rPr>
    </w:lvl>
    <w:lvl w:ilvl="5">
      <w:start w:val="1"/>
      <w:numFmt w:val="bullet"/>
      <w:pStyle w:val="ScheduleL6"/>
      <w:lvlText w:val="▪"/>
      <w:lvlJc w:val="left"/>
      <w:pPr>
        <w:ind w:left="5040" w:hanging="360"/>
      </w:pPr>
      <w:rPr>
        <w:rFonts w:ascii="Noto Sans Symbols" w:eastAsia="Noto Sans Symbols" w:hAnsi="Noto Sans Symbols" w:cs="Noto Sans Symbols"/>
      </w:rPr>
    </w:lvl>
    <w:lvl w:ilvl="6">
      <w:start w:val="1"/>
      <w:numFmt w:val="bullet"/>
      <w:pStyle w:val="ScheduleL7"/>
      <w:lvlText w:val="●"/>
      <w:lvlJc w:val="left"/>
      <w:pPr>
        <w:ind w:left="5760" w:hanging="360"/>
      </w:pPr>
      <w:rPr>
        <w:rFonts w:ascii="Noto Sans Symbols" w:eastAsia="Noto Sans Symbols" w:hAnsi="Noto Sans Symbols" w:cs="Noto Sans Symbols"/>
      </w:rPr>
    </w:lvl>
    <w:lvl w:ilvl="7">
      <w:start w:val="1"/>
      <w:numFmt w:val="bullet"/>
      <w:pStyle w:val="ScheduleL8"/>
      <w:lvlText w:val="o"/>
      <w:lvlJc w:val="left"/>
      <w:pPr>
        <w:ind w:left="6480" w:hanging="360"/>
      </w:pPr>
      <w:rPr>
        <w:rFonts w:ascii="Courier New" w:eastAsia="Courier New" w:hAnsi="Courier New" w:cs="Courier New"/>
      </w:rPr>
    </w:lvl>
    <w:lvl w:ilvl="8">
      <w:start w:val="1"/>
      <w:numFmt w:val="bullet"/>
      <w:pStyle w:val="ScheduleL9"/>
      <w:lvlText w:val="▪"/>
      <w:lvlJc w:val="left"/>
      <w:pPr>
        <w:ind w:left="7200" w:hanging="360"/>
      </w:pPr>
      <w:rPr>
        <w:rFonts w:ascii="Noto Sans Symbols" w:eastAsia="Noto Sans Symbols" w:hAnsi="Noto Sans Symbols" w:cs="Noto Sans Symbols"/>
      </w:rPr>
    </w:lvl>
  </w:abstractNum>
  <w:abstractNum w:abstractNumId="2" w15:restartNumberingAfterBreak="0">
    <w:nsid w:val="19796064"/>
    <w:multiLevelType w:val="multilevel"/>
    <w:tmpl w:val="3432B9B6"/>
    <w:lvl w:ilvl="0">
      <w:start w:val="1"/>
      <w:numFmt w:val="decimal"/>
      <w:pStyle w:val="GPSL1CLAUSEHEADING"/>
      <w:lvlText w:val="%1."/>
      <w:lvlJc w:val="left"/>
      <w:pPr>
        <w:ind w:left="720" w:hanging="720"/>
      </w:pPr>
      <w:rPr>
        <w:smallCaps w:val="0"/>
      </w:rPr>
    </w:lvl>
    <w:lvl w:ilvl="1">
      <w:start w:val="1"/>
      <w:numFmt w:val="decimal"/>
      <w:pStyle w:val="GPSL2NumberedBoldHeading"/>
      <w:lvlText w:val="%1.%2"/>
      <w:lvlJc w:val="left"/>
      <w:pPr>
        <w:ind w:left="720" w:hanging="720"/>
      </w:pPr>
      <w:rPr>
        <w:smallCaps w:val="0"/>
      </w:rPr>
    </w:lvl>
    <w:lvl w:ilvl="2">
      <w:start w:val="1"/>
      <w:numFmt w:val="bullet"/>
      <w:pStyle w:val="GPSL3numberedclause"/>
      <w:lvlText w:val="●"/>
      <w:lvlJc w:val="left"/>
      <w:pPr>
        <w:ind w:left="1800" w:hanging="1080"/>
      </w:pPr>
      <w:rPr>
        <w:rFonts w:ascii="Noto Sans Symbols" w:eastAsia="Noto Sans Symbols" w:hAnsi="Noto Sans Symbols" w:cs="Noto Sans Symbols"/>
        <w:b w:val="0"/>
        <w:bCs w:val="0"/>
        <w:smallCaps w:val="0"/>
      </w:rPr>
    </w:lvl>
    <w:lvl w:ilvl="3">
      <w:start w:val="1"/>
      <w:numFmt w:val="decimal"/>
      <w:pStyle w:val="GPSL4numberedclause"/>
      <w:lvlText w:val="%1.%2.●.%4"/>
      <w:lvlJc w:val="left"/>
      <w:pPr>
        <w:ind w:left="2880" w:hanging="1080"/>
      </w:pPr>
      <w:rPr>
        <w:smallCaps w:val="0"/>
      </w:rPr>
    </w:lvl>
    <w:lvl w:ilvl="4">
      <w:start w:val="1"/>
      <w:numFmt w:val="lowerLetter"/>
      <w:pStyle w:val="GPSL5numberedclause"/>
      <w:lvlText w:val="(%5)"/>
      <w:lvlJc w:val="left"/>
      <w:pPr>
        <w:ind w:left="3600" w:hanging="720"/>
      </w:pPr>
      <w:rPr>
        <w:smallCaps w:val="0"/>
      </w:rPr>
    </w:lvl>
    <w:lvl w:ilvl="5">
      <w:start w:val="1"/>
      <w:numFmt w:val="lowerRoman"/>
      <w:pStyle w:val="GPSL6numbered"/>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3" w15:restartNumberingAfterBreak="0">
    <w:nsid w:val="23856F2B"/>
    <w:multiLevelType w:val="multilevel"/>
    <w:tmpl w:val="39A83458"/>
    <w:lvl w:ilvl="0">
      <w:start w:val="1"/>
      <w:numFmt w:val="bullet"/>
      <w:pStyle w:val="BodyTextInden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EE6CF6"/>
    <w:multiLevelType w:val="multilevel"/>
    <w:tmpl w:val="C8424088"/>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rPr>
    </w:lvl>
    <w:lvl w:ilvl="2">
      <w:start w:val="1"/>
      <w:numFmt w:val="bullet"/>
      <w:lvlText w:val="●"/>
      <w:lvlJc w:val="left"/>
      <w:pPr>
        <w:ind w:left="1800" w:hanging="1080"/>
      </w:pPr>
      <w:rPr>
        <w:rFonts w:ascii="Noto Sans Symbols" w:eastAsia="Noto Sans Symbols" w:hAnsi="Noto Sans Symbols" w:cs="Noto Sans Symbols"/>
        <w:b w:val="0"/>
        <w:bCs w:val="0"/>
        <w:smallCaps w:val="0"/>
      </w:rPr>
    </w:lvl>
    <w:lvl w:ilvl="3">
      <w:start w:val="1"/>
      <w:numFmt w:val="bullet"/>
      <w:lvlText w:val="o"/>
      <w:lvlJc w:val="left"/>
      <w:pPr>
        <w:ind w:left="2880" w:hanging="1080"/>
      </w:pPr>
      <w:rPr>
        <w:rFonts w:ascii="Courier New" w:eastAsia="Courier New" w:hAnsi="Courier New" w:cs="Courier New"/>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5" w15:restartNumberingAfterBreak="0">
    <w:nsid w:val="74275C65"/>
    <w:multiLevelType w:val="multilevel"/>
    <w:tmpl w:val="C93227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5E63C31"/>
    <w:multiLevelType w:val="multilevel"/>
    <w:tmpl w:val="D708C80C"/>
    <w:lvl w:ilvl="0">
      <w:start w:val="1"/>
      <w:numFmt w:val="decimal"/>
      <w:lvlText w:val="%1."/>
      <w:lvlJc w:val="left"/>
      <w:pPr>
        <w:ind w:left="720" w:hanging="720"/>
      </w:pPr>
      <w:rPr>
        <w:smallCaps w:val="0"/>
      </w:rPr>
    </w:lvl>
    <w:lvl w:ilvl="1">
      <w:start w:val="1"/>
      <w:numFmt w:val="decimal"/>
      <w:lvlText w:val="%1.%2"/>
      <w:lvlJc w:val="left"/>
      <w:pPr>
        <w:ind w:left="720" w:hanging="720"/>
      </w:pPr>
      <w:rPr>
        <w:smallCaps w:val="0"/>
        <w:sz w:val="22"/>
        <w:szCs w:val="22"/>
      </w:rPr>
    </w:lvl>
    <w:lvl w:ilvl="2">
      <w:start w:val="1"/>
      <w:numFmt w:val="decimal"/>
      <w:lvlText w:val="%1.%2.%3"/>
      <w:lvlJc w:val="left"/>
      <w:pPr>
        <w:ind w:left="1800" w:hanging="1080"/>
      </w:pPr>
      <w:rPr>
        <w:b w:val="0"/>
        <w:bCs w:val="0"/>
        <w:smallCaps w:val="0"/>
      </w:rPr>
    </w:lvl>
    <w:lvl w:ilvl="3">
      <w:start w:val="1"/>
      <w:numFmt w:val="decimal"/>
      <w:lvlText w:val="%1.%2.%3.%4"/>
      <w:lvlJc w:val="left"/>
      <w:pPr>
        <w:ind w:left="2880" w:hanging="1080"/>
      </w:pPr>
      <w:rPr>
        <w:smallCaps w:val="0"/>
      </w:rPr>
    </w:lvl>
    <w:lvl w:ilvl="4">
      <w:start w:val="1"/>
      <w:numFmt w:val="lowerLetter"/>
      <w:lvlText w:val="(%5)"/>
      <w:lvlJc w:val="left"/>
      <w:pPr>
        <w:ind w:left="3600" w:hanging="720"/>
      </w:pPr>
      <w:rPr>
        <w:smallCaps w:val="0"/>
      </w:rPr>
    </w:lvl>
    <w:lvl w:ilvl="5">
      <w:start w:val="1"/>
      <w:numFmt w:val="lowerRoman"/>
      <w:lvlText w:val="(%6)"/>
      <w:lvlJc w:val="left"/>
      <w:pPr>
        <w:ind w:left="4320" w:hanging="720"/>
      </w:pPr>
      <w:rPr>
        <w:smallCaps w:val="0"/>
      </w:rPr>
    </w:lvl>
    <w:lvl w:ilvl="6">
      <w:start w:val="1"/>
      <w:numFmt w:val="decimal"/>
      <w:lvlText w:val="(%7)"/>
      <w:lvlJc w:val="left"/>
      <w:pPr>
        <w:ind w:left="5040" w:hanging="720"/>
      </w:pPr>
      <w:rPr>
        <w:smallCaps w:val="0"/>
      </w:rPr>
    </w:lvl>
    <w:lvl w:ilvl="7">
      <w:start w:val="1"/>
      <w:numFmt w:val="decimal"/>
      <w:lvlText w:val=""/>
      <w:lvlJc w:val="left"/>
      <w:pPr>
        <w:ind w:left="5040" w:hanging="720"/>
      </w:pPr>
      <w:rPr>
        <w:smallCaps w:val="0"/>
      </w:rPr>
    </w:lvl>
    <w:lvl w:ilvl="8">
      <w:start w:val="1"/>
      <w:numFmt w:val="decimal"/>
      <w:lvlText w:val=""/>
      <w:lvlJc w:val="left"/>
      <w:pPr>
        <w:ind w:left="5040" w:hanging="720"/>
      </w:pPr>
      <w:rPr>
        <w:smallCaps w:val="0"/>
      </w:rPr>
    </w:lvl>
  </w:abstractNum>
  <w:abstractNum w:abstractNumId="7" w15:restartNumberingAfterBreak="0">
    <w:nsid w:val="78A80935"/>
    <w:multiLevelType w:val="multilevel"/>
    <w:tmpl w:val="C3368C5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pStyle w:val="Heading7"/>
      <w:lvlText w:val="●"/>
      <w:lvlJc w:val="left"/>
      <w:pPr>
        <w:ind w:left="5749" w:hanging="360"/>
      </w:pPr>
      <w:rPr>
        <w:rFonts w:ascii="Noto Sans Symbols" w:eastAsia="Noto Sans Symbols" w:hAnsi="Noto Sans Symbols" w:cs="Noto Sans Symbols"/>
      </w:rPr>
    </w:lvl>
    <w:lvl w:ilvl="7">
      <w:start w:val="1"/>
      <w:numFmt w:val="bullet"/>
      <w:pStyle w:val="Heading8"/>
      <w:lvlText w:val="o"/>
      <w:lvlJc w:val="left"/>
      <w:pPr>
        <w:ind w:left="6469" w:hanging="360"/>
      </w:pPr>
      <w:rPr>
        <w:rFonts w:ascii="Courier New" w:eastAsia="Courier New" w:hAnsi="Courier New" w:cs="Courier New"/>
      </w:rPr>
    </w:lvl>
    <w:lvl w:ilvl="8">
      <w:start w:val="1"/>
      <w:numFmt w:val="bullet"/>
      <w:pStyle w:val="Heading9"/>
      <w:lvlText w:val="▪"/>
      <w:lvlJc w:val="left"/>
      <w:pPr>
        <w:ind w:left="7189" w:hanging="360"/>
      </w:pPr>
      <w:rPr>
        <w:rFonts w:ascii="Noto Sans Symbols" w:eastAsia="Noto Sans Symbols" w:hAnsi="Noto Sans Symbols" w:cs="Noto Sans Symbols"/>
      </w:rPr>
    </w:lvl>
  </w:abstractNum>
  <w:num w:numId="1">
    <w:abstractNumId w:val="2"/>
  </w:num>
  <w:num w:numId="2">
    <w:abstractNumId w:val="0"/>
  </w:num>
  <w:num w:numId="3">
    <w:abstractNumId w:val="3"/>
  </w:num>
  <w:num w:numId="4">
    <w:abstractNumId w:val="4"/>
  </w:num>
  <w:num w:numId="5">
    <w:abstractNumId w:val="7"/>
  </w:num>
  <w:num w:numId="6">
    <w:abstractNumId w:val="1"/>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653F"/>
    <w:rsid w:val="00221C5E"/>
    <w:rsid w:val="00BC0783"/>
    <w:rsid w:val="00C165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DA41B"/>
  <w15:docId w15:val="{7C5224DA-1792-4D9E-B221-F22B1ED6A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Cambria" w:hAnsi="Cambria" w:cs="Cambria"/>
      <w:b/>
      <w:bCs/>
      <w:color w:val="366091"/>
      <w:sz w:val="28"/>
      <w:szCs w:val="28"/>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Cambria" w:hAnsi="Cambria" w:cs="Cambria"/>
      <w:b/>
      <w:bCs/>
      <w:color w:val="4F81BD"/>
      <w:sz w:val="26"/>
      <w:szCs w:val="26"/>
    </w:rPr>
  </w:style>
  <w:style w:type="paragraph" w:styleId="Heading3">
    <w:name w:val="heading 3"/>
    <w:basedOn w:val="Normal"/>
    <w:next w:val="Normal"/>
    <w:link w:val="Heading3Char"/>
    <w:uiPriority w:val="9"/>
    <w:unhideWhenUsed/>
    <w:qFormat/>
    <w:pPr>
      <w:pBdr>
        <w:top w:val="nil"/>
        <w:left w:val="nil"/>
        <w:bottom w:val="nil"/>
        <w:right w:val="nil"/>
        <w:between w:val="nil"/>
      </w:pBdr>
      <w:spacing w:after="240" w:line="240" w:lineRule="auto"/>
      <w:ind w:left="2160" w:hanging="360"/>
      <w:jc w:val="both"/>
      <w:outlineLvl w:val="2"/>
    </w:pPr>
    <w:rPr>
      <w:rFonts w:ascii="Arial" w:eastAsia="Arial" w:hAnsi="Arial" w:cs="Arial"/>
      <w:color w:val="000000"/>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aliases w:val="Heading 7 (Do Not Use),Heading 7(unused),Legal Level 1.1.,L2 PIP,Lev 7,H7DO NOT USE,PA Appendix Major"/>
    <w:basedOn w:val="Normal"/>
    <w:link w:val="Heading7Char"/>
    <w:qFormat/>
    <w:rsid w:val="001D4AC1"/>
    <w:pPr>
      <w:numPr>
        <w:ilvl w:val="6"/>
        <w:numId w:val="5"/>
      </w:numPr>
      <w:adjustRightInd w:val="0"/>
      <w:spacing w:after="240" w:line="240" w:lineRule="auto"/>
      <w:jc w:val="both"/>
      <w:outlineLvl w:val="6"/>
    </w:pPr>
    <w:rPr>
      <w:rFonts w:ascii="Arial" w:eastAsia="STZhongsong" w:hAnsi="Arial" w:cs="Arial"/>
      <w:lang w:eastAsia="zh-CN"/>
    </w:rPr>
  </w:style>
  <w:style w:type="paragraph" w:styleId="Heading8">
    <w:name w:val="heading 8"/>
    <w:aliases w:val="Heading 8 (Do Not Use),Legal Level 1.1.1.,Lev 8,h8 DO NOT USE,PA Appendix Minor"/>
    <w:basedOn w:val="Normal"/>
    <w:link w:val="Heading8Char"/>
    <w:uiPriority w:val="99"/>
    <w:qFormat/>
    <w:rsid w:val="001D4AC1"/>
    <w:pPr>
      <w:numPr>
        <w:ilvl w:val="7"/>
        <w:numId w:val="5"/>
      </w:numPr>
      <w:adjustRightInd w:val="0"/>
      <w:spacing w:after="240" w:line="240" w:lineRule="auto"/>
      <w:jc w:val="both"/>
      <w:outlineLvl w:val="7"/>
    </w:pPr>
    <w:rPr>
      <w:rFonts w:ascii="Arial" w:eastAsia="STZhongsong" w:hAnsi="Arial" w:cs="Arial"/>
      <w:lang w:eastAsia="zh-CN"/>
    </w:rPr>
  </w:style>
  <w:style w:type="paragraph" w:styleId="Heading9">
    <w:name w:val="heading 9"/>
    <w:aliases w:val="Heading 9 (Do Not Use),Heading 9 (defunct),Legal Level 1.1.1.1.,Lev 9,h9 DO NOT USE,App Heading,Titre 10,App1"/>
    <w:basedOn w:val="Normal"/>
    <w:link w:val="Heading9Char"/>
    <w:uiPriority w:val="99"/>
    <w:qFormat/>
    <w:rsid w:val="001D4AC1"/>
    <w:pPr>
      <w:numPr>
        <w:ilvl w:val="8"/>
        <w:numId w:val="5"/>
      </w:numPr>
      <w:adjustRightInd w:val="0"/>
      <w:spacing w:after="240" w:line="240" w:lineRule="auto"/>
      <w:jc w:val="both"/>
      <w:outlineLvl w:val="8"/>
    </w:pPr>
    <w:rPr>
      <w:rFonts w:ascii="Arial" w:eastAsia="STZhongsong" w:hAnsi="Arial" w:cs="Arial"/>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GPSL1CLAUSEHEADING">
    <w:name w:val="GPS L1 CLAUSE HEADING"/>
    <w:basedOn w:val="Normal"/>
    <w:next w:val="Normal"/>
    <w:link w:val="GPSL1CLAUSEHEADINGChar"/>
    <w:qFormat/>
    <w:pPr>
      <w:numPr>
        <w:numId w:val="1"/>
      </w:numPr>
      <w:tabs>
        <w:tab w:val="left" w:pos="142"/>
      </w:tabs>
      <w:adjustRightInd w:val="0"/>
      <w:spacing w:before="240" w:after="120" w:line="240" w:lineRule="auto"/>
      <w:jc w:val="both"/>
      <w:outlineLvl w:val="1"/>
    </w:pPr>
    <w:rPr>
      <w:rFonts w:eastAsia="STZhongsong" w:cs="Arial"/>
      <w:b/>
      <w:caps/>
      <w:lang w:eastAsia="zh-CN"/>
    </w:rPr>
  </w:style>
  <w:style w:type="paragraph" w:customStyle="1" w:styleId="GPSL3numberedclause">
    <w:name w:val="GPS L3 numbered clause"/>
    <w:basedOn w:val="Normal"/>
    <w:link w:val="GPSL3numberedclauseChar"/>
    <w:qFormat/>
    <w:pPr>
      <w:numPr>
        <w:ilvl w:val="2"/>
        <w:numId w:val="1"/>
      </w:numPr>
      <w:tabs>
        <w:tab w:val="num" w:pos="2160"/>
      </w:tabs>
      <w:adjustRightInd w:val="0"/>
      <w:spacing w:before="120" w:after="120" w:line="240" w:lineRule="auto"/>
      <w:ind w:left="2160"/>
      <w:jc w:val="both"/>
    </w:pPr>
    <w:rPr>
      <w:rFonts w:eastAsia="Times New Roman" w:cs="Arial"/>
      <w:lang w:eastAsia="zh-CN"/>
    </w:rPr>
  </w:style>
  <w:style w:type="paragraph" w:customStyle="1" w:styleId="GPSL4numberedclause">
    <w:name w:val="GPS L4 numbered clause"/>
    <w:basedOn w:val="GPSL3numberedclause"/>
    <w:link w:val="GPSL4numberedclauseChar"/>
    <w:qFormat/>
    <w:pPr>
      <w:numPr>
        <w:ilvl w:val="3"/>
      </w:numPr>
      <w:ind w:left="2592" w:hanging="936"/>
    </w:pPr>
  </w:style>
  <w:style w:type="paragraph" w:customStyle="1" w:styleId="GPSL5numberedclause">
    <w:name w:val="GPS L5 numbered clause"/>
    <w:basedOn w:val="GPSL4numberedclause"/>
    <w:link w:val="GPSL5numberedclauseChar"/>
    <w:qFormat/>
    <w:pPr>
      <w:numPr>
        <w:ilvl w:val="4"/>
      </w:numPr>
    </w:pPr>
  </w:style>
  <w:style w:type="paragraph" w:customStyle="1" w:styleId="GPSL2NumberedBoldHeading">
    <w:name w:val="GPS L2 Numbered Bold Heading"/>
    <w:basedOn w:val="Normal"/>
    <w:link w:val="GPSL2NumberedBoldHeadingChar"/>
    <w:qFormat/>
    <w:pPr>
      <w:numPr>
        <w:ilvl w:val="1"/>
        <w:numId w:val="1"/>
      </w:numPr>
      <w:adjustRightInd w:val="0"/>
      <w:spacing w:before="120" w:after="120" w:line="240" w:lineRule="auto"/>
      <w:ind w:left="936" w:hanging="576"/>
      <w:jc w:val="both"/>
    </w:pPr>
    <w:rPr>
      <w:rFonts w:eastAsia="Times New Roman" w:cs="Arial"/>
      <w:lang w:eastAsia="zh-CN"/>
    </w:rPr>
  </w:style>
  <w:style w:type="paragraph" w:customStyle="1" w:styleId="GPSL6numbered">
    <w:name w:val="GPS L6 numbered"/>
    <w:basedOn w:val="GPSL5numberedclause"/>
    <w:qFormat/>
    <w:pPr>
      <w:numPr>
        <w:ilvl w:val="5"/>
      </w:numPr>
      <w:tabs>
        <w:tab w:val="num" w:pos="360"/>
        <w:tab w:val="left" w:pos="3686"/>
      </w:tabs>
      <w:ind w:left="3686" w:hanging="567"/>
    </w:pPr>
  </w:style>
  <w:style w:type="character" w:customStyle="1" w:styleId="GPSL3numberedclauseChar">
    <w:name w:val="GPS L3 numbered clause Char"/>
    <w:link w:val="GPSL3numberedclause"/>
    <w:locked/>
    <w:rPr>
      <w:rFonts w:ascii="Calibri" w:eastAsia="Times New Roman" w:hAnsi="Calibri" w:cs="Arial"/>
      <w:lang w:eastAsia="zh-CN"/>
    </w:rPr>
  </w:style>
  <w:style w:type="paragraph" w:customStyle="1" w:styleId="GPSL2numberedclause">
    <w:name w:val="GPS L2 numbered clause"/>
    <w:basedOn w:val="Normal"/>
    <w:link w:val="GPSL2numberedclauseChar1"/>
    <w:qFormat/>
    <w:pPr>
      <w:tabs>
        <w:tab w:val="left" w:pos="1134"/>
      </w:tabs>
      <w:adjustRightInd w:val="0"/>
      <w:spacing w:before="120" w:after="120" w:line="240" w:lineRule="auto"/>
      <w:ind w:left="1134" w:hanging="567"/>
      <w:jc w:val="both"/>
    </w:pPr>
    <w:rPr>
      <w:rFonts w:eastAsia="Times New Roman" w:cs="Arial"/>
      <w:lang w:eastAsia="zh-CN"/>
    </w:rPr>
  </w:style>
  <w:style w:type="character" w:customStyle="1" w:styleId="GPSL2numberedclauseChar1">
    <w:name w:val="GPS L2 numbered clause Char1"/>
    <w:link w:val="GPSL2numberedclause"/>
    <w:rPr>
      <w:rFonts w:ascii="Calibri" w:eastAsia="Times New Roman" w:hAnsi="Calibri" w:cs="Arial"/>
      <w:lang w:eastAsia="zh-CN"/>
    </w:rPr>
  </w:style>
  <w:style w:type="character" w:customStyle="1" w:styleId="GPSL4numberedclauseChar">
    <w:name w:val="GPS L4 numbered clause Char"/>
    <w:link w:val="GPSL4numberedclause"/>
    <w:rPr>
      <w:rFonts w:ascii="Calibri" w:eastAsia="Times New Roman" w:hAnsi="Calibri" w:cs="Arial"/>
      <w:lang w:eastAsia="zh-C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BalloonText">
    <w:name w:val="Balloon Text"/>
    <w:basedOn w:val="Normal"/>
    <w:link w:val="BalloonTextChar"/>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Pr>
      <w:rFonts w:ascii="Tahoma" w:eastAsia="Calibri" w:hAnsi="Tahoma" w:cs="Tahoma"/>
      <w:sz w:val="16"/>
      <w:szCs w:val="16"/>
    </w:rPr>
  </w:style>
  <w:style w:type="paragraph" w:customStyle="1" w:styleId="GPSmacrorestart">
    <w:name w:val="GPS macro restart"/>
    <w:basedOn w:val="Normal"/>
    <w:qFormat/>
    <w:pPr>
      <w:overflowPunct w:val="0"/>
      <w:autoSpaceDE w:val="0"/>
      <w:autoSpaceDN w:val="0"/>
      <w:adjustRightInd w:val="0"/>
      <w:spacing w:after="0" w:line="240" w:lineRule="auto"/>
      <w:jc w:val="both"/>
      <w:textAlignment w:val="baseline"/>
    </w:pPr>
    <w:rPr>
      <w:rFonts w:ascii="Arial" w:eastAsia="Times New Roman" w:hAnsi="Arial" w:cs="Arial"/>
      <w:color w:val="FFFFFF"/>
      <w:sz w:val="16"/>
      <w:szCs w:val="16"/>
    </w:rPr>
  </w:style>
  <w:style w:type="character" w:customStyle="1" w:styleId="GPSL1CLAUSEHEADINGChar">
    <w:name w:val="GPS L1 CLAUSE HEADING Char"/>
    <w:link w:val="GPSL1CLAUSEHEADING"/>
    <w:rPr>
      <w:rFonts w:ascii="Calibri" w:eastAsia="STZhongsong" w:hAnsi="Calibri" w:cs="Arial"/>
      <w:b/>
      <w:caps/>
      <w:lang w:eastAsia="zh-CN"/>
    </w:rPr>
  </w:style>
  <w:style w:type="paragraph" w:customStyle="1" w:styleId="GPSSchTitleandNumber">
    <w:name w:val="GPS Sch Title and Number"/>
    <w:basedOn w:val="Normal"/>
    <w:link w:val="GPSSchTitleandNumberChar"/>
    <w:qFormat/>
    <w:pPr>
      <w:keepNext/>
      <w:adjustRightInd w:val="0"/>
      <w:spacing w:after="240" w:line="240" w:lineRule="auto"/>
      <w:jc w:val="center"/>
      <w:outlineLvl w:val="0"/>
    </w:pPr>
    <w:rPr>
      <w:rFonts w:ascii="Arial Bold" w:eastAsia="STZhongsong" w:hAnsi="Arial Bold"/>
      <w:b/>
      <w:caps/>
      <w:lang w:eastAsia="zh-CN"/>
    </w:rPr>
  </w:style>
  <w:style w:type="character" w:customStyle="1" w:styleId="GPSSchTitleandNumberChar">
    <w:name w:val="GPS Sch Title and Number Char"/>
    <w:link w:val="GPSSchTitleandNumber"/>
    <w:rPr>
      <w:rFonts w:ascii="Arial Bold" w:eastAsia="STZhongsong" w:hAnsi="Arial Bold" w:cs="Times New Roman"/>
      <w:b/>
      <w:caps/>
      <w:lang w:eastAsia="zh-CN"/>
    </w:rPr>
  </w:style>
  <w:style w:type="paragraph" w:customStyle="1" w:styleId="GPsDefinition">
    <w:name w:val="GPs Definition"/>
    <w:basedOn w:val="Normal"/>
    <w:qFormat/>
    <w:pPr>
      <w:numPr>
        <w:numId w:val="2"/>
      </w:numPr>
      <w:tabs>
        <w:tab w:val="left" w:pos="-9"/>
      </w:tabs>
      <w:overflowPunct w:val="0"/>
      <w:autoSpaceDE w:val="0"/>
      <w:autoSpaceDN w:val="0"/>
      <w:adjustRightInd w:val="0"/>
      <w:spacing w:after="120" w:line="240" w:lineRule="auto"/>
      <w:jc w:val="both"/>
      <w:textAlignment w:val="baseline"/>
    </w:pPr>
    <w:rPr>
      <w:rFonts w:ascii="Arial" w:eastAsia="Times New Roman" w:hAnsi="Arial" w:cs="Arial"/>
    </w:rPr>
  </w:style>
  <w:style w:type="paragraph" w:customStyle="1" w:styleId="GPSDefinitionL2">
    <w:name w:val="GPS Definition L2"/>
    <w:basedOn w:val="GPsDefinition"/>
    <w:qFormat/>
    <w:pPr>
      <w:numPr>
        <w:ilvl w:val="1"/>
      </w:numPr>
      <w:tabs>
        <w:tab w:val="clear" w:pos="-9"/>
        <w:tab w:val="left" w:pos="144"/>
      </w:tabs>
      <w:ind w:hanging="545"/>
    </w:pPr>
  </w:style>
  <w:style w:type="paragraph" w:customStyle="1" w:styleId="GPSDefinitionL3">
    <w:name w:val="GPS Definition L3"/>
    <w:basedOn w:val="GPSDefinitionL2"/>
    <w:qFormat/>
    <w:pPr>
      <w:numPr>
        <w:ilvl w:val="2"/>
      </w:numPr>
    </w:pPr>
  </w:style>
  <w:style w:type="paragraph" w:customStyle="1" w:styleId="GPSDefinitionL4">
    <w:name w:val="GPS Definition L4"/>
    <w:basedOn w:val="GPSDefinitionL3"/>
    <w:qFormat/>
    <w:pPr>
      <w:numPr>
        <w:ilvl w:val="3"/>
      </w:numPr>
    </w:pPr>
  </w:style>
  <w:style w:type="paragraph" w:customStyle="1" w:styleId="GPSSchAnnexname">
    <w:name w:val="GPS Sch Annex name"/>
    <w:basedOn w:val="GPSSchTitleandNumber"/>
    <w:link w:val="GPSSchAnnexnameChar"/>
    <w:qFormat/>
    <w:pPr>
      <w:outlineLvl w:val="1"/>
    </w:pPr>
    <w:rPr>
      <w:rFonts w:ascii="Calibri" w:hAnsi="Calibri"/>
      <w:sz w:val="20"/>
    </w:rPr>
  </w:style>
  <w:style w:type="paragraph" w:customStyle="1" w:styleId="GPSL1SCHEDULEHeading">
    <w:name w:val="GPS L1 SCHEDULE Heading"/>
    <w:basedOn w:val="GPSL1CLAUSEHEADING"/>
    <w:link w:val="GPSL1SCHEDULEHeadingChar"/>
    <w:qFormat/>
    <w:pPr>
      <w:numPr>
        <w:numId w:val="0"/>
      </w:numPr>
      <w:tabs>
        <w:tab w:val="clear" w:pos="142"/>
        <w:tab w:val="left" w:pos="0"/>
      </w:tabs>
      <w:ind w:left="360" w:hanging="360"/>
      <w:outlineLvl w:val="9"/>
    </w:pPr>
  </w:style>
  <w:style w:type="character" w:customStyle="1" w:styleId="GPSSchAnnexnameChar">
    <w:name w:val="GPS Sch Annex name Char"/>
    <w:link w:val="GPSSchAnnexname"/>
    <w:rPr>
      <w:rFonts w:ascii="Calibri" w:eastAsia="STZhongsong" w:hAnsi="Calibri" w:cs="Times New Roman"/>
      <w:b/>
      <w:caps/>
      <w:sz w:val="20"/>
      <w:lang w:eastAsia="zh-CN"/>
    </w:rPr>
  </w:style>
  <w:style w:type="paragraph" w:customStyle="1" w:styleId="GPSSchPart">
    <w:name w:val="GPS Sch Part"/>
    <w:basedOn w:val="GPSSchAnnexname"/>
    <w:link w:val="GPSSchPartChar"/>
    <w:qFormat/>
    <w:pPr>
      <w:outlineLvl w:val="9"/>
    </w:pPr>
  </w:style>
  <w:style w:type="character" w:customStyle="1" w:styleId="GPSL1SCHEDULEHeadingChar">
    <w:name w:val="GPS L1 SCHEDULE Heading Char"/>
    <w:link w:val="GPSL1SCHEDULEHeading"/>
    <w:rPr>
      <w:rFonts w:ascii="Calibri" w:eastAsia="STZhongsong" w:hAnsi="Calibri" w:cs="Arial"/>
      <w:b/>
      <w:caps/>
      <w:lang w:eastAsia="zh-CN"/>
    </w:rPr>
  </w:style>
  <w:style w:type="character" w:customStyle="1" w:styleId="GPSSchPartChar">
    <w:name w:val="GPS Sch Part Char"/>
    <w:link w:val="GPSSchPart"/>
    <w:rPr>
      <w:rFonts w:ascii="Calibri" w:eastAsia="STZhongsong" w:hAnsi="Calibri" w:cs="Times New Roman"/>
      <w:b/>
      <w:caps/>
      <w:sz w:val="20"/>
      <w:lang w:eastAsia="zh-CN"/>
    </w:rPr>
  </w:style>
  <w:style w:type="paragraph" w:styleId="BodyTextIndent">
    <w:name w:val="Body Text Indent"/>
    <w:basedOn w:val="Normal"/>
    <w:link w:val="BodyTextIndentChar"/>
    <w:pPr>
      <w:numPr>
        <w:numId w:val="3"/>
      </w:numPr>
      <w:adjustRightInd w:val="0"/>
      <w:spacing w:after="240" w:line="240" w:lineRule="auto"/>
      <w:jc w:val="both"/>
    </w:pPr>
    <w:rPr>
      <w:rFonts w:eastAsia="Times New Roman"/>
      <w:lang w:eastAsia="zh-CN"/>
    </w:rPr>
  </w:style>
  <w:style w:type="character" w:customStyle="1" w:styleId="BodyTextIndentChar">
    <w:name w:val="Body Text Indent Char"/>
    <w:basedOn w:val="DefaultParagraphFont"/>
    <w:link w:val="BodyTextIndent"/>
    <w:rPr>
      <w:rFonts w:ascii="Calibri" w:eastAsia="Times New Roman" w:hAnsi="Calibri" w:cs="Times New Roman"/>
      <w:lang w:eastAsia="zh-CN"/>
    </w:rPr>
  </w:style>
  <w:style w:type="character" w:customStyle="1" w:styleId="GPSL5numberedclauseChar">
    <w:name w:val="GPS L5 numbered clause Char"/>
    <w:link w:val="GPSL5numberedclause"/>
    <w:locked/>
    <w:rPr>
      <w:rFonts w:ascii="Calibri" w:eastAsia="Times New Roman" w:hAnsi="Calibri" w:cs="Arial"/>
      <w:lang w:eastAsia="zh-CN"/>
    </w:rPr>
  </w:style>
  <w:style w:type="paragraph" w:customStyle="1" w:styleId="GPSL2Indent">
    <w:name w:val="GPS L2 Indent"/>
    <w:basedOn w:val="Normal"/>
    <w:link w:val="GPSL2IndentChar"/>
    <w:qFormat/>
    <w:pPr>
      <w:tabs>
        <w:tab w:val="left" w:pos="3402"/>
      </w:tabs>
      <w:overflowPunct w:val="0"/>
      <w:autoSpaceDE w:val="0"/>
      <w:autoSpaceDN w:val="0"/>
      <w:adjustRightInd w:val="0"/>
      <w:spacing w:after="220" w:line="240" w:lineRule="auto"/>
      <w:ind w:left="1134"/>
      <w:jc w:val="both"/>
      <w:textAlignment w:val="baseline"/>
    </w:pPr>
    <w:rPr>
      <w:rFonts w:eastAsia="Times New Roman" w:cs="Arial"/>
      <w:szCs w:val="24"/>
    </w:rPr>
  </w:style>
  <w:style w:type="character" w:customStyle="1" w:styleId="GPSL2IndentChar">
    <w:name w:val="GPS L2 Indent Char"/>
    <w:link w:val="GPSL2Indent"/>
    <w:rPr>
      <w:rFonts w:ascii="Calibri" w:eastAsia="Times New Roman" w:hAnsi="Calibri" w:cs="Arial"/>
      <w:szCs w:val="24"/>
    </w:rPr>
  </w:style>
  <w:style w:type="paragraph" w:customStyle="1" w:styleId="GPSDefinitionTerm">
    <w:name w:val="GPS Definition Term"/>
    <w:basedOn w:val="Normal"/>
    <w:qFormat/>
    <w:pPr>
      <w:overflowPunct w:val="0"/>
      <w:autoSpaceDE w:val="0"/>
      <w:autoSpaceDN w:val="0"/>
      <w:adjustRightInd w:val="0"/>
      <w:spacing w:after="120" w:line="240" w:lineRule="auto"/>
      <w:ind w:left="-108"/>
      <w:textAlignment w:val="baseline"/>
    </w:pPr>
    <w:rPr>
      <w:rFonts w:ascii="Arial" w:eastAsia="Times New Roman" w:hAnsi="Arial" w:cs="Arial"/>
      <w:b/>
    </w:rPr>
  </w:style>
  <w:style w:type="table" w:styleId="TableGrid">
    <w:name w:val="Table Grid"/>
    <w:basedOn w:val="TableNormal"/>
    <w:uiPriority w:val="5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rFonts w:ascii="Calibri" w:eastAsia="Calibri" w:hAnsi="Calibri" w:cs="Times New Roman"/>
      <w:sz w:val="20"/>
      <w:szCs w:val="20"/>
    </w:rPr>
  </w:style>
  <w:style w:type="character" w:styleId="FootnoteReference">
    <w:name w:val="footnote reference"/>
    <w:basedOn w:val="DefaultParagraphFont"/>
    <w:semiHidden/>
    <w:unhideWhenUsed/>
    <w:rPr>
      <w:vertAlign w:val="superscript"/>
    </w:rPr>
  </w:style>
  <w:style w:type="character" w:customStyle="1" w:styleId="Heading1Char">
    <w:name w:val="Heading 1 Char"/>
    <w:basedOn w:val="DefaultParagraphFont"/>
    <w:link w:val="Heading1"/>
    <w:uiPriority w:val="9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Pr>
      <w:rFonts w:asciiTheme="majorHAnsi" w:eastAsiaTheme="majorEastAsia" w:hAnsiTheme="majorHAnsi" w:cstheme="majorBidi"/>
      <w:b/>
      <w:bCs/>
      <w:color w:val="4F81BD" w:themeColor="accent1"/>
      <w:sz w:val="26"/>
      <w:szCs w:val="26"/>
    </w:rPr>
  </w:style>
  <w:style w:type="paragraph" w:customStyle="1" w:styleId="GPSL2Numbered">
    <w:name w:val="GPS L2 Numbered"/>
    <w:basedOn w:val="GPSL2NumberedBoldHeading"/>
    <w:link w:val="GPSL2NumberedChar"/>
    <w:qFormat/>
    <w:rsid w:val="007E12FE"/>
    <w:pPr>
      <w:numPr>
        <w:ilvl w:val="0"/>
        <w:numId w:val="0"/>
      </w:numPr>
      <w:tabs>
        <w:tab w:val="left" w:pos="709"/>
        <w:tab w:val="left" w:pos="1134"/>
      </w:tabs>
      <w:ind w:left="644" w:hanging="360"/>
    </w:pPr>
  </w:style>
  <w:style w:type="character" w:customStyle="1" w:styleId="GPSL2NumberedChar">
    <w:name w:val="GPS L2 Numbered Char"/>
    <w:link w:val="GPSL2Numbered"/>
    <w:locked/>
    <w:rsid w:val="007E12FE"/>
    <w:rPr>
      <w:rFonts w:ascii="Calibri" w:eastAsia="Times New Roman" w:hAnsi="Calibri" w:cs="Arial"/>
      <w:lang w:eastAsia="zh-CN"/>
    </w:rPr>
  </w:style>
  <w:style w:type="character" w:customStyle="1" w:styleId="GPSL2NumberedBoldHeadingChar">
    <w:name w:val="GPS L2 Numbered Bold Heading Char"/>
    <w:link w:val="GPSL2NumberedBoldHeading"/>
    <w:locked/>
    <w:rsid w:val="007E12FE"/>
    <w:rPr>
      <w:rFonts w:ascii="Calibri" w:eastAsia="Times New Roman" w:hAnsi="Calibri" w:cs="Arial"/>
      <w:lang w:eastAsia="zh-CN"/>
    </w:rPr>
  </w:style>
  <w:style w:type="character" w:customStyle="1" w:styleId="Heading3Char">
    <w:name w:val="Heading 3 Char"/>
    <w:basedOn w:val="DefaultParagraphFont"/>
    <w:link w:val="Heading3"/>
    <w:uiPriority w:val="9"/>
    <w:rsid w:val="001D4AC1"/>
    <w:rPr>
      <w:rFonts w:ascii="Arial" w:eastAsia="Arial" w:hAnsi="Arial" w:cs="Arial"/>
      <w:color w:val="000000"/>
      <w:lang w:eastAsia="en-GB"/>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1D4AC1"/>
    <w:rPr>
      <w:rFonts w:ascii="Arial" w:eastAsia="STZhongsong" w:hAnsi="Arial" w:cs="Arial"/>
      <w:lang w:eastAsia="zh-CN"/>
    </w:rPr>
  </w:style>
  <w:style w:type="character" w:customStyle="1" w:styleId="Heading8Char">
    <w:name w:val="Heading 8 Char"/>
    <w:aliases w:val="Heading 8 (Do Not Use) Char,Legal Level 1.1.1. Char,Lev 8 Char,h8 DO NOT USE Char,PA Appendix Minor Char"/>
    <w:basedOn w:val="DefaultParagraphFont"/>
    <w:link w:val="Heading8"/>
    <w:uiPriority w:val="99"/>
    <w:rsid w:val="001D4AC1"/>
    <w:rPr>
      <w:rFonts w:ascii="Arial" w:eastAsia="STZhongsong" w:hAnsi="Arial" w:cs="Arial"/>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uiPriority w:val="99"/>
    <w:rsid w:val="001D4AC1"/>
    <w:rPr>
      <w:rFonts w:ascii="Arial" w:eastAsia="STZhongsong" w:hAnsi="Arial" w:cs="Arial"/>
      <w:lang w:eastAsia="zh-CN"/>
    </w:rPr>
  </w:style>
  <w:style w:type="paragraph" w:styleId="BodyTextIndent2">
    <w:name w:val="Body Text Indent 2"/>
    <w:basedOn w:val="Normal"/>
    <w:link w:val="BodyTextIndent2Char"/>
    <w:rsid w:val="001D4AC1"/>
    <w:pPr>
      <w:adjustRightInd w:val="0"/>
      <w:spacing w:after="240" w:line="240" w:lineRule="auto"/>
      <w:ind w:left="2160" w:hanging="360"/>
      <w:jc w:val="both"/>
    </w:pPr>
    <w:rPr>
      <w:rFonts w:ascii="Arial" w:eastAsia="STZhongsong" w:hAnsi="Arial" w:cs="Arial"/>
      <w:lang w:eastAsia="zh-CN"/>
    </w:rPr>
  </w:style>
  <w:style w:type="character" w:customStyle="1" w:styleId="BodyTextIndent2Char">
    <w:name w:val="Body Text Indent 2 Char"/>
    <w:basedOn w:val="DefaultParagraphFont"/>
    <w:link w:val="BodyTextIndent2"/>
    <w:rsid w:val="001D4AC1"/>
    <w:rPr>
      <w:rFonts w:ascii="Arial" w:eastAsia="STZhongsong" w:hAnsi="Arial" w:cs="Arial"/>
      <w:lang w:eastAsia="zh-CN"/>
    </w:rPr>
  </w:style>
  <w:style w:type="paragraph" w:customStyle="1" w:styleId="DefinitionNumbering1">
    <w:name w:val="Definition Numbering 1"/>
    <w:basedOn w:val="Normal"/>
    <w:rsid w:val="001D4AC1"/>
    <w:pPr>
      <w:adjustRightInd w:val="0"/>
      <w:spacing w:after="240" w:line="240" w:lineRule="auto"/>
      <w:ind w:left="2880" w:hanging="360"/>
      <w:jc w:val="both"/>
      <w:outlineLvl w:val="0"/>
    </w:pPr>
    <w:rPr>
      <w:rFonts w:ascii="Arial" w:eastAsia="STZhongsong" w:hAnsi="Arial" w:cs="Arial"/>
      <w:lang w:eastAsia="zh-CN"/>
    </w:rPr>
  </w:style>
  <w:style w:type="paragraph" w:customStyle="1" w:styleId="DefinitionNumbering2">
    <w:name w:val="Definition Numbering 2"/>
    <w:basedOn w:val="Normal"/>
    <w:rsid w:val="001D4AC1"/>
    <w:pPr>
      <w:adjustRightInd w:val="0"/>
      <w:spacing w:after="240" w:line="240" w:lineRule="auto"/>
      <w:ind w:left="3600" w:hanging="360"/>
      <w:jc w:val="both"/>
      <w:outlineLvl w:val="1"/>
    </w:pPr>
    <w:rPr>
      <w:rFonts w:ascii="Arial" w:eastAsia="STZhongsong" w:hAnsi="Arial" w:cs="Arial"/>
      <w:lang w:eastAsia="zh-CN"/>
    </w:rPr>
  </w:style>
  <w:style w:type="paragraph" w:customStyle="1" w:styleId="DefinitionNumbering3">
    <w:name w:val="Definition Numbering 3"/>
    <w:basedOn w:val="Normal"/>
    <w:rsid w:val="001D4AC1"/>
    <w:pPr>
      <w:adjustRightInd w:val="0"/>
      <w:spacing w:after="240" w:line="240" w:lineRule="auto"/>
      <w:ind w:left="4320" w:hanging="360"/>
      <w:jc w:val="both"/>
      <w:outlineLvl w:val="2"/>
    </w:pPr>
    <w:rPr>
      <w:rFonts w:ascii="Arial" w:eastAsia="STZhongsong" w:hAnsi="Arial" w:cs="Arial"/>
      <w:lang w:eastAsia="zh-CN"/>
    </w:rPr>
  </w:style>
  <w:style w:type="paragraph" w:customStyle="1" w:styleId="DefinitionNumbering4">
    <w:name w:val="Definition Numbering 4"/>
    <w:basedOn w:val="Normal"/>
    <w:rsid w:val="001D4AC1"/>
    <w:pPr>
      <w:adjustRightInd w:val="0"/>
      <w:spacing w:after="240" w:line="240" w:lineRule="auto"/>
      <w:ind w:left="5040" w:hanging="360"/>
      <w:jc w:val="both"/>
      <w:outlineLvl w:val="3"/>
    </w:pPr>
    <w:rPr>
      <w:rFonts w:ascii="Arial" w:eastAsia="STZhongsong" w:hAnsi="Arial" w:cs="Arial"/>
      <w:lang w:eastAsia="zh-CN"/>
    </w:rPr>
  </w:style>
  <w:style w:type="paragraph" w:customStyle="1" w:styleId="DefinitionNumbering5">
    <w:name w:val="Definition Numbering 5"/>
    <w:basedOn w:val="Normal"/>
    <w:rsid w:val="001D4AC1"/>
    <w:pPr>
      <w:adjustRightInd w:val="0"/>
      <w:spacing w:after="240" w:line="240" w:lineRule="auto"/>
      <w:ind w:left="5760" w:hanging="360"/>
      <w:jc w:val="both"/>
      <w:outlineLvl w:val="4"/>
    </w:pPr>
    <w:rPr>
      <w:rFonts w:ascii="Arial" w:eastAsia="STZhongsong" w:hAnsi="Arial" w:cs="Arial"/>
      <w:lang w:eastAsia="zh-CN"/>
    </w:rPr>
  </w:style>
  <w:style w:type="paragraph" w:customStyle="1" w:styleId="DefinitionNumbering6">
    <w:name w:val="Definition Numbering 6"/>
    <w:basedOn w:val="Normal"/>
    <w:rsid w:val="001D4AC1"/>
    <w:pPr>
      <w:adjustRightInd w:val="0"/>
      <w:spacing w:after="240" w:line="240" w:lineRule="auto"/>
      <w:ind w:left="6480" w:hanging="360"/>
      <w:jc w:val="both"/>
      <w:outlineLvl w:val="5"/>
    </w:pPr>
    <w:rPr>
      <w:rFonts w:ascii="Arial" w:eastAsia="STZhongsong" w:hAnsi="Arial" w:cs="Arial"/>
      <w:lang w:eastAsia="zh-CN"/>
    </w:rPr>
  </w:style>
  <w:style w:type="paragraph" w:customStyle="1" w:styleId="DefinitionNumbering7">
    <w:name w:val="Definition Numbering 7"/>
    <w:basedOn w:val="Normal"/>
    <w:rsid w:val="001D4AC1"/>
    <w:pPr>
      <w:adjustRightInd w:val="0"/>
      <w:spacing w:after="240" w:line="240" w:lineRule="auto"/>
      <w:ind w:left="7200" w:hanging="360"/>
      <w:jc w:val="both"/>
      <w:outlineLvl w:val="6"/>
    </w:pPr>
    <w:rPr>
      <w:rFonts w:ascii="Arial" w:eastAsia="STZhongsong" w:hAnsi="Arial" w:cs="Arial"/>
      <w:lang w:eastAsia="zh-CN"/>
    </w:rPr>
  </w:style>
  <w:style w:type="paragraph" w:customStyle="1" w:styleId="ScheduleL1">
    <w:name w:val="Schedule L1"/>
    <w:basedOn w:val="Normal"/>
    <w:rsid w:val="001D4AC1"/>
    <w:pPr>
      <w:numPr>
        <w:numId w:val="6"/>
      </w:numPr>
      <w:adjustRightInd w:val="0"/>
      <w:spacing w:after="240" w:line="240" w:lineRule="auto"/>
      <w:jc w:val="both"/>
      <w:outlineLvl w:val="0"/>
    </w:pPr>
    <w:rPr>
      <w:rFonts w:ascii="Arial" w:eastAsia="STZhongsong" w:hAnsi="Arial" w:cs="Arial"/>
      <w:lang w:eastAsia="zh-CN"/>
    </w:rPr>
  </w:style>
  <w:style w:type="paragraph" w:customStyle="1" w:styleId="ScheduleL2">
    <w:name w:val="Schedule L2"/>
    <w:basedOn w:val="Normal"/>
    <w:rsid w:val="001D4AC1"/>
    <w:pPr>
      <w:numPr>
        <w:ilvl w:val="1"/>
        <w:numId w:val="6"/>
      </w:numPr>
      <w:adjustRightInd w:val="0"/>
      <w:spacing w:after="240" w:line="240" w:lineRule="auto"/>
      <w:jc w:val="both"/>
      <w:outlineLvl w:val="1"/>
    </w:pPr>
    <w:rPr>
      <w:rFonts w:ascii="Arial" w:eastAsia="STZhongsong" w:hAnsi="Arial" w:cs="Arial"/>
      <w:lang w:eastAsia="zh-CN"/>
    </w:rPr>
  </w:style>
  <w:style w:type="paragraph" w:customStyle="1" w:styleId="ScheduleL3">
    <w:name w:val="Schedule L3"/>
    <w:basedOn w:val="Normal"/>
    <w:rsid w:val="001D4AC1"/>
    <w:pPr>
      <w:numPr>
        <w:ilvl w:val="2"/>
        <w:numId w:val="6"/>
      </w:numPr>
      <w:adjustRightInd w:val="0"/>
      <w:spacing w:after="240" w:line="240" w:lineRule="auto"/>
      <w:jc w:val="both"/>
      <w:outlineLvl w:val="2"/>
    </w:pPr>
    <w:rPr>
      <w:rFonts w:ascii="Arial" w:eastAsia="STZhongsong" w:hAnsi="Arial" w:cs="Arial"/>
      <w:lang w:eastAsia="zh-CN"/>
    </w:rPr>
  </w:style>
  <w:style w:type="paragraph" w:customStyle="1" w:styleId="ScheduleL4">
    <w:name w:val="Schedule L4"/>
    <w:basedOn w:val="Normal"/>
    <w:rsid w:val="001D4AC1"/>
    <w:pPr>
      <w:numPr>
        <w:ilvl w:val="3"/>
        <w:numId w:val="6"/>
      </w:numPr>
      <w:adjustRightInd w:val="0"/>
      <w:spacing w:after="240" w:line="240" w:lineRule="auto"/>
      <w:jc w:val="both"/>
      <w:outlineLvl w:val="3"/>
    </w:pPr>
    <w:rPr>
      <w:rFonts w:ascii="Arial" w:eastAsia="STZhongsong" w:hAnsi="Arial" w:cs="Arial"/>
      <w:lang w:eastAsia="zh-CN"/>
    </w:rPr>
  </w:style>
  <w:style w:type="paragraph" w:customStyle="1" w:styleId="ScheduleL5">
    <w:name w:val="Schedule L5"/>
    <w:basedOn w:val="Normal"/>
    <w:rsid w:val="001D4AC1"/>
    <w:pPr>
      <w:numPr>
        <w:ilvl w:val="4"/>
        <w:numId w:val="6"/>
      </w:numPr>
      <w:adjustRightInd w:val="0"/>
      <w:spacing w:after="240" w:line="240" w:lineRule="auto"/>
      <w:jc w:val="both"/>
      <w:outlineLvl w:val="4"/>
    </w:pPr>
    <w:rPr>
      <w:rFonts w:ascii="Arial" w:eastAsia="STZhongsong" w:hAnsi="Arial" w:cs="Arial"/>
      <w:lang w:eastAsia="zh-CN"/>
    </w:rPr>
  </w:style>
  <w:style w:type="paragraph" w:customStyle="1" w:styleId="ScheduleL6">
    <w:name w:val="Schedule L6"/>
    <w:basedOn w:val="Normal"/>
    <w:rsid w:val="001D4AC1"/>
    <w:pPr>
      <w:numPr>
        <w:ilvl w:val="5"/>
        <w:numId w:val="6"/>
      </w:numPr>
      <w:adjustRightInd w:val="0"/>
      <w:spacing w:after="240" w:line="240" w:lineRule="auto"/>
      <w:jc w:val="both"/>
      <w:outlineLvl w:val="5"/>
    </w:pPr>
    <w:rPr>
      <w:rFonts w:ascii="Arial" w:eastAsia="STZhongsong" w:hAnsi="Arial" w:cs="Arial"/>
      <w:lang w:eastAsia="zh-CN"/>
    </w:rPr>
  </w:style>
  <w:style w:type="paragraph" w:customStyle="1" w:styleId="ScheduleL7">
    <w:name w:val="Schedule L7"/>
    <w:basedOn w:val="Normal"/>
    <w:rsid w:val="001D4AC1"/>
    <w:pPr>
      <w:numPr>
        <w:ilvl w:val="6"/>
        <w:numId w:val="6"/>
      </w:numPr>
      <w:adjustRightInd w:val="0"/>
      <w:spacing w:after="240" w:line="240" w:lineRule="auto"/>
      <w:jc w:val="both"/>
      <w:outlineLvl w:val="6"/>
    </w:pPr>
    <w:rPr>
      <w:rFonts w:ascii="Arial" w:eastAsia="STZhongsong" w:hAnsi="Arial" w:cs="Arial"/>
      <w:lang w:eastAsia="zh-CN"/>
    </w:rPr>
  </w:style>
  <w:style w:type="paragraph" w:customStyle="1" w:styleId="ScheduleL8">
    <w:name w:val="Schedule L8"/>
    <w:basedOn w:val="Normal"/>
    <w:rsid w:val="001D4AC1"/>
    <w:pPr>
      <w:numPr>
        <w:ilvl w:val="7"/>
        <w:numId w:val="6"/>
      </w:numPr>
      <w:adjustRightInd w:val="0"/>
      <w:spacing w:after="240" w:line="240" w:lineRule="auto"/>
      <w:jc w:val="both"/>
      <w:outlineLvl w:val="7"/>
    </w:pPr>
    <w:rPr>
      <w:rFonts w:ascii="Arial" w:eastAsia="STZhongsong" w:hAnsi="Arial" w:cs="Arial"/>
      <w:lang w:eastAsia="zh-CN"/>
    </w:rPr>
  </w:style>
  <w:style w:type="paragraph" w:customStyle="1" w:styleId="ScheduleL9">
    <w:name w:val="Schedule L9"/>
    <w:basedOn w:val="Normal"/>
    <w:rsid w:val="001D4AC1"/>
    <w:pPr>
      <w:numPr>
        <w:ilvl w:val="8"/>
        <w:numId w:val="6"/>
      </w:numPr>
      <w:adjustRightInd w:val="0"/>
      <w:spacing w:after="240" w:line="240" w:lineRule="auto"/>
      <w:jc w:val="both"/>
      <w:outlineLvl w:val="8"/>
    </w:pPr>
    <w:rPr>
      <w:rFonts w:ascii="Arial" w:eastAsia="STZhongsong" w:hAnsi="Arial" w:cs="Arial"/>
      <w:lang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organisations/cabinet-off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v.uk/government/publications/ai-playbook-for-the-uk-government" TargetMode="External"/><Relationship Id="rId3" Type="http://schemas.openxmlformats.org/officeDocument/2006/relationships/hyperlink" Target="https://www.gov.uk/government/publications/state-of-the-nation-2023-people-and-places" TargetMode="External"/><Relationship Id="rId7" Type="http://schemas.openxmlformats.org/officeDocument/2006/relationships/hyperlink" Target="https://www.ethnicity-facts-figures.service.gov.uk/style-guide/writing-about-ethnicity/" TargetMode="External"/><Relationship Id="rId2" Type="http://schemas.openxmlformats.org/officeDocument/2006/relationships/hyperlink" Target="https://ifs.org.uk/publications/london-calling-higher-education-geographical-mobility-and-early-career-earnings" TargetMode="External"/><Relationship Id="rId1" Type="http://schemas.openxmlformats.org/officeDocument/2006/relationships/hyperlink" Target="https://www.gov.uk/government/publications/post-16-education-and-labour-market-activities-pathways-and-outcomes-leo" TargetMode="External"/><Relationship Id="rId6" Type="http://schemas.openxmlformats.org/officeDocument/2006/relationships/hyperlink" Target="https://social-change.co.uk/files/02.09.19_COM-B_and_changing_behaviour_.pdf" TargetMode="External"/><Relationship Id="rId5" Type="http://schemas.openxmlformats.org/officeDocument/2006/relationships/hyperlink" Target="https://unimelb.libguides.com/whichreview/qualitativeevidencesynthesis" TargetMode="External"/><Relationship Id="rId4" Type="http://schemas.openxmlformats.org/officeDocument/2006/relationships/hyperlink" Target="https://uksa.statisticsauthority.gov.uk/the-authority-board/committees/national-statisticians-advisory-committees-and-panels/national-statisticians-data-ethics-advisory-committee/ethics-self-assessment-tool/" TargetMode="External"/><Relationship Id="rId9" Type="http://schemas.openxmlformats.org/officeDocument/2006/relationships/hyperlink" Target="https://www.gov.uk/government/publications/the-aqua-book-guidance-on-producing-quality-analysis-for-govern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YP04euUAKuvF7Q70duXugsnEg==">CgMxLjAyCGguZ2pkZ3hzMgloLjFmb2I5dGUyCWguMnAyY3NyeTIIaC50eWpjd3QyCWguMTQ3bjJ6cjIJaC4zbzdhbG5rMgloLjRkMzRvZzgyCWguMjNja3Z2ZDIIaC5paHY2MzYyDWguZmY5ZG5xd3VpMTQyDmguZzVqbG1rbm45bWp3Mg5oLnJuYWZ3OHZ3OWtwaTIJaC4zMmhpb3F6MgloLjFobXN5eXMyCWguNDFtZ2htbDIJaC4yZ3JxcnVlMghoLnZ4MTIyNzIJaC4zZndva3EwMghoLmxueGJ6OTIJaC4xdjF5dXh0Mg5oLnBsaHIyYmNoYmZiMjIJaC4ydTZ3bnRmMgloLjE5YzZ5MTgyCWguM3RidWdwMTIJaC4yOGg0cXd1MghoLm5tZjE0bjIJaC4zN20yanNnMgloLjN6bnlzaDc4AHIhMUlldkYxZ1I0dzlWcVdvWWpScWt1TjJWdVNEbzBpLWV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3867</Words>
  <Characters>22045</Characters>
  <Application>Microsoft Office Word</Application>
  <DocSecurity>0</DocSecurity>
  <Lines>183</Lines>
  <Paragraphs>51</Paragraphs>
  <ScaleCrop>false</ScaleCrop>
  <Company/>
  <LinksUpToDate>false</LinksUpToDate>
  <CharactersWithSpaces>25861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Andrew Thomas</dc:creator>
  <cp:lastModifiedBy>Jennifer Thomas</cp:lastModifiedBy>
  <cp:revision>2</cp:revision>
  <dcterms:created xsi:type="dcterms:W3CDTF">2026-01-12T11:09:00Z</dcterms:created>
  <dcterms:modified xsi:type="dcterms:W3CDTF">2026-01-12T11:09:00Z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15 November 2017 D1V6</vt:lpwstr>
  </property>
</Properties>
</file>