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191" w:rsidRDefault="009D3191">
      <w:pPr>
        <w:pStyle w:val="BodyText"/>
        <w:rPr>
          <w:rFonts w:ascii="Times New Roman"/>
          <w:sz w:val="20"/>
        </w:rPr>
      </w:pPr>
    </w:p>
    <w:p w:rsidR="009D3191" w:rsidRDefault="009D3191">
      <w:pPr>
        <w:pStyle w:val="BodyText"/>
        <w:spacing w:before="1"/>
        <w:rPr>
          <w:rFonts w:ascii="Times New Roman"/>
          <w:sz w:val="24"/>
        </w:rPr>
      </w:pPr>
    </w:p>
    <w:p w:rsidR="009D3191" w:rsidRDefault="0073541E">
      <w:pPr>
        <w:pStyle w:val="Heading1"/>
        <w:spacing w:before="89"/>
        <w:ind w:right="723"/>
      </w:pPr>
      <w:bookmarkStart w:id="0" w:name="Framework_Schedule_6_(Order_Form,_Statem"/>
      <w:bookmarkEnd w:id="0"/>
      <w:r>
        <w:t>Framework Schedule 6 (Order Form, Statement of Work and Call-Off Schedules)</w:t>
      </w:r>
    </w:p>
    <w:p w:rsidR="009D3191" w:rsidRDefault="009D3191">
      <w:pPr>
        <w:pStyle w:val="BodyText"/>
        <w:spacing w:before="10"/>
        <w:rPr>
          <w:b/>
          <w:sz w:val="42"/>
        </w:rPr>
      </w:pPr>
    </w:p>
    <w:p w:rsidR="009D3191" w:rsidRDefault="0073541E">
      <w:pPr>
        <w:ind w:left="1200"/>
        <w:rPr>
          <w:b/>
          <w:sz w:val="32"/>
        </w:rPr>
      </w:pPr>
      <w:bookmarkStart w:id="1" w:name="Order_Form"/>
      <w:bookmarkEnd w:id="1"/>
      <w:r>
        <w:rPr>
          <w:b/>
          <w:sz w:val="32"/>
        </w:rPr>
        <w:t>Order Form</w:t>
      </w:r>
    </w:p>
    <w:p w:rsidR="009D3191" w:rsidRDefault="009D3191">
      <w:pPr>
        <w:pStyle w:val="BodyText"/>
        <w:rPr>
          <w:b/>
          <w:sz w:val="20"/>
        </w:rPr>
      </w:pPr>
    </w:p>
    <w:p w:rsidR="009D3191" w:rsidRDefault="009D3191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1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6179"/>
      </w:tblGrid>
      <w:tr w:rsidR="009D3191">
        <w:trPr>
          <w:trHeight w:hRule="exact" w:val="582"/>
        </w:trPr>
        <w:tc>
          <w:tcPr>
            <w:tcW w:w="2987" w:type="dxa"/>
          </w:tcPr>
          <w:p w:rsidR="009D3191" w:rsidRDefault="0073541E"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Call-Off Reference:</w:t>
            </w:r>
          </w:p>
        </w:tc>
        <w:tc>
          <w:tcPr>
            <w:tcW w:w="6179" w:type="dxa"/>
          </w:tcPr>
          <w:p w:rsidR="009D3191" w:rsidRDefault="0073541E">
            <w:pPr>
              <w:pStyle w:val="TableParagraph"/>
              <w:ind w:left="333" w:right="236"/>
            </w:pPr>
            <w:r>
              <w:t>14496 (unique integer reference number at the end of the opportunities’ URL on the Digital Marketplace);</w:t>
            </w:r>
          </w:p>
        </w:tc>
      </w:tr>
      <w:tr w:rsidR="009D3191">
        <w:trPr>
          <w:trHeight w:hRule="exact" w:val="437"/>
        </w:trPr>
        <w:tc>
          <w:tcPr>
            <w:tcW w:w="2987" w:type="dxa"/>
          </w:tcPr>
          <w:p w:rsidR="009D3191" w:rsidRDefault="0073541E">
            <w:pPr>
              <w:pStyle w:val="TableParagraph"/>
              <w:spacing w:before="7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Call-Off Title:</w:t>
            </w:r>
          </w:p>
        </w:tc>
        <w:tc>
          <w:tcPr>
            <w:tcW w:w="6179" w:type="dxa"/>
          </w:tcPr>
          <w:p w:rsidR="009D3191" w:rsidRDefault="0073541E">
            <w:pPr>
              <w:pStyle w:val="TableParagraph"/>
              <w:spacing w:before="76"/>
              <w:ind w:left="333"/>
            </w:pPr>
            <w:r>
              <w:t>701551740 – Provision of ICS Ops Firm Base Support</w:t>
            </w:r>
          </w:p>
        </w:tc>
      </w:tr>
      <w:tr w:rsidR="009D3191">
        <w:trPr>
          <w:trHeight w:hRule="exact" w:val="1079"/>
        </w:trPr>
        <w:tc>
          <w:tcPr>
            <w:tcW w:w="2987" w:type="dxa"/>
          </w:tcPr>
          <w:p w:rsidR="009D3191" w:rsidRDefault="0073541E">
            <w:pPr>
              <w:pStyle w:val="TableParagraph"/>
              <w:spacing w:before="76"/>
              <w:ind w:left="200"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Call-Off Contract Description:</w:t>
            </w:r>
          </w:p>
        </w:tc>
        <w:tc>
          <w:tcPr>
            <w:tcW w:w="6179" w:type="dxa"/>
          </w:tcPr>
          <w:p w:rsidR="009D3191" w:rsidRDefault="0073541E">
            <w:pPr>
              <w:pStyle w:val="TableParagraph"/>
              <w:spacing w:before="76"/>
              <w:ind w:left="333" w:right="188"/>
            </w:pPr>
            <w:r>
              <w:rPr>
                <w:color w:val="0A0C0C"/>
              </w:rPr>
              <w:t>Support the development, installation and management of Army Firm Base Information Communication Services.</w:t>
            </w:r>
          </w:p>
        </w:tc>
      </w:tr>
      <w:tr w:rsidR="009D3191">
        <w:trPr>
          <w:trHeight w:hRule="exact" w:val="804"/>
        </w:trPr>
        <w:tc>
          <w:tcPr>
            <w:tcW w:w="2987" w:type="dxa"/>
          </w:tcPr>
          <w:p w:rsidR="009D3191" w:rsidRDefault="009D31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9D3191" w:rsidRDefault="0073541E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The Buyer:</w:t>
            </w:r>
          </w:p>
        </w:tc>
        <w:tc>
          <w:tcPr>
            <w:tcW w:w="6179" w:type="dxa"/>
          </w:tcPr>
          <w:p w:rsidR="009D3191" w:rsidRDefault="009D3191">
            <w:pPr>
              <w:pStyle w:val="TableParagraph"/>
              <w:rPr>
                <w:b/>
                <w:sz w:val="24"/>
              </w:rPr>
            </w:pPr>
          </w:p>
          <w:p w:rsidR="009D3191" w:rsidRDefault="0073541E">
            <w:pPr>
              <w:pStyle w:val="TableParagraph"/>
              <w:spacing w:before="168"/>
              <w:ind w:left="333"/>
            </w:pPr>
            <w:r>
              <w:t>Army Commercial (D Info)</w:t>
            </w:r>
          </w:p>
        </w:tc>
      </w:tr>
      <w:tr w:rsidR="009D3191">
        <w:trPr>
          <w:trHeight w:hRule="exact" w:val="1029"/>
        </w:trPr>
        <w:tc>
          <w:tcPr>
            <w:tcW w:w="2987" w:type="dxa"/>
          </w:tcPr>
          <w:p w:rsidR="009D3191" w:rsidRDefault="0073541E">
            <w:pPr>
              <w:pStyle w:val="TableParagraph"/>
              <w:spacing w:before="7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Buyer Address:</w:t>
            </w:r>
          </w:p>
        </w:tc>
        <w:tc>
          <w:tcPr>
            <w:tcW w:w="6179" w:type="dxa"/>
          </w:tcPr>
          <w:p w:rsidR="009D3191" w:rsidRDefault="0073541E">
            <w:pPr>
              <w:pStyle w:val="TableParagraph"/>
              <w:spacing w:before="77"/>
              <w:ind w:left="333"/>
            </w:pPr>
            <w:r>
              <w:t xml:space="preserve">Army HQ, IDL 1, Blenheim </w:t>
            </w:r>
            <w:proofErr w:type="spellStart"/>
            <w:r>
              <w:t>Bldg</w:t>
            </w:r>
            <w:proofErr w:type="spellEnd"/>
            <w:r>
              <w:t xml:space="preserve">, </w:t>
            </w:r>
            <w:proofErr w:type="spellStart"/>
            <w:r>
              <w:t>Monxton</w:t>
            </w:r>
            <w:proofErr w:type="spellEnd"/>
            <w:r>
              <w:t xml:space="preserve"> Road, Andover, Hampshire, SP11 8HJ</w:t>
            </w:r>
          </w:p>
        </w:tc>
      </w:tr>
      <w:tr w:rsidR="009D3191">
        <w:trPr>
          <w:trHeight w:hRule="exact" w:val="799"/>
        </w:trPr>
        <w:tc>
          <w:tcPr>
            <w:tcW w:w="2987" w:type="dxa"/>
          </w:tcPr>
          <w:p w:rsidR="009D3191" w:rsidRDefault="009D3191">
            <w:pPr>
              <w:pStyle w:val="TableParagraph"/>
              <w:spacing w:before="3"/>
              <w:rPr>
                <w:b/>
                <w:sz w:val="38"/>
              </w:rPr>
            </w:pPr>
          </w:p>
          <w:p w:rsidR="009D3191" w:rsidRDefault="0073541E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The Supplier:</w:t>
            </w:r>
          </w:p>
        </w:tc>
        <w:tc>
          <w:tcPr>
            <w:tcW w:w="6179" w:type="dxa"/>
          </w:tcPr>
          <w:p w:rsidR="009D3191" w:rsidRDefault="009D3191">
            <w:pPr>
              <w:pStyle w:val="TableParagraph"/>
              <w:rPr>
                <w:b/>
                <w:sz w:val="24"/>
              </w:rPr>
            </w:pPr>
          </w:p>
          <w:p w:rsidR="009D3191" w:rsidRDefault="0073541E">
            <w:pPr>
              <w:pStyle w:val="TableParagraph"/>
              <w:spacing w:before="164"/>
              <w:ind w:left="333"/>
            </w:pPr>
            <w:r>
              <w:t>L.A. International Computer Consultants Limited</w:t>
            </w:r>
          </w:p>
        </w:tc>
      </w:tr>
      <w:tr w:rsidR="009D3191">
        <w:trPr>
          <w:trHeight w:hRule="exact" w:val="1048"/>
        </w:trPr>
        <w:tc>
          <w:tcPr>
            <w:tcW w:w="2987" w:type="dxa"/>
          </w:tcPr>
          <w:p w:rsidR="009D3191" w:rsidRDefault="0073541E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Supplier Address:</w:t>
            </w:r>
          </w:p>
        </w:tc>
        <w:tc>
          <w:tcPr>
            <w:tcW w:w="6179" w:type="dxa"/>
          </w:tcPr>
          <w:p w:rsidR="009D3191" w:rsidRDefault="0073541E">
            <w:pPr>
              <w:pStyle w:val="TableParagraph"/>
              <w:spacing w:before="75"/>
              <w:ind w:left="333" w:right="3918"/>
            </w:pPr>
            <w:r>
              <w:t>International House Festival Way</w:t>
            </w:r>
            <w:bookmarkStart w:id="2" w:name="_GoBack"/>
            <w:bookmarkEnd w:id="2"/>
          </w:p>
          <w:p w:rsidR="009D3191" w:rsidRDefault="0073541E">
            <w:pPr>
              <w:pStyle w:val="TableParagraph"/>
              <w:spacing w:line="252" w:lineRule="exact"/>
              <w:ind w:left="333"/>
            </w:pPr>
            <w:r>
              <w:t>Stoke-on-Trent, ST1 5UB</w:t>
            </w:r>
          </w:p>
        </w:tc>
      </w:tr>
      <w:tr w:rsidR="009D3191">
        <w:trPr>
          <w:trHeight w:hRule="exact" w:val="566"/>
        </w:trPr>
        <w:tc>
          <w:tcPr>
            <w:tcW w:w="2987" w:type="dxa"/>
          </w:tcPr>
          <w:p w:rsidR="009D3191" w:rsidRDefault="0073541E">
            <w:pPr>
              <w:pStyle w:val="TableParagraph"/>
              <w:spacing w:before="20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 Number:</w:t>
            </w:r>
          </w:p>
        </w:tc>
        <w:tc>
          <w:tcPr>
            <w:tcW w:w="6179" w:type="dxa"/>
          </w:tcPr>
          <w:p w:rsidR="009D3191" w:rsidRDefault="0073541E">
            <w:pPr>
              <w:pStyle w:val="TableParagraph"/>
              <w:spacing w:before="206"/>
              <w:ind w:left="333"/>
            </w:pPr>
            <w:r>
              <w:t>01633646</w:t>
            </w:r>
          </w:p>
        </w:tc>
      </w:tr>
      <w:tr w:rsidR="009D3191">
        <w:trPr>
          <w:trHeight w:hRule="exact" w:val="438"/>
        </w:trPr>
        <w:tc>
          <w:tcPr>
            <w:tcW w:w="2987" w:type="dxa"/>
          </w:tcPr>
          <w:p w:rsidR="009D3191" w:rsidRDefault="0073541E">
            <w:pPr>
              <w:pStyle w:val="TableParagraph"/>
              <w:spacing w:before="7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DUNS Number:</w:t>
            </w:r>
          </w:p>
        </w:tc>
        <w:tc>
          <w:tcPr>
            <w:tcW w:w="6179" w:type="dxa"/>
          </w:tcPr>
          <w:p w:rsidR="009D3191" w:rsidRDefault="0073541E">
            <w:pPr>
              <w:pStyle w:val="TableParagraph"/>
              <w:spacing w:before="77"/>
              <w:ind w:left="333"/>
            </w:pPr>
            <w:r>
              <w:t>227846995</w:t>
            </w:r>
          </w:p>
        </w:tc>
      </w:tr>
      <w:tr w:rsidR="009D3191">
        <w:trPr>
          <w:trHeight w:hRule="exact" w:val="352"/>
        </w:trPr>
        <w:tc>
          <w:tcPr>
            <w:tcW w:w="2987" w:type="dxa"/>
          </w:tcPr>
          <w:p w:rsidR="009D3191" w:rsidRDefault="0073541E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SID4GOV ID:</w:t>
            </w:r>
          </w:p>
        </w:tc>
        <w:tc>
          <w:tcPr>
            <w:tcW w:w="6179" w:type="dxa"/>
          </w:tcPr>
          <w:p w:rsidR="009D3191" w:rsidRDefault="009D3191"/>
        </w:tc>
      </w:tr>
    </w:tbl>
    <w:p w:rsidR="009D3191" w:rsidRDefault="009D3191">
      <w:pPr>
        <w:pStyle w:val="BodyText"/>
        <w:rPr>
          <w:b/>
          <w:sz w:val="20"/>
        </w:rPr>
      </w:pPr>
    </w:p>
    <w:p w:rsidR="009D3191" w:rsidRDefault="009D3191">
      <w:pPr>
        <w:pStyle w:val="BodyText"/>
        <w:spacing w:before="9"/>
        <w:rPr>
          <w:b/>
          <w:sz w:val="29"/>
        </w:rPr>
      </w:pPr>
    </w:p>
    <w:p w:rsidR="009D3191" w:rsidRDefault="0073541E">
      <w:pPr>
        <w:pStyle w:val="Heading3"/>
        <w:spacing w:before="92"/>
        <w:jc w:val="left"/>
      </w:pPr>
      <w:r>
        <w:t>APPLICABLE FRAMEWORK CONTRACT</w:t>
      </w:r>
    </w:p>
    <w:p w:rsidR="009D3191" w:rsidRDefault="0073541E">
      <w:pPr>
        <w:pStyle w:val="BodyText"/>
        <w:spacing w:before="160"/>
        <w:ind w:left="1200"/>
      </w:pPr>
      <w:r>
        <w:t>This Order Form is for the provision of the Call-Off Deliverables and dated 25 May 2021.</w:t>
      </w:r>
    </w:p>
    <w:p w:rsidR="009D3191" w:rsidRDefault="0073541E">
      <w:pPr>
        <w:pStyle w:val="BodyText"/>
        <w:spacing w:before="160"/>
        <w:ind w:left="1200" w:right="769"/>
      </w:pPr>
      <w:r>
        <w:t>It’s issued under the Framework Contract with the reference number RM1043.7 for the provision of Digital Outcomes and Specialists Deliverables.</w:t>
      </w:r>
    </w:p>
    <w:p w:rsidR="009D3191" w:rsidRDefault="0073541E">
      <w:pPr>
        <w:pStyle w:val="BodyText"/>
        <w:spacing w:before="160"/>
        <w:ind w:left="1200" w:right="381"/>
        <w:jc w:val="both"/>
      </w:pPr>
      <w:r>
        <w:t xml:space="preserve">The Parties intend that this Call-Off Contract will not, except for the first Statement of Work which shall be executed </w:t>
      </w:r>
      <w:proofErr w:type="gramStart"/>
      <w:r>
        <w:t>at the same time that</w:t>
      </w:r>
      <w:proofErr w:type="gramEnd"/>
      <w:r>
        <w:t xml:space="preserve"> the Call-Off Contract is executed, oblige the Buyer to buy or the Supplier to supply Deliverables.</w:t>
      </w:r>
    </w:p>
    <w:p w:rsidR="009D3191" w:rsidRDefault="0073541E">
      <w:pPr>
        <w:pStyle w:val="BodyText"/>
        <w:spacing w:before="160"/>
        <w:ind w:left="1200" w:right="172"/>
      </w:pPr>
      <w:r>
        <w:t>The Parties agree that when a Buyer seeks further Deliverables from the Supplier under the Call-Off Contract, the Buyer and Supplier will agree and execute a further Statement of Work (in the form of the template set out in Annex 1 to this Framework Schedule 6 (Order Form Template, Statement of Work Template and Call-Off Schedules).</w:t>
      </w:r>
    </w:p>
    <w:p w:rsidR="009D3191" w:rsidRDefault="0073541E">
      <w:pPr>
        <w:pStyle w:val="BodyText"/>
        <w:spacing w:before="162"/>
        <w:ind w:left="1200"/>
      </w:pPr>
      <w:r>
        <w:t>Upon the execution of each Statement of Work it shall become incorporated into the Buyer</w:t>
      </w:r>
    </w:p>
    <w:p w:rsidR="009D3191" w:rsidRDefault="009D3191">
      <w:pPr>
        <w:sectPr w:rsidR="009D3191">
          <w:headerReference w:type="default" r:id="rId7"/>
          <w:footerReference w:type="default" r:id="rId8"/>
          <w:type w:val="continuous"/>
          <w:pgSz w:w="11910" w:h="16840"/>
          <w:pgMar w:top="940" w:right="1280" w:bottom="1200" w:left="240" w:header="203" w:footer="1008" w:gutter="0"/>
          <w:pgNumType w:start="1"/>
          <w:cols w:space="720"/>
        </w:sectPr>
      </w:pPr>
    </w:p>
    <w:p w:rsidR="009D3191" w:rsidRDefault="009D3191">
      <w:pPr>
        <w:pStyle w:val="BodyText"/>
        <w:rPr>
          <w:sz w:val="20"/>
        </w:rPr>
      </w:pPr>
    </w:p>
    <w:p w:rsidR="009D3191" w:rsidRDefault="009D3191">
      <w:pPr>
        <w:pStyle w:val="BodyText"/>
        <w:spacing w:before="7"/>
        <w:rPr>
          <w:sz w:val="21"/>
        </w:rPr>
      </w:pPr>
    </w:p>
    <w:p w:rsidR="009D3191" w:rsidRDefault="0073541E">
      <w:pPr>
        <w:pStyle w:val="BodyText"/>
        <w:ind w:left="1200"/>
        <w:jc w:val="both"/>
      </w:pPr>
      <w:r>
        <w:t>and Supplier’s Call-Off Contract.</w:t>
      </w:r>
    </w:p>
    <w:p w:rsidR="009D3191" w:rsidRDefault="009D3191">
      <w:pPr>
        <w:pStyle w:val="BodyText"/>
        <w:spacing w:before="10"/>
        <w:rPr>
          <w:sz w:val="35"/>
        </w:rPr>
      </w:pPr>
    </w:p>
    <w:p w:rsidR="009D3191" w:rsidRDefault="0073541E">
      <w:pPr>
        <w:pStyle w:val="Heading3"/>
      </w:pPr>
      <w:r>
        <w:t>CALL-OFF LOT(S):</w:t>
      </w:r>
    </w:p>
    <w:p w:rsidR="009D3191" w:rsidRDefault="0073541E">
      <w:pPr>
        <w:pStyle w:val="BodyText"/>
        <w:spacing w:before="160"/>
        <w:ind w:left="1200"/>
        <w:jc w:val="both"/>
      </w:pPr>
      <w:r>
        <w:t>Lot 2: Digital Specialists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38"/>
      </w:pPr>
      <w:r>
        <w:t>CALL-OFF INCORPORATED TERMS</w:t>
      </w:r>
    </w:p>
    <w:p w:rsidR="009D3191" w:rsidRDefault="0073541E">
      <w:pPr>
        <w:pStyle w:val="BodyText"/>
        <w:spacing w:before="158"/>
        <w:ind w:left="1200" w:right="116"/>
        <w:jc w:val="both"/>
      </w:pPr>
      <w:r>
        <w:t xml:space="preserve">The following documents are incorporated into this Call-Off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</w:t>
      </w:r>
    </w:p>
    <w:p w:rsidR="009D3191" w:rsidRDefault="0073541E">
      <w:pPr>
        <w:pStyle w:val="Heading4"/>
        <w:numPr>
          <w:ilvl w:val="0"/>
          <w:numId w:val="2"/>
        </w:numPr>
        <w:tabs>
          <w:tab w:val="left" w:pos="1908"/>
          <w:tab w:val="left" w:pos="1909"/>
        </w:tabs>
        <w:spacing w:before="157"/>
        <w:ind w:right="731"/>
      </w:pPr>
      <w:r>
        <w:t>This Order Form including the Call-Off Special Terms and Call-Off Special Schedules.</w:t>
      </w:r>
    </w:p>
    <w:p w:rsidR="009D3191" w:rsidRDefault="0073541E">
      <w:pPr>
        <w:pStyle w:val="ListParagraph"/>
        <w:numPr>
          <w:ilvl w:val="0"/>
          <w:numId w:val="2"/>
        </w:numPr>
        <w:tabs>
          <w:tab w:val="left" w:pos="1909"/>
        </w:tabs>
        <w:jc w:val="both"/>
        <w:rPr>
          <w:b/>
        </w:rPr>
      </w:pPr>
      <w:r>
        <w:rPr>
          <w:b/>
        </w:rPr>
        <w:t>Joint Schedule 1 (Definitions)</w:t>
      </w:r>
      <w:r>
        <w:rPr>
          <w:b/>
          <w:spacing w:val="-11"/>
        </w:rPr>
        <w:t xml:space="preserve"> </w:t>
      </w:r>
      <w:r>
        <w:rPr>
          <w:b/>
        </w:rPr>
        <w:t>RM1043.7</w:t>
      </w:r>
    </w:p>
    <w:p w:rsidR="009D3191" w:rsidRDefault="0073541E">
      <w:pPr>
        <w:pStyle w:val="ListParagraph"/>
        <w:numPr>
          <w:ilvl w:val="0"/>
          <w:numId w:val="2"/>
        </w:numPr>
        <w:tabs>
          <w:tab w:val="left" w:pos="1909"/>
        </w:tabs>
        <w:jc w:val="both"/>
        <w:rPr>
          <w:b/>
        </w:rPr>
      </w:pPr>
      <w:r>
        <w:rPr>
          <w:b/>
        </w:rPr>
        <w:t>Framework Special</w:t>
      </w:r>
      <w:r>
        <w:rPr>
          <w:b/>
          <w:spacing w:val="-3"/>
        </w:rPr>
        <w:t xml:space="preserve"> </w:t>
      </w:r>
      <w:r>
        <w:rPr>
          <w:b/>
        </w:rPr>
        <w:t>Terms</w:t>
      </w:r>
    </w:p>
    <w:p w:rsidR="009D3191" w:rsidRDefault="0073541E">
      <w:pPr>
        <w:pStyle w:val="ListParagraph"/>
        <w:numPr>
          <w:ilvl w:val="0"/>
          <w:numId w:val="2"/>
        </w:numPr>
        <w:tabs>
          <w:tab w:val="left" w:pos="1909"/>
        </w:tabs>
        <w:jc w:val="both"/>
        <w:rPr>
          <w:b/>
        </w:rPr>
      </w:pPr>
      <w:r>
        <w:rPr>
          <w:b/>
        </w:rPr>
        <w:t>The following Schedules in equal order of</w:t>
      </w:r>
      <w:r>
        <w:rPr>
          <w:b/>
          <w:spacing w:val="-8"/>
        </w:rPr>
        <w:t xml:space="preserve"> </w:t>
      </w:r>
      <w:r>
        <w:rPr>
          <w:b/>
        </w:rPr>
        <w:t>precedence:</w:t>
      </w:r>
    </w:p>
    <w:p w:rsidR="009D3191" w:rsidRDefault="0073541E">
      <w:pPr>
        <w:pStyle w:val="ListParagraph"/>
        <w:numPr>
          <w:ilvl w:val="1"/>
          <w:numId w:val="2"/>
        </w:numPr>
        <w:tabs>
          <w:tab w:val="left" w:pos="2760"/>
          <w:tab w:val="left" w:pos="2761"/>
        </w:tabs>
        <w:rPr>
          <w:b/>
        </w:rPr>
      </w:pPr>
      <w:r>
        <w:rPr>
          <w:b/>
        </w:rPr>
        <w:t>Joint Schedules for</w:t>
      </w:r>
      <w:r>
        <w:rPr>
          <w:b/>
          <w:spacing w:val="-4"/>
        </w:rPr>
        <w:t xml:space="preserve"> </w:t>
      </w:r>
      <w:r>
        <w:rPr>
          <w:b/>
        </w:rPr>
        <w:t>RM1043.7</w:t>
      </w:r>
    </w:p>
    <w:p w:rsidR="009D3191" w:rsidRDefault="0073541E">
      <w:pPr>
        <w:pStyle w:val="BodyText"/>
        <w:spacing w:before="162"/>
        <w:ind w:left="2760" w:right="4293"/>
      </w:pPr>
      <w:r>
        <w:t>Joint Schedule 1 (Definitions) Joint Schedule 2 (Variation Form)</w:t>
      </w:r>
    </w:p>
    <w:p w:rsidR="009D3191" w:rsidRDefault="0073541E">
      <w:pPr>
        <w:pStyle w:val="BodyText"/>
        <w:spacing w:before="1" w:line="252" w:lineRule="exact"/>
        <w:ind w:left="2760"/>
      </w:pPr>
      <w:r>
        <w:t>Joint Schedule 3 (Insurance Requirements)</w:t>
      </w:r>
    </w:p>
    <w:p w:rsidR="009D3191" w:rsidRDefault="0073541E">
      <w:pPr>
        <w:pStyle w:val="BodyText"/>
        <w:ind w:left="2760" w:right="2287"/>
      </w:pPr>
      <w:r>
        <w:t>Joint Schedule 4 (Commercially Sensitive Information) Joint Schedule 5 (Corporate Social Responsibility) Joint Schedule 6 (Key Subcontractors)</w:t>
      </w:r>
    </w:p>
    <w:p w:rsidR="009D3191" w:rsidRDefault="0073541E">
      <w:pPr>
        <w:pStyle w:val="BodyText"/>
        <w:spacing w:line="252" w:lineRule="exact"/>
        <w:ind w:left="2760"/>
      </w:pPr>
      <w:r>
        <w:t>Joint Schedule 7 (Financial Difficulties)</w:t>
      </w:r>
    </w:p>
    <w:p w:rsidR="009D3191" w:rsidRDefault="0073541E">
      <w:pPr>
        <w:spacing w:line="252" w:lineRule="exact"/>
        <w:ind w:left="2760"/>
        <w:rPr>
          <w:b/>
        </w:rPr>
      </w:pPr>
      <w:r>
        <w:t xml:space="preserve">Joint Schedule 8 (Guarantee) – </w:t>
      </w:r>
      <w:r>
        <w:rPr>
          <w:b/>
        </w:rPr>
        <w:t>NOT APPLICABLE</w:t>
      </w:r>
    </w:p>
    <w:p w:rsidR="009D3191" w:rsidRDefault="0073541E">
      <w:pPr>
        <w:pStyle w:val="BodyText"/>
        <w:spacing w:line="252" w:lineRule="exact"/>
        <w:ind w:left="2760"/>
        <w:rPr>
          <w:b/>
        </w:rPr>
      </w:pPr>
      <w:r>
        <w:t xml:space="preserve">Joint Schedule 9 (Blank) </w:t>
      </w:r>
      <w:r>
        <w:rPr>
          <w:b/>
        </w:rPr>
        <w:t>– N/A</w:t>
      </w:r>
    </w:p>
    <w:p w:rsidR="009D3191" w:rsidRDefault="0073541E">
      <w:pPr>
        <w:pStyle w:val="BodyText"/>
        <w:spacing w:before="4" w:line="252" w:lineRule="exact"/>
        <w:ind w:left="2760"/>
      </w:pPr>
      <w:r>
        <w:t>Joint Schedule 10 (Rectification Plan)</w:t>
      </w:r>
    </w:p>
    <w:p w:rsidR="009D3191" w:rsidRDefault="0073541E">
      <w:pPr>
        <w:pStyle w:val="BodyText"/>
        <w:spacing w:line="251" w:lineRule="exact"/>
        <w:ind w:left="2760"/>
      </w:pPr>
      <w:r>
        <w:t>Joint Schedule 11 (Processing Data) RM1043.7</w:t>
      </w:r>
    </w:p>
    <w:p w:rsidR="009D3191" w:rsidRDefault="0073541E">
      <w:pPr>
        <w:spacing w:line="251" w:lineRule="exact"/>
        <w:ind w:left="2760"/>
        <w:rPr>
          <w:b/>
        </w:rPr>
      </w:pPr>
      <w:r>
        <w:t xml:space="preserve">Joint Schedule 12 (Supply Chain Visibility) – </w:t>
      </w:r>
      <w:r>
        <w:rPr>
          <w:b/>
        </w:rPr>
        <w:t>NOT APPLICABLE</w:t>
      </w:r>
    </w:p>
    <w:p w:rsidR="009D3191" w:rsidRDefault="0073541E">
      <w:pPr>
        <w:pStyle w:val="Heading4"/>
        <w:numPr>
          <w:ilvl w:val="1"/>
          <w:numId w:val="2"/>
        </w:numPr>
        <w:tabs>
          <w:tab w:val="left" w:pos="851"/>
          <w:tab w:val="left" w:pos="2761"/>
        </w:tabs>
        <w:spacing w:before="162"/>
        <w:ind w:right="392"/>
      </w:pPr>
      <w:r>
        <w:t>Call-Off Schedules for 701557140</w:t>
      </w:r>
      <w:r>
        <w:rPr>
          <w:spacing w:val="-18"/>
        </w:rPr>
        <w:t xml:space="preserve"> </w:t>
      </w:r>
      <w:r>
        <w:t>(</w:t>
      </w:r>
      <w:proofErr w:type="spellStart"/>
      <w:r>
        <w:t>DInfoCom</w:t>
      </w:r>
      <w:proofErr w:type="spellEnd"/>
      <w:r>
        <w:t>/0176)</w:t>
      </w:r>
    </w:p>
    <w:p w:rsidR="009D3191" w:rsidRDefault="0073541E">
      <w:pPr>
        <w:pStyle w:val="BodyText"/>
        <w:spacing w:before="162"/>
        <w:ind w:left="2760" w:right="3291"/>
      </w:pPr>
      <w:r>
        <w:t>Call-Off Schedule 1 (Transparency Reports) Call-Off Schedule 2 (Staff Transfer)</w:t>
      </w:r>
    </w:p>
    <w:p w:rsidR="009D3191" w:rsidRDefault="0073541E">
      <w:pPr>
        <w:pStyle w:val="BodyText"/>
        <w:spacing w:line="252" w:lineRule="exact"/>
        <w:ind w:left="2760"/>
      </w:pPr>
      <w:r>
        <w:t>Call-Off Schedule 3 (Continuous Improvement)</w:t>
      </w:r>
    </w:p>
    <w:p w:rsidR="009D3191" w:rsidRDefault="0073541E">
      <w:pPr>
        <w:spacing w:line="252" w:lineRule="exact"/>
        <w:ind w:left="2760"/>
        <w:rPr>
          <w:b/>
        </w:rPr>
      </w:pPr>
      <w:r>
        <w:t xml:space="preserve">Call-Off Schedule 4 (Call Off Tender) - </w:t>
      </w:r>
      <w:r>
        <w:rPr>
          <w:b/>
        </w:rPr>
        <w:t>NOT APPLICABLE</w:t>
      </w:r>
    </w:p>
    <w:p w:rsidR="009D3191" w:rsidRDefault="0073541E">
      <w:pPr>
        <w:pStyle w:val="BodyText"/>
        <w:spacing w:before="1"/>
        <w:ind w:left="2760"/>
      </w:pPr>
      <w:r>
        <w:t>Call-Off Schedule 5 (Pricing Details and Expenses Policy)</w:t>
      </w:r>
    </w:p>
    <w:p w:rsidR="009D3191" w:rsidRDefault="0073541E">
      <w:pPr>
        <w:pStyle w:val="BodyText"/>
        <w:spacing w:before="1"/>
        <w:ind w:left="3044" w:right="453" w:hanging="284"/>
      </w:pPr>
      <w:r>
        <w:t>Call-Off Schedule 6 (Intellectual Property Rights and Additional Terms on Digital Deliverables)</w:t>
      </w:r>
    </w:p>
    <w:p w:rsidR="009D3191" w:rsidRDefault="0073541E">
      <w:pPr>
        <w:pStyle w:val="BodyText"/>
        <w:spacing w:line="252" w:lineRule="exact"/>
        <w:ind w:left="2760"/>
      </w:pPr>
      <w:r>
        <w:t>Call-Off Schedule 7 (Key Supplier Staff)</w:t>
      </w:r>
    </w:p>
    <w:p w:rsidR="009D3191" w:rsidRDefault="0073541E">
      <w:pPr>
        <w:pStyle w:val="BodyText"/>
        <w:ind w:left="2760" w:right="527"/>
        <w:rPr>
          <w:b/>
        </w:rPr>
      </w:pPr>
      <w:r>
        <w:t xml:space="preserve">Call-Off Schedule 8 (Business Continuity and Disaster Recovery) – </w:t>
      </w:r>
      <w:r>
        <w:rPr>
          <w:b/>
        </w:rPr>
        <w:t>NOT APPLICABLE</w:t>
      </w:r>
    </w:p>
    <w:p w:rsidR="009D3191" w:rsidRDefault="0073541E">
      <w:pPr>
        <w:pStyle w:val="BodyText"/>
        <w:spacing w:before="6" w:line="237" w:lineRule="auto"/>
        <w:ind w:left="2760" w:right="3632"/>
        <w:rPr>
          <w:b/>
        </w:rPr>
      </w:pPr>
      <w:r>
        <w:t xml:space="preserve">Call-Off Schedule 9 (Security) – Part A Call-Off Schedule 10 (Exit Management) Call-Off Schedule 11 (Blank) </w:t>
      </w:r>
      <w:r>
        <w:rPr>
          <w:b/>
        </w:rPr>
        <w:t>– N/A</w:t>
      </w:r>
    </w:p>
    <w:p w:rsidR="009D3191" w:rsidRDefault="0073541E">
      <w:pPr>
        <w:pStyle w:val="BodyText"/>
        <w:spacing w:before="2"/>
        <w:ind w:left="2760"/>
        <w:rPr>
          <w:b/>
        </w:rPr>
      </w:pPr>
      <w:r>
        <w:t xml:space="preserve">Call-Off Schedule 12 (Blank) </w:t>
      </w:r>
      <w:r>
        <w:rPr>
          <w:b/>
        </w:rPr>
        <w:t>– N/A</w:t>
      </w:r>
    </w:p>
    <w:p w:rsidR="009D3191" w:rsidRDefault="0073541E">
      <w:pPr>
        <w:pStyle w:val="BodyText"/>
        <w:spacing w:before="1"/>
        <w:ind w:left="2760"/>
      </w:pPr>
      <w:r>
        <w:t>Call-Off Schedule 13 (Implementation Plan and Testing)</w:t>
      </w:r>
    </w:p>
    <w:p w:rsidR="009D3191" w:rsidRDefault="0073541E">
      <w:pPr>
        <w:pStyle w:val="BodyText"/>
        <w:spacing w:before="1"/>
        <w:ind w:left="2760" w:right="1443"/>
      </w:pPr>
      <w:r>
        <w:t>Call-Off Schedule 14 (Service Levels and Balanced Scorecard) Call-Off Schedule 15 (Call-Off Contract Management)</w:t>
      </w:r>
    </w:p>
    <w:p w:rsidR="009D3191" w:rsidRDefault="0073541E">
      <w:pPr>
        <w:spacing w:line="252" w:lineRule="exact"/>
        <w:ind w:left="2760"/>
        <w:rPr>
          <w:b/>
        </w:rPr>
      </w:pPr>
      <w:r>
        <w:t xml:space="preserve">Call-Off Schedule 16 (Benchmarking) – </w:t>
      </w:r>
      <w:r>
        <w:rPr>
          <w:b/>
        </w:rPr>
        <w:t>NOT APPLICABLE</w:t>
      </w:r>
    </w:p>
    <w:p w:rsidR="009D3191" w:rsidRDefault="0073541E">
      <w:pPr>
        <w:pStyle w:val="BodyText"/>
        <w:spacing w:before="1" w:line="251" w:lineRule="exact"/>
        <w:ind w:left="2760"/>
      </w:pPr>
      <w:r>
        <w:t>Call-Off Schedule 17 (MOD Terms)</w:t>
      </w:r>
    </w:p>
    <w:p w:rsidR="009D3191" w:rsidRDefault="0073541E">
      <w:pPr>
        <w:spacing w:line="251" w:lineRule="exact"/>
        <w:ind w:left="2760"/>
        <w:rPr>
          <w:b/>
        </w:rPr>
      </w:pPr>
      <w:r>
        <w:t xml:space="preserve">Call-Off Schedule 18 (Background Checks) – </w:t>
      </w:r>
      <w:r>
        <w:rPr>
          <w:b/>
        </w:rPr>
        <w:t>NOT APPLICABLE</w:t>
      </w:r>
    </w:p>
    <w:p w:rsidR="009D3191" w:rsidRDefault="009D3191">
      <w:pPr>
        <w:spacing w:line="251" w:lineRule="exact"/>
        <w:sectPr w:rsidR="009D3191">
          <w:pgSz w:w="11910" w:h="16840"/>
          <w:pgMar w:top="940" w:right="1320" w:bottom="1200" w:left="240" w:header="203" w:footer="1008" w:gutter="0"/>
          <w:cols w:space="720"/>
        </w:sectPr>
      </w:pPr>
    </w:p>
    <w:p w:rsidR="009D3191" w:rsidRDefault="009D3191">
      <w:pPr>
        <w:pStyle w:val="BodyText"/>
        <w:rPr>
          <w:b/>
          <w:sz w:val="20"/>
        </w:rPr>
      </w:pPr>
    </w:p>
    <w:p w:rsidR="009D3191" w:rsidRDefault="009D3191">
      <w:pPr>
        <w:pStyle w:val="BodyText"/>
        <w:spacing w:before="5"/>
        <w:rPr>
          <w:b/>
          <w:sz w:val="21"/>
        </w:rPr>
      </w:pPr>
    </w:p>
    <w:p w:rsidR="009D3191" w:rsidRDefault="0073541E">
      <w:pPr>
        <w:ind w:left="2760"/>
        <w:jc w:val="both"/>
        <w:rPr>
          <w:b/>
        </w:rPr>
      </w:pPr>
      <w:r>
        <w:t xml:space="preserve">Call-Off Schedule 19 (Scottish Law) – </w:t>
      </w:r>
      <w:r>
        <w:rPr>
          <w:b/>
        </w:rPr>
        <w:t>NOT APPLICABLE</w:t>
      </w:r>
    </w:p>
    <w:p w:rsidR="009D3191" w:rsidRDefault="0073541E">
      <w:pPr>
        <w:pStyle w:val="BodyText"/>
        <w:spacing w:before="2" w:line="252" w:lineRule="exact"/>
        <w:ind w:left="2760"/>
        <w:jc w:val="both"/>
      </w:pPr>
      <w:r>
        <w:t>Call-Off Schedule 20 (Call-Off Specification)</w:t>
      </w:r>
    </w:p>
    <w:p w:rsidR="009D3191" w:rsidRDefault="0073541E">
      <w:pPr>
        <w:spacing w:line="252" w:lineRule="exact"/>
        <w:ind w:left="2760"/>
        <w:jc w:val="both"/>
        <w:rPr>
          <w:b/>
        </w:rPr>
      </w:pPr>
      <w:r>
        <w:t xml:space="preserve">Call-Off Schedule 21 (Northern Ireland Law) – </w:t>
      </w:r>
      <w:r>
        <w:rPr>
          <w:b/>
        </w:rPr>
        <w:t>NOT APPLICABLE</w:t>
      </w:r>
    </w:p>
    <w:p w:rsidR="009D3191" w:rsidRDefault="0073541E">
      <w:pPr>
        <w:pStyle w:val="BodyText"/>
        <w:ind w:left="2760" w:right="4227"/>
        <w:jc w:val="both"/>
        <w:rPr>
          <w:b/>
        </w:rPr>
      </w:pPr>
      <w:r>
        <w:t xml:space="preserve">Call-Off Schedule 22 (Blank) </w:t>
      </w:r>
      <w:r>
        <w:rPr>
          <w:b/>
        </w:rPr>
        <w:t xml:space="preserve">– N/A </w:t>
      </w:r>
      <w:r>
        <w:t xml:space="preserve">Call-Off Schedule 23 (Blank) </w:t>
      </w:r>
      <w:r>
        <w:rPr>
          <w:b/>
        </w:rPr>
        <w:t xml:space="preserve">– N/A </w:t>
      </w:r>
      <w:r>
        <w:t xml:space="preserve">Call-Off Schedule 24 (Blank) </w:t>
      </w:r>
      <w:r>
        <w:rPr>
          <w:b/>
        </w:rPr>
        <w:t>– N/A</w:t>
      </w:r>
    </w:p>
    <w:p w:rsidR="009D3191" w:rsidRDefault="0073541E">
      <w:pPr>
        <w:pStyle w:val="BodyText"/>
        <w:spacing w:before="1"/>
        <w:ind w:left="2760" w:right="2886"/>
      </w:pPr>
      <w:r>
        <w:t>Call-Off Schedule 25 (Ethical Walls Agreement) Call-Off Schedule 26 (Cyber Essentials Scheme)</w:t>
      </w:r>
    </w:p>
    <w:p w:rsidR="009D3191" w:rsidRDefault="0073541E">
      <w:pPr>
        <w:pStyle w:val="Heading4"/>
        <w:numPr>
          <w:ilvl w:val="0"/>
          <w:numId w:val="2"/>
        </w:numPr>
        <w:tabs>
          <w:tab w:val="left" w:pos="1908"/>
          <w:tab w:val="left" w:pos="1909"/>
        </w:tabs>
        <w:spacing w:before="157"/>
      </w:pPr>
      <w:r>
        <w:t>CCS Core Terms (version</w:t>
      </w:r>
      <w:r>
        <w:rPr>
          <w:spacing w:val="-6"/>
        </w:rPr>
        <w:t xml:space="preserve"> </w:t>
      </w:r>
      <w:r>
        <w:t>3.0.9)</w:t>
      </w:r>
    </w:p>
    <w:p w:rsidR="009D3191" w:rsidRDefault="0073541E">
      <w:pPr>
        <w:pStyle w:val="ListParagraph"/>
        <w:numPr>
          <w:ilvl w:val="0"/>
          <w:numId w:val="2"/>
        </w:numPr>
        <w:tabs>
          <w:tab w:val="left" w:pos="1908"/>
          <w:tab w:val="left" w:pos="1909"/>
        </w:tabs>
        <w:rPr>
          <w:b/>
        </w:rPr>
      </w:pPr>
      <w:r>
        <w:rPr>
          <w:b/>
        </w:rPr>
        <w:t>Joint Schedule 5 (Corporate Social Responsibility)</w:t>
      </w:r>
      <w:r>
        <w:rPr>
          <w:b/>
          <w:spacing w:val="-18"/>
        </w:rPr>
        <w:t xml:space="preserve"> </w:t>
      </w:r>
      <w:r>
        <w:rPr>
          <w:b/>
        </w:rPr>
        <w:t>RM1043.7</w:t>
      </w:r>
    </w:p>
    <w:p w:rsidR="009D3191" w:rsidRDefault="0073541E">
      <w:pPr>
        <w:pStyle w:val="ListParagraph"/>
        <w:numPr>
          <w:ilvl w:val="0"/>
          <w:numId w:val="2"/>
        </w:numPr>
        <w:tabs>
          <w:tab w:val="left" w:pos="1908"/>
          <w:tab w:val="left" w:pos="1909"/>
        </w:tabs>
        <w:ind w:right="193"/>
        <w:rPr>
          <w:b/>
        </w:rPr>
      </w:pPr>
      <w:r>
        <w:rPr>
          <w:b/>
        </w:rPr>
        <w:t>Call-Off Schedule 4 (Call-Off Tender) as long as any parts of the Call-Off Tender that offer a better commercial position for the Buyer (as decided by the Buyer) take precedence over the documents</w:t>
      </w:r>
      <w:r>
        <w:rPr>
          <w:b/>
          <w:spacing w:val="-5"/>
        </w:rPr>
        <w:t xml:space="preserve"> </w:t>
      </w:r>
      <w:r>
        <w:rPr>
          <w:b/>
        </w:rPr>
        <w:t>above.</w:t>
      </w:r>
    </w:p>
    <w:p w:rsidR="009D3191" w:rsidRDefault="0073541E">
      <w:pPr>
        <w:pStyle w:val="BodyText"/>
        <w:spacing w:before="163"/>
        <w:ind w:left="1200"/>
      </w:pPr>
      <w:r>
        <w:t>No other Supplier terms are part of the Call-Off Contract. That includes any terms written on the back of, added to this Order Form, or presented at the time of delivery.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38"/>
        <w:jc w:val="left"/>
      </w:pPr>
      <w:r>
        <w:t>CALL-OFF SPECIAL TERMS</w:t>
      </w:r>
    </w:p>
    <w:p w:rsidR="009D3191" w:rsidRDefault="0073541E">
      <w:pPr>
        <w:pStyle w:val="BodyText"/>
        <w:spacing w:before="160"/>
        <w:ind w:left="1200"/>
      </w:pPr>
      <w:r>
        <w:t>The following Special Terms are incorporated into this Call-Off Contract:</w:t>
      </w:r>
    </w:p>
    <w:p w:rsidR="009D3191" w:rsidRDefault="0073541E">
      <w:pPr>
        <w:pStyle w:val="ListParagraph"/>
        <w:numPr>
          <w:ilvl w:val="0"/>
          <w:numId w:val="1"/>
        </w:numPr>
        <w:tabs>
          <w:tab w:val="left" w:pos="1908"/>
          <w:tab w:val="left" w:pos="1909"/>
        </w:tabs>
        <w:ind w:right="176"/>
      </w:pPr>
      <w:r>
        <w:t xml:space="preserve">AUTHORISATION BY THE CROWN FOR USE OF </w:t>
      </w:r>
      <w:proofErr w:type="gramStart"/>
      <w:r>
        <w:t>THIRD PARTY</w:t>
      </w:r>
      <w:proofErr w:type="gramEnd"/>
      <w:r>
        <w:t xml:space="preserve"> INTELLECTUAL PROPERTY</w:t>
      </w:r>
      <w:r>
        <w:rPr>
          <w:spacing w:val="-7"/>
        </w:rPr>
        <w:t xml:space="preserve"> </w:t>
      </w:r>
      <w:r>
        <w:t>RIGHTS.</w:t>
      </w:r>
    </w:p>
    <w:p w:rsidR="009D3191" w:rsidRDefault="0073541E">
      <w:pPr>
        <w:pStyle w:val="ListParagraph"/>
        <w:numPr>
          <w:ilvl w:val="1"/>
          <w:numId w:val="1"/>
        </w:numPr>
        <w:tabs>
          <w:tab w:val="left" w:pos="2761"/>
        </w:tabs>
        <w:ind w:right="178"/>
        <w:jc w:val="both"/>
      </w:pPr>
      <w:r>
        <w:t>Notwithstanding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avoidance</w:t>
      </w:r>
      <w:r>
        <w:rPr>
          <w:spacing w:val="-8"/>
        </w:rPr>
        <w:t xml:space="preserve"> </w:t>
      </w:r>
      <w:r>
        <w:t>of doubt, award of the Contract by the Authority and placement of any contract task</w:t>
      </w:r>
      <w:r>
        <w:rPr>
          <w:spacing w:val="-13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does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constitute</w:t>
      </w:r>
      <w:r>
        <w:rPr>
          <w:spacing w:val="-15"/>
        </w:rPr>
        <w:t xml:space="preserve"> </w:t>
      </w:r>
      <w:r>
        <w:t>an</w:t>
      </w:r>
      <w:r>
        <w:rPr>
          <w:spacing w:val="-16"/>
        </w:rPr>
        <w:t xml:space="preserve"> </w:t>
      </w:r>
      <w:proofErr w:type="spellStart"/>
      <w:r>
        <w:t>authorisation</w:t>
      </w:r>
      <w:proofErr w:type="spellEnd"/>
      <w:r>
        <w:rPr>
          <w:spacing w:val="-14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Crown</w:t>
      </w:r>
      <w:r>
        <w:rPr>
          <w:spacing w:val="-13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Sections 55 and 56 of the Patents Act 1977 or Section 12 of the Registered Designs Act</w:t>
      </w:r>
      <w:r>
        <w:rPr>
          <w:spacing w:val="-1"/>
        </w:rPr>
        <w:t xml:space="preserve"> </w:t>
      </w:r>
      <w:r>
        <w:t>1949.</w:t>
      </w:r>
    </w:p>
    <w:p w:rsidR="009D3191" w:rsidRDefault="0073541E">
      <w:pPr>
        <w:pStyle w:val="ListParagraph"/>
        <w:numPr>
          <w:ilvl w:val="1"/>
          <w:numId w:val="1"/>
        </w:numPr>
        <w:tabs>
          <w:tab w:val="left" w:pos="2761"/>
        </w:tabs>
        <w:ind w:right="178"/>
        <w:jc w:val="both"/>
      </w:pPr>
      <w:r>
        <w:t xml:space="preserve">The Contractor acknowledges that any such </w:t>
      </w:r>
      <w:proofErr w:type="spellStart"/>
      <w:r>
        <w:t>authorisation</w:t>
      </w:r>
      <w:proofErr w:type="spellEnd"/>
      <w:r>
        <w:t xml:space="preserve"> by the Authority under its statutory powers must be expressly provided in writing, with reference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acts</w:t>
      </w:r>
      <w:r>
        <w:rPr>
          <w:spacing w:val="-13"/>
        </w:rPr>
        <w:t xml:space="preserve"> </w:t>
      </w:r>
      <w:proofErr w:type="spellStart"/>
      <w:r>
        <w:t>authorised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specific</w:t>
      </w:r>
      <w:r>
        <w:rPr>
          <w:spacing w:val="-16"/>
        </w:rPr>
        <w:t xml:space="preserve"> </w:t>
      </w:r>
      <w:r>
        <w:t>intellectual</w:t>
      </w:r>
      <w:r>
        <w:rPr>
          <w:spacing w:val="-14"/>
        </w:rPr>
        <w:t xml:space="preserve"> </w:t>
      </w:r>
      <w:r>
        <w:t>property</w:t>
      </w:r>
      <w:r>
        <w:rPr>
          <w:spacing w:val="-16"/>
        </w:rPr>
        <w:t xml:space="preserve"> </w:t>
      </w:r>
      <w:r>
        <w:t>involved.</w:t>
      </w:r>
    </w:p>
    <w:p w:rsidR="009D3191" w:rsidRDefault="009D3191">
      <w:pPr>
        <w:pStyle w:val="BodyText"/>
        <w:rPr>
          <w:sz w:val="20"/>
        </w:rPr>
      </w:pPr>
    </w:p>
    <w:p w:rsidR="009D3191" w:rsidRDefault="009D3191">
      <w:pPr>
        <w:pStyle w:val="BodyText"/>
        <w:spacing w:before="4"/>
        <w:rPr>
          <w:sz w:val="16"/>
        </w:rPr>
      </w:pPr>
    </w:p>
    <w:tbl>
      <w:tblPr>
        <w:tblW w:w="0" w:type="auto"/>
        <w:tblInd w:w="1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8"/>
        <w:gridCol w:w="3553"/>
      </w:tblGrid>
      <w:tr w:rsidR="009D3191">
        <w:trPr>
          <w:trHeight w:hRule="exact" w:val="393"/>
        </w:trPr>
        <w:tc>
          <w:tcPr>
            <w:tcW w:w="5628" w:type="dxa"/>
          </w:tcPr>
          <w:p w:rsidR="009D3191" w:rsidRDefault="0073541E"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CALL-OFF START DATE:</w:t>
            </w:r>
          </w:p>
        </w:tc>
        <w:tc>
          <w:tcPr>
            <w:tcW w:w="3553" w:type="dxa"/>
          </w:tcPr>
          <w:p w:rsidR="009D3191" w:rsidRDefault="0073541E">
            <w:pPr>
              <w:pStyle w:val="TableParagraph"/>
              <w:spacing w:line="247" w:lineRule="exact"/>
              <w:ind w:left="121" w:right="191"/>
              <w:jc w:val="center"/>
            </w:pPr>
            <w:r>
              <w:t>1 June 2021</w:t>
            </w:r>
          </w:p>
        </w:tc>
      </w:tr>
      <w:tr w:rsidR="009D3191">
        <w:trPr>
          <w:trHeight w:hRule="exact" w:val="504"/>
        </w:trPr>
        <w:tc>
          <w:tcPr>
            <w:tcW w:w="5628" w:type="dxa"/>
          </w:tcPr>
          <w:p w:rsidR="009D3191" w:rsidRDefault="0073541E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CALL-OFF EXPIRY DATE:</w:t>
            </w:r>
          </w:p>
        </w:tc>
        <w:tc>
          <w:tcPr>
            <w:tcW w:w="3553" w:type="dxa"/>
          </w:tcPr>
          <w:p w:rsidR="009D3191" w:rsidRDefault="0073541E">
            <w:pPr>
              <w:pStyle w:val="TableParagraph"/>
              <w:spacing w:before="116"/>
              <w:ind w:left="121" w:right="197"/>
              <w:jc w:val="center"/>
            </w:pPr>
            <w:r>
              <w:t>31 May 2023</w:t>
            </w:r>
          </w:p>
        </w:tc>
      </w:tr>
      <w:tr w:rsidR="009D3191">
        <w:trPr>
          <w:trHeight w:hRule="exact" w:val="528"/>
        </w:trPr>
        <w:tc>
          <w:tcPr>
            <w:tcW w:w="5628" w:type="dxa"/>
          </w:tcPr>
          <w:p w:rsidR="009D3191" w:rsidRDefault="0073541E">
            <w:pPr>
              <w:pStyle w:val="TableParagraph"/>
              <w:spacing w:before="12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CALL-OFF INITIAL PERIOD:</w:t>
            </w:r>
          </w:p>
        </w:tc>
        <w:tc>
          <w:tcPr>
            <w:tcW w:w="3553" w:type="dxa"/>
          </w:tcPr>
          <w:p w:rsidR="009D3191" w:rsidRDefault="0073541E">
            <w:pPr>
              <w:pStyle w:val="TableParagraph"/>
              <w:spacing w:before="128"/>
              <w:ind w:left="121" w:right="197"/>
              <w:jc w:val="center"/>
            </w:pPr>
            <w:r>
              <w:t>2-years</w:t>
            </w:r>
          </w:p>
        </w:tc>
      </w:tr>
      <w:tr w:rsidR="009D3191">
        <w:trPr>
          <w:trHeight w:hRule="exact" w:val="516"/>
        </w:trPr>
        <w:tc>
          <w:tcPr>
            <w:tcW w:w="5628" w:type="dxa"/>
          </w:tcPr>
          <w:p w:rsidR="009D3191" w:rsidRDefault="0073541E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CALL-OFF OPTIONAL EXTENSION PERIOD:</w:t>
            </w:r>
          </w:p>
        </w:tc>
        <w:tc>
          <w:tcPr>
            <w:tcW w:w="3553" w:type="dxa"/>
          </w:tcPr>
          <w:p w:rsidR="009D3191" w:rsidRDefault="0073541E">
            <w:pPr>
              <w:pStyle w:val="TableParagraph"/>
              <w:spacing w:before="116"/>
              <w:ind w:left="121" w:right="196"/>
              <w:jc w:val="center"/>
            </w:pPr>
            <w:r>
              <w:t>6-months (30 November 2023)</w:t>
            </w:r>
          </w:p>
        </w:tc>
      </w:tr>
      <w:tr w:rsidR="009D3191">
        <w:trPr>
          <w:trHeight w:hRule="exact" w:val="516"/>
        </w:trPr>
        <w:tc>
          <w:tcPr>
            <w:tcW w:w="5628" w:type="dxa"/>
          </w:tcPr>
          <w:p w:rsidR="009D3191" w:rsidRDefault="0073541E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MINIMUM NOTICE PERIOD FOR EXTENSIONS:</w:t>
            </w:r>
          </w:p>
        </w:tc>
        <w:tc>
          <w:tcPr>
            <w:tcW w:w="3553" w:type="dxa"/>
          </w:tcPr>
          <w:p w:rsidR="009D3191" w:rsidRDefault="0073541E">
            <w:pPr>
              <w:pStyle w:val="TableParagraph"/>
              <w:spacing w:before="116"/>
              <w:ind w:left="121" w:right="192"/>
              <w:jc w:val="center"/>
            </w:pPr>
            <w:r>
              <w:t>4-weeks</w:t>
            </w:r>
          </w:p>
        </w:tc>
      </w:tr>
      <w:tr w:rsidR="009D3191">
        <w:trPr>
          <w:trHeight w:hRule="exact" w:val="1383"/>
        </w:trPr>
        <w:tc>
          <w:tcPr>
            <w:tcW w:w="5628" w:type="dxa"/>
          </w:tcPr>
          <w:p w:rsidR="009D3191" w:rsidRDefault="0073541E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CALL-OFF CONTRACT VALUE:</w:t>
            </w:r>
          </w:p>
        </w:tc>
        <w:tc>
          <w:tcPr>
            <w:tcW w:w="3553" w:type="dxa"/>
          </w:tcPr>
          <w:p w:rsidR="009D3191" w:rsidRDefault="0073541E">
            <w:pPr>
              <w:pStyle w:val="TableParagraph"/>
              <w:spacing w:before="117" w:line="252" w:lineRule="exact"/>
              <w:ind w:left="121" w:right="195"/>
              <w:jc w:val="center"/>
            </w:pPr>
            <w:r>
              <w:t>£254,000 ex VAT (2-years</w:t>
            </w:r>
          </w:p>
          <w:p w:rsidR="009D3191" w:rsidRDefault="0073541E">
            <w:pPr>
              <w:pStyle w:val="TableParagraph"/>
              <w:ind w:left="121" w:right="198"/>
              <w:jc w:val="center"/>
            </w:pPr>
            <w:r>
              <w:t>£63,500 ex VAT (6-month Option Period)</w:t>
            </w:r>
          </w:p>
          <w:p w:rsidR="009D3191" w:rsidRDefault="0073541E">
            <w:pPr>
              <w:pStyle w:val="TableParagraph"/>
              <w:ind w:left="121" w:right="197"/>
              <w:jc w:val="center"/>
            </w:pPr>
            <w:r>
              <w:t>(Day Rate £</w:t>
            </w:r>
            <w:r w:rsidR="00042301">
              <w:t>REDACTED</w:t>
            </w:r>
            <w:r>
              <w:t xml:space="preserve"> throughout the duration of this Call-Off Contract)</w:t>
            </w:r>
          </w:p>
        </w:tc>
      </w:tr>
    </w:tbl>
    <w:p w:rsidR="009D3191" w:rsidRDefault="009D3191">
      <w:pPr>
        <w:pStyle w:val="BodyText"/>
        <w:spacing w:before="10"/>
        <w:rPr>
          <w:sz w:val="15"/>
        </w:rPr>
      </w:pPr>
    </w:p>
    <w:p w:rsidR="009D3191" w:rsidRDefault="0073541E">
      <w:pPr>
        <w:pStyle w:val="Heading3"/>
        <w:spacing w:before="93"/>
        <w:jc w:val="left"/>
      </w:pPr>
      <w:r>
        <w:t>CALL-OFF DELIVERABLES</w:t>
      </w:r>
    </w:p>
    <w:p w:rsidR="009D3191" w:rsidRDefault="0073541E">
      <w:pPr>
        <w:pStyle w:val="BodyText"/>
        <w:spacing w:before="160"/>
        <w:ind w:left="1200"/>
      </w:pPr>
      <w:r>
        <w:t>Option B: See details in Call-Off Schedule 20 (Call-Off Specification)</w:t>
      </w:r>
    </w:p>
    <w:p w:rsidR="009D3191" w:rsidRDefault="009D3191">
      <w:pPr>
        <w:sectPr w:rsidR="009D3191">
          <w:pgSz w:w="11910" w:h="16840"/>
          <w:pgMar w:top="940" w:right="1260" w:bottom="1200" w:left="240" w:header="203" w:footer="1008" w:gutter="0"/>
          <w:cols w:space="720"/>
        </w:sectPr>
      </w:pPr>
    </w:p>
    <w:p w:rsidR="009D3191" w:rsidRDefault="009D3191">
      <w:pPr>
        <w:pStyle w:val="BodyText"/>
        <w:rPr>
          <w:sz w:val="20"/>
        </w:rPr>
      </w:pPr>
    </w:p>
    <w:p w:rsidR="009D3191" w:rsidRDefault="009D3191">
      <w:pPr>
        <w:pStyle w:val="BodyText"/>
        <w:rPr>
          <w:sz w:val="20"/>
        </w:rPr>
      </w:pPr>
    </w:p>
    <w:p w:rsidR="009D3191" w:rsidRDefault="009D3191">
      <w:pPr>
        <w:pStyle w:val="BodyText"/>
        <w:spacing w:before="7"/>
        <w:rPr>
          <w:sz w:val="23"/>
        </w:rPr>
      </w:pPr>
    </w:p>
    <w:p w:rsidR="009D3191" w:rsidRDefault="0073541E">
      <w:pPr>
        <w:pStyle w:val="Heading3"/>
      </w:pPr>
      <w:r>
        <w:t>BUYER’S STANDARDS</w:t>
      </w:r>
    </w:p>
    <w:p w:rsidR="009D3191" w:rsidRDefault="0073541E">
      <w:pPr>
        <w:pStyle w:val="BodyText"/>
        <w:spacing w:before="160"/>
        <w:ind w:left="1200" w:right="112"/>
        <w:jc w:val="both"/>
      </w:pPr>
      <w:r>
        <w:t>From the Start Date of this Call-Off Contract, the Supplier shall comply with the relevant (and current as of the Call-Off Start Date) Standards referred to in Framework Schedule 1 (Specification). The Buyer requires the Supplier to comply with the following additional Standards for this Call-Off Contract:</w:t>
      </w:r>
    </w:p>
    <w:p w:rsidR="009D3191" w:rsidRDefault="0073541E">
      <w:pPr>
        <w:pStyle w:val="BodyText"/>
        <w:spacing w:before="160"/>
        <w:ind w:left="1200"/>
        <w:jc w:val="both"/>
      </w:pPr>
      <w:r>
        <w:t>JSP 440, 604 &amp; 740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38"/>
      </w:pPr>
      <w:r>
        <w:t>CYBER ESSENTIALS SCHEME</w:t>
      </w:r>
    </w:p>
    <w:p w:rsidR="009D3191" w:rsidRDefault="0073541E">
      <w:pPr>
        <w:pStyle w:val="BodyText"/>
        <w:spacing w:before="160"/>
        <w:ind w:left="1200" w:right="113"/>
        <w:jc w:val="both"/>
      </w:pPr>
      <w:r>
        <w:t>The Buyer requires the Supplier, in accordance with Call-Off Schedule 26 (Cyber Essentials Scheme) to provide a Cyber Essentials Plus Certificate prior to commencing the provision of any Deliverables under this Call-Off Contract.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39"/>
      </w:pPr>
      <w:r>
        <w:t>MAXIMUM LIABILITY</w:t>
      </w:r>
    </w:p>
    <w:p w:rsidR="009D3191" w:rsidRDefault="0073541E">
      <w:pPr>
        <w:pStyle w:val="BodyText"/>
        <w:spacing w:before="158"/>
        <w:ind w:left="1200" w:right="60"/>
      </w:pPr>
      <w:r>
        <w:t>The limitation of liability for this Call-Off Contract is stated in Clause 11.2 of the Core Terms as amended by the Framework Award Form Special Terms.</w:t>
      </w:r>
    </w:p>
    <w:p w:rsidR="009D3191" w:rsidRDefault="0073541E">
      <w:pPr>
        <w:pStyle w:val="BodyText"/>
        <w:spacing w:before="160"/>
        <w:ind w:left="1200"/>
        <w:jc w:val="both"/>
      </w:pPr>
      <w:r>
        <w:t>The Estimated Year 1 Charges used to calculate liability in the first Contract Year £127K.</w:t>
      </w:r>
    </w:p>
    <w:p w:rsidR="009D3191" w:rsidRDefault="009D3191">
      <w:pPr>
        <w:pStyle w:val="BodyText"/>
        <w:spacing w:before="9"/>
        <w:rPr>
          <w:sz w:val="35"/>
        </w:rPr>
      </w:pPr>
    </w:p>
    <w:p w:rsidR="009D3191" w:rsidRDefault="0073541E">
      <w:pPr>
        <w:pStyle w:val="Heading3"/>
      </w:pPr>
      <w:r>
        <w:t>CALL-OFF CHARGES</w:t>
      </w:r>
    </w:p>
    <w:p w:rsidR="009D3191" w:rsidRDefault="0073541E">
      <w:pPr>
        <w:pStyle w:val="BodyText"/>
        <w:spacing w:before="160"/>
        <w:ind w:left="1200" w:right="60"/>
      </w:pPr>
      <w:proofErr w:type="spellStart"/>
      <w:r>
        <w:t>Summarise</w:t>
      </w:r>
      <w:proofErr w:type="spellEnd"/>
      <w:r>
        <w:t xml:space="preserve"> the Charging method(s) Buyer has selected </w:t>
      </w:r>
      <w:proofErr w:type="gramStart"/>
      <w:r>
        <w:t>below</w:t>
      </w:r>
      <w:proofErr w:type="gramEnd"/>
      <w:r>
        <w:t xml:space="preserve"> and which are incorporated into Call-Off Schedule 5 (Pricing Details and Expenses Policy):</w:t>
      </w:r>
    </w:p>
    <w:p w:rsidR="009D3191" w:rsidRDefault="0073541E">
      <w:pPr>
        <w:pStyle w:val="BodyText"/>
        <w:spacing w:before="162"/>
        <w:ind w:left="1558"/>
      </w:pPr>
      <w:r>
        <w:t>Capped Time and Materials (CTM)</w:t>
      </w:r>
    </w:p>
    <w:p w:rsidR="009D3191" w:rsidRDefault="009D3191">
      <w:pPr>
        <w:pStyle w:val="BodyText"/>
        <w:spacing w:before="4"/>
        <w:rPr>
          <w:sz w:val="25"/>
        </w:rPr>
      </w:pPr>
    </w:p>
    <w:p w:rsidR="009D3191" w:rsidRDefault="0073541E">
      <w:pPr>
        <w:pStyle w:val="BodyText"/>
        <w:ind w:left="1200" w:right="114"/>
        <w:jc w:val="both"/>
      </w:pPr>
      <w:r>
        <w:t>Where non-UK Supplier Staff (including Subcontractors) are used to provide any element of the</w:t>
      </w:r>
      <w:r>
        <w:rPr>
          <w:spacing w:val="-8"/>
        </w:rPr>
        <w:t xml:space="preserve"> </w:t>
      </w:r>
      <w:r>
        <w:t>Deliverables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card(s)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incorporated into Call-Off Schedule 5 (Pricing Details and Expenses Policy) and the Supplier shall, under each SOW, charge the Buyer a rate no greater than those set out in the applicable rate card for the Supplier Staff undertaking that element of work on the</w:t>
      </w:r>
      <w:r>
        <w:rPr>
          <w:spacing w:val="-20"/>
        </w:rPr>
        <w:t xml:space="preserve"> </w:t>
      </w:r>
      <w:r>
        <w:t>Deliverables.</w:t>
      </w:r>
    </w:p>
    <w:p w:rsidR="009D3191" w:rsidRDefault="0073541E">
      <w:pPr>
        <w:pStyle w:val="Heading3"/>
        <w:spacing w:before="160"/>
      </w:pPr>
      <w:r>
        <w:t>REIMBURSABLE EXPENSES</w:t>
      </w:r>
    </w:p>
    <w:p w:rsidR="009D3191" w:rsidRDefault="0073541E">
      <w:pPr>
        <w:pStyle w:val="BodyText"/>
        <w:spacing w:before="158"/>
        <w:ind w:left="1200"/>
        <w:jc w:val="both"/>
      </w:pPr>
      <w:r>
        <w:t>See Expenses Policy in Annex 1 to Call-Off Schedule 5 (Pricing Details &amp; Expenses Policy)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38"/>
      </w:pPr>
      <w:r>
        <w:t>PAYMENT METHOD</w:t>
      </w:r>
    </w:p>
    <w:p w:rsidR="009D3191" w:rsidRDefault="0073541E">
      <w:pPr>
        <w:pStyle w:val="BodyText"/>
        <w:spacing w:before="160"/>
        <w:ind w:left="1200"/>
        <w:jc w:val="both"/>
      </w:pPr>
      <w:r>
        <w:t>Monthly in arrears through Contracting, Purchasing &amp; Finance (CP&amp;F) tool</w:t>
      </w:r>
    </w:p>
    <w:p w:rsidR="009D3191" w:rsidRDefault="009D3191">
      <w:pPr>
        <w:pStyle w:val="BodyText"/>
        <w:spacing w:before="10"/>
        <w:rPr>
          <w:sz w:val="35"/>
        </w:rPr>
      </w:pPr>
    </w:p>
    <w:p w:rsidR="009D3191" w:rsidRDefault="0073541E">
      <w:pPr>
        <w:pStyle w:val="Heading3"/>
        <w:spacing w:line="276" w:lineRule="exact"/>
      </w:pPr>
      <w:r>
        <w:t>BUYER’S INVOICE ADDRESS:</w:t>
      </w:r>
    </w:p>
    <w:p w:rsidR="009D3191" w:rsidRDefault="0073541E">
      <w:pPr>
        <w:pStyle w:val="BodyText"/>
        <w:spacing w:line="252" w:lineRule="exact"/>
        <w:ind w:left="1200"/>
        <w:jc w:val="both"/>
      </w:pPr>
      <w:r>
        <w:t>Lt Col Catherine Russell</w:t>
      </w:r>
    </w:p>
    <w:p w:rsidR="009D3191" w:rsidRDefault="0073541E">
      <w:pPr>
        <w:pStyle w:val="BodyText"/>
        <w:ind w:left="1200" w:right="5621"/>
      </w:pPr>
      <w:r>
        <w:t xml:space="preserve">Army Info-IS-SVCS-Base-SO1Opsa </w:t>
      </w:r>
      <w:hyperlink r:id="rId9">
        <w:r>
          <w:t>Catherine.russell250@mod.gov.uk</w:t>
        </w:r>
      </w:hyperlink>
    </w:p>
    <w:p w:rsidR="009D3191" w:rsidRDefault="0073541E">
      <w:pPr>
        <w:pStyle w:val="BodyText"/>
        <w:spacing w:line="252" w:lineRule="exact"/>
        <w:ind w:left="1200"/>
        <w:jc w:val="both"/>
      </w:pPr>
      <w:r>
        <w:t xml:space="preserve">D Info, Blenheim </w:t>
      </w:r>
      <w:proofErr w:type="spellStart"/>
      <w:r>
        <w:t>Bldg</w:t>
      </w:r>
      <w:proofErr w:type="spellEnd"/>
      <w:r>
        <w:t xml:space="preserve">, Army Headquarters, </w:t>
      </w:r>
      <w:proofErr w:type="spellStart"/>
      <w:r>
        <w:t>Monxton</w:t>
      </w:r>
      <w:proofErr w:type="spellEnd"/>
      <w:r>
        <w:t xml:space="preserve"> Road, Andover, Hampshire, SP11 8HJ</w:t>
      </w:r>
    </w:p>
    <w:p w:rsidR="009D3191" w:rsidRDefault="009D3191">
      <w:pPr>
        <w:pStyle w:val="BodyText"/>
        <w:spacing w:before="3"/>
        <w:rPr>
          <w:sz w:val="31"/>
        </w:rPr>
      </w:pPr>
    </w:p>
    <w:p w:rsidR="009D3191" w:rsidRDefault="0073541E">
      <w:pPr>
        <w:pStyle w:val="Heading3"/>
      </w:pPr>
      <w:r>
        <w:t>BUYER’S AUTHORISED REPRESENTATIVE</w:t>
      </w:r>
    </w:p>
    <w:p w:rsidR="009D3191" w:rsidRDefault="0073541E">
      <w:pPr>
        <w:pStyle w:val="BodyText"/>
        <w:spacing w:before="119"/>
        <w:ind w:left="1200"/>
        <w:jc w:val="both"/>
      </w:pPr>
      <w:r>
        <w:t>Toni Prince MCIPS</w:t>
      </w:r>
    </w:p>
    <w:p w:rsidR="009D3191" w:rsidRDefault="0073541E">
      <w:pPr>
        <w:pStyle w:val="BodyText"/>
        <w:spacing w:before="40" w:line="280" w:lineRule="auto"/>
        <w:ind w:left="1200" w:right="3983"/>
      </w:pPr>
      <w:r>
        <w:t xml:space="preserve">Army Commercial (D Info Commercial Team Leader) </w:t>
      </w:r>
      <w:hyperlink r:id="rId10">
        <w:r>
          <w:t>toni.prince177@mod.gov.uk</w:t>
        </w:r>
      </w:hyperlink>
    </w:p>
    <w:p w:rsidR="009D3191" w:rsidRDefault="009D3191">
      <w:pPr>
        <w:spacing w:line="280" w:lineRule="auto"/>
        <w:sectPr w:rsidR="009D3191">
          <w:pgSz w:w="11910" w:h="16840"/>
          <w:pgMar w:top="940" w:right="1320" w:bottom="1200" w:left="240" w:header="203" w:footer="1008" w:gutter="0"/>
          <w:cols w:space="720"/>
        </w:sectPr>
      </w:pPr>
    </w:p>
    <w:p w:rsidR="009D3191" w:rsidRDefault="009D3191">
      <w:pPr>
        <w:pStyle w:val="BodyText"/>
        <w:rPr>
          <w:sz w:val="20"/>
        </w:rPr>
      </w:pPr>
    </w:p>
    <w:p w:rsidR="009D3191" w:rsidRDefault="009D3191">
      <w:pPr>
        <w:pStyle w:val="BodyText"/>
        <w:spacing w:before="7"/>
        <w:rPr>
          <w:sz w:val="21"/>
        </w:rPr>
      </w:pPr>
    </w:p>
    <w:p w:rsidR="009D3191" w:rsidRDefault="0073541E">
      <w:pPr>
        <w:pStyle w:val="BodyText"/>
        <w:spacing w:line="278" w:lineRule="auto"/>
        <w:ind w:left="1200" w:right="973"/>
      </w:pPr>
      <w:r>
        <w:t xml:space="preserve">Information Directorate, Blenheim Building, Army Headquarters, Marlborough Lines, </w:t>
      </w:r>
      <w:proofErr w:type="spellStart"/>
      <w:r>
        <w:t>Monxton</w:t>
      </w:r>
      <w:proofErr w:type="spellEnd"/>
      <w:r>
        <w:t xml:space="preserve"> Road, Andover, Hampshire, SP11 8HJ.</w:t>
      </w:r>
    </w:p>
    <w:p w:rsidR="009D3191" w:rsidRDefault="0073541E">
      <w:pPr>
        <w:pStyle w:val="Heading3"/>
        <w:spacing w:before="35" w:line="688" w:lineRule="exact"/>
        <w:ind w:right="2636"/>
        <w:jc w:val="left"/>
      </w:pPr>
      <w:r>
        <w:t>BUYER’S ENVIRONMENTAL POLICY – NOT APPLCABLE BUYER’S SECURITY POLICY</w:t>
      </w:r>
    </w:p>
    <w:p w:rsidR="009D3191" w:rsidRDefault="0073541E">
      <w:pPr>
        <w:pStyle w:val="BodyText"/>
        <w:spacing w:before="73"/>
        <w:ind w:left="1200"/>
      </w:pPr>
      <w:r>
        <w:t>JSP 440</w:t>
      </w:r>
    </w:p>
    <w:p w:rsidR="009D3191" w:rsidRDefault="009D3191">
      <w:pPr>
        <w:pStyle w:val="BodyText"/>
        <w:spacing w:before="9"/>
        <w:rPr>
          <w:sz w:val="35"/>
        </w:rPr>
      </w:pPr>
    </w:p>
    <w:p w:rsidR="009D3191" w:rsidRDefault="0073541E">
      <w:pPr>
        <w:pStyle w:val="Heading3"/>
        <w:jc w:val="left"/>
      </w:pPr>
      <w:r>
        <w:t>SUPPLIER’S AUTHORISED REPRESENTATIVE</w:t>
      </w:r>
    </w:p>
    <w:p w:rsidR="009D3191" w:rsidRDefault="0073541E">
      <w:pPr>
        <w:pStyle w:val="BodyText"/>
        <w:spacing w:before="160" w:line="278" w:lineRule="auto"/>
        <w:ind w:left="1200" w:right="7193"/>
      </w:pPr>
      <w:r>
        <w:t>David Barnes Senior Bid Manager</w:t>
      </w:r>
    </w:p>
    <w:p w:rsidR="009D3191" w:rsidRDefault="0071744E">
      <w:pPr>
        <w:pStyle w:val="BodyText"/>
        <w:ind w:left="1200"/>
      </w:pPr>
      <w:hyperlink r:id="rId11">
        <w:r w:rsidR="0073541E">
          <w:t>dbarnes@lainternational.com</w:t>
        </w:r>
      </w:hyperlink>
    </w:p>
    <w:p w:rsidR="009D3191" w:rsidRDefault="0073541E">
      <w:pPr>
        <w:pStyle w:val="BodyText"/>
        <w:spacing w:before="40"/>
        <w:ind w:left="1200"/>
      </w:pPr>
      <w:r>
        <w:t>International House, Festival Way, Stoke-on-Trent. ST1 5UB</w:t>
      </w:r>
    </w:p>
    <w:p w:rsidR="009D3191" w:rsidRDefault="009D3191">
      <w:pPr>
        <w:pStyle w:val="BodyText"/>
        <w:spacing w:before="9"/>
        <w:rPr>
          <w:sz w:val="34"/>
        </w:rPr>
      </w:pPr>
    </w:p>
    <w:p w:rsidR="009D3191" w:rsidRDefault="0073541E">
      <w:pPr>
        <w:pStyle w:val="Heading3"/>
        <w:jc w:val="left"/>
      </w:pPr>
      <w:r>
        <w:t>SUPPLIER’S CONTRACT MANAGER</w:t>
      </w:r>
    </w:p>
    <w:p w:rsidR="009D3191" w:rsidRDefault="0073541E">
      <w:pPr>
        <w:pStyle w:val="BodyText"/>
        <w:spacing w:before="158" w:line="280" w:lineRule="auto"/>
        <w:ind w:left="1200" w:right="7193"/>
      </w:pPr>
      <w:r>
        <w:t>David Barnes Senior Bid Manager</w:t>
      </w:r>
    </w:p>
    <w:p w:rsidR="009D3191" w:rsidRDefault="0071744E">
      <w:pPr>
        <w:pStyle w:val="BodyText"/>
        <w:spacing w:line="251" w:lineRule="exact"/>
        <w:ind w:left="1200"/>
      </w:pPr>
      <w:hyperlink r:id="rId12">
        <w:r w:rsidR="0073541E">
          <w:t>dbarnes@lainternational.com</w:t>
        </w:r>
      </w:hyperlink>
    </w:p>
    <w:p w:rsidR="009D3191" w:rsidRDefault="0073541E">
      <w:pPr>
        <w:pStyle w:val="BodyText"/>
        <w:spacing w:before="40"/>
        <w:ind w:left="1200"/>
      </w:pPr>
      <w:r>
        <w:t>International House, Festival Way, Stoke-on-Trent. ST1 5UB</w:t>
      </w:r>
    </w:p>
    <w:p w:rsidR="009D3191" w:rsidRDefault="009D3191">
      <w:pPr>
        <w:pStyle w:val="BodyText"/>
        <w:spacing w:before="9"/>
        <w:rPr>
          <w:sz w:val="35"/>
        </w:rPr>
      </w:pPr>
    </w:p>
    <w:p w:rsidR="009D3191" w:rsidRDefault="0073541E">
      <w:pPr>
        <w:pStyle w:val="Heading3"/>
        <w:jc w:val="left"/>
      </w:pPr>
      <w:r>
        <w:t>PROGRESS REPORT FREQUENCY</w:t>
      </w:r>
    </w:p>
    <w:p w:rsidR="009D3191" w:rsidRDefault="0073541E">
      <w:pPr>
        <w:pStyle w:val="BodyText"/>
        <w:spacing w:before="160"/>
        <w:ind w:left="1200"/>
      </w:pPr>
      <w:r>
        <w:t>On the first Working Day of each calendar month</w:t>
      </w:r>
    </w:p>
    <w:p w:rsidR="009D3191" w:rsidRDefault="0073541E">
      <w:pPr>
        <w:pStyle w:val="Heading3"/>
        <w:spacing w:before="160"/>
        <w:jc w:val="left"/>
      </w:pPr>
      <w:r>
        <w:t>PROGRESS MEETING FREQUENCY</w:t>
      </w:r>
    </w:p>
    <w:p w:rsidR="009D3191" w:rsidRDefault="0073541E">
      <w:pPr>
        <w:pStyle w:val="BodyText"/>
        <w:spacing w:before="160"/>
        <w:ind w:left="1200"/>
      </w:pPr>
      <w:r>
        <w:t>Monthly on the first Working Day of each quarter]</w:t>
      </w:r>
    </w:p>
    <w:p w:rsidR="009D3191" w:rsidRDefault="009D3191">
      <w:pPr>
        <w:pStyle w:val="BodyText"/>
        <w:spacing w:before="9"/>
        <w:rPr>
          <w:sz w:val="35"/>
        </w:rPr>
      </w:pPr>
    </w:p>
    <w:p w:rsidR="009D3191" w:rsidRDefault="0073541E">
      <w:pPr>
        <w:pStyle w:val="Heading3"/>
        <w:jc w:val="left"/>
      </w:pPr>
      <w:r>
        <w:t>KEY STAFF</w:t>
      </w:r>
    </w:p>
    <w:p w:rsidR="009D3191" w:rsidRDefault="0073541E">
      <w:pPr>
        <w:pStyle w:val="BodyText"/>
        <w:spacing w:before="160"/>
        <w:ind w:left="1200"/>
      </w:pPr>
      <w:r>
        <w:t>Steve Abrook</w:t>
      </w:r>
    </w:p>
    <w:p w:rsidR="009D3191" w:rsidRDefault="0073541E">
      <w:pPr>
        <w:pStyle w:val="BodyText"/>
        <w:spacing w:before="40"/>
        <w:ind w:left="1200"/>
      </w:pPr>
      <w:r>
        <w:t>ICS OPS Firm Base Support</w:t>
      </w:r>
    </w:p>
    <w:p w:rsidR="009D3191" w:rsidRDefault="009D3191">
      <w:pPr>
        <w:pStyle w:val="BodyText"/>
        <w:rPr>
          <w:sz w:val="24"/>
        </w:rPr>
      </w:pP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53"/>
        <w:jc w:val="left"/>
      </w:pPr>
      <w:r>
        <w:t>KEY SUBCONTRACTOR(S)</w:t>
      </w:r>
    </w:p>
    <w:p w:rsidR="009D3191" w:rsidRDefault="0073541E">
      <w:pPr>
        <w:pStyle w:val="BodyText"/>
        <w:spacing w:before="160"/>
        <w:ind w:left="1200"/>
      </w:pPr>
      <w:r>
        <w:t>Not applicable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39"/>
        <w:jc w:val="left"/>
      </w:pPr>
      <w:r>
        <w:t>COMMERCIALLY SENSITIVE INFORMATION</w:t>
      </w:r>
    </w:p>
    <w:p w:rsidR="009D3191" w:rsidRDefault="0073541E">
      <w:pPr>
        <w:pStyle w:val="BodyText"/>
        <w:spacing w:before="158"/>
        <w:ind w:left="1200"/>
      </w:pPr>
      <w:r>
        <w:t>Pricing</w:t>
      </w:r>
    </w:p>
    <w:p w:rsidR="009D3191" w:rsidRDefault="0073541E">
      <w:pPr>
        <w:pStyle w:val="Heading3"/>
        <w:spacing w:before="160"/>
        <w:jc w:val="left"/>
      </w:pPr>
      <w:r>
        <w:t>BALANCED SCORECARD</w:t>
      </w:r>
    </w:p>
    <w:p w:rsidR="009D3191" w:rsidRDefault="0073541E">
      <w:pPr>
        <w:pStyle w:val="BodyText"/>
        <w:spacing w:before="160"/>
        <w:ind w:left="1200"/>
      </w:pPr>
      <w:r>
        <w:t>See Call-Off Schedule 14 (Service Levels and Balanced Scorecard)</w:t>
      </w:r>
    </w:p>
    <w:p w:rsidR="009D3191" w:rsidRDefault="009D3191">
      <w:pPr>
        <w:pStyle w:val="BodyText"/>
        <w:spacing w:before="9"/>
        <w:rPr>
          <w:sz w:val="35"/>
        </w:rPr>
      </w:pPr>
    </w:p>
    <w:p w:rsidR="009D3191" w:rsidRDefault="0073541E">
      <w:pPr>
        <w:pStyle w:val="Heading3"/>
        <w:jc w:val="left"/>
      </w:pPr>
      <w:r>
        <w:t>MATERIAL KPIS</w:t>
      </w:r>
    </w:p>
    <w:p w:rsidR="009D3191" w:rsidRDefault="0073541E">
      <w:pPr>
        <w:pStyle w:val="BodyText"/>
        <w:spacing w:before="160"/>
        <w:ind w:left="1200"/>
      </w:pPr>
      <w:r>
        <w:t>The Material KPIs that apply to this Call-Off Contract is in accordance with Call-Off Schedule</w:t>
      </w:r>
    </w:p>
    <w:p w:rsidR="009D3191" w:rsidRDefault="009D3191">
      <w:pPr>
        <w:sectPr w:rsidR="009D3191">
          <w:footerReference w:type="default" r:id="rId13"/>
          <w:pgSz w:w="11910" w:h="16840"/>
          <w:pgMar w:top="940" w:right="1320" w:bottom="1200" w:left="240" w:header="203" w:footer="1008" w:gutter="0"/>
          <w:pgNumType w:start="5"/>
          <w:cols w:space="720"/>
        </w:sectPr>
      </w:pPr>
    </w:p>
    <w:p w:rsidR="009D3191" w:rsidRDefault="009D3191">
      <w:pPr>
        <w:pStyle w:val="BodyText"/>
        <w:rPr>
          <w:sz w:val="20"/>
        </w:rPr>
      </w:pPr>
    </w:p>
    <w:p w:rsidR="009D3191" w:rsidRDefault="009D3191">
      <w:pPr>
        <w:pStyle w:val="BodyText"/>
        <w:spacing w:before="7"/>
        <w:rPr>
          <w:sz w:val="21"/>
        </w:rPr>
      </w:pPr>
    </w:p>
    <w:p w:rsidR="009D3191" w:rsidRDefault="0073541E">
      <w:pPr>
        <w:pStyle w:val="BodyText"/>
        <w:ind w:left="1200"/>
        <w:jc w:val="both"/>
      </w:pPr>
      <w:r>
        <w:t>14 (Service Levels and Balanced Scorecard)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60"/>
      </w:pPr>
      <w:r>
        <w:t>ADDITIONAL INSURANCES</w:t>
      </w:r>
    </w:p>
    <w:p w:rsidR="009D3191" w:rsidRDefault="0073541E">
      <w:pPr>
        <w:pStyle w:val="BodyText"/>
        <w:spacing w:before="160"/>
        <w:ind w:left="1200"/>
        <w:jc w:val="both"/>
      </w:pPr>
      <w:r>
        <w:t>Not applicable</w:t>
      </w:r>
    </w:p>
    <w:p w:rsidR="009D3191" w:rsidRDefault="009D3191">
      <w:pPr>
        <w:pStyle w:val="BodyText"/>
        <w:rPr>
          <w:sz w:val="24"/>
        </w:rPr>
      </w:pPr>
    </w:p>
    <w:p w:rsidR="009D3191" w:rsidRDefault="009D3191">
      <w:pPr>
        <w:pStyle w:val="BodyText"/>
        <w:spacing w:before="9"/>
        <w:rPr>
          <w:sz w:val="25"/>
        </w:rPr>
      </w:pPr>
    </w:p>
    <w:p w:rsidR="009D3191" w:rsidRDefault="0073541E">
      <w:pPr>
        <w:pStyle w:val="Heading3"/>
      </w:pPr>
      <w:r>
        <w:t>GUARANTEE</w:t>
      </w:r>
    </w:p>
    <w:p w:rsidR="009D3191" w:rsidRDefault="0073541E">
      <w:pPr>
        <w:pStyle w:val="BodyText"/>
        <w:spacing w:before="160"/>
        <w:ind w:left="1200"/>
        <w:jc w:val="both"/>
      </w:pPr>
      <w:r>
        <w:t>Not applicable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60"/>
      </w:pPr>
      <w:r>
        <w:t>SOCIAL VALUE COMMITMENT</w:t>
      </w:r>
    </w:p>
    <w:p w:rsidR="009D3191" w:rsidRDefault="0073541E">
      <w:pPr>
        <w:pStyle w:val="BodyText"/>
        <w:spacing w:before="158"/>
        <w:ind w:left="1200" w:right="252"/>
        <w:jc w:val="both"/>
      </w:pPr>
      <w:r>
        <w:t>The Supplier agrees, in providing the Deliverables and performing its obligations under the Call-Off Contract, that it will comply with the social value commitments in Call-Off Schedule 4 (Call-Off Tender)</w:t>
      </w:r>
    </w:p>
    <w:p w:rsidR="009D3191" w:rsidRDefault="009D3191">
      <w:pPr>
        <w:pStyle w:val="BodyText"/>
        <w:rPr>
          <w:sz w:val="24"/>
        </w:rPr>
      </w:pPr>
    </w:p>
    <w:p w:rsidR="009D3191" w:rsidRDefault="0073541E">
      <w:pPr>
        <w:pStyle w:val="Heading3"/>
        <w:spacing w:before="138"/>
      </w:pPr>
      <w:r>
        <w:t>STATEMENT OF WORKS</w:t>
      </w:r>
    </w:p>
    <w:p w:rsidR="009D3191" w:rsidRDefault="0073541E">
      <w:pPr>
        <w:pStyle w:val="BodyText"/>
        <w:spacing w:before="158"/>
        <w:ind w:left="1200" w:right="256"/>
        <w:jc w:val="both"/>
      </w:pP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Call-Off</w:t>
      </w:r>
      <w:r>
        <w:rPr>
          <w:spacing w:val="-15"/>
        </w:rPr>
        <w:t xml:space="preserve"> </w:t>
      </w:r>
      <w:r>
        <w:t>Contract</w:t>
      </w:r>
      <w:r>
        <w:rPr>
          <w:spacing w:val="-15"/>
        </w:rPr>
        <w:t xml:space="preserve"> </w:t>
      </w:r>
      <w:r>
        <w:t>Period,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Buyer</w:t>
      </w:r>
      <w:r>
        <w:rPr>
          <w:spacing w:val="-1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Supplier</w:t>
      </w:r>
      <w:r>
        <w:rPr>
          <w:spacing w:val="-15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agree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execute</w:t>
      </w:r>
      <w:r>
        <w:rPr>
          <w:spacing w:val="-15"/>
        </w:rPr>
        <w:t xml:space="preserve"> </w:t>
      </w:r>
      <w:r>
        <w:t>completed Statement of Works. Upon execution of a Statement of Work the provisions detailed therein shall be incorporated into the Call-Off Contract to which this Order Form</w:t>
      </w:r>
      <w:r>
        <w:rPr>
          <w:spacing w:val="-28"/>
        </w:rPr>
        <w:t xml:space="preserve"> </w:t>
      </w:r>
      <w:r>
        <w:t>relates.</w:t>
      </w:r>
    </w:p>
    <w:p w:rsidR="009D3191" w:rsidRDefault="009D3191">
      <w:pPr>
        <w:pStyle w:val="BodyText"/>
        <w:rPr>
          <w:sz w:val="20"/>
        </w:rPr>
      </w:pPr>
    </w:p>
    <w:p w:rsidR="009D3191" w:rsidRDefault="009D3191">
      <w:pPr>
        <w:pStyle w:val="BodyText"/>
        <w:spacing w:before="2"/>
        <w:rPr>
          <w:sz w:val="16"/>
        </w:rPr>
      </w:pPr>
    </w:p>
    <w:tbl>
      <w:tblPr>
        <w:tblW w:w="0" w:type="auto"/>
        <w:tblInd w:w="1198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0"/>
        <w:gridCol w:w="1556"/>
        <w:gridCol w:w="3106"/>
      </w:tblGrid>
      <w:tr w:rsidR="009D3191">
        <w:trPr>
          <w:trHeight w:hRule="exact" w:val="413"/>
        </w:trPr>
        <w:tc>
          <w:tcPr>
            <w:tcW w:w="4506" w:type="dxa"/>
            <w:gridSpan w:val="2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8"/>
              <w:rPr>
                <w:b/>
              </w:rPr>
            </w:pPr>
            <w:r>
              <w:rPr>
                <w:b/>
              </w:rPr>
              <w:t>For and on behalf of the Supplier:</w:t>
            </w:r>
          </w:p>
        </w:tc>
        <w:tc>
          <w:tcPr>
            <w:tcW w:w="4662" w:type="dxa"/>
            <w:gridSpan w:val="2"/>
            <w:tcBorders>
              <w:righ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5"/>
              <w:rPr>
                <w:b/>
              </w:rPr>
            </w:pPr>
            <w:r>
              <w:rPr>
                <w:b/>
              </w:rPr>
              <w:t>For and on behalf of the Buyer:</w:t>
            </w:r>
          </w:p>
        </w:tc>
      </w:tr>
      <w:tr w:rsidR="009D3191">
        <w:trPr>
          <w:trHeight w:hRule="exact" w:val="902"/>
        </w:trPr>
        <w:tc>
          <w:tcPr>
            <w:tcW w:w="1526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979" w:type="dxa"/>
          </w:tcPr>
          <w:p w:rsidR="009D3191" w:rsidRDefault="009D3191">
            <w:pPr>
              <w:pStyle w:val="TableParagraph"/>
              <w:rPr>
                <w:sz w:val="10"/>
              </w:rPr>
            </w:pPr>
          </w:p>
          <w:p w:rsidR="009D3191" w:rsidRDefault="00042301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w:t>REDACTED</w:t>
            </w:r>
          </w:p>
        </w:tc>
        <w:tc>
          <w:tcPr>
            <w:tcW w:w="1556" w:type="dxa"/>
            <w:shd w:val="clear" w:color="auto" w:fill="D9E1F3"/>
          </w:tcPr>
          <w:p w:rsidR="009D3191" w:rsidRDefault="0073541E">
            <w:pPr>
              <w:pStyle w:val="TableParagraph"/>
              <w:spacing w:before="57"/>
              <w:ind w:left="247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106" w:type="dxa"/>
            <w:tcBorders>
              <w:right w:val="nil"/>
            </w:tcBorders>
          </w:tcPr>
          <w:p w:rsidR="009D3191" w:rsidRDefault="00042301">
            <w:r>
              <w:rPr>
                <w:noProof/>
              </w:rPr>
              <w:t>REDACTED</w:t>
            </w:r>
          </w:p>
        </w:tc>
      </w:tr>
      <w:tr w:rsidR="009D3191">
        <w:trPr>
          <w:trHeight w:hRule="exact" w:val="562"/>
        </w:trPr>
        <w:tc>
          <w:tcPr>
            <w:tcW w:w="1526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8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2979" w:type="dxa"/>
            <w:shd w:val="clear" w:color="auto" w:fill="D9E1F3"/>
          </w:tcPr>
          <w:p w:rsidR="009D3191" w:rsidRDefault="0073541E">
            <w:pPr>
              <w:pStyle w:val="TableParagraph"/>
              <w:spacing w:before="156"/>
              <w:ind w:left="253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 xml:space="preserve">Ephraim </w:t>
            </w:r>
            <w:proofErr w:type="spellStart"/>
            <w:r>
              <w:rPr>
                <w:rFonts w:ascii="Lucida Console"/>
                <w:sz w:val="18"/>
              </w:rPr>
              <w:t>ilonzeh</w:t>
            </w:r>
            <w:proofErr w:type="spellEnd"/>
          </w:p>
        </w:tc>
        <w:tc>
          <w:tcPr>
            <w:tcW w:w="1556" w:type="dxa"/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247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106" w:type="dxa"/>
            <w:tcBorders>
              <w:right w:val="nil"/>
            </w:tcBorders>
            <w:shd w:val="clear" w:color="auto" w:fill="D9E1F3"/>
          </w:tcPr>
          <w:p w:rsidR="009D3191" w:rsidRDefault="00D632E8">
            <w:r>
              <w:t>Toni Prince MCIPS</w:t>
            </w:r>
          </w:p>
        </w:tc>
      </w:tr>
      <w:tr w:rsidR="009D3191">
        <w:trPr>
          <w:trHeight w:hRule="exact" w:val="581"/>
        </w:trPr>
        <w:tc>
          <w:tcPr>
            <w:tcW w:w="1526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8"/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2979" w:type="dxa"/>
          </w:tcPr>
          <w:p w:rsidR="009D3191" w:rsidRDefault="009D3191">
            <w:pPr>
              <w:pStyle w:val="TableParagraph"/>
              <w:spacing w:before="2"/>
              <w:rPr>
                <w:sz w:val="16"/>
              </w:rPr>
            </w:pPr>
          </w:p>
          <w:p w:rsidR="009D3191" w:rsidRDefault="0073541E">
            <w:pPr>
              <w:pStyle w:val="TableParagraph"/>
              <w:ind w:left="317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Head of Legal</w:t>
            </w:r>
          </w:p>
        </w:tc>
        <w:tc>
          <w:tcPr>
            <w:tcW w:w="1556" w:type="dxa"/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247"/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3106" w:type="dxa"/>
            <w:tcBorders>
              <w:right w:val="nil"/>
            </w:tcBorders>
          </w:tcPr>
          <w:p w:rsidR="009D3191" w:rsidRDefault="00D632E8">
            <w:r>
              <w:t>Senior Commercial Officer</w:t>
            </w:r>
          </w:p>
        </w:tc>
      </w:tr>
      <w:tr w:rsidR="009D3191">
        <w:trPr>
          <w:trHeight w:hRule="exact" w:val="379"/>
        </w:trPr>
        <w:tc>
          <w:tcPr>
            <w:tcW w:w="1526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979" w:type="dxa"/>
            <w:shd w:val="clear" w:color="auto" w:fill="D9E1F3"/>
          </w:tcPr>
          <w:p w:rsidR="009D3191" w:rsidRDefault="0073541E">
            <w:pPr>
              <w:pStyle w:val="TableParagraph"/>
              <w:spacing w:before="56"/>
              <w:ind w:left="221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09/06/2021</w:t>
            </w:r>
          </w:p>
        </w:tc>
        <w:tc>
          <w:tcPr>
            <w:tcW w:w="1556" w:type="dxa"/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247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106" w:type="dxa"/>
            <w:tcBorders>
              <w:right w:val="nil"/>
            </w:tcBorders>
            <w:shd w:val="clear" w:color="auto" w:fill="D9E1F3"/>
          </w:tcPr>
          <w:p w:rsidR="009D3191" w:rsidRDefault="00D632E8">
            <w:r>
              <w:t>09 June 2021</w:t>
            </w:r>
          </w:p>
        </w:tc>
      </w:tr>
    </w:tbl>
    <w:p w:rsidR="009D3191" w:rsidRDefault="009D3191">
      <w:pPr>
        <w:sectPr w:rsidR="009D3191">
          <w:pgSz w:w="11910" w:h="16840"/>
          <w:pgMar w:top="940" w:right="1180" w:bottom="1200" w:left="240" w:header="203" w:footer="1008" w:gutter="0"/>
          <w:cols w:space="720"/>
        </w:sectPr>
      </w:pPr>
    </w:p>
    <w:p w:rsidR="009D3191" w:rsidRDefault="009D3191">
      <w:pPr>
        <w:pStyle w:val="BodyText"/>
        <w:rPr>
          <w:sz w:val="20"/>
        </w:rPr>
      </w:pPr>
    </w:p>
    <w:p w:rsidR="009D3191" w:rsidRDefault="0073541E">
      <w:pPr>
        <w:pStyle w:val="Heading1"/>
        <w:spacing w:before="246"/>
        <w:jc w:val="both"/>
      </w:pPr>
      <w:bookmarkStart w:id="3" w:name="Order_Form_Appendix_1"/>
      <w:bookmarkEnd w:id="3"/>
      <w:r>
        <w:t>Order Form Appendix 1</w:t>
      </w:r>
    </w:p>
    <w:p w:rsidR="009D3191" w:rsidRDefault="0073541E">
      <w:pPr>
        <w:pStyle w:val="BodyText"/>
        <w:spacing w:before="242"/>
        <w:ind w:left="1200" w:right="113"/>
        <w:jc w:val="both"/>
      </w:pPr>
      <w:r>
        <w:t>The Buyer and Supplier shall complete and execute the Monthly Statement of Works (in the form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template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Annex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template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Framework Schedule 6 (Order Form Template, Statement of Work Template and Call-Off</w:t>
      </w:r>
      <w:r>
        <w:rPr>
          <w:spacing w:val="-25"/>
        </w:rPr>
        <w:t xml:space="preserve"> </w:t>
      </w:r>
      <w:r>
        <w:t>Schedules).</w:t>
      </w:r>
    </w:p>
    <w:p w:rsidR="009D3191" w:rsidRDefault="009D3191">
      <w:pPr>
        <w:pStyle w:val="BodyText"/>
        <w:rPr>
          <w:sz w:val="24"/>
        </w:rPr>
      </w:pPr>
    </w:p>
    <w:p w:rsidR="009D3191" w:rsidRDefault="009D3191">
      <w:pPr>
        <w:pStyle w:val="BodyText"/>
        <w:spacing w:before="9"/>
        <w:rPr>
          <w:sz w:val="29"/>
        </w:rPr>
      </w:pPr>
    </w:p>
    <w:p w:rsidR="009D3191" w:rsidRDefault="0073541E">
      <w:pPr>
        <w:pStyle w:val="Heading3"/>
      </w:pPr>
      <w:r>
        <w:t>Performance Management</w:t>
      </w:r>
    </w:p>
    <w:p w:rsidR="009D3191" w:rsidRDefault="0073541E">
      <w:pPr>
        <w:pStyle w:val="BodyText"/>
        <w:spacing w:before="119"/>
        <w:ind w:left="1200" w:right="114"/>
        <w:jc w:val="both"/>
      </w:pPr>
      <w:r>
        <w:t>Material KPIs that have a material impact on Contract performance for each Monthly Statement of Work can be found at Call-Off Schedule 14 (Service Levels and Balanced Scorecard)</w:t>
      </w:r>
    </w:p>
    <w:p w:rsidR="009D3191" w:rsidRDefault="009D3191">
      <w:pPr>
        <w:jc w:val="both"/>
        <w:sectPr w:rsidR="009D3191">
          <w:pgSz w:w="11910" w:h="16840"/>
          <w:pgMar w:top="940" w:right="1320" w:bottom="1200" w:left="240" w:header="203" w:footer="1008" w:gutter="0"/>
          <w:cols w:space="720"/>
        </w:sectPr>
      </w:pPr>
    </w:p>
    <w:p w:rsidR="009D3191" w:rsidRDefault="0073541E">
      <w:pPr>
        <w:spacing w:before="71"/>
        <w:ind w:left="100"/>
        <w:rPr>
          <w:sz w:val="16"/>
        </w:rPr>
      </w:pPr>
      <w:r>
        <w:rPr>
          <w:sz w:val="16"/>
        </w:rPr>
        <w:lastRenderedPageBreak/>
        <w:t>DocuSign Envelope ID: E1AD5F93-B3B6-4B52-A179-FF608F276247</w:t>
      </w:r>
    </w:p>
    <w:p w:rsidR="009D3191" w:rsidRDefault="009D3191">
      <w:pPr>
        <w:pStyle w:val="BodyText"/>
        <w:rPr>
          <w:sz w:val="20"/>
        </w:rPr>
      </w:pPr>
    </w:p>
    <w:p w:rsidR="009D3191" w:rsidRDefault="0073541E">
      <w:pPr>
        <w:pStyle w:val="BodyText"/>
        <w:spacing w:before="93"/>
        <w:ind w:right="107"/>
        <w:jc w:val="right"/>
      </w:pPr>
      <w:r>
        <w:t>Annex A: Statement of Work</w:t>
      </w:r>
    </w:p>
    <w:p w:rsidR="009D3191" w:rsidRDefault="0073541E">
      <w:pPr>
        <w:pStyle w:val="Heading3"/>
        <w:ind w:left="612"/>
        <w:jc w:val="left"/>
      </w:pPr>
      <w:r>
        <w:t>Annex A to Order Form Appendix 1 – Monthly Statement of Work Template</w:t>
      </w:r>
    </w:p>
    <w:p w:rsidR="009D3191" w:rsidRDefault="0073541E">
      <w:pPr>
        <w:pStyle w:val="Heading4"/>
        <w:spacing w:before="162" w:after="21"/>
        <w:ind w:left="6025" w:right="6956" w:firstLine="0"/>
        <w:jc w:val="center"/>
        <w:rPr>
          <w:rFonts w:ascii="Cambria"/>
        </w:rPr>
      </w:pPr>
      <w:r>
        <w:rPr>
          <w:rFonts w:ascii="Cambria"/>
          <w:u w:val="single"/>
        </w:rPr>
        <w:t>Key Performance Indicators</w:t>
      </w:r>
    </w:p>
    <w:tbl>
      <w:tblPr>
        <w:tblW w:w="0" w:type="auto"/>
        <w:tblInd w:w="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309"/>
      </w:tblGrid>
      <w:tr w:rsidR="009D3191">
        <w:trPr>
          <w:trHeight w:hRule="exact" w:val="466"/>
        </w:trPr>
        <w:tc>
          <w:tcPr>
            <w:tcW w:w="2410" w:type="dxa"/>
          </w:tcPr>
          <w:p w:rsidR="009D3191" w:rsidRDefault="0073541E">
            <w:pPr>
              <w:pStyle w:val="TableParagraph"/>
              <w:spacing w:before="165"/>
              <w:ind w:right="109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2309" w:type="dxa"/>
          </w:tcPr>
          <w:p w:rsidR="009D3191" w:rsidRDefault="0073541E">
            <w:pPr>
              <w:pStyle w:val="TableParagraph"/>
              <w:spacing w:before="165"/>
              <w:ind w:left="4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</w:tr>
      <w:tr w:rsidR="009D3191">
        <w:trPr>
          <w:trHeight w:hRule="exact" w:val="466"/>
        </w:trPr>
        <w:tc>
          <w:tcPr>
            <w:tcW w:w="2410" w:type="dxa"/>
          </w:tcPr>
          <w:p w:rsidR="009D3191" w:rsidRDefault="0073541E">
            <w:pPr>
              <w:pStyle w:val="TableParagraph"/>
              <w:spacing w:before="165"/>
              <w:ind w:right="109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2309" w:type="dxa"/>
          </w:tcPr>
          <w:p w:rsidR="009D3191" w:rsidRDefault="0073541E">
            <w:pPr>
              <w:pStyle w:val="TableParagraph"/>
              <w:spacing w:before="165"/>
              <w:ind w:lef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</w:tr>
    </w:tbl>
    <w:p w:rsidR="009D3191" w:rsidRDefault="009D3191">
      <w:pPr>
        <w:pStyle w:val="BodyText"/>
        <w:spacing w:before="7"/>
        <w:rPr>
          <w:rFonts w:ascii="Cambria"/>
          <w:b/>
          <w:sz w:val="6"/>
        </w:rPr>
      </w:pPr>
    </w:p>
    <w:p w:rsidR="009D3191" w:rsidRDefault="0073541E">
      <w:pPr>
        <w:spacing w:before="45"/>
        <w:ind w:left="1332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Service xxx – Date from.............Date to...........</w:t>
      </w:r>
    </w:p>
    <w:p w:rsidR="009D3191" w:rsidRDefault="0073541E">
      <w:pPr>
        <w:spacing w:before="148" w:after="26"/>
        <w:ind w:left="597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Deliverables</w:t>
      </w:r>
    </w:p>
    <w:tbl>
      <w:tblPr>
        <w:tblW w:w="0" w:type="auto"/>
        <w:tblInd w:w="499" w:type="dxa"/>
        <w:tblBorders>
          <w:top w:val="single" w:sz="20" w:space="0" w:color="4F81BC"/>
          <w:left w:val="single" w:sz="20" w:space="0" w:color="4F81BC"/>
          <w:bottom w:val="single" w:sz="20" w:space="0" w:color="4F81BC"/>
          <w:right w:val="single" w:sz="20" w:space="0" w:color="4F81BC"/>
          <w:insideH w:val="single" w:sz="20" w:space="0" w:color="4F81BC"/>
          <w:insideV w:val="single" w:sz="20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22"/>
        <w:gridCol w:w="3084"/>
        <w:gridCol w:w="1278"/>
        <w:gridCol w:w="991"/>
        <w:gridCol w:w="1133"/>
        <w:gridCol w:w="1419"/>
        <w:gridCol w:w="1560"/>
        <w:gridCol w:w="1275"/>
        <w:gridCol w:w="1274"/>
      </w:tblGrid>
      <w:tr w:rsidR="009D3191">
        <w:trPr>
          <w:trHeight w:hRule="exact" w:val="468"/>
        </w:trPr>
        <w:tc>
          <w:tcPr>
            <w:tcW w:w="5958" w:type="dxa"/>
            <w:gridSpan w:val="4"/>
            <w:tcBorders>
              <w:top w:val="nil"/>
              <w:left w:val="nil"/>
              <w:right w:val="nil"/>
            </w:tcBorders>
          </w:tcPr>
          <w:p w:rsidR="009D3191" w:rsidRDefault="009D3191"/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F81BC"/>
          </w:tcPr>
          <w:p w:rsidR="009D3191" w:rsidRDefault="0073541E">
            <w:pPr>
              <w:pStyle w:val="TableParagraph"/>
              <w:spacing w:before="167"/>
              <w:ind w:left="105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Days booked per role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24" w:space="0" w:color="4F81BC"/>
              <w:right w:val="nil"/>
            </w:tcBorders>
          </w:tcPr>
          <w:p w:rsidR="009D3191" w:rsidRDefault="009D3191"/>
        </w:tc>
      </w:tr>
      <w:tr w:rsidR="009D3191">
        <w:trPr>
          <w:trHeight w:hRule="exact" w:val="7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9D3191">
            <w:pPr>
              <w:pStyle w:val="TableParagraph"/>
              <w:rPr>
                <w:rFonts w:ascii="Calibri"/>
                <w:b/>
              </w:rPr>
            </w:pPr>
          </w:p>
          <w:p w:rsidR="009D3191" w:rsidRDefault="0073541E">
            <w:pPr>
              <w:pStyle w:val="TableParagraph"/>
              <w:spacing w:before="184"/>
              <w:ind w:left="165" w:right="16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Ser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9D3191">
            <w:pPr>
              <w:pStyle w:val="TableParagraph"/>
              <w:rPr>
                <w:rFonts w:ascii="Calibri"/>
                <w:b/>
              </w:rPr>
            </w:pPr>
          </w:p>
          <w:p w:rsidR="009D3191" w:rsidRDefault="0073541E">
            <w:pPr>
              <w:pStyle w:val="TableParagraph"/>
              <w:spacing w:before="184"/>
              <w:ind w:left="24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Task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9D3191">
            <w:pPr>
              <w:pStyle w:val="TableParagraph"/>
              <w:rPr>
                <w:rFonts w:ascii="Calibri"/>
                <w:b/>
              </w:rPr>
            </w:pPr>
          </w:p>
          <w:p w:rsidR="009D3191" w:rsidRDefault="0073541E">
            <w:pPr>
              <w:pStyle w:val="TableParagraph"/>
              <w:spacing w:before="184"/>
              <w:ind w:left="44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Description/Deliverable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9D3191">
            <w:pPr>
              <w:pStyle w:val="TableParagraph"/>
              <w:rPr>
                <w:rFonts w:ascii="Calibri"/>
                <w:b/>
              </w:rPr>
            </w:pPr>
          </w:p>
          <w:p w:rsidR="009D3191" w:rsidRDefault="0073541E">
            <w:pPr>
              <w:pStyle w:val="TableParagraph"/>
              <w:spacing w:before="184"/>
              <w:ind w:left="17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Timescale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9D3191">
            <w:pPr>
              <w:pStyle w:val="TableParagraph"/>
              <w:rPr>
                <w:rFonts w:ascii="Calibri"/>
                <w:b/>
              </w:rPr>
            </w:pPr>
          </w:p>
          <w:p w:rsidR="009D3191" w:rsidRDefault="0073541E">
            <w:pPr>
              <w:pStyle w:val="TableParagraph"/>
              <w:spacing w:before="184"/>
              <w:ind w:left="191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Role 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73541E">
            <w:pPr>
              <w:pStyle w:val="TableParagraph"/>
              <w:spacing w:before="165"/>
              <w:ind w:left="104" w:right="5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Days used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9D3191">
            <w:pPr>
              <w:pStyle w:val="TableParagraph"/>
              <w:rPr>
                <w:rFonts w:ascii="Calibri"/>
                <w:b/>
              </w:rPr>
            </w:pPr>
          </w:p>
          <w:p w:rsidR="009D3191" w:rsidRDefault="0073541E">
            <w:pPr>
              <w:pStyle w:val="TableParagraph"/>
              <w:spacing w:before="184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Completion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73541E">
            <w:pPr>
              <w:pStyle w:val="TableParagraph"/>
              <w:spacing w:before="165" w:line="256" w:lineRule="auto"/>
              <w:ind w:left="369" w:right="302" w:firstLine="5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Benefits delivered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73541E">
            <w:pPr>
              <w:pStyle w:val="TableParagraph"/>
              <w:spacing w:before="165"/>
              <w:ind w:right="7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Cost of task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4F81BC"/>
          </w:tcPr>
          <w:p w:rsidR="009D3191" w:rsidRDefault="0073541E">
            <w:pPr>
              <w:pStyle w:val="TableParagraph"/>
              <w:spacing w:before="165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%</w:t>
            </w:r>
          </w:p>
          <w:p w:rsidR="009D3191" w:rsidRDefault="0073541E">
            <w:pPr>
              <w:pStyle w:val="TableParagraph"/>
              <w:spacing w:before="19"/>
              <w:ind w:left="146" w:right="10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completed</w:t>
            </w:r>
          </w:p>
        </w:tc>
      </w:tr>
      <w:tr w:rsidR="009D3191">
        <w:trPr>
          <w:trHeight w:hRule="exact" w:val="526"/>
        </w:trPr>
        <w:tc>
          <w:tcPr>
            <w:tcW w:w="674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9D3191" w:rsidRDefault="0073541E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922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3084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277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991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133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9D3191" w:rsidRDefault="0073541E">
            <w:pPr>
              <w:pStyle w:val="TableParagraph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1419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560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275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9D3191" w:rsidRDefault="0073541E">
            <w:pPr>
              <w:pStyle w:val="TableParagraph"/>
              <w:ind w:right="10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£0.00</w:t>
            </w:r>
          </w:p>
        </w:tc>
        <w:tc>
          <w:tcPr>
            <w:tcW w:w="1274" w:type="dxa"/>
            <w:tcBorders>
              <w:top w:val="single" w:sz="4" w:space="0" w:color="94B3D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</w:tr>
      <w:tr w:rsidR="009D3191">
        <w:trPr>
          <w:trHeight w:hRule="exact" w:val="4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73541E">
            <w:pPr>
              <w:pStyle w:val="TableParagraph"/>
              <w:spacing w:before="1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9D3191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9D319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9D3191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9D319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73541E">
            <w:pPr>
              <w:pStyle w:val="TableParagraph"/>
              <w:spacing w:before="167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9D319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9D319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73541E">
            <w:pPr>
              <w:pStyle w:val="TableParagraph"/>
              <w:spacing w:before="167"/>
              <w:ind w:right="10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£0.00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24" w:space="0" w:color="DCE6F0"/>
              <w:right w:val="single" w:sz="4" w:space="0" w:color="000000"/>
            </w:tcBorders>
          </w:tcPr>
          <w:p w:rsidR="009D3191" w:rsidRDefault="009D3191"/>
        </w:tc>
      </w:tr>
      <w:tr w:rsidR="009D3191">
        <w:trPr>
          <w:trHeight w:hRule="exact" w:val="4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73541E">
            <w:pPr>
              <w:pStyle w:val="TableParagraph"/>
              <w:spacing w:before="1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73541E">
            <w:pPr>
              <w:pStyle w:val="TableParagraph"/>
              <w:spacing w:before="169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73541E">
            <w:pPr>
              <w:pStyle w:val="TableParagraph"/>
              <w:spacing w:before="169"/>
              <w:ind w:right="10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£0.00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9D3191" w:rsidRDefault="009D3191"/>
        </w:tc>
      </w:tr>
    </w:tbl>
    <w:p w:rsidR="009D3191" w:rsidRDefault="009D3191">
      <w:pPr>
        <w:pStyle w:val="BodyText"/>
        <w:spacing w:before="4"/>
        <w:rPr>
          <w:rFonts w:ascii="Calibri"/>
          <w:b/>
          <w:sz w:val="14"/>
        </w:rPr>
      </w:pPr>
    </w:p>
    <w:p w:rsidR="009D3191" w:rsidRDefault="0073541E">
      <w:pPr>
        <w:spacing w:before="91"/>
        <w:ind w:left="612"/>
        <w:rPr>
          <w:b/>
          <w:sz w:val="28"/>
        </w:rPr>
      </w:pPr>
      <w:r>
        <w:rPr>
          <w:b/>
          <w:sz w:val="28"/>
        </w:rPr>
        <w:t>Signatures and Approvals</w:t>
      </w:r>
    </w:p>
    <w:p w:rsidR="009D3191" w:rsidRDefault="0073541E">
      <w:pPr>
        <w:spacing w:before="250"/>
        <w:ind w:left="612"/>
        <w:rPr>
          <w:b/>
        </w:rPr>
      </w:pPr>
      <w:r>
        <w:rPr>
          <w:b/>
        </w:rPr>
        <w:t>Agreement of this SOW</w:t>
      </w:r>
    </w:p>
    <w:p w:rsidR="009D3191" w:rsidRDefault="009D3191">
      <w:pPr>
        <w:pStyle w:val="BodyText"/>
        <w:spacing w:before="3"/>
        <w:rPr>
          <w:b/>
        </w:rPr>
      </w:pPr>
    </w:p>
    <w:p w:rsidR="009D3191" w:rsidRDefault="0073541E">
      <w:pPr>
        <w:pStyle w:val="BodyText"/>
        <w:ind w:left="612"/>
      </w:pPr>
      <w:r>
        <w:t>BY e-SIGNING this Statement of Work, the Parties agree that it shall be legally binding on the Parties:</w:t>
      </w:r>
    </w:p>
    <w:tbl>
      <w:tblPr>
        <w:tblW w:w="0" w:type="auto"/>
        <w:tblInd w:w="609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978"/>
        <w:gridCol w:w="1555"/>
        <w:gridCol w:w="3105"/>
      </w:tblGrid>
      <w:tr w:rsidR="009D3191">
        <w:trPr>
          <w:trHeight w:hRule="exact" w:val="415"/>
        </w:trPr>
        <w:tc>
          <w:tcPr>
            <w:tcW w:w="4505" w:type="dxa"/>
            <w:gridSpan w:val="2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8"/>
              <w:rPr>
                <w:b/>
              </w:rPr>
            </w:pPr>
            <w:r>
              <w:rPr>
                <w:b/>
              </w:rPr>
              <w:t>For and on behalf of the Supplier:</w:t>
            </w:r>
          </w:p>
        </w:tc>
        <w:tc>
          <w:tcPr>
            <w:tcW w:w="4659" w:type="dxa"/>
            <w:gridSpan w:val="2"/>
            <w:tcBorders>
              <w:righ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For and on behalf of the Buyer:</w:t>
            </w:r>
          </w:p>
        </w:tc>
      </w:tr>
      <w:tr w:rsidR="009D3191">
        <w:trPr>
          <w:trHeight w:hRule="exact" w:val="607"/>
        </w:trPr>
        <w:tc>
          <w:tcPr>
            <w:tcW w:w="1527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978" w:type="dxa"/>
          </w:tcPr>
          <w:p w:rsidR="009D3191" w:rsidRDefault="009D3191"/>
        </w:tc>
        <w:tc>
          <w:tcPr>
            <w:tcW w:w="1555" w:type="dxa"/>
            <w:shd w:val="clear" w:color="auto" w:fill="D9E1F3"/>
          </w:tcPr>
          <w:p w:rsidR="009D3191" w:rsidRDefault="0073541E">
            <w:pPr>
              <w:pStyle w:val="TableParagraph"/>
              <w:spacing w:before="57"/>
              <w:ind w:left="245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105" w:type="dxa"/>
            <w:tcBorders>
              <w:right w:val="nil"/>
            </w:tcBorders>
          </w:tcPr>
          <w:p w:rsidR="009D3191" w:rsidRDefault="009D3191"/>
        </w:tc>
      </w:tr>
      <w:tr w:rsidR="009D3191">
        <w:trPr>
          <w:trHeight w:hRule="exact" w:val="559"/>
        </w:trPr>
        <w:tc>
          <w:tcPr>
            <w:tcW w:w="1527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108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2978" w:type="dxa"/>
            <w:shd w:val="clear" w:color="auto" w:fill="D9E1F3"/>
          </w:tcPr>
          <w:p w:rsidR="009D3191" w:rsidRDefault="009D3191"/>
        </w:tc>
        <w:tc>
          <w:tcPr>
            <w:tcW w:w="1555" w:type="dxa"/>
            <w:shd w:val="clear" w:color="auto" w:fill="D9E1F3"/>
          </w:tcPr>
          <w:p w:rsidR="009D3191" w:rsidRDefault="0073541E">
            <w:pPr>
              <w:pStyle w:val="TableParagraph"/>
              <w:spacing w:before="55"/>
              <w:ind w:left="245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105" w:type="dxa"/>
            <w:tcBorders>
              <w:right w:val="nil"/>
            </w:tcBorders>
            <w:shd w:val="clear" w:color="auto" w:fill="D9E1F3"/>
          </w:tcPr>
          <w:p w:rsidR="009D3191" w:rsidRDefault="009D3191"/>
        </w:tc>
      </w:tr>
      <w:tr w:rsidR="009D3191">
        <w:trPr>
          <w:trHeight w:hRule="exact" w:val="586"/>
        </w:trPr>
        <w:tc>
          <w:tcPr>
            <w:tcW w:w="1527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2978" w:type="dxa"/>
          </w:tcPr>
          <w:p w:rsidR="009D3191" w:rsidRDefault="009D3191"/>
        </w:tc>
        <w:tc>
          <w:tcPr>
            <w:tcW w:w="1555" w:type="dxa"/>
            <w:shd w:val="clear" w:color="auto" w:fill="D9E1F3"/>
          </w:tcPr>
          <w:p w:rsidR="009D3191" w:rsidRDefault="0073541E">
            <w:pPr>
              <w:pStyle w:val="TableParagraph"/>
              <w:spacing w:before="58"/>
              <w:ind w:left="245"/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3105" w:type="dxa"/>
            <w:tcBorders>
              <w:right w:val="nil"/>
            </w:tcBorders>
          </w:tcPr>
          <w:p w:rsidR="009D3191" w:rsidRDefault="009D3191"/>
        </w:tc>
      </w:tr>
      <w:tr w:rsidR="009D3191">
        <w:trPr>
          <w:trHeight w:hRule="exact" w:val="376"/>
        </w:trPr>
        <w:tc>
          <w:tcPr>
            <w:tcW w:w="1527" w:type="dxa"/>
            <w:tcBorders>
              <w:left w:val="nil"/>
            </w:tcBorders>
            <w:shd w:val="clear" w:color="auto" w:fill="D9E1F3"/>
          </w:tcPr>
          <w:p w:rsidR="009D3191" w:rsidRDefault="0073541E">
            <w:pPr>
              <w:pStyle w:val="TableParagraph"/>
              <w:spacing w:before="53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978" w:type="dxa"/>
            <w:shd w:val="clear" w:color="auto" w:fill="D9E1F3"/>
          </w:tcPr>
          <w:p w:rsidR="009D3191" w:rsidRDefault="009D3191"/>
        </w:tc>
        <w:tc>
          <w:tcPr>
            <w:tcW w:w="1555" w:type="dxa"/>
            <w:shd w:val="clear" w:color="auto" w:fill="D9E1F3"/>
          </w:tcPr>
          <w:p w:rsidR="009D3191" w:rsidRDefault="0073541E">
            <w:pPr>
              <w:pStyle w:val="TableParagraph"/>
              <w:spacing w:before="53"/>
              <w:ind w:left="245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105" w:type="dxa"/>
            <w:tcBorders>
              <w:right w:val="nil"/>
            </w:tcBorders>
            <w:shd w:val="clear" w:color="auto" w:fill="D9E1F3"/>
          </w:tcPr>
          <w:p w:rsidR="009D3191" w:rsidRDefault="009D3191"/>
        </w:tc>
      </w:tr>
    </w:tbl>
    <w:p w:rsidR="009D3191" w:rsidRDefault="009D3191">
      <w:pPr>
        <w:pStyle w:val="BodyText"/>
        <w:spacing w:before="1"/>
        <w:rPr>
          <w:sz w:val="14"/>
        </w:rPr>
      </w:pPr>
    </w:p>
    <w:p w:rsidR="009D3191" w:rsidRDefault="0073541E">
      <w:pPr>
        <w:pStyle w:val="BodyText"/>
        <w:spacing w:before="93" w:line="252" w:lineRule="exact"/>
        <w:ind w:right="105"/>
        <w:jc w:val="right"/>
      </w:pPr>
      <w:r>
        <w:t>1</w:t>
      </w:r>
    </w:p>
    <w:p w:rsidR="009D3191" w:rsidRDefault="0073541E">
      <w:pPr>
        <w:pStyle w:val="BodyText"/>
        <w:spacing w:line="252" w:lineRule="exact"/>
        <w:ind w:left="612"/>
      </w:pPr>
      <w:r>
        <w:t>Framework Ref: RM1043.7</w:t>
      </w:r>
    </w:p>
    <w:sectPr w:rsidR="009D3191">
      <w:headerReference w:type="default" r:id="rId14"/>
      <w:footerReference w:type="default" r:id="rId15"/>
      <w:pgSz w:w="16840" w:h="11910" w:orient="landscape"/>
      <w:pgMar w:top="120" w:right="74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44E" w:rsidRDefault="0071744E">
      <w:r>
        <w:separator/>
      </w:r>
    </w:p>
  </w:endnote>
  <w:endnote w:type="continuationSeparator" w:id="0">
    <w:p w:rsidR="0071744E" w:rsidRDefault="0071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191" w:rsidRDefault="00BF04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240" behindDoc="1" locked="0" layoutInCell="1" allowOverlap="1">
              <wp:simplePos x="0" y="0"/>
              <wp:positionH relativeFrom="page">
                <wp:posOffset>6544310</wp:posOffset>
              </wp:positionH>
              <wp:positionV relativeFrom="page">
                <wp:posOffset>9912350</wp:posOffset>
              </wp:positionV>
              <wp:extent cx="128905" cy="182245"/>
              <wp:effectExtent l="635" t="0" r="3810" b="190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191" w:rsidRDefault="0073541E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5.3pt;margin-top:780.5pt;width:10.15pt;height:14.35pt;z-index:-1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" filled="f" stroked="f">
              <v:textbox inset="0,0,0,0">
                <w:txbxContent>
                  <w:p w:rsidR="009D3191" w:rsidRDefault="0073541E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10072370</wp:posOffset>
              </wp:positionV>
              <wp:extent cx="1702435" cy="182245"/>
              <wp:effectExtent l="0" t="4445" r="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191" w:rsidRDefault="0073541E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Framework Ref: RM1043.7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71pt;margin-top:793.1pt;width:134.05pt;height:14.35pt;z-index:-1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" filled="f" stroked="f">
              <v:textbox inset="0,0,0,0">
                <w:txbxContent>
                  <w:p w:rsidR="009D3191" w:rsidRDefault="0073541E">
                    <w:pPr>
                      <w:pStyle w:val="BodyText"/>
                      <w:spacing w:before="13"/>
                      <w:ind w:left="20"/>
                    </w:pPr>
                    <w:r>
                      <w:t>Framework Ref: RM1043.7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191" w:rsidRDefault="00BF04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288" behindDoc="1" locked="0" layoutInCell="1" allowOverlap="1">
              <wp:simplePos x="0" y="0"/>
              <wp:positionH relativeFrom="page">
                <wp:posOffset>6544310</wp:posOffset>
              </wp:positionH>
              <wp:positionV relativeFrom="page">
                <wp:posOffset>9912350</wp:posOffset>
              </wp:positionV>
              <wp:extent cx="128905" cy="182245"/>
              <wp:effectExtent l="635" t="0" r="381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191" w:rsidRDefault="0073541E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15.3pt;margin-top:780.5pt;width:10.15pt;height:14.35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" filled="f" stroked="f">
              <v:textbox inset="0,0,0,0">
                <w:txbxContent>
                  <w:p w:rsidR="009D3191" w:rsidRDefault="0073541E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10072370</wp:posOffset>
              </wp:positionV>
              <wp:extent cx="1702435" cy="182245"/>
              <wp:effectExtent l="0" t="444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191" w:rsidRDefault="0073541E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Framework Ref: RM1043.7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71pt;margin-top:793.1pt;width:134.05pt;height:14.35pt;z-index:-1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" filled="f" stroked="f">
              <v:textbox inset="0,0,0,0">
                <w:txbxContent>
                  <w:p w:rsidR="009D3191" w:rsidRDefault="0073541E">
                    <w:pPr>
                      <w:pStyle w:val="BodyText"/>
                      <w:spacing w:before="13"/>
                      <w:ind w:left="20"/>
                    </w:pPr>
                    <w:r>
                      <w:t>Framework Ref: RM1043.7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191" w:rsidRDefault="009D319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44E" w:rsidRDefault="0071744E">
      <w:r>
        <w:separator/>
      </w:r>
    </w:p>
  </w:footnote>
  <w:footnote w:type="continuationSeparator" w:id="0">
    <w:p w:rsidR="0071744E" w:rsidRDefault="0071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191" w:rsidRDefault="00BF04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19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52140" cy="139065"/>
              <wp:effectExtent l="3175" t="1905" r="0" b="190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191" w:rsidRDefault="007354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DocuSign Envelope ID: E1AD5F93-B3B6-4B52-A179-FF608F276247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pt;margin-top:9.15pt;width:248.2pt;height:10.95pt;z-index:-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" filled="f" stroked="f">
              <v:textbox inset="0,0,0,0">
                <w:txbxContent>
                  <w:p w:rsidR="009D3191" w:rsidRDefault="007354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DocuSign Envelope ID: E1AD5F93-B3B6-4B52-A179-FF608F276247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191" w:rsidRDefault="009D319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63BAD"/>
    <w:multiLevelType w:val="hybridMultilevel"/>
    <w:tmpl w:val="4EE411DE"/>
    <w:lvl w:ilvl="0" w:tplc="C63A45B0">
      <w:start w:val="1"/>
      <w:numFmt w:val="decimal"/>
      <w:lvlText w:val="%1."/>
      <w:lvlJc w:val="left"/>
      <w:pPr>
        <w:ind w:left="1908" w:hanging="7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F0CEA0">
      <w:start w:val="1"/>
      <w:numFmt w:val="lowerLetter"/>
      <w:lvlText w:val="(%2)"/>
      <w:lvlJc w:val="left"/>
      <w:pPr>
        <w:ind w:left="2760" w:hanging="852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 w:tplc="47D65110">
      <w:numFmt w:val="bullet"/>
      <w:lvlText w:val="•"/>
      <w:lvlJc w:val="left"/>
      <w:pPr>
        <w:ind w:left="3609" w:hanging="852"/>
      </w:pPr>
      <w:rPr>
        <w:rFonts w:hint="default"/>
      </w:rPr>
    </w:lvl>
    <w:lvl w:ilvl="3" w:tplc="60B44DBA">
      <w:numFmt w:val="bullet"/>
      <w:lvlText w:val="•"/>
      <w:lvlJc w:val="left"/>
      <w:pPr>
        <w:ind w:left="4459" w:hanging="852"/>
      </w:pPr>
      <w:rPr>
        <w:rFonts w:hint="default"/>
      </w:rPr>
    </w:lvl>
    <w:lvl w:ilvl="4" w:tplc="4E3A6F60">
      <w:numFmt w:val="bullet"/>
      <w:lvlText w:val="•"/>
      <w:lvlJc w:val="left"/>
      <w:pPr>
        <w:ind w:left="5308" w:hanging="852"/>
      </w:pPr>
      <w:rPr>
        <w:rFonts w:hint="default"/>
      </w:rPr>
    </w:lvl>
    <w:lvl w:ilvl="5" w:tplc="2FFE7338">
      <w:numFmt w:val="bullet"/>
      <w:lvlText w:val="•"/>
      <w:lvlJc w:val="left"/>
      <w:pPr>
        <w:ind w:left="6158" w:hanging="852"/>
      </w:pPr>
      <w:rPr>
        <w:rFonts w:hint="default"/>
      </w:rPr>
    </w:lvl>
    <w:lvl w:ilvl="6" w:tplc="92A2E03A">
      <w:numFmt w:val="bullet"/>
      <w:lvlText w:val="•"/>
      <w:lvlJc w:val="left"/>
      <w:pPr>
        <w:ind w:left="7008" w:hanging="852"/>
      </w:pPr>
      <w:rPr>
        <w:rFonts w:hint="default"/>
      </w:rPr>
    </w:lvl>
    <w:lvl w:ilvl="7" w:tplc="C2EA04AC">
      <w:numFmt w:val="bullet"/>
      <w:lvlText w:val="•"/>
      <w:lvlJc w:val="left"/>
      <w:pPr>
        <w:ind w:left="7857" w:hanging="852"/>
      </w:pPr>
      <w:rPr>
        <w:rFonts w:hint="default"/>
      </w:rPr>
    </w:lvl>
    <w:lvl w:ilvl="8" w:tplc="A4A62018">
      <w:numFmt w:val="bullet"/>
      <w:lvlText w:val="•"/>
      <w:lvlJc w:val="left"/>
      <w:pPr>
        <w:ind w:left="8707" w:hanging="852"/>
      </w:pPr>
      <w:rPr>
        <w:rFonts w:hint="default"/>
      </w:rPr>
    </w:lvl>
  </w:abstractNum>
  <w:abstractNum w:abstractNumId="1" w15:restartNumberingAfterBreak="0">
    <w:nsid w:val="5FF93108"/>
    <w:multiLevelType w:val="multilevel"/>
    <w:tmpl w:val="5476BB58"/>
    <w:lvl w:ilvl="0">
      <w:start w:val="1"/>
      <w:numFmt w:val="decimal"/>
      <w:lvlText w:val="%1."/>
      <w:lvlJc w:val="left"/>
      <w:pPr>
        <w:ind w:left="1908" w:hanging="7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760" w:hanging="852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602" w:hanging="852"/>
      </w:pPr>
      <w:rPr>
        <w:rFonts w:hint="default"/>
      </w:rPr>
    </w:lvl>
    <w:lvl w:ilvl="3">
      <w:numFmt w:val="bullet"/>
      <w:lvlText w:val="•"/>
      <w:lvlJc w:val="left"/>
      <w:pPr>
        <w:ind w:left="4445" w:hanging="852"/>
      </w:pPr>
      <w:rPr>
        <w:rFonts w:hint="default"/>
      </w:rPr>
    </w:lvl>
    <w:lvl w:ilvl="4">
      <w:numFmt w:val="bullet"/>
      <w:lvlText w:val="•"/>
      <w:lvlJc w:val="left"/>
      <w:pPr>
        <w:ind w:left="5288" w:hanging="852"/>
      </w:pPr>
      <w:rPr>
        <w:rFonts w:hint="default"/>
      </w:rPr>
    </w:lvl>
    <w:lvl w:ilvl="5">
      <w:numFmt w:val="bullet"/>
      <w:lvlText w:val="•"/>
      <w:lvlJc w:val="left"/>
      <w:pPr>
        <w:ind w:left="6131" w:hanging="852"/>
      </w:pPr>
      <w:rPr>
        <w:rFonts w:hint="default"/>
      </w:rPr>
    </w:lvl>
    <w:lvl w:ilvl="6">
      <w:numFmt w:val="bullet"/>
      <w:lvlText w:val="•"/>
      <w:lvlJc w:val="left"/>
      <w:pPr>
        <w:ind w:left="6974" w:hanging="852"/>
      </w:pPr>
      <w:rPr>
        <w:rFonts w:hint="default"/>
      </w:rPr>
    </w:lvl>
    <w:lvl w:ilvl="7">
      <w:numFmt w:val="bullet"/>
      <w:lvlText w:val="•"/>
      <w:lvlJc w:val="left"/>
      <w:pPr>
        <w:ind w:left="7817" w:hanging="852"/>
      </w:pPr>
      <w:rPr>
        <w:rFonts w:hint="default"/>
      </w:rPr>
    </w:lvl>
    <w:lvl w:ilvl="8">
      <w:numFmt w:val="bullet"/>
      <w:lvlText w:val="•"/>
      <w:lvlJc w:val="left"/>
      <w:pPr>
        <w:ind w:left="8660" w:hanging="8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91"/>
    <w:rsid w:val="00042301"/>
    <w:rsid w:val="006363E3"/>
    <w:rsid w:val="0071744E"/>
    <w:rsid w:val="0073541E"/>
    <w:rsid w:val="009126A9"/>
    <w:rsid w:val="009D3191"/>
    <w:rsid w:val="00BF04B3"/>
    <w:rsid w:val="00D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A7884"/>
  <w15:docId w15:val="{41D84B2F-74CD-4A80-8BF9-FFC86739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597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60"/>
      <w:ind w:left="1908" w:hanging="708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0"/>
      <w:ind w:left="190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63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63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E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barnes@lainternation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barnes@lainternationa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toni.prince177@mo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herine.russell250@mod.gov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Sophie D (Army Info-Strat-Comrcl-SO3)</dc:creator>
  <cp:lastModifiedBy>Prince, Toni  (Army Info-Strat-Cmrcl-C1)</cp:lastModifiedBy>
  <cp:revision>5</cp:revision>
  <dcterms:created xsi:type="dcterms:W3CDTF">2021-06-09T09:07:00Z</dcterms:created>
  <dcterms:modified xsi:type="dcterms:W3CDTF">2021-06-09T12:55:00Z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LastSaved">
    <vt:filetime>2021-06-09T00:00:00Z</vt:filetime>
  </property>
</Properties>
</file>