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gjdgxs" w:id="0"/>
      <w:bookmarkEnd w:id="0"/>
      <w:r w:rsidDel="00000000" w:rsidR="00000000" w:rsidRPr="00000000">
        <w:rPr/>
        <w:drawing>
          <wp:inline distB="114300" distT="114300" distL="114300" distR="114300">
            <wp:extent cx="1862138" cy="72463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62138" cy="724633"/>
                    </a:xfrm>
                    <a:prstGeom prst="rect"/>
                    <a:ln/>
                  </pic:spPr>
                </pic:pic>
              </a:graphicData>
            </a:graphic>
          </wp:inline>
        </w:drawing>
      </w:r>
      <w:r w:rsidDel="00000000" w:rsidR="00000000" w:rsidRPr="00000000">
        <w:rPr>
          <w:sz w:val="48"/>
          <w:szCs w:val="48"/>
        </w:rPr>
        <w:drawing>
          <wp:inline distB="114300" distT="114300" distL="114300" distR="114300">
            <wp:extent cx="1766888" cy="667800"/>
            <wp:effectExtent b="0" l="0" r="0" t="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766888" cy="667800"/>
                    </a:xfrm>
                    <a:prstGeom prst="rect"/>
                    <a:ln/>
                  </pic:spPr>
                </pic:pic>
              </a:graphicData>
            </a:graphic>
          </wp:inline>
        </w:drawing>
      </w:r>
      <w:r w:rsidDel="00000000" w:rsidR="00000000" w:rsidRPr="00000000">
        <w:rPr>
          <w:sz w:val="48"/>
          <w:szCs w:val="48"/>
        </w:rPr>
        <w:drawing>
          <wp:inline distB="114300" distT="114300" distL="114300" distR="114300">
            <wp:extent cx="2024063" cy="600636"/>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024063" cy="600636"/>
                    </a:xfrm>
                    <a:prstGeom prst="rect"/>
                    <a:ln/>
                  </pic:spPr>
                </pic:pic>
              </a:graphicData>
            </a:graphic>
          </wp:inline>
        </w:drawing>
      </w:r>
      <w:r w:rsidDel="00000000" w:rsidR="00000000" w:rsidRPr="00000000">
        <w:rPr>
          <w:rtl w:val="0"/>
        </w:rPr>
        <w:tab/>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 </w:t>
      </w:r>
    </w:p>
    <w:p w:rsidR="00000000" w:rsidDel="00000000" w:rsidP="00000000" w:rsidRDefault="00000000" w:rsidRPr="00000000" w14:paraId="00000004">
      <w:pPr>
        <w:spacing w:line="360" w:lineRule="auto"/>
        <w:jc w:val="center"/>
        <w:rPr>
          <w:sz w:val="48"/>
          <w:szCs w:val="48"/>
        </w:rPr>
      </w:pPr>
      <w:r w:rsidDel="00000000" w:rsidR="00000000" w:rsidRPr="00000000">
        <w:rPr>
          <w:sz w:val="48"/>
          <w:szCs w:val="48"/>
          <w:rtl w:val="0"/>
        </w:rPr>
        <w:t xml:space="preserve">Form of Tender</w:t>
      </w:r>
    </w:p>
    <w:p w:rsidR="00000000" w:rsidDel="00000000" w:rsidP="00000000" w:rsidRDefault="00000000" w:rsidRPr="00000000" w14:paraId="00000005">
      <w:pPr>
        <w:spacing w:line="360" w:lineRule="auto"/>
        <w:jc w:val="both"/>
        <w:rPr>
          <w:b w:val="1"/>
          <w:sz w:val="16"/>
          <w:szCs w:val="16"/>
          <w:highlight w:val="yellow"/>
        </w:rPr>
      </w:pPr>
      <w:r w:rsidDel="00000000" w:rsidR="00000000" w:rsidRPr="00000000">
        <w:rPr>
          <w:rtl w:val="0"/>
        </w:rPr>
      </w:r>
    </w:p>
    <w:p w:rsidR="00000000" w:rsidDel="00000000" w:rsidP="00000000" w:rsidRDefault="00000000" w:rsidRPr="00000000" w14:paraId="00000006">
      <w:pPr>
        <w:spacing w:line="276" w:lineRule="auto"/>
        <w:ind w:left="720" w:hanging="720"/>
        <w:jc w:val="both"/>
        <w:rPr>
          <w:i w:val="1"/>
        </w:rPr>
      </w:pPr>
      <w:r w:rsidDel="00000000" w:rsidR="00000000" w:rsidRPr="00000000">
        <w:rPr>
          <w:b w:val="1"/>
          <w:rtl w:val="0"/>
        </w:rPr>
        <w:t xml:space="preserve">To:</w:t>
      </w:r>
      <w:r w:rsidDel="00000000" w:rsidR="00000000" w:rsidRPr="00000000">
        <w:rPr>
          <w:rtl w:val="0"/>
        </w:rPr>
        <w:tab/>
      </w:r>
      <w:r w:rsidDel="00000000" w:rsidR="00000000" w:rsidRPr="00000000">
        <w:rPr>
          <w:i w:val="1"/>
          <w:rtl w:val="0"/>
        </w:rPr>
        <w:t xml:space="preserve">The Police and Crime Commissioner for Devon, Cornwall and the Isles of Scilly, and the Police and Crime Commissioner for Dorset ("the PCC") </w:t>
      </w:r>
    </w:p>
    <w:p w:rsidR="00000000" w:rsidDel="00000000" w:rsidP="00000000" w:rsidRDefault="00000000" w:rsidRPr="00000000" w14:paraId="00000007">
      <w:pPr>
        <w:tabs>
          <w:tab w:val="left" w:pos="709"/>
        </w:tabs>
        <w:spacing w:line="276" w:lineRule="auto"/>
        <w:jc w:val="both"/>
        <w:rPr/>
      </w:pPr>
      <w:r w:rsidDel="00000000" w:rsidR="00000000" w:rsidRPr="00000000">
        <w:rPr>
          <w:rtl w:val="0"/>
        </w:rPr>
      </w:r>
    </w:p>
    <w:p w:rsidR="00000000" w:rsidDel="00000000" w:rsidP="00000000" w:rsidRDefault="00000000" w:rsidRPr="00000000" w14:paraId="00000008">
      <w:pPr>
        <w:spacing w:line="276" w:lineRule="auto"/>
        <w:ind w:left="709" w:hanging="709"/>
        <w:jc w:val="both"/>
        <w:rPr>
          <w:i w:val="1"/>
        </w:rPr>
      </w:pPr>
      <w:r w:rsidDel="00000000" w:rsidR="00000000" w:rsidRPr="00000000">
        <w:rPr>
          <w:b w:val="1"/>
          <w:rtl w:val="0"/>
        </w:rPr>
        <w:t xml:space="preserve">For:</w:t>
      </w:r>
      <w:r w:rsidDel="00000000" w:rsidR="00000000" w:rsidRPr="00000000">
        <w:rPr>
          <w:i w:val="1"/>
          <w:rtl w:val="0"/>
        </w:rPr>
        <w:tab/>
        <w:t xml:space="preserve">Participation in the design of a solution to the identified issues in the Tender (‘the Programme”)</w:t>
      </w:r>
    </w:p>
    <w:p w:rsidR="00000000" w:rsidDel="00000000" w:rsidP="00000000" w:rsidRDefault="00000000" w:rsidRPr="00000000" w14:paraId="00000009">
      <w:pPr>
        <w:spacing w:line="276" w:lineRule="auto"/>
        <w:jc w:val="both"/>
        <w:rPr/>
      </w:pPr>
      <w:r w:rsidDel="00000000" w:rsidR="00000000" w:rsidRPr="00000000">
        <w:rPr>
          <w:rtl w:val="0"/>
        </w:rPr>
      </w:r>
    </w:p>
    <w:p w:rsidR="00000000" w:rsidDel="00000000" w:rsidP="00000000" w:rsidRDefault="00000000" w:rsidRPr="00000000" w14:paraId="0000000A">
      <w:pPr>
        <w:spacing w:line="276" w:lineRule="auto"/>
        <w:jc w:val="both"/>
        <w:rPr/>
      </w:pPr>
      <w:r w:rsidDel="00000000" w:rsidR="00000000" w:rsidRPr="00000000">
        <w:rPr>
          <w:rtl w:val="0"/>
        </w:rPr>
        <w:t xml:space="preserve">Having examined the Invitation to Tender and all the documents referred to therein, I/we the undersigned offer to conclude the Programme with Exeter Velocities for the development of the Goods/Services to the police services listed in the Tender Documents. </w:t>
      </w:r>
    </w:p>
    <w:p w:rsidR="00000000" w:rsidDel="00000000" w:rsidP="00000000" w:rsidRDefault="00000000" w:rsidRPr="00000000" w14:paraId="0000000B">
      <w:pPr>
        <w:spacing w:line="276" w:lineRule="auto"/>
        <w:jc w:val="both"/>
        <w:rPr/>
      </w:pPr>
      <w:r w:rsidDel="00000000" w:rsidR="00000000" w:rsidRPr="00000000">
        <w:rPr>
          <w:rtl w:val="0"/>
        </w:rPr>
      </w:r>
    </w:p>
    <w:p w:rsidR="00000000" w:rsidDel="00000000" w:rsidP="00000000" w:rsidRDefault="00000000" w:rsidRPr="00000000" w14:paraId="0000000C">
      <w:pPr>
        <w:spacing w:line="276" w:lineRule="auto"/>
        <w:jc w:val="both"/>
        <w:rPr/>
      </w:pPr>
      <w:r w:rsidDel="00000000" w:rsidR="00000000" w:rsidRPr="00000000">
        <w:rPr>
          <w:rtl w:val="0"/>
        </w:rPr>
        <w:t xml:space="preserve">We undertake, if our tender is accepted, to comply with all the terms and conditions of the Programme and to commence the Programme on the date of written notification from the OPCCs.</w:t>
      </w:r>
    </w:p>
    <w:p w:rsidR="00000000" w:rsidDel="00000000" w:rsidP="00000000" w:rsidRDefault="00000000" w:rsidRPr="00000000" w14:paraId="0000000D">
      <w:pPr>
        <w:spacing w:line="276" w:lineRule="auto"/>
        <w:jc w:val="both"/>
        <w:rPr/>
      </w:pPr>
      <w:r w:rsidDel="00000000" w:rsidR="00000000" w:rsidRPr="00000000">
        <w:rPr>
          <w:rtl w:val="0"/>
        </w:rPr>
      </w:r>
    </w:p>
    <w:p w:rsidR="00000000" w:rsidDel="00000000" w:rsidP="00000000" w:rsidRDefault="00000000" w:rsidRPr="00000000" w14:paraId="0000000E">
      <w:pPr>
        <w:spacing w:line="276" w:lineRule="auto"/>
        <w:jc w:val="both"/>
        <w:rPr/>
      </w:pPr>
      <w:r w:rsidDel="00000000" w:rsidR="00000000" w:rsidRPr="00000000">
        <w:rPr>
          <w:rtl w:val="0"/>
        </w:rPr>
        <w:t xml:space="preserve">Unless and until the Contract between the OPCCs and us is prepared and executed it will not have effect.</w:t>
      </w:r>
    </w:p>
    <w:p w:rsidR="00000000" w:rsidDel="00000000" w:rsidP="00000000" w:rsidRDefault="00000000" w:rsidRPr="00000000" w14:paraId="0000000F">
      <w:pPr>
        <w:spacing w:line="276" w:lineRule="auto"/>
        <w:jc w:val="both"/>
        <w:rPr/>
      </w:pPr>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tl w:val="0"/>
        </w:rPr>
        <w:t xml:space="preserve">This tender and a written acceptance thereof from the OPCCs shall constitute a binding contract between the OPCCs and us but for the avoidance of doubt this tender and a written acceptance thereof from the OPCCs will not bring any Contract into effect.</w:t>
      </w:r>
    </w:p>
    <w:p w:rsidR="00000000" w:rsidDel="00000000" w:rsidP="00000000" w:rsidRDefault="00000000" w:rsidRPr="00000000" w14:paraId="00000011">
      <w:pPr>
        <w:spacing w:line="276" w:lineRule="auto"/>
        <w:jc w:val="both"/>
        <w:rPr/>
      </w:pPr>
      <w:r w:rsidDel="00000000" w:rsidR="00000000" w:rsidRPr="00000000">
        <w:rPr>
          <w:rtl w:val="0"/>
        </w:rPr>
      </w:r>
    </w:p>
    <w:p w:rsidR="00000000" w:rsidDel="00000000" w:rsidP="00000000" w:rsidRDefault="00000000" w:rsidRPr="00000000" w14:paraId="00000012">
      <w:pPr>
        <w:spacing w:line="276" w:lineRule="auto"/>
        <w:jc w:val="both"/>
        <w:rPr/>
      </w:pPr>
      <w:r w:rsidDel="00000000" w:rsidR="00000000" w:rsidRPr="00000000">
        <w:rPr>
          <w:rtl w:val="0"/>
        </w:rPr>
        <w:t xml:space="preserve">We confirm that forthwith on being called to do so by the OPCCs, we shall execute and release for completion to the OPCCs the Contract with any variations approved by the OPCCs in the event of acceptance of our tender by the OPCCs.</w:t>
      </w:r>
    </w:p>
    <w:p w:rsidR="00000000" w:rsidDel="00000000" w:rsidP="00000000" w:rsidRDefault="00000000" w:rsidRPr="00000000" w14:paraId="00000013">
      <w:pPr>
        <w:spacing w:line="276" w:lineRule="auto"/>
        <w:jc w:val="both"/>
        <w:rPr/>
      </w:pPr>
      <w:r w:rsidDel="00000000" w:rsidR="00000000" w:rsidRPr="00000000">
        <w:rPr>
          <w:rtl w:val="0"/>
        </w:rPr>
      </w:r>
    </w:p>
    <w:p w:rsidR="00000000" w:rsidDel="00000000" w:rsidP="00000000" w:rsidRDefault="00000000" w:rsidRPr="00000000" w14:paraId="00000014">
      <w:pPr>
        <w:spacing w:line="276" w:lineRule="auto"/>
        <w:jc w:val="both"/>
        <w:rPr/>
      </w:pPr>
      <w:r w:rsidDel="00000000" w:rsidR="00000000" w:rsidRPr="00000000">
        <w:rPr>
          <w:rtl w:val="0"/>
        </w:rPr>
        <w:t xml:space="preserve">We understand that you are not bound to accept the lowest or any tender you may receive.</w:t>
      </w:r>
    </w:p>
    <w:p w:rsidR="00000000" w:rsidDel="00000000" w:rsidP="00000000" w:rsidRDefault="00000000" w:rsidRPr="00000000" w14:paraId="00000015">
      <w:pPr>
        <w:spacing w:line="276" w:lineRule="auto"/>
        <w:jc w:val="both"/>
        <w:rPr/>
      </w:pP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tl w:val="0"/>
        </w:rPr>
        <w:t xml:space="preserve">This tender is neither qualified nor conditional.</w:t>
      </w:r>
    </w:p>
    <w:p w:rsidR="00000000" w:rsidDel="00000000" w:rsidP="00000000" w:rsidRDefault="00000000" w:rsidRPr="00000000" w14:paraId="00000017">
      <w:pPr>
        <w:spacing w:line="276" w:lineRule="auto"/>
        <w:jc w:val="both"/>
        <w:rPr/>
      </w:pPr>
      <w:r w:rsidDel="00000000" w:rsidR="00000000" w:rsidRPr="00000000">
        <w:rPr>
          <w:rtl w:val="0"/>
        </w:rPr>
      </w:r>
    </w:p>
    <w:p w:rsidR="00000000" w:rsidDel="00000000" w:rsidP="00000000" w:rsidRDefault="00000000" w:rsidRPr="00000000" w14:paraId="00000018">
      <w:pPr>
        <w:spacing w:line="276" w:lineRule="auto"/>
        <w:jc w:val="both"/>
        <w:rPr/>
      </w:pPr>
      <w:r w:rsidDel="00000000" w:rsidR="00000000" w:rsidRPr="00000000">
        <w:rPr>
          <w:rtl w:val="0"/>
        </w:rPr>
        <w:t xml:space="preserve">We understand that you have no liability to pay any expenses incurred by us in connection with the preparation and submission of this tender.</w:t>
      </w:r>
    </w:p>
    <w:p w:rsidR="00000000" w:rsidDel="00000000" w:rsidP="00000000" w:rsidRDefault="00000000" w:rsidRPr="00000000" w14:paraId="00000019">
      <w:pPr>
        <w:spacing w:line="276" w:lineRule="auto"/>
        <w:jc w:val="both"/>
        <w:rPr/>
      </w:pPr>
      <w:r w:rsidDel="00000000" w:rsidR="00000000" w:rsidRPr="00000000">
        <w:rPr>
          <w:rtl w:val="0"/>
        </w:rPr>
      </w:r>
    </w:p>
    <w:p w:rsidR="00000000" w:rsidDel="00000000" w:rsidP="00000000" w:rsidRDefault="00000000" w:rsidRPr="00000000" w14:paraId="0000001A">
      <w:pPr>
        <w:spacing w:line="276" w:lineRule="auto"/>
        <w:jc w:val="both"/>
        <w:rPr/>
      </w:pPr>
      <w:r w:rsidDel="00000000" w:rsidR="00000000" w:rsidRPr="00000000">
        <w:rPr>
          <w:rtl w:val="0"/>
        </w:rPr>
        <w:t xml:space="preserve">We confirm that this tender shall constitute an irrecoverable, unconditional offer which may not be withdrawn for a period of 243 days from the date stipulated for the delivery of tenders.</w:t>
      </w:r>
    </w:p>
    <w:p w:rsidR="00000000" w:rsidDel="00000000" w:rsidP="00000000" w:rsidRDefault="00000000" w:rsidRPr="00000000" w14:paraId="0000001B">
      <w:pPr>
        <w:spacing w:line="276" w:lineRule="auto"/>
        <w:jc w:val="both"/>
        <w:rPr>
          <w:color w:val="0000ff"/>
        </w:rPr>
      </w:pPr>
      <w:r w:rsidDel="00000000" w:rsidR="00000000" w:rsidRPr="00000000">
        <w:rPr>
          <w:color w:val="0000ff"/>
          <w:rtl w:val="0"/>
        </w:rPr>
        <w:t xml:space="preserve">  </w:t>
      </w:r>
    </w:p>
    <w:tbl>
      <w:tblPr>
        <w:tblStyle w:val="Table1"/>
        <w:tblW w:w="936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390"/>
        <w:gridCol w:w="5970"/>
        <w:tblGridChange w:id="0">
          <w:tblGrid>
            <w:gridCol w:w="3390"/>
            <w:gridCol w:w="59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76" w:lineRule="auto"/>
              <w:jc w:val="both"/>
              <w:rPr>
                <w:color w:val="0000ff"/>
              </w:rPr>
            </w:pPr>
            <w:r w:rsidDel="00000000" w:rsidR="00000000" w:rsidRPr="00000000">
              <w:rPr>
                <w:rtl w:val="0"/>
              </w:rPr>
              <w:t xml:space="preserve">Dated this </w:t>
            </w:r>
            <w:r w:rsidDel="00000000" w:rsidR="00000000" w:rsidRPr="00000000">
              <w:rPr>
                <w:color w:val="0000ff"/>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76" w:lineRule="auto"/>
              <w:jc w:val="both"/>
              <w:rPr>
                <w:color w:val="0000ff"/>
              </w:rPr>
            </w:pPr>
            <w:r w:rsidDel="00000000" w:rsidR="00000000" w:rsidRPr="00000000">
              <w:rPr>
                <w:rtl w:val="0"/>
              </w:rPr>
              <w:t xml:space="preserve">day of </w:t>
            </w:r>
            <w:r w:rsidDel="00000000" w:rsidR="00000000" w:rsidRPr="00000000">
              <w:rPr>
                <w:color w:val="0000ff"/>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76" w:lineRule="auto"/>
              <w:jc w:val="both"/>
              <w:rPr>
                <w:color w:val="0000ff"/>
              </w:rPr>
            </w:pPr>
            <w:r w:rsidDel="00000000" w:rsidR="00000000" w:rsidRPr="00000000">
              <w:rPr>
                <w:rtl w:val="0"/>
              </w:rPr>
              <w:t xml:space="preserve">Name:  </w:t>
            </w:r>
            <w:r w:rsidDel="00000000" w:rsidR="00000000" w:rsidRPr="00000000">
              <w:rPr>
                <w:color w:val="0000ff"/>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76" w:lineRule="auto"/>
              <w:jc w:val="both"/>
              <w:rPr>
                <w:color w:val="0000ff"/>
              </w:rPr>
            </w:pPr>
            <w:r w:rsidDel="00000000" w:rsidR="00000000" w:rsidRPr="00000000">
              <w:rPr>
                <w:rtl w:val="0"/>
              </w:rPr>
              <w:t xml:space="preserve">In the capacity of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76" w:lineRule="auto"/>
              <w:jc w:val="both"/>
              <w:rPr>
                <w:color w:val="0000ff"/>
              </w:rPr>
            </w:pPr>
            <w:r w:rsidDel="00000000" w:rsidR="00000000" w:rsidRPr="00000000">
              <w:rPr>
                <w:rtl w:val="0"/>
              </w:rPr>
              <w:t xml:space="preserve">Duly authorised to sign tenders for and on behalf of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rPr>
            </w:pPr>
            <w:r w:rsidDel="00000000" w:rsidR="00000000" w:rsidRPr="00000000">
              <w:rPr>
                <w:rtl w:val="0"/>
              </w:rPr>
            </w:r>
          </w:p>
        </w:tc>
      </w:tr>
    </w:tbl>
    <w:p w:rsidR="00000000" w:rsidDel="00000000" w:rsidP="00000000" w:rsidRDefault="00000000" w:rsidRPr="00000000" w14:paraId="00000024">
      <w:pPr>
        <w:jc w:val="both"/>
        <w:rPr>
          <w:color w:val="0000ff"/>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sectPr>
      <w:headerReference r:id="rId9" w:type="default"/>
      <w:footerReference r:id="rId10"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pos="4513"/>
        <w:tab w:val="right" w:pos="9026"/>
      </w:tabs>
      <w:spacing w:line="240" w:lineRule="auto"/>
      <w:jc w:val="center"/>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540" w:hanging="270"/>
    </w:pPr>
    <w:rPr>
      <w:sz w:val="40"/>
      <w:szCs w:val="40"/>
    </w:rPr>
  </w:style>
  <w:style w:type="paragraph" w:styleId="Heading2">
    <w:name w:val="heading 2"/>
    <w:basedOn w:val="Normal"/>
    <w:next w:val="Normal"/>
    <w:pPr>
      <w:keepNext w:val="1"/>
      <w:keepLines w:val="1"/>
      <w:spacing w:after="120" w:before="360" w:lineRule="auto"/>
      <w:jc w:val="both"/>
    </w:pPr>
    <w:rPr>
      <w:b w:val="1"/>
      <w:sz w:val="24"/>
      <w:szCs w:val="24"/>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