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5EE9" w14:textId="77777777" w:rsidR="00CB514B" w:rsidRDefault="00CB514B" w:rsidP="00C10940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87D7A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 xml:space="preserve">PECIFICATION </w:t>
      </w:r>
      <w:r w:rsidRPr="00987D7A">
        <w:rPr>
          <w:rFonts w:ascii="Arial" w:hAnsi="Arial" w:cs="Arial"/>
          <w:b/>
          <w:sz w:val="32"/>
          <w:szCs w:val="32"/>
        </w:rPr>
        <w:t>T</w:t>
      </w:r>
      <w:r>
        <w:rPr>
          <w:rFonts w:ascii="Arial" w:hAnsi="Arial" w:cs="Arial"/>
          <w:b/>
          <w:sz w:val="32"/>
          <w:szCs w:val="32"/>
        </w:rPr>
        <w:t>EMPLATE:</w:t>
      </w:r>
    </w:p>
    <w:p w14:paraId="2FDCE04B" w14:textId="4EA80010" w:rsidR="00CB514B" w:rsidRPr="00987D7A" w:rsidRDefault="00CB514B" w:rsidP="00C10940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GENERAL GOODS OR SERVICES</w:t>
      </w:r>
    </w:p>
    <w:p w14:paraId="47957A4F" w14:textId="77777777" w:rsidR="00CB514B" w:rsidRDefault="00CB514B" w:rsidP="00C10940">
      <w:pPr>
        <w:jc w:val="both"/>
        <w:rPr>
          <w:rFonts w:ascii="Arial" w:hAnsi="Arial" w:cs="Arial"/>
          <w:i/>
          <w:sz w:val="24"/>
          <w:szCs w:val="24"/>
        </w:rPr>
      </w:pPr>
      <w:r w:rsidRPr="00987D7A">
        <w:rPr>
          <w:rFonts w:ascii="Arial" w:hAnsi="Arial" w:cs="Arial"/>
          <w:i/>
          <w:sz w:val="24"/>
          <w:szCs w:val="24"/>
        </w:rPr>
        <w:t xml:space="preserve">The following template </w:t>
      </w:r>
      <w:r>
        <w:rPr>
          <w:rFonts w:ascii="Arial" w:hAnsi="Arial" w:cs="Arial"/>
          <w:i/>
          <w:sz w:val="24"/>
          <w:szCs w:val="24"/>
        </w:rPr>
        <w:t xml:space="preserve">is a </w:t>
      </w:r>
      <w:r w:rsidRPr="00987D7A">
        <w:rPr>
          <w:rFonts w:ascii="Arial" w:hAnsi="Arial" w:cs="Arial"/>
          <w:i/>
          <w:sz w:val="24"/>
          <w:szCs w:val="24"/>
        </w:rPr>
        <w:t>use</w:t>
      </w:r>
      <w:r>
        <w:rPr>
          <w:rFonts w:ascii="Arial" w:hAnsi="Arial" w:cs="Arial"/>
          <w:i/>
          <w:sz w:val="24"/>
          <w:szCs w:val="24"/>
        </w:rPr>
        <w:t>ful</w:t>
      </w:r>
      <w:r w:rsidRPr="00987D7A">
        <w:rPr>
          <w:rFonts w:ascii="Arial" w:hAnsi="Arial" w:cs="Arial"/>
          <w:i/>
          <w:sz w:val="24"/>
          <w:szCs w:val="24"/>
        </w:rPr>
        <w:t xml:space="preserve"> basis for </w:t>
      </w:r>
      <w:r>
        <w:rPr>
          <w:rFonts w:ascii="Arial" w:hAnsi="Arial" w:cs="Arial"/>
          <w:i/>
          <w:sz w:val="24"/>
          <w:szCs w:val="24"/>
        </w:rPr>
        <w:t xml:space="preserve">drafting </w:t>
      </w:r>
      <w:r w:rsidRPr="00987D7A">
        <w:rPr>
          <w:rFonts w:ascii="Arial" w:hAnsi="Arial" w:cs="Arial"/>
          <w:i/>
          <w:sz w:val="24"/>
          <w:szCs w:val="24"/>
        </w:rPr>
        <w:t>specifications</w:t>
      </w:r>
      <w:r>
        <w:rPr>
          <w:rFonts w:ascii="Arial" w:hAnsi="Arial" w:cs="Arial"/>
          <w:i/>
          <w:sz w:val="24"/>
          <w:szCs w:val="24"/>
        </w:rPr>
        <w:t xml:space="preserve"> for general goods and services.</w:t>
      </w:r>
      <w:r w:rsidRPr="00987D7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It should be amended to suit your specific requirements.</w:t>
      </w:r>
    </w:p>
    <w:p w14:paraId="4C81F31A" w14:textId="77777777" w:rsidR="00CB514B" w:rsidRDefault="00CB514B" w:rsidP="00C1094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To try and identify some changes that might occur during the lifetime of a contract, Appendix 1 lists some questions that you may wish to consider. </w:t>
      </w:r>
    </w:p>
    <w:p w14:paraId="30581472" w14:textId="77777777" w:rsidR="00CB514B" w:rsidRDefault="00CB514B" w:rsidP="00C10940">
      <w:pPr>
        <w:jc w:val="both"/>
        <w:rPr>
          <w:rFonts w:ascii="Arial" w:hAnsi="Arial" w:cs="Arial"/>
          <w:i/>
          <w:sz w:val="24"/>
          <w:szCs w:val="24"/>
        </w:rPr>
      </w:pPr>
    </w:p>
    <w:p w14:paraId="3E1537C0" w14:textId="77777777" w:rsidR="00CB514B" w:rsidRDefault="00CB514B" w:rsidP="00C10940">
      <w:pPr>
        <w:jc w:val="both"/>
        <w:rPr>
          <w:rFonts w:ascii="Arial" w:hAnsi="Arial" w:cs="Arial"/>
          <w:i/>
          <w:sz w:val="24"/>
          <w:szCs w:val="24"/>
        </w:rPr>
      </w:pPr>
    </w:p>
    <w:p w14:paraId="4F088E86" w14:textId="77777777" w:rsidR="00CB514B" w:rsidRDefault="00CB514B" w:rsidP="00C10940">
      <w:pPr>
        <w:pStyle w:val="bodystrongcentred"/>
        <w:jc w:val="both"/>
        <w:rPr>
          <w:rFonts w:cs="Arial"/>
          <w:sz w:val="24"/>
          <w:szCs w:val="24"/>
        </w:rPr>
      </w:pPr>
      <w:r w:rsidRPr="00987D7A">
        <w:rPr>
          <w:rFonts w:cs="Arial"/>
          <w:sz w:val="24"/>
          <w:szCs w:val="24"/>
        </w:rPr>
        <w:t>CONTENTS</w:t>
      </w:r>
    </w:p>
    <w:p w14:paraId="1650995A" w14:textId="77777777" w:rsidR="00CB514B" w:rsidRDefault="00CB514B" w:rsidP="00C10940">
      <w:pPr>
        <w:pStyle w:val="bodystrongcentred"/>
        <w:jc w:val="both"/>
        <w:rPr>
          <w:rFonts w:cs="Arial"/>
          <w:sz w:val="24"/>
          <w:szCs w:val="24"/>
        </w:rPr>
      </w:pPr>
    </w:p>
    <w:p w14:paraId="2D17D00A" w14:textId="77777777" w:rsidR="00CB514B" w:rsidRDefault="00CB514B" w:rsidP="00C10940">
      <w:pPr>
        <w:pStyle w:val="bodystrongcentred"/>
        <w:jc w:val="both"/>
        <w:rPr>
          <w:rFonts w:cs="Arial"/>
          <w:sz w:val="24"/>
          <w:szCs w:val="24"/>
        </w:rPr>
      </w:pPr>
    </w:p>
    <w:p w14:paraId="0594C7E8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INTRODUCTION</w:t>
      </w:r>
    </w:p>
    <w:p w14:paraId="37C5D291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BACKGROUND</w:t>
      </w:r>
    </w:p>
    <w:p w14:paraId="3B2BE2DC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CONTRACT SCOPE</w:t>
      </w:r>
    </w:p>
    <w:p w14:paraId="1DAAF820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DETAILED REQUIREMENTS </w:t>
      </w:r>
    </w:p>
    <w:p w14:paraId="42FDB42C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SERVICE LEVELS</w:t>
      </w:r>
    </w:p>
    <w:p w14:paraId="19F5DFF1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CONTRACT MANAGEMENT</w:t>
      </w:r>
    </w:p>
    <w:p w14:paraId="089CDFDE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SUSTAINABILITY  </w:t>
      </w:r>
    </w:p>
    <w:p w14:paraId="05450DC9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GDPR &amp; PIA</w:t>
      </w:r>
    </w:p>
    <w:p w14:paraId="452E8C18" w14:textId="77777777" w:rsidR="00CB514B" w:rsidRDefault="00CB514B" w:rsidP="00C10940">
      <w:pPr>
        <w:pStyle w:val="bodystrongcentred"/>
        <w:numPr>
          <w:ilvl w:val="0"/>
          <w:numId w:val="5"/>
        </w:num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CONTRACT PERIOD </w:t>
      </w:r>
    </w:p>
    <w:p w14:paraId="25C157C7" w14:textId="77777777" w:rsidR="00CB514B" w:rsidRDefault="00CB514B" w:rsidP="00C10940">
      <w:pPr>
        <w:pStyle w:val="bodystrongcentred"/>
        <w:spacing w:line="480" w:lineRule="auto"/>
        <w:jc w:val="both"/>
        <w:rPr>
          <w:rFonts w:cs="Arial"/>
          <w:sz w:val="24"/>
          <w:szCs w:val="24"/>
        </w:rPr>
      </w:pPr>
    </w:p>
    <w:p w14:paraId="055125B8" w14:textId="77777777" w:rsidR="00CB514B" w:rsidRPr="00987D7A" w:rsidRDefault="00CB514B" w:rsidP="00C10940">
      <w:pPr>
        <w:pStyle w:val="bodystrongcentred"/>
        <w:spacing w:line="480" w:lineRule="auto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Appendix 1 – Changes that can occur during the lifetime of a contract.</w:t>
      </w:r>
    </w:p>
    <w:p w14:paraId="1520AEB5" w14:textId="77777777" w:rsidR="00CB514B" w:rsidRPr="00987D7A" w:rsidRDefault="00CB514B" w:rsidP="00C1094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1DB0556" w14:textId="77777777" w:rsidR="00CB514B" w:rsidRDefault="00CB514B" w:rsidP="00C10940">
      <w:pPr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br w:type="page"/>
      </w:r>
    </w:p>
    <w:p w14:paraId="6A6874D4" w14:textId="77777777" w:rsidR="00CB514B" w:rsidRPr="00987D7A" w:rsidRDefault="00CB514B" w:rsidP="00C1094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Arial" w:hAnsi="Arial" w:cs="Arial"/>
          <w:caps/>
          <w:sz w:val="24"/>
          <w:szCs w:val="24"/>
        </w:rPr>
      </w:pPr>
    </w:p>
    <w:p w14:paraId="4456D8E2" w14:textId="77777777" w:rsidR="00CB514B" w:rsidRPr="00987D7A" w:rsidRDefault="00CB514B" w:rsidP="00C10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987D7A">
        <w:rPr>
          <w:rFonts w:ascii="Arial" w:eastAsia="Times New Roman" w:hAnsi="Arial" w:cs="Arial"/>
          <w:b/>
          <w:bCs/>
          <w:sz w:val="24"/>
          <w:szCs w:val="24"/>
        </w:rPr>
        <w:t>Introduction</w:t>
      </w:r>
    </w:p>
    <w:p w14:paraId="52CB3735" w14:textId="47B9F04F" w:rsidR="00CB514B" w:rsidRPr="00E6550C" w:rsidRDefault="00E6550C" w:rsidP="00C10940">
      <w:p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bCs/>
          <w:iCs/>
          <w:sz w:val="24"/>
          <w:szCs w:val="24"/>
        </w:rPr>
      </w:pPr>
      <w:r w:rsidRPr="00E6550C">
        <w:rPr>
          <w:rFonts w:ascii="Arial" w:eastAsia="Times New Roman" w:hAnsi="Arial" w:cs="Arial"/>
          <w:bCs/>
          <w:iCs/>
          <w:sz w:val="24"/>
          <w:szCs w:val="24"/>
        </w:rPr>
        <w:t>The Endoscopy Unit provides 4 rooms for diagnostic and therapeutic procedures, including colonoscopies, gastroscopies, trans-nasal endoscopy, flexible-sigmoidoscopy, and bronchoscopy. The Unit also provides emergency endoscopy input. The Unit is accredited by the Joint Advisory Group (JAG).</w:t>
      </w:r>
    </w:p>
    <w:p w14:paraId="5911D5AD" w14:textId="77777777" w:rsidR="00CB514B" w:rsidRPr="00987D7A" w:rsidRDefault="00CB514B" w:rsidP="00C10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987D7A">
        <w:rPr>
          <w:rFonts w:ascii="Arial" w:eastAsia="Times New Roman" w:hAnsi="Arial" w:cs="Arial"/>
          <w:b/>
          <w:bCs/>
          <w:sz w:val="24"/>
          <w:szCs w:val="24"/>
        </w:rPr>
        <w:t xml:space="preserve">Background </w:t>
      </w:r>
    </w:p>
    <w:p w14:paraId="18808123" w14:textId="2E406AAA" w:rsidR="00E6550C" w:rsidRPr="002A2B3F" w:rsidRDefault="00E6550C" w:rsidP="00C1094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iCs/>
          <w:sz w:val="24"/>
          <w:szCs w:val="24"/>
        </w:rPr>
      </w:pPr>
      <w:bookmarkStart w:id="0" w:name="OLE_LINK1"/>
      <w:r w:rsidRPr="002A2B3F">
        <w:rPr>
          <w:rFonts w:ascii="Arial" w:hAnsi="Arial" w:cs="Arial"/>
          <w:iCs/>
          <w:sz w:val="24"/>
          <w:szCs w:val="24"/>
        </w:rPr>
        <w:t>The Trust have made several significant investments in Endoscopy, with an ultimate objective to deliver waiting times within the DM01 and 28-day FDS constitutional standards. These investments, include, but are not limited to:</w:t>
      </w:r>
    </w:p>
    <w:p w14:paraId="4D3A8050" w14:textId="56FBDB31" w:rsidR="00E6550C" w:rsidRPr="002A2B3F" w:rsidRDefault="00E6550C" w:rsidP="00C10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2B3F">
        <w:rPr>
          <w:rFonts w:ascii="Arial" w:hAnsi="Arial" w:cs="Arial"/>
          <w:iCs/>
          <w:sz w:val="24"/>
          <w:szCs w:val="24"/>
        </w:rPr>
        <w:t xml:space="preserve">Endoscopy Expansion Business Case, extending the duration of weekday sessions and extending the timetable from three to four </w:t>
      </w:r>
      <w:proofErr w:type="gramStart"/>
      <w:r w:rsidRPr="002A2B3F">
        <w:rPr>
          <w:rFonts w:ascii="Arial" w:hAnsi="Arial" w:cs="Arial"/>
          <w:iCs/>
          <w:sz w:val="24"/>
          <w:szCs w:val="24"/>
        </w:rPr>
        <w:t>rooms;</w:t>
      </w:r>
      <w:proofErr w:type="gramEnd"/>
    </w:p>
    <w:p w14:paraId="1223A5C5" w14:textId="564849B4" w:rsidR="00E6550C" w:rsidRPr="002A2B3F" w:rsidRDefault="00E6550C" w:rsidP="00C10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2B3F">
        <w:rPr>
          <w:rFonts w:ascii="Arial" w:hAnsi="Arial" w:cs="Arial"/>
          <w:iCs/>
          <w:sz w:val="24"/>
          <w:szCs w:val="24"/>
        </w:rPr>
        <w:t xml:space="preserve">Replacement of Endoscopes and Stack Systems within the Endoscopy </w:t>
      </w:r>
      <w:proofErr w:type="gramStart"/>
      <w:r w:rsidRPr="002A2B3F">
        <w:rPr>
          <w:rFonts w:ascii="Arial" w:hAnsi="Arial" w:cs="Arial"/>
          <w:iCs/>
          <w:sz w:val="24"/>
          <w:szCs w:val="24"/>
        </w:rPr>
        <w:t>Unit;</w:t>
      </w:r>
      <w:proofErr w:type="gramEnd"/>
    </w:p>
    <w:p w14:paraId="1A2C234E" w14:textId="1F7CEFAF" w:rsidR="00E6550C" w:rsidRPr="002A2B3F" w:rsidRDefault="00E6550C" w:rsidP="00C10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2B3F">
        <w:rPr>
          <w:rFonts w:ascii="Arial" w:hAnsi="Arial" w:cs="Arial"/>
          <w:iCs/>
          <w:sz w:val="24"/>
          <w:szCs w:val="24"/>
        </w:rPr>
        <w:t xml:space="preserve">Upgrade to </w:t>
      </w:r>
      <w:proofErr w:type="spellStart"/>
      <w:r w:rsidRPr="002A2B3F">
        <w:rPr>
          <w:rFonts w:ascii="Arial" w:hAnsi="Arial" w:cs="Arial"/>
          <w:iCs/>
          <w:sz w:val="24"/>
          <w:szCs w:val="24"/>
        </w:rPr>
        <w:t>Endosoft</w:t>
      </w:r>
      <w:proofErr w:type="spellEnd"/>
      <w:r w:rsidRPr="002A2B3F">
        <w:rPr>
          <w:rFonts w:ascii="Arial" w:hAnsi="Arial" w:cs="Arial"/>
          <w:iCs/>
          <w:sz w:val="24"/>
          <w:szCs w:val="24"/>
        </w:rPr>
        <w:t xml:space="preserve"> Electronic Patient Record, including scheduling, pre-assessment and reporting modules, plus </w:t>
      </w:r>
      <w:r w:rsidR="002A2B3F" w:rsidRPr="002A2B3F">
        <w:rPr>
          <w:rFonts w:ascii="Arial" w:hAnsi="Arial" w:cs="Arial"/>
          <w:iCs/>
          <w:sz w:val="24"/>
          <w:szCs w:val="24"/>
        </w:rPr>
        <w:t xml:space="preserve">electronic </w:t>
      </w:r>
      <w:proofErr w:type="gramStart"/>
      <w:r w:rsidR="002A2B3F" w:rsidRPr="002A2B3F">
        <w:rPr>
          <w:rFonts w:ascii="Arial" w:hAnsi="Arial" w:cs="Arial"/>
          <w:iCs/>
          <w:sz w:val="24"/>
          <w:szCs w:val="24"/>
        </w:rPr>
        <w:t>ordering;</w:t>
      </w:r>
      <w:proofErr w:type="gramEnd"/>
    </w:p>
    <w:p w14:paraId="7D5EB447" w14:textId="0B5AD327" w:rsidR="002A2B3F" w:rsidRPr="002A2B3F" w:rsidRDefault="002A2B3F" w:rsidP="00C10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2B3F">
        <w:rPr>
          <w:rFonts w:ascii="Arial" w:hAnsi="Arial" w:cs="Arial"/>
          <w:iCs/>
          <w:sz w:val="24"/>
          <w:szCs w:val="24"/>
        </w:rPr>
        <w:t xml:space="preserve">100% session up-take across funded </w:t>
      </w:r>
      <w:proofErr w:type="gramStart"/>
      <w:r w:rsidRPr="002A2B3F">
        <w:rPr>
          <w:rFonts w:ascii="Arial" w:hAnsi="Arial" w:cs="Arial"/>
          <w:iCs/>
          <w:sz w:val="24"/>
          <w:szCs w:val="24"/>
        </w:rPr>
        <w:t>timetable;</w:t>
      </w:r>
      <w:proofErr w:type="gramEnd"/>
    </w:p>
    <w:p w14:paraId="19975337" w14:textId="2EF0D0FE" w:rsidR="002A2B3F" w:rsidRPr="002A2B3F" w:rsidRDefault="002A2B3F" w:rsidP="00C10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2B3F">
        <w:rPr>
          <w:rFonts w:ascii="Arial" w:hAnsi="Arial" w:cs="Arial"/>
          <w:iCs/>
          <w:sz w:val="24"/>
          <w:szCs w:val="24"/>
        </w:rPr>
        <w:t>Insourced weekend sessions.</w:t>
      </w:r>
    </w:p>
    <w:bookmarkEnd w:id="0"/>
    <w:p w14:paraId="4126D6FA" w14:textId="77777777" w:rsidR="00CB514B" w:rsidRPr="00987D7A" w:rsidRDefault="00CB514B" w:rsidP="00C10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87D7A">
        <w:rPr>
          <w:rFonts w:ascii="Arial" w:eastAsia="Times New Roman" w:hAnsi="Arial" w:cs="Arial"/>
          <w:b/>
          <w:color w:val="000000"/>
          <w:sz w:val="24"/>
          <w:szCs w:val="24"/>
        </w:rPr>
        <w:t>Scope of the Contract</w:t>
      </w:r>
    </w:p>
    <w:p w14:paraId="7D39262D" w14:textId="360F709C" w:rsidR="002A2B3F" w:rsidRPr="002A2B3F" w:rsidRDefault="002A2B3F" w:rsidP="00C10940">
      <w:pPr>
        <w:spacing w:before="240" w:after="24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2B3F">
        <w:rPr>
          <w:rFonts w:ascii="Arial" w:hAnsi="Arial" w:cs="Arial"/>
          <w:iCs/>
          <w:sz w:val="24"/>
          <w:szCs w:val="24"/>
        </w:rPr>
        <w:t>The objective of this contract is to:</w:t>
      </w:r>
    </w:p>
    <w:p w14:paraId="2B24B756" w14:textId="68B10295" w:rsidR="002A2B3F" w:rsidRPr="002A2B3F" w:rsidRDefault="002A2B3F" w:rsidP="00C10940">
      <w:pPr>
        <w:pStyle w:val="xmsolistparagraph"/>
        <w:numPr>
          <w:ilvl w:val="0"/>
          <w:numId w:val="9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Deliver a programme that increases the number of points per session (i.e. in-session utilisation) in line with NHSE’s expectation of 12 points per session (excluding training lists).</w:t>
      </w:r>
      <w:r w:rsidR="000A3333">
        <w:rPr>
          <w:rFonts w:ascii="Arial" w:eastAsia="Calibri" w:hAnsi="Arial" w:cs="Arial"/>
          <w:iCs/>
          <w:lang w:eastAsia="en-US"/>
        </w:rPr>
        <w:t xml:space="preserve"> We currently operate below 8 points per session.</w:t>
      </w:r>
    </w:p>
    <w:p w14:paraId="3A9A2307" w14:textId="6EB205B4" w:rsidR="002A2B3F" w:rsidRPr="002A2B3F" w:rsidRDefault="002A2B3F" w:rsidP="00C10940">
      <w:pPr>
        <w:pStyle w:val="xmsolistparagraph"/>
        <w:numPr>
          <w:ilvl w:val="0"/>
          <w:numId w:val="9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Evaluate opportunities to reduce downtime within Endoscopy sessions. NB: The Trust currently runs at 100% uptake of Endoscopy sessions Monday – Friday.</w:t>
      </w:r>
      <w:r w:rsidR="000A3333">
        <w:rPr>
          <w:rFonts w:ascii="Arial" w:eastAsia="Calibri" w:hAnsi="Arial" w:cs="Arial"/>
          <w:iCs/>
          <w:lang w:eastAsia="en-US"/>
        </w:rPr>
        <w:t xml:space="preserve"> Sessions currently run from 0900 – 1700 but these are being extended as part of a Trust approved investment. Increasing points by expanding session times cannot contribute to demonstrating an improvement in in-session utilisation.</w:t>
      </w:r>
    </w:p>
    <w:p w14:paraId="463E93A4" w14:textId="77777777" w:rsidR="002A2B3F" w:rsidRPr="002A2B3F" w:rsidRDefault="002A2B3F" w:rsidP="00C10940">
      <w:pPr>
        <w:pStyle w:val="xmsolistparagraph"/>
        <w:numPr>
          <w:ilvl w:val="0"/>
          <w:numId w:val="9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 xml:space="preserve">Evaluate pre-procedure assessments to reduce any requirement for rebooking </w:t>
      </w:r>
      <w:proofErr w:type="gramStart"/>
      <w:r w:rsidRPr="002A2B3F">
        <w:rPr>
          <w:rFonts w:ascii="Arial" w:eastAsia="Calibri" w:hAnsi="Arial" w:cs="Arial"/>
          <w:iCs/>
          <w:lang w:eastAsia="en-US"/>
        </w:rPr>
        <w:t>Endoscopy</w:t>
      </w:r>
      <w:proofErr w:type="gramEnd"/>
    </w:p>
    <w:p w14:paraId="69B2DB15" w14:textId="77777777" w:rsidR="002A2B3F" w:rsidRPr="002A2B3F" w:rsidRDefault="002A2B3F" w:rsidP="00C10940">
      <w:pPr>
        <w:pStyle w:val="xmsonormal"/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 </w:t>
      </w:r>
    </w:p>
    <w:p w14:paraId="0D8BB309" w14:textId="75FBC3D5" w:rsidR="002A2B3F" w:rsidRPr="002A2B3F" w:rsidRDefault="002A2B3F" w:rsidP="00C10940">
      <w:pPr>
        <w:pStyle w:val="xmsonormal"/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 xml:space="preserve">This programme </w:t>
      </w:r>
      <w:r w:rsidR="000A3333">
        <w:rPr>
          <w:rFonts w:ascii="Arial" w:eastAsia="Calibri" w:hAnsi="Arial" w:cs="Arial"/>
          <w:iCs/>
          <w:lang w:eastAsia="en-US"/>
        </w:rPr>
        <w:t>will</w:t>
      </w:r>
      <w:r w:rsidRPr="002A2B3F">
        <w:rPr>
          <w:rFonts w:ascii="Arial" w:eastAsia="Calibri" w:hAnsi="Arial" w:cs="Arial"/>
          <w:iCs/>
          <w:lang w:eastAsia="en-US"/>
        </w:rPr>
        <w:t xml:space="preserve"> be delivered in the context of:</w:t>
      </w:r>
    </w:p>
    <w:p w14:paraId="43602428" w14:textId="77777777" w:rsidR="002A2B3F" w:rsidRPr="002A2B3F" w:rsidRDefault="002A2B3F" w:rsidP="00C10940">
      <w:pPr>
        <w:pStyle w:val="xmsonormal"/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 </w:t>
      </w:r>
    </w:p>
    <w:p w14:paraId="5A57DBBC" w14:textId="77777777" w:rsidR="002A2B3F" w:rsidRPr="002A2B3F" w:rsidRDefault="002A2B3F" w:rsidP="00C10940">
      <w:pPr>
        <w:pStyle w:val="xmsolistparagraph"/>
        <w:numPr>
          <w:ilvl w:val="0"/>
          <w:numId w:val="10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An internal Endoscopy Improvement Group which is delivering:</w:t>
      </w:r>
    </w:p>
    <w:p w14:paraId="7795A6E4" w14:textId="3A2E27B2" w:rsidR="002A2B3F" w:rsidRPr="002A2B3F" w:rsidRDefault="002A2B3F" w:rsidP="00C10940">
      <w:pPr>
        <w:pStyle w:val="xmsolistparagraph"/>
        <w:numPr>
          <w:ilvl w:val="1"/>
          <w:numId w:val="10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 xml:space="preserve">An upgrade of </w:t>
      </w:r>
      <w:proofErr w:type="spellStart"/>
      <w:r w:rsidRPr="002A2B3F">
        <w:rPr>
          <w:rFonts w:ascii="Arial" w:eastAsia="Calibri" w:hAnsi="Arial" w:cs="Arial"/>
          <w:iCs/>
          <w:lang w:eastAsia="en-US"/>
        </w:rPr>
        <w:t>Endosoft</w:t>
      </w:r>
      <w:proofErr w:type="spellEnd"/>
    </w:p>
    <w:p w14:paraId="433072BD" w14:textId="77777777" w:rsidR="002A2B3F" w:rsidRPr="002A2B3F" w:rsidRDefault="002A2B3F" w:rsidP="00C10940">
      <w:pPr>
        <w:pStyle w:val="xmsolistparagraph"/>
        <w:numPr>
          <w:ilvl w:val="1"/>
          <w:numId w:val="10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The introduction of trans-nasal endoscopy</w:t>
      </w:r>
    </w:p>
    <w:p w14:paraId="3D13D386" w14:textId="4D39905B" w:rsidR="002A2B3F" w:rsidRDefault="002A2B3F" w:rsidP="00C10940">
      <w:pPr>
        <w:pStyle w:val="xmsolistparagraph"/>
        <w:numPr>
          <w:ilvl w:val="1"/>
          <w:numId w:val="10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An expansion in funded endoscopy sessions and session duration</w:t>
      </w:r>
    </w:p>
    <w:p w14:paraId="200E6D16" w14:textId="558B5601" w:rsidR="000A3333" w:rsidRPr="002A2B3F" w:rsidRDefault="000A3333" w:rsidP="000A3333">
      <w:pPr>
        <w:pStyle w:val="xmsolistparagraph"/>
        <w:numPr>
          <w:ilvl w:val="0"/>
          <w:numId w:val="10"/>
        </w:numPr>
        <w:jc w:val="both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iCs/>
          <w:lang w:eastAsia="en-US"/>
        </w:rPr>
        <w:t xml:space="preserve">The Endoscopy Improvement Group includes Unit and Division leads in medical, </w:t>
      </w:r>
      <w:proofErr w:type="gramStart"/>
      <w:r>
        <w:rPr>
          <w:rFonts w:ascii="Arial" w:eastAsia="Calibri" w:hAnsi="Arial" w:cs="Arial"/>
          <w:iCs/>
          <w:lang w:eastAsia="en-US"/>
        </w:rPr>
        <w:t>nursing</w:t>
      </w:r>
      <w:proofErr w:type="gramEnd"/>
      <w:r>
        <w:rPr>
          <w:rFonts w:ascii="Arial" w:eastAsia="Calibri" w:hAnsi="Arial" w:cs="Arial"/>
          <w:iCs/>
          <w:lang w:eastAsia="en-US"/>
        </w:rPr>
        <w:t xml:space="preserve"> and operational roles.</w:t>
      </w:r>
    </w:p>
    <w:p w14:paraId="7039AD0A" w14:textId="77777777" w:rsidR="00CB514B" w:rsidRPr="00987D7A" w:rsidRDefault="00CB514B" w:rsidP="00C10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Detailed </w:t>
      </w:r>
      <w:r w:rsidRPr="00987D7A">
        <w:rPr>
          <w:rFonts w:ascii="Arial" w:eastAsia="Times New Roman" w:hAnsi="Arial" w:cs="Arial"/>
          <w:b/>
          <w:bCs/>
          <w:sz w:val="24"/>
          <w:szCs w:val="24"/>
        </w:rPr>
        <w:t>Requirement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</w:p>
    <w:p w14:paraId="05491533" w14:textId="77777777" w:rsidR="00CB514B" w:rsidRPr="00C10940" w:rsidRDefault="00CB514B" w:rsidP="00C10940">
      <w:pPr>
        <w:tabs>
          <w:tab w:val="left" w:pos="72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0940">
        <w:rPr>
          <w:rFonts w:ascii="Arial" w:hAnsi="Arial" w:cs="Arial"/>
          <w:b/>
          <w:bCs/>
          <w:sz w:val="24"/>
          <w:szCs w:val="24"/>
        </w:rPr>
        <w:lastRenderedPageBreak/>
        <w:t>Functional Requirements</w:t>
      </w:r>
    </w:p>
    <w:p w14:paraId="01DFF75F" w14:textId="18FE9BDE" w:rsidR="00C10940" w:rsidRPr="00C10940" w:rsidRDefault="00C10940" w:rsidP="00C1094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C10940">
        <w:rPr>
          <w:rFonts w:ascii="Arial" w:hAnsi="Arial" w:cs="Arial"/>
          <w:sz w:val="24"/>
          <w:szCs w:val="24"/>
        </w:rPr>
        <w:t xml:space="preserve">The Scope of the Contract </w:t>
      </w:r>
      <w:r w:rsidR="000A3333">
        <w:rPr>
          <w:rFonts w:ascii="Arial" w:hAnsi="Arial" w:cs="Arial"/>
          <w:sz w:val="24"/>
          <w:szCs w:val="24"/>
        </w:rPr>
        <w:t>will</w:t>
      </w:r>
      <w:r w:rsidRPr="00C10940">
        <w:rPr>
          <w:rFonts w:ascii="Arial" w:hAnsi="Arial" w:cs="Arial"/>
          <w:sz w:val="24"/>
          <w:szCs w:val="24"/>
        </w:rPr>
        <w:t xml:space="preserve"> be delivered in a manner that is </w:t>
      </w:r>
      <w:proofErr w:type="gramStart"/>
      <w:r w:rsidRPr="00C10940">
        <w:rPr>
          <w:rFonts w:ascii="Arial" w:hAnsi="Arial" w:cs="Arial"/>
          <w:sz w:val="24"/>
          <w:szCs w:val="24"/>
        </w:rPr>
        <w:t>clinically-led</w:t>
      </w:r>
      <w:proofErr w:type="gramEnd"/>
      <w:r w:rsidRPr="00C10940">
        <w:rPr>
          <w:rFonts w:ascii="Arial" w:hAnsi="Arial" w:cs="Arial"/>
          <w:sz w:val="24"/>
          <w:szCs w:val="24"/>
        </w:rPr>
        <w:t xml:space="preserve">, with appropriate challenge of any unwarranted variation. Solutions should recognise the need for improvements in both operational processes </w:t>
      </w:r>
      <w:proofErr w:type="gramStart"/>
      <w:r w:rsidRPr="00C10940">
        <w:rPr>
          <w:rFonts w:ascii="Arial" w:hAnsi="Arial" w:cs="Arial"/>
          <w:sz w:val="24"/>
          <w:szCs w:val="24"/>
        </w:rPr>
        <w:t>and also</w:t>
      </w:r>
      <w:proofErr w:type="gramEnd"/>
      <w:r w:rsidRPr="00C10940">
        <w:rPr>
          <w:rFonts w:ascii="Arial" w:hAnsi="Arial" w:cs="Arial"/>
          <w:sz w:val="24"/>
          <w:szCs w:val="24"/>
        </w:rPr>
        <w:t xml:space="preserve"> any training needs for staff within the Endoscopy Unit.</w:t>
      </w:r>
    </w:p>
    <w:p w14:paraId="3DE77B94" w14:textId="77777777" w:rsidR="00CB514B" w:rsidRPr="00C10940" w:rsidRDefault="00CB514B" w:rsidP="00C10940">
      <w:pPr>
        <w:tabs>
          <w:tab w:val="left" w:pos="72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0940">
        <w:rPr>
          <w:rFonts w:ascii="Arial" w:hAnsi="Arial" w:cs="Arial"/>
          <w:b/>
          <w:bCs/>
          <w:sz w:val="24"/>
          <w:szCs w:val="24"/>
        </w:rPr>
        <w:t>Performance Requirements</w:t>
      </w:r>
    </w:p>
    <w:p w14:paraId="7D31A97E" w14:textId="77777777" w:rsidR="00C10940" w:rsidRPr="002A2B3F" w:rsidRDefault="00C10940" w:rsidP="00C10940">
      <w:pPr>
        <w:pStyle w:val="xmsolistparagraph"/>
        <w:numPr>
          <w:ilvl w:val="0"/>
          <w:numId w:val="12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Deliver a programme that increases the number of points per session (i.e. in-session utilisation) in line with NHSE’s expectation of 12 points per session (excluding training lists).</w:t>
      </w:r>
    </w:p>
    <w:p w14:paraId="75404374" w14:textId="77777777" w:rsidR="00C10940" w:rsidRPr="002A2B3F" w:rsidRDefault="00C10940" w:rsidP="00C10940">
      <w:pPr>
        <w:pStyle w:val="xmsolistparagraph"/>
        <w:numPr>
          <w:ilvl w:val="0"/>
          <w:numId w:val="12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Evaluate opportunities to reduce downtime within Endoscopy sessions. NB: The Trust currently runs at 100% uptake of Endoscopy sessions Monday – Friday.</w:t>
      </w:r>
    </w:p>
    <w:p w14:paraId="3D689C92" w14:textId="77777777" w:rsidR="00C10940" w:rsidRPr="002A2B3F" w:rsidRDefault="00C10940" w:rsidP="00C10940">
      <w:pPr>
        <w:pStyle w:val="xmsolistparagraph"/>
        <w:numPr>
          <w:ilvl w:val="0"/>
          <w:numId w:val="12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 xml:space="preserve">Evaluate pre-procedure assessments to reduce any requirement for rebooking </w:t>
      </w:r>
      <w:proofErr w:type="gramStart"/>
      <w:r w:rsidRPr="002A2B3F">
        <w:rPr>
          <w:rFonts w:ascii="Arial" w:eastAsia="Calibri" w:hAnsi="Arial" w:cs="Arial"/>
          <w:iCs/>
          <w:lang w:eastAsia="en-US"/>
        </w:rPr>
        <w:t>Endoscopy</w:t>
      </w:r>
      <w:proofErr w:type="gramEnd"/>
    </w:p>
    <w:p w14:paraId="714B6860" w14:textId="77777777" w:rsidR="00C10940" w:rsidRPr="002A2B3F" w:rsidRDefault="00C10940" w:rsidP="00C10940">
      <w:pPr>
        <w:pStyle w:val="xmsonormal"/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 </w:t>
      </w:r>
    </w:p>
    <w:p w14:paraId="53C8D459" w14:textId="77777777" w:rsidR="00CB514B" w:rsidRPr="00C10940" w:rsidRDefault="00CB514B" w:rsidP="00C10940">
      <w:pPr>
        <w:spacing w:before="240" w:after="24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C10940">
        <w:rPr>
          <w:rFonts w:ascii="Arial" w:eastAsia="Times New Roman" w:hAnsi="Arial" w:cs="Arial"/>
          <w:b/>
          <w:iCs/>
          <w:sz w:val="24"/>
          <w:szCs w:val="24"/>
        </w:rPr>
        <w:t>Mandatory Requirements</w:t>
      </w:r>
    </w:p>
    <w:p w14:paraId="4C3FC114" w14:textId="571988AA" w:rsidR="00C10940" w:rsidRPr="00C10940" w:rsidRDefault="00C10940" w:rsidP="00C10940">
      <w:pPr>
        <w:spacing w:before="240" w:after="24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10940">
        <w:rPr>
          <w:rFonts w:ascii="Arial" w:eastAsia="Times New Roman" w:hAnsi="Arial" w:cs="Arial"/>
          <w:iCs/>
          <w:sz w:val="24"/>
          <w:szCs w:val="24"/>
        </w:rPr>
        <w:t>It is expected that this work builds upon the improvements already made and referenced above. At the exit from the project, it is expected that a demonstrable improvement in in-session utilisation has been delivered, with a clear approach to sustain the improvement.</w:t>
      </w:r>
    </w:p>
    <w:p w14:paraId="3B2F1D7A" w14:textId="77777777" w:rsidR="00C10940" w:rsidRDefault="00C10940" w:rsidP="00C10940">
      <w:pPr>
        <w:spacing w:before="240" w:after="24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14:paraId="502FD0C3" w14:textId="77777777" w:rsidR="00CB514B" w:rsidRPr="00987D7A" w:rsidRDefault="00CB514B" w:rsidP="00C10940">
      <w:pPr>
        <w:numPr>
          <w:ilvl w:val="0"/>
          <w:numId w:val="1"/>
        </w:numPr>
        <w:spacing w:before="240" w:after="240" w:line="240" w:lineRule="auto"/>
        <w:ind w:hanging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987D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Service Levels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and </w:t>
      </w:r>
      <w:r w:rsidRPr="00987D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Key Performance Indicators (KPIs)</w:t>
      </w:r>
    </w:p>
    <w:p w14:paraId="7FC977C5" w14:textId="33E1029A" w:rsidR="00C10940" w:rsidRPr="002A2B3F" w:rsidRDefault="00C10940" w:rsidP="00C10940">
      <w:pPr>
        <w:pStyle w:val="xmsolistparagraph"/>
        <w:numPr>
          <w:ilvl w:val="0"/>
          <w:numId w:val="13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Deliver a programme that increases the number of points per session (i.e. in-session utilisation) in line with NHSE’s expectation of 12 points per session (excluding training lists).</w:t>
      </w:r>
      <w:r w:rsidR="000A3333">
        <w:rPr>
          <w:rFonts w:ascii="Arial" w:eastAsia="Calibri" w:hAnsi="Arial" w:cs="Arial"/>
          <w:iCs/>
          <w:lang w:eastAsia="en-US"/>
        </w:rPr>
        <w:t xml:space="preserve"> The KPI will be based on weekly average points per session, excluding any training lists. The improvement must be directly linked to the interventions led by the consultancy, and not </w:t>
      </w:r>
      <w:proofErr w:type="gramStart"/>
      <w:r w:rsidR="000A3333">
        <w:rPr>
          <w:rFonts w:ascii="Arial" w:eastAsia="Calibri" w:hAnsi="Arial" w:cs="Arial"/>
          <w:iCs/>
          <w:lang w:eastAsia="en-US"/>
        </w:rPr>
        <w:t>as a result of</w:t>
      </w:r>
      <w:proofErr w:type="gramEnd"/>
      <w:r w:rsidR="000A3333">
        <w:rPr>
          <w:rFonts w:ascii="Arial" w:eastAsia="Calibri" w:hAnsi="Arial" w:cs="Arial"/>
          <w:iCs/>
          <w:lang w:eastAsia="en-US"/>
        </w:rPr>
        <w:t xml:space="preserve"> extending session times.</w:t>
      </w:r>
    </w:p>
    <w:p w14:paraId="6F04CE07" w14:textId="77777777" w:rsidR="00C10940" w:rsidRPr="002A2B3F" w:rsidRDefault="00C10940" w:rsidP="00C10940">
      <w:pPr>
        <w:pStyle w:val="xmsolistparagraph"/>
        <w:numPr>
          <w:ilvl w:val="0"/>
          <w:numId w:val="13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Evaluate opportunities to reduce downtime within Endoscopy sessions. NB: The Trust currently runs at 100% uptake of Endoscopy sessions Monday – Friday.</w:t>
      </w:r>
    </w:p>
    <w:p w14:paraId="2660E059" w14:textId="77777777" w:rsidR="00C10940" w:rsidRPr="002A2B3F" w:rsidRDefault="00C10940" w:rsidP="00C10940">
      <w:pPr>
        <w:pStyle w:val="xmsolistparagraph"/>
        <w:numPr>
          <w:ilvl w:val="0"/>
          <w:numId w:val="13"/>
        </w:numPr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 xml:space="preserve">Evaluate pre-procedure assessments to reduce any requirement for rebooking </w:t>
      </w:r>
      <w:proofErr w:type="gramStart"/>
      <w:r w:rsidRPr="002A2B3F">
        <w:rPr>
          <w:rFonts w:ascii="Arial" w:eastAsia="Calibri" w:hAnsi="Arial" w:cs="Arial"/>
          <w:iCs/>
          <w:lang w:eastAsia="en-US"/>
        </w:rPr>
        <w:t>Endoscopy</w:t>
      </w:r>
      <w:proofErr w:type="gramEnd"/>
    </w:p>
    <w:p w14:paraId="6D8B8F45" w14:textId="77777777" w:rsidR="00C10940" w:rsidRPr="002A2B3F" w:rsidRDefault="00C10940" w:rsidP="00C10940">
      <w:pPr>
        <w:pStyle w:val="xmsonormal"/>
        <w:jc w:val="both"/>
        <w:rPr>
          <w:rFonts w:ascii="Arial" w:eastAsia="Calibri" w:hAnsi="Arial" w:cs="Arial"/>
          <w:iCs/>
          <w:lang w:eastAsia="en-US"/>
        </w:rPr>
      </w:pPr>
      <w:r w:rsidRPr="002A2B3F">
        <w:rPr>
          <w:rFonts w:ascii="Arial" w:eastAsia="Calibri" w:hAnsi="Arial" w:cs="Arial"/>
          <w:iCs/>
          <w:lang w:eastAsia="en-US"/>
        </w:rPr>
        <w:t> </w:t>
      </w:r>
    </w:p>
    <w:p w14:paraId="3EDA7F23" w14:textId="77777777" w:rsidR="00CB514B" w:rsidRPr="00987D7A" w:rsidRDefault="00CB514B" w:rsidP="00C10940">
      <w:pPr>
        <w:numPr>
          <w:ilvl w:val="0"/>
          <w:numId w:val="1"/>
        </w:numPr>
        <w:spacing w:before="240" w:after="240" w:line="240" w:lineRule="auto"/>
        <w:ind w:hanging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987D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Contract Management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and Review</w:t>
      </w:r>
    </w:p>
    <w:p w14:paraId="49D7B099" w14:textId="0347B007" w:rsidR="00C10940" w:rsidRPr="00C10940" w:rsidRDefault="00C10940" w:rsidP="00C10940">
      <w:pPr>
        <w:spacing w:before="240" w:after="24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10940">
        <w:rPr>
          <w:rFonts w:ascii="Arial" w:eastAsia="Times New Roman" w:hAnsi="Arial" w:cs="Arial"/>
          <w:iCs/>
          <w:sz w:val="24"/>
          <w:szCs w:val="24"/>
        </w:rPr>
        <w:t>Weekly update reports would be expected against the KPIs outlined.</w:t>
      </w:r>
      <w:r w:rsidR="000A3333">
        <w:rPr>
          <w:rFonts w:ascii="Arial" w:eastAsia="Times New Roman" w:hAnsi="Arial" w:cs="Arial"/>
          <w:iCs/>
          <w:sz w:val="24"/>
          <w:szCs w:val="24"/>
        </w:rPr>
        <w:t xml:space="preserve"> A DPIA is needed for the sharing of Trust data. Please note that patient-identifiable information is not required to be shared.</w:t>
      </w:r>
    </w:p>
    <w:p w14:paraId="51437360" w14:textId="77777777" w:rsidR="00CB514B" w:rsidRPr="00987D7A" w:rsidRDefault="00CB514B" w:rsidP="00C10940">
      <w:pPr>
        <w:numPr>
          <w:ilvl w:val="0"/>
          <w:numId w:val="1"/>
        </w:numPr>
        <w:spacing w:before="240" w:after="240" w:line="240" w:lineRule="auto"/>
        <w:ind w:hanging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987D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Sustainability</w:t>
      </w:r>
    </w:p>
    <w:p w14:paraId="654D1B19" w14:textId="2C019703" w:rsidR="00CB514B" w:rsidRPr="00C10940" w:rsidRDefault="0000150E" w:rsidP="00C10940">
      <w:pPr>
        <w:spacing w:before="240" w:after="24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10940">
        <w:rPr>
          <w:rFonts w:ascii="Arial" w:eastAsia="Times New Roman" w:hAnsi="Arial" w:cs="Arial"/>
          <w:iCs/>
          <w:sz w:val="24"/>
          <w:szCs w:val="24"/>
        </w:rPr>
        <w:lastRenderedPageBreak/>
        <w:t>A minimum</w:t>
      </w:r>
      <w:r w:rsidR="00C10940" w:rsidRPr="00C10940">
        <w:rPr>
          <w:rFonts w:ascii="Arial" w:eastAsia="Times New Roman" w:hAnsi="Arial" w:cs="Arial"/>
          <w:iCs/>
          <w:sz w:val="24"/>
          <w:szCs w:val="24"/>
        </w:rPr>
        <w:t xml:space="preserve"> of </w:t>
      </w:r>
      <w:r w:rsidRPr="00C10940">
        <w:rPr>
          <w:rFonts w:ascii="Arial" w:eastAsia="Times New Roman" w:hAnsi="Arial" w:cs="Arial"/>
          <w:iCs/>
          <w:sz w:val="24"/>
          <w:szCs w:val="24"/>
        </w:rPr>
        <w:t>10%</w:t>
      </w:r>
      <w:r w:rsidR="00C10940" w:rsidRPr="00C10940">
        <w:rPr>
          <w:rFonts w:ascii="Arial" w:eastAsia="Times New Roman" w:hAnsi="Arial" w:cs="Arial"/>
          <w:iCs/>
          <w:sz w:val="24"/>
          <w:szCs w:val="24"/>
        </w:rPr>
        <w:t xml:space="preserve"> of the contract is expected to support sustaining the </w:t>
      </w:r>
      <w:proofErr w:type="gramStart"/>
      <w:r w:rsidR="00C10940" w:rsidRPr="00C10940">
        <w:rPr>
          <w:rFonts w:ascii="Arial" w:eastAsia="Times New Roman" w:hAnsi="Arial" w:cs="Arial"/>
          <w:iCs/>
          <w:sz w:val="24"/>
          <w:szCs w:val="24"/>
        </w:rPr>
        <w:t>aforementioned KPIs</w:t>
      </w:r>
      <w:proofErr w:type="gramEnd"/>
      <w:r w:rsidRPr="00C10940">
        <w:rPr>
          <w:rFonts w:ascii="Arial" w:eastAsia="Times New Roman" w:hAnsi="Arial" w:cs="Arial"/>
          <w:iCs/>
          <w:sz w:val="24"/>
          <w:szCs w:val="24"/>
        </w:rPr>
        <w:t>.</w:t>
      </w:r>
      <w:r w:rsidR="00CB514B" w:rsidRPr="00C10940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0A3333">
        <w:rPr>
          <w:rFonts w:ascii="Arial" w:eastAsia="Times New Roman" w:hAnsi="Arial" w:cs="Arial"/>
          <w:iCs/>
          <w:sz w:val="24"/>
          <w:szCs w:val="24"/>
        </w:rPr>
        <w:t xml:space="preserve"> That is, focused on the training and embedded practices to enable the Trust to continue with the improved in-session utilisation after this programme has concluded.</w:t>
      </w:r>
    </w:p>
    <w:p w14:paraId="0798DCDA" w14:textId="77777777" w:rsidR="00CB514B" w:rsidRPr="000A3333" w:rsidRDefault="00CB514B" w:rsidP="00C10940">
      <w:pPr>
        <w:numPr>
          <w:ilvl w:val="0"/>
          <w:numId w:val="1"/>
        </w:numPr>
        <w:spacing w:before="240" w:after="240" w:line="240" w:lineRule="auto"/>
        <w:ind w:left="0" w:firstLine="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General Data Protection Regulation (GDPR) and Privacy Impact                        Assessments (PIA)</w:t>
      </w:r>
    </w:p>
    <w:p w14:paraId="4BAE2B81" w14:textId="2A8EABD4" w:rsidR="000A3333" w:rsidRPr="000A3333" w:rsidRDefault="000A3333" w:rsidP="000A3333">
      <w:pPr>
        <w:spacing w:before="240" w:after="24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A3333">
        <w:rPr>
          <w:rFonts w:ascii="Arial" w:eastAsia="Times New Roman" w:hAnsi="Arial" w:cs="Arial"/>
          <w:bCs/>
          <w:sz w:val="24"/>
          <w:szCs w:val="24"/>
        </w:rPr>
        <w:t>This is required. As covered by section 6.</w:t>
      </w:r>
    </w:p>
    <w:p w14:paraId="481D4CD1" w14:textId="77777777" w:rsidR="00CB514B" w:rsidRPr="00B024DB" w:rsidRDefault="00CB514B" w:rsidP="00C10940">
      <w:pPr>
        <w:numPr>
          <w:ilvl w:val="0"/>
          <w:numId w:val="1"/>
        </w:numPr>
        <w:spacing w:before="240" w:after="240" w:line="240" w:lineRule="auto"/>
        <w:ind w:hanging="72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B024DB">
        <w:rPr>
          <w:rFonts w:ascii="Arial" w:eastAsia="Times New Roman" w:hAnsi="Arial" w:cs="Arial"/>
          <w:b/>
          <w:sz w:val="24"/>
          <w:szCs w:val="24"/>
        </w:rPr>
        <w:t xml:space="preserve">Contract Period </w:t>
      </w:r>
    </w:p>
    <w:p w14:paraId="40C510F0" w14:textId="3BE2F2F9" w:rsidR="00C10940" w:rsidRPr="00C10940" w:rsidRDefault="00C10940" w:rsidP="00C10940">
      <w:pPr>
        <w:spacing w:before="240" w:after="24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10940">
        <w:rPr>
          <w:rFonts w:ascii="Arial" w:eastAsia="Times New Roman" w:hAnsi="Arial" w:cs="Arial"/>
          <w:iCs/>
          <w:sz w:val="24"/>
          <w:szCs w:val="24"/>
        </w:rPr>
        <w:t xml:space="preserve">The contract length </w:t>
      </w:r>
      <w:r w:rsidR="000A3333">
        <w:rPr>
          <w:rFonts w:ascii="Arial" w:eastAsia="Times New Roman" w:hAnsi="Arial" w:cs="Arial"/>
          <w:iCs/>
          <w:sz w:val="24"/>
          <w:szCs w:val="24"/>
        </w:rPr>
        <w:t>should be expected to be no longer than 8 weeks.</w:t>
      </w:r>
    </w:p>
    <w:sectPr w:rsidR="00C10940" w:rsidRPr="00C10940" w:rsidSect="00FB75D2">
      <w:footerReference w:type="default" r:id="rId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61546" w14:textId="77777777" w:rsidR="00C83D8E" w:rsidRDefault="00C83D8E" w:rsidP="00FB75D2">
      <w:pPr>
        <w:spacing w:after="0" w:line="240" w:lineRule="auto"/>
      </w:pPr>
      <w:r>
        <w:separator/>
      </w:r>
    </w:p>
  </w:endnote>
  <w:endnote w:type="continuationSeparator" w:id="0">
    <w:p w14:paraId="16EA7BC5" w14:textId="77777777" w:rsidR="00C83D8E" w:rsidRDefault="00C83D8E" w:rsidP="00FB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84960"/>
      <w:docPartObj>
        <w:docPartGallery w:val="Page Numbers (Bottom of Page)"/>
        <w:docPartUnique/>
      </w:docPartObj>
    </w:sdtPr>
    <w:sdtContent>
      <w:p w14:paraId="5182B5CE" w14:textId="77777777" w:rsidR="00FB75D2" w:rsidRDefault="00CB514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B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8591E1" w14:textId="77777777" w:rsidR="00FB75D2" w:rsidRDefault="00FB7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A3C72" w14:textId="77777777" w:rsidR="00C83D8E" w:rsidRDefault="00C83D8E" w:rsidP="00FB75D2">
      <w:pPr>
        <w:spacing w:after="0" w:line="240" w:lineRule="auto"/>
      </w:pPr>
      <w:r>
        <w:separator/>
      </w:r>
    </w:p>
  </w:footnote>
  <w:footnote w:type="continuationSeparator" w:id="0">
    <w:p w14:paraId="71D9B855" w14:textId="77777777" w:rsidR="00C83D8E" w:rsidRDefault="00C83D8E" w:rsidP="00FB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4863"/>
    <w:multiLevelType w:val="hybridMultilevel"/>
    <w:tmpl w:val="9C920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1248"/>
    <w:multiLevelType w:val="multilevel"/>
    <w:tmpl w:val="C26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13B4B"/>
    <w:multiLevelType w:val="multilevel"/>
    <w:tmpl w:val="DDDC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0B7E73"/>
    <w:multiLevelType w:val="multilevel"/>
    <w:tmpl w:val="B98C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A4288"/>
    <w:multiLevelType w:val="hybridMultilevel"/>
    <w:tmpl w:val="23CA6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75A6F"/>
    <w:multiLevelType w:val="hybridMultilevel"/>
    <w:tmpl w:val="377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B65E1"/>
    <w:multiLevelType w:val="hybridMultilevel"/>
    <w:tmpl w:val="36A263AC"/>
    <w:lvl w:ilvl="0" w:tplc="1DF83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016AA"/>
    <w:multiLevelType w:val="hybridMultilevel"/>
    <w:tmpl w:val="5F128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B21FE"/>
    <w:multiLevelType w:val="hybridMultilevel"/>
    <w:tmpl w:val="328EEE2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6FE3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0590F"/>
    <w:multiLevelType w:val="multilevel"/>
    <w:tmpl w:val="C26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42FDF"/>
    <w:multiLevelType w:val="multilevel"/>
    <w:tmpl w:val="B98C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A29A6"/>
    <w:multiLevelType w:val="hybridMultilevel"/>
    <w:tmpl w:val="EC1E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81A28"/>
    <w:multiLevelType w:val="hybridMultilevel"/>
    <w:tmpl w:val="56E27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2244">
    <w:abstractNumId w:val="6"/>
  </w:num>
  <w:num w:numId="2" w16cid:durableId="1735004811">
    <w:abstractNumId w:val="8"/>
  </w:num>
  <w:num w:numId="3" w16cid:durableId="1242106163">
    <w:abstractNumId w:val="5"/>
  </w:num>
  <w:num w:numId="4" w16cid:durableId="444883534">
    <w:abstractNumId w:val="11"/>
  </w:num>
  <w:num w:numId="5" w16cid:durableId="924532624">
    <w:abstractNumId w:val="7"/>
  </w:num>
  <w:num w:numId="6" w16cid:durableId="86392485">
    <w:abstractNumId w:val="0"/>
  </w:num>
  <w:num w:numId="7" w16cid:durableId="1452824312">
    <w:abstractNumId w:val="12"/>
  </w:num>
  <w:num w:numId="8" w16cid:durableId="1254237798">
    <w:abstractNumId w:val="4"/>
  </w:num>
  <w:num w:numId="9" w16cid:durableId="669023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061327">
    <w:abstractNumId w:val="2"/>
  </w:num>
  <w:num w:numId="11" w16cid:durableId="878397196">
    <w:abstractNumId w:val="10"/>
  </w:num>
  <w:num w:numId="12" w16cid:durableId="420610316">
    <w:abstractNumId w:val="1"/>
  </w:num>
  <w:num w:numId="13" w16cid:durableId="1424185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5B"/>
    <w:rsid w:val="0000150E"/>
    <w:rsid w:val="000A3333"/>
    <w:rsid w:val="00100FC8"/>
    <w:rsid w:val="00196780"/>
    <w:rsid w:val="00280C4E"/>
    <w:rsid w:val="002A2B3F"/>
    <w:rsid w:val="002B0713"/>
    <w:rsid w:val="00381252"/>
    <w:rsid w:val="004866A4"/>
    <w:rsid w:val="004E07E7"/>
    <w:rsid w:val="00625635"/>
    <w:rsid w:val="006410A4"/>
    <w:rsid w:val="006743BE"/>
    <w:rsid w:val="00704A4A"/>
    <w:rsid w:val="00757025"/>
    <w:rsid w:val="008068CA"/>
    <w:rsid w:val="0083498C"/>
    <w:rsid w:val="008B20AC"/>
    <w:rsid w:val="008C2D11"/>
    <w:rsid w:val="00922B63"/>
    <w:rsid w:val="00992BB2"/>
    <w:rsid w:val="009E6808"/>
    <w:rsid w:val="00A367CC"/>
    <w:rsid w:val="00AB3035"/>
    <w:rsid w:val="00C10940"/>
    <w:rsid w:val="00C409C0"/>
    <w:rsid w:val="00C7635B"/>
    <w:rsid w:val="00C83D8E"/>
    <w:rsid w:val="00C942D8"/>
    <w:rsid w:val="00CA1875"/>
    <w:rsid w:val="00CB514B"/>
    <w:rsid w:val="00D55A6D"/>
    <w:rsid w:val="00DE29CA"/>
    <w:rsid w:val="00DE4456"/>
    <w:rsid w:val="00E6550C"/>
    <w:rsid w:val="00E838D9"/>
    <w:rsid w:val="00F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FC1F"/>
  <w15:docId w15:val="{FAE74177-E199-4DF6-B5AB-EFD447E0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635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63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C1">
    <w:name w:val="toc 1"/>
    <w:uiPriority w:val="39"/>
    <w:rsid w:val="00C7635B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ascii="Arial" w:eastAsia="STZhongsong" w:hAnsi="Arial" w:cs="Times New Roman"/>
      <w:caps/>
      <w:szCs w:val="20"/>
      <w:lang w:eastAsia="zh-CN"/>
    </w:rPr>
  </w:style>
  <w:style w:type="paragraph" w:customStyle="1" w:styleId="bodystrongcentred">
    <w:name w:val="body strong centred"/>
    <w:basedOn w:val="Normal"/>
    <w:rsid w:val="00C7635B"/>
    <w:pPr>
      <w:spacing w:after="0" w:line="240" w:lineRule="auto"/>
      <w:jc w:val="center"/>
    </w:pPr>
    <w:rPr>
      <w:rFonts w:ascii="Arial" w:eastAsia="SimSun" w:hAnsi="Arial"/>
      <w:b/>
      <w:lang w:eastAsia="en-GB"/>
    </w:rPr>
  </w:style>
  <w:style w:type="character" w:styleId="Hyperlink">
    <w:name w:val="Hyperlink"/>
    <w:basedOn w:val="DefaultParagraphFont"/>
    <w:uiPriority w:val="99"/>
    <w:rsid w:val="00C76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7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5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D2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6780"/>
    <w:rPr>
      <w:color w:val="800080" w:themeColor="followedHyperlink"/>
      <w:u w:val="single"/>
    </w:rPr>
  </w:style>
  <w:style w:type="paragraph" w:customStyle="1" w:styleId="Default">
    <w:name w:val="Default"/>
    <w:rsid w:val="00806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514B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514B"/>
    <w:pPr>
      <w:ind w:left="720"/>
      <w:contextualSpacing/>
    </w:pPr>
  </w:style>
  <w:style w:type="paragraph" w:customStyle="1" w:styleId="xmsonormal">
    <w:name w:val="x_msonormal"/>
    <w:basedOn w:val="Normal"/>
    <w:rsid w:val="002A2B3F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2A2B3F"/>
    <w:pPr>
      <w:spacing w:after="0" w:line="240" w:lineRule="auto"/>
      <w:ind w:left="720"/>
    </w:pPr>
    <w:rPr>
      <w:rFonts w:ascii="Aptos" w:eastAsiaTheme="minorHAnsi" w:hAnsi="Aptos" w:cs="Aptos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5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A6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6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Smyth</dc:creator>
  <cp:lastModifiedBy>ROBERTS, William (WALSALL HEALTHCARE NHS TRUST)</cp:lastModifiedBy>
  <cp:revision>2</cp:revision>
  <dcterms:created xsi:type="dcterms:W3CDTF">2024-05-30T14:13:00Z</dcterms:created>
  <dcterms:modified xsi:type="dcterms:W3CDTF">2024-05-30T14:13:00Z</dcterms:modified>
</cp:coreProperties>
</file>