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Pr="009D3372" w:rsidRDefault="005F738A" w:rsidP="00893A3F">
      <w:pPr>
        <w:pStyle w:val="Norma1"/>
        <w:rPr>
          <w:rFonts w:cs="Arial"/>
        </w:rPr>
      </w:pPr>
      <w:bookmarkStart w:id="0" w:name="_GoBack"/>
      <w:bookmarkEnd w:id="0"/>
    </w:p>
    <w:p w14:paraId="5EA87523" w14:textId="77777777" w:rsidR="00893A3F" w:rsidRPr="009D3372" w:rsidRDefault="00893A3F" w:rsidP="008F2B68">
      <w:pPr>
        <w:pStyle w:val="Norma1"/>
        <w:rPr>
          <w:rFonts w:cs="Arial"/>
          <w:b/>
        </w:rPr>
      </w:pPr>
    </w:p>
    <w:p w14:paraId="175A68FA" w14:textId="027A0C73" w:rsidR="00846DBC" w:rsidRPr="009D3372" w:rsidRDefault="00CA7099" w:rsidP="00FE0B21">
      <w:pPr>
        <w:pStyle w:val="Norma1"/>
        <w:rPr>
          <w:rFonts w:cs="Arial"/>
          <w:b/>
        </w:rPr>
      </w:pPr>
      <w:r w:rsidRPr="009D3372">
        <w:rPr>
          <w:rFonts w:cs="Arial"/>
          <w:b/>
        </w:rPr>
        <w:t>Specification</w:t>
      </w:r>
      <w:r w:rsidR="009D3372" w:rsidRPr="009D3372">
        <w:rPr>
          <w:rFonts w:cs="Arial"/>
          <w:b/>
        </w:rPr>
        <w:t xml:space="preserve"> for the provision of research on the </w:t>
      </w:r>
      <w:r w:rsidR="006648CA">
        <w:rPr>
          <w:rFonts w:cs="Arial"/>
          <w:b/>
        </w:rPr>
        <w:t xml:space="preserve">potential for using bioenergy </w:t>
      </w:r>
      <w:r w:rsidR="0043663E">
        <w:rPr>
          <w:rFonts w:cs="Arial"/>
          <w:b/>
        </w:rPr>
        <w:t>resources</w:t>
      </w:r>
      <w:r w:rsidR="006648CA">
        <w:rPr>
          <w:rFonts w:cs="Arial"/>
          <w:b/>
        </w:rPr>
        <w:t xml:space="preserve"> for construction and other non-energy uses.</w:t>
      </w:r>
    </w:p>
    <w:p w14:paraId="5EA87525" w14:textId="77777777" w:rsidR="00CB7AD6" w:rsidRPr="009D3372" w:rsidRDefault="00CB7AD6" w:rsidP="00FE0B21">
      <w:pPr>
        <w:pStyle w:val="Norma1"/>
        <w:rPr>
          <w:rFonts w:cs="Arial"/>
          <w:b/>
        </w:rPr>
      </w:pPr>
    </w:p>
    <w:p w14:paraId="4AFA6017" w14:textId="77777777" w:rsidR="00DD521A" w:rsidRPr="009D3372" w:rsidRDefault="00DD521A" w:rsidP="008F2B68">
      <w:pPr>
        <w:pStyle w:val="Norma1"/>
        <w:rPr>
          <w:rFonts w:cs="Arial"/>
        </w:rPr>
      </w:pPr>
    </w:p>
    <w:p w14:paraId="02451D23" w14:textId="77777777" w:rsidR="00DD521A" w:rsidRPr="009D3372" w:rsidRDefault="00DD521A" w:rsidP="008F2B68">
      <w:pPr>
        <w:pStyle w:val="Norma1"/>
        <w:rPr>
          <w:rFonts w:cs="Arial"/>
        </w:rPr>
      </w:pPr>
    </w:p>
    <w:p w14:paraId="5EA87527" w14:textId="2632E0E6" w:rsidR="00444762" w:rsidRPr="009D3372" w:rsidRDefault="00C53C6B" w:rsidP="008F2B68">
      <w:pPr>
        <w:pStyle w:val="Norma1"/>
        <w:rPr>
          <w:rFonts w:cs="Arial"/>
        </w:rPr>
      </w:pPr>
      <w:r w:rsidRPr="0026372F">
        <w:rPr>
          <w:rFonts w:cs="Arial"/>
        </w:rPr>
        <w:t>T</w:t>
      </w:r>
      <w:r w:rsidR="00E53204" w:rsidRPr="0026372F">
        <w:rPr>
          <w:rFonts w:cs="Arial"/>
        </w:rPr>
        <w:t>ender Reference Number</w:t>
      </w:r>
      <w:r w:rsidR="006E31A8" w:rsidRPr="0026372F">
        <w:rPr>
          <w:rFonts w:cs="Arial"/>
        </w:rPr>
        <w:t xml:space="preserve">: </w:t>
      </w:r>
      <w:r w:rsidR="003E0D6A">
        <w:rPr>
          <w:rFonts w:cs="Arial"/>
        </w:rPr>
        <w:t>SF/</w:t>
      </w:r>
      <w:r w:rsidR="00FB545B">
        <w:rPr>
          <w:rFonts w:cs="Arial"/>
        </w:rPr>
        <w:t>1217</w:t>
      </w:r>
    </w:p>
    <w:p w14:paraId="5EA87528" w14:textId="77777777" w:rsidR="00D95762" w:rsidRPr="009D3372" w:rsidRDefault="00D95762" w:rsidP="008F2B68">
      <w:pPr>
        <w:pStyle w:val="Norma1"/>
        <w:rPr>
          <w:rFonts w:cs="Arial"/>
          <w:b/>
          <w:color w:val="FF0000"/>
        </w:rPr>
      </w:pPr>
    </w:p>
    <w:p w14:paraId="5EA87529" w14:textId="77777777" w:rsidR="00D95762" w:rsidRPr="009D3372" w:rsidRDefault="00D95762" w:rsidP="008F2B68">
      <w:pPr>
        <w:pStyle w:val="Norma1"/>
        <w:rPr>
          <w:rFonts w:cs="Arial"/>
          <w:b/>
          <w:color w:val="FF0000"/>
        </w:rPr>
      </w:pPr>
    </w:p>
    <w:p w14:paraId="5EA8752A" w14:textId="77777777" w:rsidR="00327C8C" w:rsidRPr="009D3372" w:rsidRDefault="00327C8C" w:rsidP="00220F36">
      <w:pPr>
        <w:pStyle w:val="Norma1"/>
        <w:rPr>
          <w:rFonts w:cs="Arial"/>
          <w:b/>
        </w:rPr>
      </w:pPr>
    </w:p>
    <w:p w14:paraId="4E1F9566" w14:textId="77777777" w:rsidR="006648CA" w:rsidRPr="009D3372" w:rsidRDefault="006648CA" w:rsidP="00CA7099">
      <w:pPr>
        <w:pStyle w:val="Norma1"/>
        <w:rPr>
          <w:rFonts w:cs="Arial"/>
        </w:rPr>
      </w:pPr>
    </w:p>
    <w:p w14:paraId="5EA87533" w14:textId="77777777" w:rsidR="00781BF5" w:rsidRPr="009D3372" w:rsidRDefault="00781BF5" w:rsidP="006C479E">
      <w:pPr>
        <w:pStyle w:val="Norma1"/>
        <w:ind w:left="720"/>
        <w:rPr>
          <w:rFonts w:cs="Arial"/>
        </w:rPr>
      </w:pPr>
      <w:bookmarkStart w:id="1" w:name="SectionOne"/>
    </w:p>
    <w:p w14:paraId="5EA87534" w14:textId="77777777" w:rsidR="003E5C19" w:rsidRPr="009D3372" w:rsidRDefault="00091732" w:rsidP="00CA7099">
      <w:pPr>
        <w:pStyle w:val="Norma1"/>
        <w:ind w:left="1080"/>
        <w:rPr>
          <w:rFonts w:cs="Arial"/>
          <w:b/>
        </w:rPr>
      </w:pPr>
      <w:bookmarkStart w:id="2" w:name="_Evaluation_of_Responses"/>
      <w:bookmarkEnd w:id="2"/>
      <w:r w:rsidRPr="009D3372">
        <w:rPr>
          <w:rFonts w:cs="Arial"/>
          <w:b/>
        </w:rPr>
        <w:br w:type="page"/>
      </w:r>
      <w:bookmarkEnd w:id="1"/>
    </w:p>
    <w:p w14:paraId="5EA87535" w14:textId="77777777" w:rsidR="001D5D04" w:rsidRPr="009D3372" w:rsidRDefault="001D5D04" w:rsidP="007B3C23">
      <w:pPr>
        <w:pStyle w:val="Norma1"/>
        <w:jc w:val="both"/>
        <w:rPr>
          <w:rFonts w:cs="Arial"/>
          <w:b/>
        </w:rPr>
      </w:pPr>
    </w:p>
    <w:p w14:paraId="5EA87536" w14:textId="77777777" w:rsidR="003E5C19" w:rsidRPr="009D3372" w:rsidRDefault="00C06839" w:rsidP="007B3C23">
      <w:pPr>
        <w:pStyle w:val="Norma1"/>
        <w:jc w:val="both"/>
        <w:rPr>
          <w:rFonts w:cs="Arial"/>
          <w:b/>
        </w:rPr>
      </w:pPr>
      <w:r w:rsidRPr="009D3372">
        <w:rPr>
          <w:rFonts w:cs="Arial"/>
          <w:noProof/>
        </w:rPr>
        <mc:AlternateContent>
          <mc:Choice Requires="wps">
            <w:drawing>
              <wp:anchor distT="0" distB="0" distL="114300" distR="114300" simplePos="0" relativeHeight="20" behindDoc="0" locked="0" layoutInCell="1" allowOverlap="1" wp14:anchorId="5EA8762A" wp14:editId="72EDBECC">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74795D" w:rsidRDefault="0074795D" w:rsidP="003E5C19">
                            <w:pPr>
                              <w:pStyle w:val="Norma1"/>
                              <w:jc w:val="center"/>
                              <w:rPr>
                                <w:b/>
                                <w:sz w:val="28"/>
                                <w:szCs w:val="28"/>
                              </w:rPr>
                            </w:pPr>
                          </w:p>
                          <w:p w14:paraId="5EA87636" w14:textId="77777777" w:rsidR="0074795D" w:rsidRDefault="0074795D" w:rsidP="003E5C19">
                            <w:pPr>
                              <w:pStyle w:val="Norma1"/>
                              <w:jc w:val="center"/>
                              <w:rPr>
                                <w:b/>
                                <w:sz w:val="28"/>
                                <w:szCs w:val="28"/>
                              </w:rPr>
                            </w:pPr>
                          </w:p>
                          <w:p w14:paraId="5EA87637" w14:textId="77777777" w:rsidR="0074795D" w:rsidRPr="003E5C19" w:rsidRDefault="0074795D" w:rsidP="003E5C19">
                            <w:pPr>
                              <w:pStyle w:val="Norma1"/>
                              <w:jc w:val="center"/>
                              <w:rPr>
                                <w:rFonts w:cs="Arial"/>
                                <w:b/>
                                <w:sz w:val="36"/>
                                <w:szCs w:val="36"/>
                              </w:rPr>
                            </w:pPr>
                            <w:r w:rsidRPr="003E5C19">
                              <w:rPr>
                                <w:b/>
                                <w:sz w:val="36"/>
                                <w:szCs w:val="36"/>
                              </w:rPr>
                              <w:t>Specification of Requirements</w:t>
                            </w:r>
                          </w:p>
                          <w:p w14:paraId="5EA87638" w14:textId="77777777" w:rsidR="0074795D" w:rsidRDefault="0074795D">
                            <w:pPr>
                              <w:pStyle w:val="Norma1"/>
                            </w:pPr>
                          </w:p>
                          <w:p w14:paraId="5EA87639" w14:textId="77777777" w:rsidR="0074795D" w:rsidRDefault="0074795D">
                            <w:pPr>
                              <w:pStyle w:val="Norma1"/>
                            </w:pPr>
                          </w:p>
                          <w:p w14:paraId="5EA8763A" w14:textId="47B84E4F" w:rsidR="0074795D" w:rsidRPr="00DD521A" w:rsidRDefault="0074795D" w:rsidP="00405192">
                            <w:pPr>
                              <w:pStyle w:val="Norma1"/>
                              <w:rPr>
                                <w:rFonts w:cs="Arial"/>
                                <w:color w:val="FF0000"/>
                              </w:rPr>
                            </w:pPr>
                            <w:r w:rsidRPr="0000739E">
                              <w:rPr>
                                <w:rFonts w:cs="Arial"/>
                              </w:rPr>
                              <w:t>Invitation to Tender for</w:t>
                            </w:r>
                            <w:r w:rsidRPr="006D645F">
                              <w:rPr>
                                <w:rFonts w:cs="Arial"/>
                              </w:rPr>
                              <w:t xml:space="preserve"> </w:t>
                            </w:r>
                            <w:r w:rsidRPr="00C0608D">
                              <w:rPr>
                                <w:rFonts w:cs="Arial"/>
                                <w:color w:val="000000" w:themeColor="text1"/>
                              </w:rPr>
                              <w:t xml:space="preserve">the provision of research on the </w:t>
                            </w:r>
                            <w:r>
                              <w:rPr>
                                <w:rFonts w:cs="Arial"/>
                                <w:color w:val="000000" w:themeColor="text1"/>
                              </w:rPr>
                              <w:t>potential for using bioenergy resources for construction and other non-energy uses.</w:t>
                            </w:r>
                          </w:p>
                          <w:p w14:paraId="5EA8763B" w14:textId="69342E69" w:rsidR="0074795D" w:rsidRPr="0000739E" w:rsidRDefault="0074795D" w:rsidP="00405192">
                            <w:pPr>
                              <w:pStyle w:val="Norma1"/>
                              <w:rPr>
                                <w:rFonts w:cs="Arial"/>
                              </w:rPr>
                            </w:pPr>
                            <w:r>
                              <w:rPr>
                                <w:rFonts w:cs="Arial"/>
                              </w:rPr>
                              <w:t>Tender Reference Number: SF/</w:t>
                            </w:r>
                            <w:r w:rsidR="00FB545B">
                              <w:rPr>
                                <w:rFonts w:cs="Arial"/>
                              </w:rPr>
                              <w:t>1217</w:t>
                            </w:r>
                          </w:p>
                          <w:p w14:paraId="5EA8763C" w14:textId="1927A3D0" w:rsidR="0074795D" w:rsidRPr="00D0055E" w:rsidRDefault="0074795D" w:rsidP="00405192">
                            <w:pPr>
                              <w:pStyle w:val="Norma1"/>
                              <w:rPr>
                                <w:rFonts w:cs="Arial"/>
                                <w:color w:val="FF0000"/>
                              </w:rPr>
                            </w:pPr>
                            <w:r w:rsidRPr="0000739E">
                              <w:rPr>
                                <w:rFonts w:cs="Arial"/>
                              </w:rPr>
                              <w:t>Deadline for Tender Responses</w:t>
                            </w:r>
                            <w:r w:rsidRPr="00D0055E">
                              <w:rPr>
                                <w:rFonts w:cs="Arial"/>
                              </w:rPr>
                              <w:t>:</w:t>
                            </w:r>
                            <w:r w:rsidRPr="00D0055E">
                              <w:rPr>
                                <w:rFonts w:cs="Arial"/>
                                <w:sz w:val="24"/>
                                <w:szCs w:val="24"/>
                              </w:rPr>
                              <w:t xml:space="preserve"> </w:t>
                            </w:r>
                            <w:r w:rsidRPr="00D061A3">
                              <w:rPr>
                                <w:rFonts w:cs="Arial"/>
                                <w:b/>
                                <w:color w:val="FF0000"/>
                                <w:szCs w:val="24"/>
                              </w:rPr>
                              <w:t>18</w:t>
                            </w:r>
                            <w:r w:rsidRPr="00D061A3">
                              <w:rPr>
                                <w:rFonts w:cs="Arial"/>
                                <w:b/>
                                <w:color w:val="FF0000"/>
                                <w:szCs w:val="24"/>
                                <w:vertAlign w:val="superscript"/>
                              </w:rPr>
                              <w:t>th</w:t>
                            </w:r>
                            <w:r w:rsidRPr="00D061A3">
                              <w:rPr>
                                <w:rFonts w:cs="Arial"/>
                                <w:b/>
                                <w:color w:val="FF0000"/>
                                <w:szCs w:val="24"/>
                              </w:rPr>
                              <w:t xml:space="preserve"> January 2018, 9 am</w:t>
                            </w:r>
                          </w:p>
                          <w:p w14:paraId="5EA8763D" w14:textId="77777777" w:rsidR="0074795D" w:rsidRPr="00D0055E" w:rsidRDefault="0074795D" w:rsidP="00790CE1">
                            <w:pPr>
                              <w:pStyle w:val="Norma1"/>
                              <w:rPr>
                                <w:rFonts w:cs="Arial"/>
                                <w:color w:val="FF0000"/>
                              </w:rPr>
                            </w:pPr>
                          </w:p>
                          <w:p w14:paraId="5EA8763E" w14:textId="77777777" w:rsidR="0074795D" w:rsidRDefault="0074795D" w:rsidP="00790CE1">
                            <w:pPr>
                              <w:pStyle w:val="Norma1"/>
                              <w:rPr>
                                <w:rFonts w:cs="Arial"/>
                              </w:rPr>
                            </w:pPr>
                          </w:p>
                          <w:p w14:paraId="5EA8763F" w14:textId="77777777" w:rsidR="0074795D" w:rsidRPr="0000739E" w:rsidRDefault="0074795D" w:rsidP="00790CE1">
                            <w:pPr>
                              <w:pStyle w:val="Norma1"/>
                              <w:rPr>
                                <w:rFonts w:cs="Arial"/>
                              </w:rPr>
                            </w:pPr>
                          </w:p>
                          <w:p w14:paraId="5EA87640" w14:textId="77777777" w:rsidR="0074795D" w:rsidRDefault="0074795D">
                            <w:pPr>
                              <w:pStyle w:val="Norma1"/>
                            </w:pPr>
                          </w:p>
                          <w:p w14:paraId="5EA87641" w14:textId="77777777" w:rsidR="0074795D" w:rsidRDefault="0074795D">
                            <w:pPr>
                              <w:pStyle w:val="Norma1"/>
                            </w:pPr>
                          </w:p>
                          <w:p w14:paraId="5EA87642" w14:textId="77777777" w:rsidR="0074795D" w:rsidRDefault="0074795D">
                            <w:pPr>
                              <w:pStyle w:val="Norma1"/>
                            </w:pPr>
                          </w:p>
                          <w:p w14:paraId="5EA87643" w14:textId="77777777" w:rsidR="0074795D" w:rsidRDefault="0074795D">
                            <w:pPr>
                              <w:pStyle w:val="Norma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74795D" w:rsidRDefault="0074795D" w:rsidP="003E5C19">
                      <w:pPr>
                        <w:pStyle w:val="Norma1"/>
                        <w:jc w:val="center"/>
                        <w:rPr>
                          <w:b/>
                          <w:sz w:val="28"/>
                          <w:szCs w:val="28"/>
                        </w:rPr>
                      </w:pPr>
                    </w:p>
                    <w:p w14:paraId="5EA87636" w14:textId="77777777" w:rsidR="0074795D" w:rsidRDefault="0074795D" w:rsidP="003E5C19">
                      <w:pPr>
                        <w:pStyle w:val="Norma1"/>
                        <w:jc w:val="center"/>
                        <w:rPr>
                          <w:b/>
                          <w:sz w:val="28"/>
                          <w:szCs w:val="28"/>
                        </w:rPr>
                      </w:pPr>
                    </w:p>
                    <w:p w14:paraId="5EA87637" w14:textId="77777777" w:rsidR="0074795D" w:rsidRPr="003E5C19" w:rsidRDefault="0074795D" w:rsidP="003E5C19">
                      <w:pPr>
                        <w:pStyle w:val="Norma1"/>
                        <w:jc w:val="center"/>
                        <w:rPr>
                          <w:rFonts w:cs="Arial"/>
                          <w:b/>
                          <w:sz w:val="36"/>
                          <w:szCs w:val="36"/>
                        </w:rPr>
                      </w:pPr>
                      <w:r w:rsidRPr="003E5C19">
                        <w:rPr>
                          <w:b/>
                          <w:sz w:val="36"/>
                          <w:szCs w:val="36"/>
                        </w:rPr>
                        <w:t>Specification of Requirements</w:t>
                      </w:r>
                    </w:p>
                    <w:p w14:paraId="5EA87638" w14:textId="77777777" w:rsidR="0074795D" w:rsidRDefault="0074795D">
                      <w:pPr>
                        <w:pStyle w:val="Norma1"/>
                      </w:pPr>
                    </w:p>
                    <w:p w14:paraId="5EA87639" w14:textId="77777777" w:rsidR="0074795D" w:rsidRDefault="0074795D">
                      <w:pPr>
                        <w:pStyle w:val="Norma1"/>
                      </w:pPr>
                    </w:p>
                    <w:p w14:paraId="5EA8763A" w14:textId="47B84E4F" w:rsidR="0074795D" w:rsidRPr="00DD521A" w:rsidRDefault="0074795D" w:rsidP="00405192">
                      <w:pPr>
                        <w:pStyle w:val="Norma1"/>
                        <w:rPr>
                          <w:rFonts w:cs="Arial"/>
                          <w:color w:val="FF0000"/>
                        </w:rPr>
                      </w:pPr>
                      <w:r w:rsidRPr="0000739E">
                        <w:rPr>
                          <w:rFonts w:cs="Arial"/>
                        </w:rPr>
                        <w:t>Invitation to Tender for</w:t>
                      </w:r>
                      <w:r w:rsidRPr="006D645F">
                        <w:rPr>
                          <w:rFonts w:cs="Arial"/>
                        </w:rPr>
                        <w:t xml:space="preserve"> </w:t>
                      </w:r>
                      <w:r w:rsidRPr="00C0608D">
                        <w:rPr>
                          <w:rFonts w:cs="Arial"/>
                          <w:color w:val="000000" w:themeColor="text1"/>
                        </w:rPr>
                        <w:t xml:space="preserve">the provision of research on the </w:t>
                      </w:r>
                      <w:r>
                        <w:rPr>
                          <w:rFonts w:cs="Arial"/>
                          <w:color w:val="000000" w:themeColor="text1"/>
                        </w:rPr>
                        <w:t>potential for using bioenergy resources for construction and other non-energy uses.</w:t>
                      </w:r>
                    </w:p>
                    <w:p w14:paraId="5EA8763B" w14:textId="69342E69" w:rsidR="0074795D" w:rsidRPr="0000739E" w:rsidRDefault="0074795D" w:rsidP="00405192">
                      <w:pPr>
                        <w:pStyle w:val="Norma1"/>
                        <w:rPr>
                          <w:rFonts w:cs="Arial"/>
                        </w:rPr>
                      </w:pPr>
                      <w:r>
                        <w:rPr>
                          <w:rFonts w:cs="Arial"/>
                        </w:rPr>
                        <w:t>Tender Reference Number: SF/</w:t>
                      </w:r>
                      <w:r w:rsidR="00FB545B">
                        <w:rPr>
                          <w:rFonts w:cs="Arial"/>
                        </w:rPr>
                        <w:t>1217</w:t>
                      </w:r>
                    </w:p>
                    <w:p w14:paraId="5EA8763C" w14:textId="1927A3D0" w:rsidR="0074795D" w:rsidRPr="00D0055E" w:rsidRDefault="0074795D" w:rsidP="00405192">
                      <w:pPr>
                        <w:pStyle w:val="Norma1"/>
                        <w:rPr>
                          <w:rFonts w:cs="Arial"/>
                          <w:color w:val="FF0000"/>
                        </w:rPr>
                      </w:pPr>
                      <w:r w:rsidRPr="0000739E">
                        <w:rPr>
                          <w:rFonts w:cs="Arial"/>
                        </w:rPr>
                        <w:t>Deadline for Tender Responses</w:t>
                      </w:r>
                      <w:r w:rsidRPr="00D0055E">
                        <w:rPr>
                          <w:rFonts w:cs="Arial"/>
                        </w:rPr>
                        <w:t>:</w:t>
                      </w:r>
                      <w:r w:rsidRPr="00D0055E">
                        <w:rPr>
                          <w:rFonts w:cs="Arial"/>
                          <w:sz w:val="24"/>
                          <w:szCs w:val="24"/>
                        </w:rPr>
                        <w:t xml:space="preserve"> </w:t>
                      </w:r>
                      <w:r w:rsidRPr="00D061A3">
                        <w:rPr>
                          <w:rFonts w:cs="Arial"/>
                          <w:b/>
                          <w:color w:val="FF0000"/>
                          <w:szCs w:val="24"/>
                        </w:rPr>
                        <w:t>18</w:t>
                      </w:r>
                      <w:r w:rsidRPr="00D061A3">
                        <w:rPr>
                          <w:rFonts w:cs="Arial"/>
                          <w:b/>
                          <w:color w:val="FF0000"/>
                          <w:szCs w:val="24"/>
                          <w:vertAlign w:val="superscript"/>
                        </w:rPr>
                        <w:t>th</w:t>
                      </w:r>
                      <w:r w:rsidRPr="00D061A3">
                        <w:rPr>
                          <w:rFonts w:cs="Arial"/>
                          <w:b/>
                          <w:color w:val="FF0000"/>
                          <w:szCs w:val="24"/>
                        </w:rPr>
                        <w:t xml:space="preserve"> January 2018, 9 am</w:t>
                      </w:r>
                    </w:p>
                    <w:p w14:paraId="5EA8763D" w14:textId="77777777" w:rsidR="0074795D" w:rsidRPr="00D0055E" w:rsidRDefault="0074795D" w:rsidP="00790CE1">
                      <w:pPr>
                        <w:pStyle w:val="Norma1"/>
                        <w:rPr>
                          <w:rFonts w:cs="Arial"/>
                          <w:color w:val="FF0000"/>
                        </w:rPr>
                      </w:pPr>
                    </w:p>
                    <w:p w14:paraId="5EA8763E" w14:textId="77777777" w:rsidR="0074795D" w:rsidRDefault="0074795D" w:rsidP="00790CE1">
                      <w:pPr>
                        <w:pStyle w:val="Norma1"/>
                        <w:rPr>
                          <w:rFonts w:cs="Arial"/>
                        </w:rPr>
                      </w:pPr>
                    </w:p>
                    <w:p w14:paraId="5EA8763F" w14:textId="77777777" w:rsidR="0074795D" w:rsidRPr="0000739E" w:rsidRDefault="0074795D" w:rsidP="00790CE1">
                      <w:pPr>
                        <w:pStyle w:val="Norma1"/>
                        <w:rPr>
                          <w:rFonts w:cs="Arial"/>
                        </w:rPr>
                      </w:pPr>
                    </w:p>
                    <w:p w14:paraId="5EA87640" w14:textId="77777777" w:rsidR="0074795D" w:rsidRDefault="0074795D">
                      <w:pPr>
                        <w:pStyle w:val="Norma1"/>
                      </w:pPr>
                    </w:p>
                    <w:p w14:paraId="5EA87641" w14:textId="77777777" w:rsidR="0074795D" w:rsidRDefault="0074795D">
                      <w:pPr>
                        <w:pStyle w:val="Norma1"/>
                      </w:pPr>
                    </w:p>
                    <w:p w14:paraId="5EA87642" w14:textId="77777777" w:rsidR="0074795D" w:rsidRDefault="0074795D">
                      <w:pPr>
                        <w:pStyle w:val="Norma1"/>
                      </w:pPr>
                    </w:p>
                    <w:p w14:paraId="5EA87643" w14:textId="77777777" w:rsidR="0074795D" w:rsidRDefault="0074795D">
                      <w:pPr>
                        <w:pStyle w:val="Norma1"/>
                      </w:pPr>
                    </w:p>
                  </w:txbxContent>
                </v:textbox>
              </v:shape>
            </w:pict>
          </mc:Fallback>
        </mc:AlternateContent>
      </w:r>
    </w:p>
    <w:p w14:paraId="5EA87537" w14:textId="77777777" w:rsidR="003E5C19" w:rsidRPr="009D3372" w:rsidRDefault="003E5C19" w:rsidP="007B3C23">
      <w:pPr>
        <w:pStyle w:val="Norma1"/>
        <w:jc w:val="both"/>
        <w:rPr>
          <w:rFonts w:cs="Arial"/>
          <w:b/>
        </w:rPr>
      </w:pPr>
    </w:p>
    <w:p w14:paraId="5EA87538" w14:textId="77777777" w:rsidR="003E5C19" w:rsidRPr="009D3372" w:rsidRDefault="003E5C19" w:rsidP="007B3C23">
      <w:pPr>
        <w:pStyle w:val="Norma1"/>
        <w:jc w:val="both"/>
        <w:rPr>
          <w:rFonts w:cs="Arial"/>
          <w:b/>
        </w:rPr>
      </w:pPr>
    </w:p>
    <w:p w14:paraId="5EA87539" w14:textId="77777777" w:rsidR="009954ED" w:rsidRPr="009D3372" w:rsidRDefault="009954ED" w:rsidP="007B3C23">
      <w:pPr>
        <w:pStyle w:val="Norma1"/>
        <w:jc w:val="both"/>
        <w:rPr>
          <w:rFonts w:cs="Arial"/>
        </w:rPr>
      </w:pPr>
    </w:p>
    <w:p w14:paraId="5EA8753A" w14:textId="77777777" w:rsidR="003E5C19" w:rsidRPr="009D3372" w:rsidRDefault="003E5C19" w:rsidP="00B0368C">
      <w:pPr>
        <w:pStyle w:val="Numbered"/>
        <w:widowControl/>
        <w:jc w:val="both"/>
        <w:rPr>
          <w:rFonts w:cs="Arial"/>
          <w:b/>
        </w:rPr>
      </w:pPr>
    </w:p>
    <w:p w14:paraId="5EA8753B" w14:textId="77777777" w:rsidR="003E5C19" w:rsidRPr="009D3372" w:rsidRDefault="003E5C19" w:rsidP="003E5C19">
      <w:pPr>
        <w:pStyle w:val="Numbered"/>
        <w:widowControl/>
        <w:rPr>
          <w:rFonts w:cs="Arial"/>
          <w:b/>
        </w:rPr>
      </w:pPr>
    </w:p>
    <w:p w14:paraId="5EA8753C" w14:textId="77777777" w:rsidR="00790CE1" w:rsidRPr="009D3372" w:rsidRDefault="00790CE1" w:rsidP="003E5C19">
      <w:pPr>
        <w:pStyle w:val="Numbered"/>
        <w:widowControl/>
        <w:rPr>
          <w:rFonts w:cs="Arial"/>
          <w:b/>
        </w:rPr>
      </w:pPr>
    </w:p>
    <w:p w14:paraId="5EA8753D" w14:textId="77777777" w:rsidR="00790CE1" w:rsidRPr="009D3372" w:rsidRDefault="00790CE1" w:rsidP="003E5C19">
      <w:pPr>
        <w:pStyle w:val="Numbered"/>
        <w:widowControl/>
        <w:rPr>
          <w:rFonts w:cs="Arial"/>
          <w:b/>
        </w:rPr>
      </w:pPr>
    </w:p>
    <w:p w14:paraId="5EA8753E" w14:textId="77777777" w:rsidR="002D32D5" w:rsidRPr="009D3372" w:rsidRDefault="002D32D5" w:rsidP="003E5C19">
      <w:pPr>
        <w:pStyle w:val="Numbered"/>
        <w:widowControl/>
        <w:rPr>
          <w:rFonts w:cs="Arial"/>
          <w:b/>
        </w:rPr>
      </w:pPr>
      <w:r w:rsidRPr="009D3372">
        <w:rPr>
          <w:rFonts w:cs="Arial"/>
          <w:b/>
        </w:rPr>
        <w:t>Contents</w:t>
      </w:r>
    </w:p>
    <w:p w14:paraId="5EA87540" w14:textId="77777777" w:rsidR="00B0368C" w:rsidRPr="009D3372" w:rsidRDefault="00B0368C" w:rsidP="00B0368C">
      <w:pPr>
        <w:pStyle w:val="Norma1"/>
        <w:rPr>
          <w:rFonts w:cs="Arial"/>
          <w:lang w:val="en-US" w:eastAsia="ja-JP"/>
        </w:rPr>
      </w:pPr>
    </w:p>
    <w:p w14:paraId="479A2B29" w14:textId="77777777" w:rsidR="00865B54" w:rsidRDefault="000744BD">
      <w:pPr>
        <w:pStyle w:val="TOC1"/>
        <w:rPr>
          <w:rFonts w:asciiTheme="minorHAnsi" w:eastAsiaTheme="minorEastAsia" w:hAnsiTheme="minorHAnsi" w:cstheme="minorBidi"/>
          <w:noProof/>
        </w:rPr>
      </w:pPr>
      <w:r w:rsidRPr="009D3372">
        <w:rPr>
          <w:rFonts w:cs="Arial"/>
          <w:color w:val="000000"/>
        </w:rPr>
        <w:fldChar w:fldCharType="begin"/>
      </w:r>
      <w:r w:rsidRPr="009D3372">
        <w:rPr>
          <w:rFonts w:cs="Arial"/>
          <w:color w:val="000000"/>
        </w:rPr>
        <w:instrText xml:space="preserve"> TOC \b SectionTwo \* MERGEFORMAT </w:instrText>
      </w:r>
      <w:r w:rsidRPr="009D3372">
        <w:rPr>
          <w:rFonts w:cs="Arial"/>
          <w:color w:val="000000"/>
        </w:rPr>
        <w:fldChar w:fldCharType="separate"/>
      </w:r>
      <w:r w:rsidR="00865B54" w:rsidRPr="00C20CC6">
        <w:rPr>
          <w:rFonts w:cs="Arial"/>
          <w:noProof/>
        </w:rPr>
        <w:t>1.</w:t>
      </w:r>
      <w:r w:rsidR="00865B54">
        <w:rPr>
          <w:rFonts w:asciiTheme="minorHAnsi" w:eastAsiaTheme="minorEastAsia" w:hAnsiTheme="minorHAnsi" w:cstheme="minorBidi"/>
          <w:noProof/>
        </w:rPr>
        <w:tab/>
      </w:r>
      <w:r w:rsidR="00865B54" w:rsidRPr="00C20CC6">
        <w:rPr>
          <w:rFonts w:cs="Arial"/>
          <w:noProof/>
        </w:rPr>
        <w:t>Preamble</w:t>
      </w:r>
      <w:r w:rsidR="00865B54">
        <w:rPr>
          <w:noProof/>
        </w:rPr>
        <w:tab/>
      </w:r>
      <w:r w:rsidR="00865B54">
        <w:rPr>
          <w:noProof/>
        </w:rPr>
        <w:fldChar w:fldCharType="begin"/>
      </w:r>
      <w:r w:rsidR="00865B54">
        <w:rPr>
          <w:noProof/>
        </w:rPr>
        <w:instrText xml:space="preserve"> PAGEREF _Toc500501838 \h </w:instrText>
      </w:r>
      <w:r w:rsidR="00865B54">
        <w:rPr>
          <w:noProof/>
        </w:rPr>
      </w:r>
      <w:r w:rsidR="00865B54">
        <w:rPr>
          <w:noProof/>
        </w:rPr>
        <w:fldChar w:fldCharType="separate"/>
      </w:r>
      <w:r w:rsidR="00865B54">
        <w:rPr>
          <w:noProof/>
        </w:rPr>
        <w:t>3</w:t>
      </w:r>
      <w:r w:rsidR="00865B54">
        <w:rPr>
          <w:noProof/>
        </w:rPr>
        <w:fldChar w:fldCharType="end"/>
      </w:r>
    </w:p>
    <w:p w14:paraId="00769FB0" w14:textId="77777777" w:rsidR="00865B54" w:rsidRDefault="00865B54">
      <w:pPr>
        <w:pStyle w:val="TOC1"/>
        <w:rPr>
          <w:rFonts w:asciiTheme="minorHAnsi" w:eastAsiaTheme="minorEastAsia" w:hAnsiTheme="minorHAnsi" w:cstheme="minorBidi"/>
          <w:noProof/>
        </w:rPr>
      </w:pPr>
      <w:r w:rsidRPr="00C20CC6">
        <w:rPr>
          <w:rFonts w:cs="Arial"/>
          <w:noProof/>
        </w:rPr>
        <w:t>2.</w:t>
      </w:r>
      <w:r>
        <w:rPr>
          <w:rFonts w:asciiTheme="minorHAnsi" w:eastAsiaTheme="minorEastAsia" w:hAnsiTheme="minorHAnsi" w:cstheme="minorBidi"/>
          <w:noProof/>
        </w:rPr>
        <w:tab/>
      </w:r>
      <w:r w:rsidRPr="00C20CC6">
        <w:rPr>
          <w:rFonts w:cs="Arial"/>
          <w:noProof/>
        </w:rPr>
        <w:t>Background</w:t>
      </w:r>
      <w:r>
        <w:rPr>
          <w:noProof/>
        </w:rPr>
        <w:tab/>
      </w:r>
      <w:r>
        <w:rPr>
          <w:noProof/>
        </w:rPr>
        <w:fldChar w:fldCharType="begin"/>
      </w:r>
      <w:r>
        <w:rPr>
          <w:noProof/>
        </w:rPr>
        <w:instrText xml:space="preserve"> PAGEREF _Toc500501839 \h </w:instrText>
      </w:r>
      <w:r>
        <w:rPr>
          <w:noProof/>
        </w:rPr>
      </w:r>
      <w:r>
        <w:rPr>
          <w:noProof/>
        </w:rPr>
        <w:fldChar w:fldCharType="separate"/>
      </w:r>
      <w:r>
        <w:rPr>
          <w:noProof/>
        </w:rPr>
        <w:t>3</w:t>
      </w:r>
      <w:r>
        <w:rPr>
          <w:noProof/>
        </w:rPr>
        <w:fldChar w:fldCharType="end"/>
      </w:r>
    </w:p>
    <w:p w14:paraId="61D8C39B" w14:textId="77777777" w:rsidR="00865B54" w:rsidRDefault="00865B54">
      <w:pPr>
        <w:pStyle w:val="TOC1"/>
        <w:rPr>
          <w:rFonts w:asciiTheme="minorHAnsi" w:eastAsiaTheme="minorEastAsia" w:hAnsiTheme="minorHAnsi" w:cstheme="minorBidi"/>
          <w:noProof/>
        </w:rPr>
      </w:pPr>
      <w:r w:rsidRPr="00C20CC6">
        <w:rPr>
          <w:rFonts w:cs="Arial"/>
          <w:noProof/>
        </w:rPr>
        <w:t>3.</w:t>
      </w:r>
      <w:r>
        <w:rPr>
          <w:rFonts w:asciiTheme="minorHAnsi" w:eastAsiaTheme="minorEastAsia" w:hAnsiTheme="minorHAnsi" w:cstheme="minorBidi"/>
          <w:noProof/>
        </w:rPr>
        <w:tab/>
      </w:r>
      <w:r w:rsidRPr="00C20CC6">
        <w:rPr>
          <w:rFonts w:cs="Arial"/>
          <w:noProof/>
        </w:rPr>
        <w:t>Aims of the project</w:t>
      </w:r>
      <w:r>
        <w:rPr>
          <w:noProof/>
        </w:rPr>
        <w:tab/>
      </w:r>
      <w:r>
        <w:rPr>
          <w:noProof/>
        </w:rPr>
        <w:fldChar w:fldCharType="begin"/>
      </w:r>
      <w:r>
        <w:rPr>
          <w:noProof/>
        </w:rPr>
        <w:instrText xml:space="preserve"> PAGEREF _Toc500501840 \h </w:instrText>
      </w:r>
      <w:r>
        <w:rPr>
          <w:noProof/>
        </w:rPr>
      </w:r>
      <w:r>
        <w:rPr>
          <w:noProof/>
        </w:rPr>
        <w:fldChar w:fldCharType="separate"/>
      </w:r>
      <w:r>
        <w:rPr>
          <w:noProof/>
        </w:rPr>
        <w:t>5</w:t>
      </w:r>
      <w:r>
        <w:rPr>
          <w:noProof/>
        </w:rPr>
        <w:fldChar w:fldCharType="end"/>
      </w:r>
    </w:p>
    <w:p w14:paraId="53D4F2A4" w14:textId="77777777" w:rsidR="00865B54" w:rsidRDefault="00865B54">
      <w:pPr>
        <w:pStyle w:val="TOC1"/>
        <w:rPr>
          <w:rFonts w:asciiTheme="minorHAnsi" w:eastAsiaTheme="minorEastAsia" w:hAnsiTheme="minorHAnsi" w:cstheme="minorBidi"/>
          <w:noProof/>
        </w:rPr>
      </w:pPr>
      <w:r w:rsidRPr="00C20CC6">
        <w:rPr>
          <w:rFonts w:cs="Arial"/>
          <w:noProof/>
        </w:rPr>
        <w:t>4</w:t>
      </w:r>
      <w:r>
        <w:rPr>
          <w:rFonts w:asciiTheme="minorHAnsi" w:eastAsiaTheme="minorEastAsia" w:hAnsiTheme="minorHAnsi" w:cstheme="minorBidi"/>
          <w:noProof/>
        </w:rPr>
        <w:tab/>
      </w:r>
      <w:r w:rsidRPr="00C20CC6">
        <w:rPr>
          <w:rFonts w:cs="Arial"/>
          <w:noProof/>
        </w:rPr>
        <w:t>Description of work for consultants</w:t>
      </w:r>
      <w:r>
        <w:rPr>
          <w:noProof/>
        </w:rPr>
        <w:tab/>
      </w:r>
      <w:r>
        <w:rPr>
          <w:noProof/>
        </w:rPr>
        <w:fldChar w:fldCharType="begin"/>
      </w:r>
      <w:r>
        <w:rPr>
          <w:noProof/>
        </w:rPr>
        <w:instrText xml:space="preserve"> PAGEREF _Toc500501841 \h </w:instrText>
      </w:r>
      <w:r>
        <w:rPr>
          <w:noProof/>
        </w:rPr>
      </w:r>
      <w:r>
        <w:rPr>
          <w:noProof/>
        </w:rPr>
        <w:fldChar w:fldCharType="separate"/>
      </w:r>
      <w:r>
        <w:rPr>
          <w:noProof/>
        </w:rPr>
        <w:t>6</w:t>
      </w:r>
      <w:r>
        <w:rPr>
          <w:noProof/>
        </w:rPr>
        <w:fldChar w:fldCharType="end"/>
      </w:r>
    </w:p>
    <w:p w14:paraId="2B6D6102" w14:textId="77777777" w:rsidR="00865B54" w:rsidRDefault="00865B54">
      <w:pPr>
        <w:pStyle w:val="TOC1"/>
        <w:rPr>
          <w:rFonts w:asciiTheme="minorHAnsi" w:eastAsiaTheme="minorEastAsia" w:hAnsiTheme="minorHAnsi" w:cstheme="minorBidi"/>
          <w:noProof/>
        </w:rPr>
      </w:pPr>
      <w:r w:rsidRPr="00C20CC6">
        <w:rPr>
          <w:rFonts w:cs="Arial"/>
          <w:noProof/>
        </w:rPr>
        <w:t>5</w:t>
      </w:r>
      <w:r>
        <w:rPr>
          <w:rFonts w:asciiTheme="minorHAnsi" w:eastAsiaTheme="minorEastAsia" w:hAnsiTheme="minorHAnsi" w:cstheme="minorBidi"/>
          <w:noProof/>
        </w:rPr>
        <w:tab/>
      </w:r>
      <w:r w:rsidRPr="00C20CC6">
        <w:rPr>
          <w:rFonts w:cs="Arial"/>
          <w:noProof/>
        </w:rPr>
        <w:t>Outputs Required</w:t>
      </w:r>
      <w:r>
        <w:rPr>
          <w:noProof/>
        </w:rPr>
        <w:tab/>
      </w:r>
      <w:r>
        <w:rPr>
          <w:noProof/>
        </w:rPr>
        <w:fldChar w:fldCharType="begin"/>
      </w:r>
      <w:r>
        <w:rPr>
          <w:noProof/>
        </w:rPr>
        <w:instrText xml:space="preserve"> PAGEREF _Toc500501842 \h </w:instrText>
      </w:r>
      <w:r>
        <w:rPr>
          <w:noProof/>
        </w:rPr>
      </w:r>
      <w:r>
        <w:rPr>
          <w:noProof/>
        </w:rPr>
        <w:fldChar w:fldCharType="separate"/>
      </w:r>
      <w:r>
        <w:rPr>
          <w:noProof/>
        </w:rPr>
        <w:t>12</w:t>
      </w:r>
      <w:r>
        <w:rPr>
          <w:noProof/>
        </w:rPr>
        <w:fldChar w:fldCharType="end"/>
      </w:r>
    </w:p>
    <w:p w14:paraId="1E2F64FE" w14:textId="77777777" w:rsidR="00865B54" w:rsidRDefault="00865B54">
      <w:pPr>
        <w:pStyle w:val="TOC1"/>
        <w:rPr>
          <w:rFonts w:asciiTheme="minorHAnsi" w:eastAsiaTheme="minorEastAsia" w:hAnsiTheme="minorHAnsi" w:cstheme="minorBidi"/>
          <w:noProof/>
        </w:rPr>
      </w:pPr>
      <w:r w:rsidRPr="00C20CC6">
        <w:rPr>
          <w:rFonts w:cs="Arial"/>
          <w:noProof/>
        </w:rPr>
        <w:t>6</w:t>
      </w:r>
      <w:r>
        <w:rPr>
          <w:rFonts w:asciiTheme="minorHAnsi" w:eastAsiaTheme="minorEastAsia" w:hAnsiTheme="minorHAnsi" w:cstheme="minorBidi"/>
          <w:noProof/>
        </w:rPr>
        <w:tab/>
      </w:r>
      <w:r w:rsidRPr="00C20CC6">
        <w:rPr>
          <w:rFonts w:cs="Arial"/>
          <w:noProof/>
        </w:rPr>
        <w:t>Ownership and Publication</w:t>
      </w:r>
      <w:r>
        <w:rPr>
          <w:noProof/>
        </w:rPr>
        <w:tab/>
      </w:r>
      <w:r>
        <w:rPr>
          <w:noProof/>
        </w:rPr>
        <w:fldChar w:fldCharType="begin"/>
      </w:r>
      <w:r>
        <w:rPr>
          <w:noProof/>
        </w:rPr>
        <w:instrText xml:space="preserve"> PAGEREF _Toc500501843 \h </w:instrText>
      </w:r>
      <w:r>
        <w:rPr>
          <w:noProof/>
        </w:rPr>
      </w:r>
      <w:r>
        <w:rPr>
          <w:noProof/>
        </w:rPr>
        <w:fldChar w:fldCharType="separate"/>
      </w:r>
      <w:r>
        <w:rPr>
          <w:noProof/>
        </w:rPr>
        <w:t>12</w:t>
      </w:r>
      <w:r>
        <w:rPr>
          <w:noProof/>
        </w:rPr>
        <w:fldChar w:fldCharType="end"/>
      </w:r>
    </w:p>
    <w:p w14:paraId="1B4220E5" w14:textId="77777777" w:rsidR="00865B54" w:rsidRDefault="00865B54">
      <w:pPr>
        <w:pStyle w:val="TOC1"/>
        <w:rPr>
          <w:rFonts w:asciiTheme="minorHAnsi" w:eastAsiaTheme="minorEastAsia" w:hAnsiTheme="minorHAnsi" w:cstheme="minorBidi"/>
          <w:noProof/>
        </w:rPr>
      </w:pPr>
      <w:r w:rsidRPr="00C20CC6">
        <w:rPr>
          <w:rFonts w:cs="Arial"/>
          <w:noProof/>
        </w:rPr>
        <w:t>7</w:t>
      </w:r>
      <w:r>
        <w:rPr>
          <w:rFonts w:asciiTheme="minorHAnsi" w:eastAsiaTheme="minorEastAsia" w:hAnsiTheme="minorHAnsi" w:cstheme="minorBidi"/>
          <w:noProof/>
        </w:rPr>
        <w:tab/>
      </w:r>
      <w:r w:rsidRPr="00C20CC6">
        <w:rPr>
          <w:rFonts w:cs="Arial"/>
          <w:noProof/>
        </w:rPr>
        <w:t>Quality Assurance</w:t>
      </w:r>
      <w:r>
        <w:rPr>
          <w:noProof/>
        </w:rPr>
        <w:tab/>
      </w:r>
      <w:r>
        <w:rPr>
          <w:noProof/>
        </w:rPr>
        <w:fldChar w:fldCharType="begin"/>
      </w:r>
      <w:r>
        <w:rPr>
          <w:noProof/>
        </w:rPr>
        <w:instrText xml:space="preserve"> PAGEREF _Toc500501844 \h </w:instrText>
      </w:r>
      <w:r>
        <w:rPr>
          <w:noProof/>
        </w:rPr>
      </w:r>
      <w:r>
        <w:rPr>
          <w:noProof/>
        </w:rPr>
        <w:fldChar w:fldCharType="separate"/>
      </w:r>
      <w:r>
        <w:rPr>
          <w:noProof/>
        </w:rPr>
        <w:t>12</w:t>
      </w:r>
      <w:r>
        <w:rPr>
          <w:noProof/>
        </w:rPr>
        <w:fldChar w:fldCharType="end"/>
      </w:r>
    </w:p>
    <w:p w14:paraId="52F4A2A5" w14:textId="77777777" w:rsidR="00865B54" w:rsidRDefault="00865B54">
      <w:pPr>
        <w:pStyle w:val="TOC1"/>
        <w:rPr>
          <w:rFonts w:asciiTheme="minorHAnsi" w:eastAsiaTheme="minorEastAsia" w:hAnsiTheme="minorHAnsi" w:cstheme="minorBidi"/>
          <w:noProof/>
        </w:rPr>
      </w:pPr>
      <w:r w:rsidRPr="00C20CC6">
        <w:rPr>
          <w:rFonts w:cs="Arial"/>
          <w:noProof/>
        </w:rPr>
        <w:t>8</w:t>
      </w:r>
      <w:r>
        <w:rPr>
          <w:rFonts w:asciiTheme="minorHAnsi" w:eastAsiaTheme="minorEastAsia" w:hAnsiTheme="minorHAnsi" w:cstheme="minorBidi"/>
          <w:noProof/>
        </w:rPr>
        <w:tab/>
      </w:r>
      <w:r w:rsidRPr="00C20CC6">
        <w:rPr>
          <w:rFonts w:cs="Arial"/>
          <w:noProof/>
        </w:rPr>
        <w:t>Timetable</w:t>
      </w:r>
      <w:r>
        <w:rPr>
          <w:noProof/>
        </w:rPr>
        <w:tab/>
      </w:r>
      <w:r>
        <w:rPr>
          <w:noProof/>
        </w:rPr>
        <w:fldChar w:fldCharType="begin"/>
      </w:r>
      <w:r>
        <w:rPr>
          <w:noProof/>
        </w:rPr>
        <w:instrText xml:space="preserve"> PAGEREF _Toc500501845 \h </w:instrText>
      </w:r>
      <w:r>
        <w:rPr>
          <w:noProof/>
        </w:rPr>
      </w:r>
      <w:r>
        <w:rPr>
          <w:noProof/>
        </w:rPr>
        <w:fldChar w:fldCharType="separate"/>
      </w:r>
      <w:r>
        <w:rPr>
          <w:noProof/>
        </w:rPr>
        <w:t>12</w:t>
      </w:r>
      <w:r>
        <w:rPr>
          <w:noProof/>
        </w:rPr>
        <w:fldChar w:fldCharType="end"/>
      </w:r>
    </w:p>
    <w:p w14:paraId="0E10694A" w14:textId="77777777" w:rsidR="00865B54" w:rsidRDefault="00865B54">
      <w:pPr>
        <w:pStyle w:val="TOC1"/>
        <w:rPr>
          <w:rFonts w:asciiTheme="minorHAnsi" w:eastAsiaTheme="minorEastAsia" w:hAnsiTheme="minorHAnsi" w:cstheme="minorBidi"/>
          <w:noProof/>
        </w:rPr>
      </w:pPr>
      <w:r w:rsidRPr="00C20CC6">
        <w:rPr>
          <w:rFonts w:cs="Arial"/>
          <w:noProof/>
        </w:rPr>
        <w:t>9</w:t>
      </w:r>
      <w:r>
        <w:rPr>
          <w:rFonts w:asciiTheme="minorHAnsi" w:eastAsiaTheme="minorEastAsia" w:hAnsiTheme="minorHAnsi" w:cstheme="minorBidi"/>
          <w:noProof/>
        </w:rPr>
        <w:tab/>
      </w:r>
      <w:r w:rsidRPr="00C20CC6">
        <w:rPr>
          <w:rFonts w:cs="Arial"/>
          <w:noProof/>
        </w:rPr>
        <w:t>Working Arrangements</w:t>
      </w:r>
      <w:r>
        <w:rPr>
          <w:noProof/>
        </w:rPr>
        <w:tab/>
      </w:r>
      <w:r>
        <w:rPr>
          <w:noProof/>
        </w:rPr>
        <w:fldChar w:fldCharType="begin"/>
      </w:r>
      <w:r>
        <w:rPr>
          <w:noProof/>
        </w:rPr>
        <w:instrText xml:space="preserve"> PAGEREF _Toc500501846 \h </w:instrText>
      </w:r>
      <w:r>
        <w:rPr>
          <w:noProof/>
        </w:rPr>
      </w:r>
      <w:r>
        <w:rPr>
          <w:noProof/>
        </w:rPr>
        <w:fldChar w:fldCharType="separate"/>
      </w:r>
      <w:r>
        <w:rPr>
          <w:noProof/>
        </w:rPr>
        <w:t>13</w:t>
      </w:r>
      <w:r>
        <w:rPr>
          <w:noProof/>
        </w:rPr>
        <w:fldChar w:fldCharType="end"/>
      </w:r>
    </w:p>
    <w:p w14:paraId="26A3EB17" w14:textId="77777777" w:rsidR="00865B54" w:rsidRDefault="00865B54">
      <w:pPr>
        <w:pStyle w:val="TOC1"/>
        <w:rPr>
          <w:rFonts w:asciiTheme="minorHAnsi" w:eastAsiaTheme="minorEastAsia" w:hAnsiTheme="minorHAnsi" w:cstheme="minorBidi"/>
          <w:noProof/>
        </w:rPr>
      </w:pPr>
      <w:r w:rsidRPr="00C20CC6">
        <w:rPr>
          <w:rFonts w:cs="Arial"/>
          <w:noProof/>
        </w:rPr>
        <w:t>10</w:t>
      </w:r>
      <w:r>
        <w:rPr>
          <w:rFonts w:asciiTheme="minorHAnsi" w:eastAsiaTheme="minorEastAsia" w:hAnsiTheme="minorHAnsi" w:cstheme="minorBidi"/>
          <w:noProof/>
        </w:rPr>
        <w:tab/>
      </w:r>
      <w:r w:rsidRPr="00C20CC6">
        <w:rPr>
          <w:rFonts w:cs="Arial"/>
          <w:noProof/>
        </w:rPr>
        <w:t>Skills and experience</w:t>
      </w:r>
      <w:r>
        <w:rPr>
          <w:noProof/>
        </w:rPr>
        <w:tab/>
      </w:r>
      <w:r>
        <w:rPr>
          <w:noProof/>
        </w:rPr>
        <w:fldChar w:fldCharType="begin"/>
      </w:r>
      <w:r>
        <w:rPr>
          <w:noProof/>
        </w:rPr>
        <w:instrText xml:space="preserve"> PAGEREF _Toc500501847 \h </w:instrText>
      </w:r>
      <w:r>
        <w:rPr>
          <w:noProof/>
        </w:rPr>
      </w:r>
      <w:r>
        <w:rPr>
          <w:noProof/>
        </w:rPr>
        <w:fldChar w:fldCharType="separate"/>
      </w:r>
      <w:r>
        <w:rPr>
          <w:noProof/>
        </w:rPr>
        <w:t>13</w:t>
      </w:r>
      <w:r>
        <w:rPr>
          <w:noProof/>
        </w:rPr>
        <w:fldChar w:fldCharType="end"/>
      </w:r>
    </w:p>
    <w:p w14:paraId="797E9576" w14:textId="77777777" w:rsidR="00865B54" w:rsidRDefault="00865B54">
      <w:pPr>
        <w:pStyle w:val="TOC1"/>
        <w:rPr>
          <w:rFonts w:asciiTheme="minorHAnsi" w:eastAsiaTheme="minorEastAsia" w:hAnsiTheme="minorHAnsi" w:cstheme="minorBidi"/>
          <w:noProof/>
        </w:rPr>
      </w:pPr>
      <w:r w:rsidRPr="00C20CC6">
        <w:rPr>
          <w:rFonts w:cs="Arial"/>
          <w:noProof/>
        </w:rPr>
        <w:t>11</w:t>
      </w:r>
      <w:r>
        <w:rPr>
          <w:rFonts w:asciiTheme="minorHAnsi" w:eastAsiaTheme="minorEastAsia" w:hAnsiTheme="minorHAnsi" w:cstheme="minorBidi"/>
          <w:noProof/>
        </w:rPr>
        <w:tab/>
      </w:r>
      <w:r w:rsidRPr="00C20CC6">
        <w:rPr>
          <w:rFonts w:cs="Arial"/>
          <w:noProof/>
        </w:rPr>
        <w:t>Consortium Bids</w:t>
      </w:r>
      <w:r>
        <w:rPr>
          <w:noProof/>
        </w:rPr>
        <w:tab/>
      </w:r>
      <w:r>
        <w:rPr>
          <w:noProof/>
        </w:rPr>
        <w:fldChar w:fldCharType="begin"/>
      </w:r>
      <w:r>
        <w:rPr>
          <w:noProof/>
        </w:rPr>
        <w:instrText xml:space="preserve"> PAGEREF _Toc500501848 \h </w:instrText>
      </w:r>
      <w:r>
        <w:rPr>
          <w:noProof/>
        </w:rPr>
      </w:r>
      <w:r>
        <w:rPr>
          <w:noProof/>
        </w:rPr>
        <w:fldChar w:fldCharType="separate"/>
      </w:r>
      <w:r>
        <w:rPr>
          <w:noProof/>
        </w:rPr>
        <w:t>14</w:t>
      </w:r>
      <w:r>
        <w:rPr>
          <w:noProof/>
        </w:rPr>
        <w:fldChar w:fldCharType="end"/>
      </w:r>
    </w:p>
    <w:p w14:paraId="0838D458" w14:textId="77777777" w:rsidR="00865B54" w:rsidRDefault="00865B54">
      <w:pPr>
        <w:pStyle w:val="TOC1"/>
        <w:rPr>
          <w:rFonts w:asciiTheme="minorHAnsi" w:eastAsiaTheme="minorEastAsia" w:hAnsiTheme="minorHAnsi" w:cstheme="minorBidi"/>
          <w:noProof/>
        </w:rPr>
      </w:pPr>
      <w:r w:rsidRPr="00C20CC6">
        <w:rPr>
          <w:rFonts w:cs="Arial"/>
          <w:noProof/>
        </w:rPr>
        <w:t>12</w:t>
      </w:r>
      <w:r>
        <w:rPr>
          <w:rFonts w:asciiTheme="minorHAnsi" w:eastAsiaTheme="minorEastAsia" w:hAnsiTheme="minorHAnsi" w:cstheme="minorBidi"/>
          <w:noProof/>
        </w:rPr>
        <w:tab/>
      </w:r>
      <w:r w:rsidRPr="00C20CC6">
        <w:rPr>
          <w:rFonts w:cs="Arial"/>
          <w:noProof/>
        </w:rPr>
        <w:t>Budget</w:t>
      </w:r>
      <w:r>
        <w:rPr>
          <w:noProof/>
        </w:rPr>
        <w:tab/>
      </w:r>
      <w:r>
        <w:rPr>
          <w:noProof/>
        </w:rPr>
        <w:fldChar w:fldCharType="begin"/>
      </w:r>
      <w:r>
        <w:rPr>
          <w:noProof/>
        </w:rPr>
        <w:instrText xml:space="preserve"> PAGEREF _Toc500501849 \h </w:instrText>
      </w:r>
      <w:r>
        <w:rPr>
          <w:noProof/>
        </w:rPr>
      </w:r>
      <w:r>
        <w:rPr>
          <w:noProof/>
        </w:rPr>
        <w:fldChar w:fldCharType="separate"/>
      </w:r>
      <w:r>
        <w:rPr>
          <w:noProof/>
        </w:rPr>
        <w:t>14</w:t>
      </w:r>
      <w:r>
        <w:rPr>
          <w:noProof/>
        </w:rPr>
        <w:fldChar w:fldCharType="end"/>
      </w:r>
    </w:p>
    <w:p w14:paraId="0736ECD8" w14:textId="77777777" w:rsidR="00865B54" w:rsidRDefault="00865B54">
      <w:pPr>
        <w:pStyle w:val="TOC1"/>
        <w:rPr>
          <w:rFonts w:asciiTheme="minorHAnsi" w:eastAsiaTheme="minorEastAsia" w:hAnsiTheme="minorHAnsi" w:cstheme="minorBidi"/>
          <w:noProof/>
        </w:rPr>
      </w:pPr>
      <w:r w:rsidRPr="00C20CC6">
        <w:rPr>
          <w:rFonts w:cs="Arial"/>
          <w:noProof/>
        </w:rPr>
        <w:t>13</w:t>
      </w:r>
      <w:r>
        <w:rPr>
          <w:rFonts w:asciiTheme="minorHAnsi" w:eastAsiaTheme="minorEastAsia" w:hAnsiTheme="minorHAnsi" w:cstheme="minorBidi"/>
          <w:noProof/>
        </w:rPr>
        <w:tab/>
      </w:r>
      <w:r w:rsidRPr="00C20CC6">
        <w:rPr>
          <w:rFonts w:cs="Arial"/>
          <w:noProof/>
        </w:rPr>
        <w:t>Evaluation of Tenders</w:t>
      </w:r>
      <w:r>
        <w:rPr>
          <w:noProof/>
        </w:rPr>
        <w:tab/>
      </w:r>
      <w:r>
        <w:rPr>
          <w:noProof/>
        </w:rPr>
        <w:fldChar w:fldCharType="begin"/>
      </w:r>
      <w:r>
        <w:rPr>
          <w:noProof/>
        </w:rPr>
        <w:instrText xml:space="preserve"> PAGEREF _Toc500501850 \h </w:instrText>
      </w:r>
      <w:r>
        <w:rPr>
          <w:noProof/>
        </w:rPr>
      </w:r>
      <w:r>
        <w:rPr>
          <w:noProof/>
        </w:rPr>
        <w:fldChar w:fldCharType="separate"/>
      </w:r>
      <w:r>
        <w:rPr>
          <w:noProof/>
        </w:rPr>
        <w:t>15</w:t>
      </w:r>
      <w:r>
        <w:rPr>
          <w:noProof/>
        </w:rPr>
        <w:fldChar w:fldCharType="end"/>
      </w:r>
    </w:p>
    <w:p w14:paraId="677D5F6C" w14:textId="7B66C2CE" w:rsidR="00865B54" w:rsidRDefault="00865B54" w:rsidP="00865B54">
      <w:pPr>
        <w:pStyle w:val="TOC4"/>
        <w:tabs>
          <w:tab w:val="right" w:leader="dot" w:pos="9016"/>
        </w:tabs>
        <w:ind w:left="0"/>
        <w:rPr>
          <w:rFonts w:asciiTheme="minorHAnsi" w:eastAsiaTheme="minorEastAsia" w:hAnsiTheme="minorHAnsi" w:cstheme="minorBidi"/>
          <w:noProof/>
          <w:sz w:val="22"/>
          <w:szCs w:val="22"/>
        </w:rPr>
      </w:pPr>
    </w:p>
    <w:p w14:paraId="5EA87550" w14:textId="77777777" w:rsidR="00630A46" w:rsidRPr="009D3372" w:rsidRDefault="000744BD" w:rsidP="00014519">
      <w:pPr>
        <w:pStyle w:val="Numbered"/>
        <w:widowControl/>
        <w:rPr>
          <w:rFonts w:cs="Arial"/>
          <w:color w:val="000000"/>
        </w:rPr>
      </w:pPr>
      <w:r w:rsidRPr="009D3372">
        <w:rPr>
          <w:rFonts w:cs="Arial"/>
          <w:color w:val="000000"/>
        </w:rPr>
        <w:fldChar w:fldCharType="end"/>
      </w:r>
      <w:r w:rsidR="00014519" w:rsidRPr="009D3372">
        <w:rPr>
          <w:rFonts w:cs="Arial"/>
          <w:color w:val="000000"/>
        </w:rPr>
        <w:tab/>
      </w:r>
      <w:r w:rsidR="00014519" w:rsidRPr="009D3372">
        <w:rPr>
          <w:rFonts w:cs="Arial"/>
          <w:color w:val="000000"/>
        </w:rPr>
        <w:tab/>
      </w:r>
    </w:p>
    <w:p w14:paraId="5EA87551" w14:textId="77777777" w:rsidR="00980288" w:rsidRPr="009D3372" w:rsidRDefault="00980288" w:rsidP="00842A67">
      <w:pPr>
        <w:pStyle w:val="Numbered"/>
        <w:widowControl/>
        <w:rPr>
          <w:rFonts w:cs="Arial"/>
          <w:bCs/>
        </w:rPr>
      </w:pPr>
      <w:r w:rsidRPr="009D3372">
        <w:rPr>
          <w:rFonts w:cs="Arial"/>
          <w:bCs/>
        </w:rPr>
        <w:tab/>
      </w:r>
    </w:p>
    <w:p w14:paraId="5EA87552" w14:textId="77777777" w:rsidR="00F80A85" w:rsidRPr="009D3372" w:rsidRDefault="00B546EF" w:rsidP="00842A67">
      <w:pPr>
        <w:pStyle w:val="Numbered"/>
        <w:widowControl/>
        <w:rPr>
          <w:rFonts w:cs="Arial"/>
          <w:bCs/>
          <w:color w:val="222222"/>
        </w:rPr>
      </w:pPr>
      <w:r w:rsidRPr="009D3372">
        <w:rPr>
          <w:rFonts w:cs="Arial"/>
          <w:bCs/>
          <w:color w:val="222222"/>
        </w:rPr>
        <w:tab/>
      </w:r>
    </w:p>
    <w:p w14:paraId="5EA87553" w14:textId="77777777" w:rsidR="00842A67" w:rsidRPr="009D3372" w:rsidRDefault="00842A67" w:rsidP="00842A67">
      <w:pPr>
        <w:pStyle w:val="Numbered"/>
        <w:widowControl/>
        <w:rPr>
          <w:rFonts w:cs="Arial"/>
          <w:bCs/>
          <w:color w:val="222222"/>
        </w:rPr>
      </w:pPr>
    </w:p>
    <w:p w14:paraId="5EA87554" w14:textId="77777777" w:rsidR="00016416" w:rsidRPr="009D3372" w:rsidRDefault="00096B2D" w:rsidP="00842A67">
      <w:pPr>
        <w:pStyle w:val="Numbered"/>
        <w:widowControl/>
        <w:rPr>
          <w:rFonts w:cs="Arial"/>
          <w:b/>
          <w:bCs/>
          <w:color w:val="222222"/>
        </w:rPr>
      </w:pPr>
      <w:r w:rsidRPr="009D3372">
        <w:rPr>
          <w:rFonts w:cs="Arial"/>
          <w:b/>
          <w:bCs/>
          <w:color w:val="222222"/>
        </w:rPr>
        <w:tab/>
      </w:r>
      <w:r w:rsidRPr="009D3372">
        <w:rPr>
          <w:rFonts w:cs="Arial"/>
          <w:b/>
          <w:bCs/>
          <w:color w:val="222222"/>
        </w:rPr>
        <w:tab/>
      </w:r>
      <w:r w:rsidRPr="009D3372">
        <w:rPr>
          <w:rFonts w:cs="Arial"/>
          <w:b/>
          <w:bCs/>
          <w:color w:val="222222"/>
        </w:rPr>
        <w:tab/>
      </w:r>
    </w:p>
    <w:p w14:paraId="5EA87555" w14:textId="77777777" w:rsidR="00123880" w:rsidRPr="009D3372" w:rsidRDefault="00FF13A1" w:rsidP="00BB6317">
      <w:pPr>
        <w:pStyle w:val="Norma1"/>
        <w:shd w:val="clear" w:color="auto" w:fill="FFFFFF"/>
        <w:spacing w:line="312" w:lineRule="atLeast"/>
        <w:rPr>
          <w:rFonts w:cs="Arial"/>
          <w:b/>
          <w:bCs/>
        </w:rPr>
      </w:pPr>
      <w:r w:rsidRPr="009D3372">
        <w:rPr>
          <w:rFonts w:cs="Arial"/>
          <w:b/>
          <w:bCs/>
        </w:rPr>
        <w:tab/>
      </w:r>
    </w:p>
    <w:p w14:paraId="5EA87556" w14:textId="1326C86A" w:rsidR="00FE1227" w:rsidRPr="009D3372" w:rsidRDefault="00EB43D8" w:rsidP="00AD4A29">
      <w:pPr>
        <w:pStyle w:val="Heading1"/>
        <w:numPr>
          <w:ilvl w:val="0"/>
          <w:numId w:val="1"/>
        </w:numPr>
        <w:rPr>
          <w:rFonts w:ascii="Arial" w:hAnsi="Arial" w:cs="Arial"/>
          <w:sz w:val="22"/>
          <w:szCs w:val="22"/>
        </w:rPr>
      </w:pPr>
      <w:r w:rsidRPr="009D3372">
        <w:rPr>
          <w:rFonts w:ascii="Arial" w:hAnsi="Arial" w:cs="Arial"/>
          <w:sz w:val="22"/>
          <w:szCs w:val="22"/>
        </w:rPr>
        <w:br w:type="page"/>
      </w:r>
      <w:bookmarkStart w:id="3" w:name="_Toc500501838"/>
      <w:bookmarkStart w:id="4" w:name="SectionTwo"/>
      <w:r w:rsidR="00DD521A" w:rsidRPr="009D3372">
        <w:rPr>
          <w:rFonts w:ascii="Arial" w:hAnsi="Arial" w:cs="Arial"/>
          <w:sz w:val="22"/>
          <w:szCs w:val="22"/>
        </w:rPr>
        <w:lastRenderedPageBreak/>
        <w:t>Preamble</w:t>
      </w:r>
      <w:bookmarkEnd w:id="3"/>
    </w:p>
    <w:p w14:paraId="2B4F7458" w14:textId="77777777" w:rsidR="00DD521A" w:rsidRPr="009D3372" w:rsidRDefault="00DD521A" w:rsidP="00DD521A">
      <w:pPr>
        <w:pStyle w:val="Norma1"/>
        <w:rPr>
          <w:rFonts w:cs="Arial"/>
        </w:rPr>
      </w:pPr>
    </w:p>
    <w:p w14:paraId="3E9BB7E2" w14:textId="7507FBE0" w:rsidR="009D3372" w:rsidRPr="009D3372" w:rsidRDefault="009D3372" w:rsidP="009D3372">
      <w:pPr>
        <w:pStyle w:val="BodyText"/>
        <w:spacing w:line="276" w:lineRule="auto"/>
        <w:jc w:val="left"/>
        <w:rPr>
          <w:rFonts w:ascii="Arial" w:hAnsi="Arial" w:cs="Arial"/>
          <w:bCs/>
          <w:sz w:val="22"/>
          <w:szCs w:val="22"/>
        </w:rPr>
      </w:pPr>
      <w:r w:rsidRPr="009D3372">
        <w:rPr>
          <w:rFonts w:ascii="Arial" w:hAnsi="Arial" w:cs="Arial"/>
          <w:bCs/>
          <w:sz w:val="22"/>
          <w:szCs w:val="22"/>
        </w:rPr>
        <w:t xml:space="preserve">The Committee on Climate Change (CCC) was set up as part of the Climate Change Act. </w:t>
      </w:r>
      <w:r w:rsidR="00040977">
        <w:rPr>
          <w:rFonts w:ascii="Arial" w:hAnsi="Arial" w:cs="Arial"/>
          <w:bCs/>
          <w:sz w:val="22"/>
          <w:szCs w:val="22"/>
        </w:rPr>
        <w:t xml:space="preserve">The </w:t>
      </w:r>
      <w:r w:rsidRPr="009D3372">
        <w:rPr>
          <w:rFonts w:ascii="Arial" w:hAnsi="Arial" w:cs="Arial"/>
          <w:bCs/>
          <w:sz w:val="22"/>
          <w:szCs w:val="22"/>
        </w:rPr>
        <w:t xml:space="preserve">CCC is an independent body tasked with providing advice to Government on climate change issues, and particularly the setting of carbon budgets, and the monitoring of progress towards meeting those budgets. </w:t>
      </w:r>
      <w:r w:rsidR="00040977">
        <w:rPr>
          <w:rFonts w:ascii="Arial" w:hAnsi="Arial" w:cs="Arial"/>
          <w:bCs/>
          <w:sz w:val="22"/>
          <w:szCs w:val="22"/>
        </w:rPr>
        <w:t xml:space="preserve">The </w:t>
      </w:r>
      <w:r w:rsidRPr="009D3372">
        <w:rPr>
          <w:rFonts w:ascii="Arial" w:hAnsi="Arial" w:cs="Arial"/>
          <w:bCs/>
          <w:sz w:val="22"/>
          <w:szCs w:val="22"/>
        </w:rPr>
        <w:t xml:space="preserve">CCC’s past reports are available here: </w:t>
      </w:r>
      <w:hyperlink r:id="rId11" w:history="1">
        <w:r w:rsidRPr="009D3372">
          <w:rPr>
            <w:rStyle w:val="Hyperlink"/>
            <w:rFonts w:ascii="Arial" w:hAnsi="Arial" w:cs="Arial"/>
            <w:bCs/>
            <w:sz w:val="22"/>
            <w:szCs w:val="22"/>
          </w:rPr>
          <w:t>http://www.theccc.org.uk/reports/</w:t>
        </w:r>
      </w:hyperlink>
      <w:r w:rsidRPr="009D3372">
        <w:rPr>
          <w:rFonts w:ascii="Arial" w:hAnsi="Arial" w:cs="Arial"/>
          <w:bCs/>
          <w:sz w:val="22"/>
          <w:szCs w:val="22"/>
        </w:rPr>
        <w:t>.</w:t>
      </w:r>
    </w:p>
    <w:p w14:paraId="75A69FB4" w14:textId="77777777" w:rsidR="00777070" w:rsidRPr="009D3372" w:rsidRDefault="00777070" w:rsidP="00622E6B">
      <w:pPr>
        <w:pStyle w:val="Norma1"/>
        <w:rPr>
          <w:rFonts w:cs="Arial"/>
        </w:rPr>
      </w:pPr>
    </w:p>
    <w:p w14:paraId="2EE9FC33" w14:textId="716D5306" w:rsidR="00373B01" w:rsidRPr="009D3372" w:rsidRDefault="00373B01" w:rsidP="0057214F">
      <w:pPr>
        <w:pStyle w:val="Heading1"/>
        <w:numPr>
          <w:ilvl w:val="0"/>
          <w:numId w:val="1"/>
        </w:numPr>
        <w:rPr>
          <w:rFonts w:ascii="Arial" w:hAnsi="Arial" w:cs="Arial"/>
          <w:sz w:val="22"/>
          <w:szCs w:val="22"/>
        </w:rPr>
      </w:pPr>
      <w:bookmarkStart w:id="5" w:name="_Ref357535668"/>
      <w:bookmarkStart w:id="6" w:name="_Toc381969507"/>
      <w:bookmarkStart w:id="7" w:name="_Toc405888456"/>
      <w:bookmarkStart w:id="8" w:name="_Toc500501839"/>
      <w:r w:rsidRPr="009D3372">
        <w:rPr>
          <w:rFonts w:ascii="Arial" w:hAnsi="Arial" w:cs="Arial"/>
          <w:sz w:val="22"/>
          <w:szCs w:val="22"/>
        </w:rPr>
        <w:t>Background</w:t>
      </w:r>
    </w:p>
    <w:bookmarkEnd w:id="5"/>
    <w:bookmarkEnd w:id="6"/>
    <w:bookmarkEnd w:id="7"/>
    <w:bookmarkEnd w:id="8"/>
    <w:p w14:paraId="5EA87559" w14:textId="77777777" w:rsidR="009C2990" w:rsidRDefault="009C2990" w:rsidP="009C2990">
      <w:pPr>
        <w:pStyle w:val="Norma1"/>
        <w:rPr>
          <w:rFonts w:cs="Arial"/>
          <w:b/>
          <w:color w:val="C00000"/>
        </w:rPr>
      </w:pPr>
    </w:p>
    <w:p w14:paraId="49B0E03D" w14:textId="59748886" w:rsidR="00C007D3" w:rsidRPr="003F57D7" w:rsidRDefault="00C007D3" w:rsidP="00C007D3">
      <w:pPr>
        <w:pStyle w:val="NormalWeb"/>
        <w:spacing w:before="0" w:beforeAutospacing="0" w:after="0" w:afterAutospacing="0" w:line="276" w:lineRule="auto"/>
        <w:rPr>
          <w:rFonts w:ascii="Arial" w:hAnsi="Arial" w:cs="Arial"/>
          <w:color w:val="000000"/>
          <w:sz w:val="22"/>
          <w:szCs w:val="22"/>
        </w:rPr>
      </w:pPr>
      <w:r w:rsidRPr="003F57D7">
        <w:rPr>
          <w:rFonts w:ascii="Arial" w:hAnsi="Arial" w:cs="Arial"/>
          <w:color w:val="000000"/>
          <w:sz w:val="22"/>
          <w:szCs w:val="22"/>
        </w:rPr>
        <w:t xml:space="preserve">In 2011 the </w:t>
      </w:r>
      <w:r>
        <w:rPr>
          <w:rFonts w:ascii="Arial" w:hAnsi="Arial" w:cs="Arial"/>
          <w:color w:val="000000"/>
          <w:sz w:val="22"/>
          <w:szCs w:val="22"/>
        </w:rPr>
        <w:t xml:space="preserve">CCC published </w:t>
      </w:r>
      <w:r w:rsidR="00A418A3">
        <w:rPr>
          <w:rFonts w:ascii="Arial" w:hAnsi="Arial" w:cs="Arial"/>
          <w:color w:val="000000"/>
          <w:sz w:val="22"/>
          <w:szCs w:val="22"/>
        </w:rPr>
        <w:t>t</w:t>
      </w:r>
      <w:r w:rsidRPr="00A418A3">
        <w:rPr>
          <w:rFonts w:ascii="Arial" w:hAnsi="Arial" w:cs="Arial"/>
          <w:color w:val="000000"/>
          <w:sz w:val="22"/>
          <w:szCs w:val="22"/>
        </w:rPr>
        <w:t xml:space="preserve">he </w:t>
      </w:r>
      <w:r w:rsidRPr="00A418A3">
        <w:rPr>
          <w:rFonts w:ascii="Arial" w:hAnsi="Arial" w:cs="Arial"/>
          <w:i/>
          <w:color w:val="000000"/>
          <w:sz w:val="22"/>
          <w:szCs w:val="22"/>
        </w:rPr>
        <w:t>Bioenergy Review</w:t>
      </w:r>
      <w:r w:rsidRPr="003F57D7">
        <w:rPr>
          <w:rFonts w:ascii="Arial" w:hAnsi="Arial" w:cs="Arial"/>
          <w:color w:val="000000"/>
          <w:sz w:val="22"/>
          <w:szCs w:val="22"/>
        </w:rPr>
        <w:t xml:space="preserve"> to provide an assessment of the potential role of bioenergy in meeting the UK's carbon budgets.</w:t>
      </w:r>
      <w:r>
        <w:rPr>
          <w:rStyle w:val="FootnoteReference"/>
          <w:rFonts w:ascii="Arial" w:hAnsi="Arial" w:cs="Arial"/>
          <w:color w:val="000000"/>
          <w:sz w:val="22"/>
          <w:szCs w:val="22"/>
        </w:rPr>
        <w:footnoteReference w:id="1"/>
      </w:r>
      <w:r w:rsidRPr="003F57D7">
        <w:rPr>
          <w:rFonts w:ascii="Arial" w:hAnsi="Arial" w:cs="Arial"/>
          <w:color w:val="000000"/>
          <w:sz w:val="22"/>
          <w:szCs w:val="22"/>
        </w:rPr>
        <w:t xml:space="preserve"> The Bioenergy Review drew on the best available </w:t>
      </w:r>
      <w:r>
        <w:rPr>
          <w:rFonts w:ascii="Arial" w:hAnsi="Arial" w:cs="Arial"/>
          <w:color w:val="000000"/>
          <w:sz w:val="22"/>
          <w:szCs w:val="22"/>
        </w:rPr>
        <w:t xml:space="preserve">evidence to address </w:t>
      </w:r>
      <w:r w:rsidRPr="003F57D7">
        <w:rPr>
          <w:rFonts w:ascii="Arial" w:hAnsi="Arial" w:cs="Arial"/>
          <w:color w:val="000000"/>
          <w:sz w:val="22"/>
          <w:szCs w:val="22"/>
        </w:rPr>
        <w:t>questions relating to the sustainability of bioenergy, lifecycle emissions, resource availability and best-use across the economy. It highlighted the importance of bioenergy for meeting the UK's climate change targets and made recommendations for tightening the sustainability standards for bioenergy resources</w:t>
      </w:r>
      <w:r w:rsidR="00A418A3">
        <w:rPr>
          <w:rFonts w:ascii="Arial" w:hAnsi="Arial" w:cs="Arial"/>
          <w:color w:val="000000"/>
          <w:sz w:val="22"/>
          <w:szCs w:val="22"/>
        </w:rPr>
        <w:t>.</w:t>
      </w:r>
    </w:p>
    <w:p w14:paraId="219752E9" w14:textId="77777777" w:rsidR="00C007D3" w:rsidRPr="003F57D7" w:rsidRDefault="00C007D3" w:rsidP="00C007D3">
      <w:pPr>
        <w:pStyle w:val="NormalWeb"/>
        <w:spacing w:before="0" w:beforeAutospacing="0" w:after="0" w:afterAutospacing="0" w:line="276" w:lineRule="auto"/>
        <w:rPr>
          <w:rFonts w:ascii="Arial" w:hAnsi="Arial" w:cs="Arial"/>
          <w:color w:val="000000"/>
          <w:sz w:val="22"/>
          <w:szCs w:val="22"/>
        </w:rPr>
      </w:pPr>
      <w:r w:rsidRPr="003F57D7">
        <w:rPr>
          <w:rFonts w:ascii="Arial" w:hAnsi="Arial" w:cs="Arial"/>
          <w:color w:val="000000"/>
          <w:sz w:val="22"/>
          <w:szCs w:val="22"/>
        </w:rPr>
        <w:t> </w:t>
      </w:r>
    </w:p>
    <w:p w14:paraId="45548AD0" w14:textId="77777777" w:rsidR="00C007D3" w:rsidRPr="003F57D7" w:rsidRDefault="00C007D3" w:rsidP="00C007D3">
      <w:pPr>
        <w:pStyle w:val="NormalWeb"/>
        <w:spacing w:before="0" w:beforeAutospacing="0" w:after="0" w:afterAutospacing="0" w:line="276" w:lineRule="auto"/>
        <w:rPr>
          <w:rFonts w:ascii="Arial" w:hAnsi="Arial" w:cs="Arial"/>
          <w:color w:val="000000"/>
          <w:sz w:val="22"/>
          <w:szCs w:val="22"/>
        </w:rPr>
      </w:pPr>
      <w:r w:rsidRPr="003F57D7">
        <w:rPr>
          <w:rFonts w:ascii="Arial" w:hAnsi="Arial" w:cs="Arial"/>
          <w:color w:val="000000"/>
          <w:sz w:val="22"/>
          <w:szCs w:val="22"/>
        </w:rPr>
        <w:lastRenderedPageBreak/>
        <w:t>The CCC is now planning to update its work on bioenergy, culminating in a new Bioenergy Review to be pub</w:t>
      </w:r>
      <w:r>
        <w:rPr>
          <w:rFonts w:ascii="Arial" w:hAnsi="Arial" w:cs="Arial"/>
          <w:color w:val="000000"/>
          <w:sz w:val="22"/>
          <w:szCs w:val="22"/>
        </w:rPr>
        <w:t xml:space="preserve">lished in Autumn 2018. This </w:t>
      </w:r>
      <w:r w:rsidRPr="003F57D7">
        <w:rPr>
          <w:rFonts w:ascii="Arial" w:hAnsi="Arial" w:cs="Arial"/>
          <w:color w:val="000000"/>
          <w:sz w:val="22"/>
          <w:szCs w:val="22"/>
        </w:rPr>
        <w:t>review will consider the latest evidence and include new analysis to provide an updated view on the role of bioenergy in decarbonising the UK economy through to 2050. Key themes to be explored include sustainability and certification, GHG emissions accounting, developing sustainable supply, non-energy uses of bioenergy resources, and transitions to future best-uses of bioenergy resources.</w:t>
      </w:r>
      <w:r>
        <w:rPr>
          <w:rFonts w:ascii="Arial" w:hAnsi="Arial" w:cs="Arial"/>
          <w:color w:val="000000"/>
          <w:sz w:val="22"/>
          <w:szCs w:val="22"/>
        </w:rPr>
        <w:t xml:space="preserve"> The CCC aims to</w:t>
      </w:r>
      <w:r w:rsidRPr="003F57D7">
        <w:rPr>
          <w:rFonts w:ascii="Arial" w:hAnsi="Arial" w:cs="Arial"/>
          <w:color w:val="000000"/>
          <w:sz w:val="22"/>
          <w:szCs w:val="22"/>
        </w:rPr>
        <w:t xml:space="preserve"> identify recommendations for further acti</w:t>
      </w:r>
      <w:r>
        <w:rPr>
          <w:rFonts w:ascii="Arial" w:hAnsi="Arial" w:cs="Arial"/>
          <w:color w:val="000000"/>
          <w:sz w:val="22"/>
          <w:szCs w:val="22"/>
        </w:rPr>
        <w:t xml:space="preserve">on where appropriate and </w:t>
      </w:r>
      <w:r w:rsidRPr="003F57D7">
        <w:rPr>
          <w:rFonts w:ascii="Arial" w:hAnsi="Arial" w:cs="Arial"/>
          <w:color w:val="000000"/>
          <w:sz w:val="22"/>
          <w:szCs w:val="22"/>
        </w:rPr>
        <w:t>develop indicators to allow the CCC to monitor progress over time.</w:t>
      </w:r>
    </w:p>
    <w:p w14:paraId="575E230E" w14:textId="77777777" w:rsidR="00C007D3" w:rsidRPr="003F57D7" w:rsidRDefault="00C007D3" w:rsidP="00C007D3">
      <w:pPr>
        <w:pStyle w:val="Norma1"/>
        <w:spacing w:line="276" w:lineRule="auto"/>
        <w:rPr>
          <w:rFonts w:cs="Arial"/>
          <w:bCs/>
          <w:lang w:eastAsia="en-US"/>
        </w:rPr>
      </w:pPr>
    </w:p>
    <w:p w14:paraId="5173B397" w14:textId="177450EE" w:rsidR="00C007D3" w:rsidRPr="003F57D7" w:rsidRDefault="00C007D3" w:rsidP="00C007D3">
      <w:pPr>
        <w:pStyle w:val="NormalWeb"/>
        <w:spacing w:before="0" w:beforeAutospacing="0" w:after="0" w:afterAutospacing="0" w:line="276" w:lineRule="auto"/>
        <w:rPr>
          <w:rFonts w:ascii="Arial" w:hAnsi="Arial" w:cs="Arial"/>
          <w:color w:val="000000"/>
          <w:sz w:val="22"/>
          <w:szCs w:val="22"/>
        </w:rPr>
      </w:pPr>
      <w:r w:rsidRPr="003F57D7">
        <w:rPr>
          <w:rFonts w:ascii="Arial" w:hAnsi="Arial" w:cs="Arial"/>
          <w:color w:val="000000"/>
          <w:sz w:val="22"/>
          <w:szCs w:val="22"/>
        </w:rPr>
        <w:t xml:space="preserve">Stakeholder engagement will </w:t>
      </w:r>
      <w:r>
        <w:rPr>
          <w:rFonts w:ascii="Arial" w:hAnsi="Arial" w:cs="Arial"/>
          <w:color w:val="000000"/>
          <w:sz w:val="22"/>
          <w:szCs w:val="22"/>
        </w:rPr>
        <w:t>form an important part of the 2018 Bioenergy Review. The CCC</w:t>
      </w:r>
      <w:r w:rsidR="0074795D">
        <w:rPr>
          <w:rFonts w:ascii="Arial" w:hAnsi="Arial" w:cs="Arial"/>
          <w:color w:val="000000"/>
          <w:sz w:val="22"/>
          <w:szCs w:val="22"/>
        </w:rPr>
        <w:t xml:space="preserve"> will be</w:t>
      </w:r>
      <w:r>
        <w:rPr>
          <w:rFonts w:ascii="Arial" w:hAnsi="Arial" w:cs="Arial"/>
          <w:color w:val="000000"/>
          <w:sz w:val="22"/>
          <w:szCs w:val="22"/>
        </w:rPr>
        <w:t xml:space="preserve"> launch</w:t>
      </w:r>
      <w:r w:rsidR="0074795D">
        <w:rPr>
          <w:rFonts w:ascii="Arial" w:hAnsi="Arial" w:cs="Arial"/>
          <w:color w:val="000000"/>
          <w:sz w:val="22"/>
          <w:szCs w:val="22"/>
        </w:rPr>
        <w:t>ing</w:t>
      </w:r>
      <w:r>
        <w:rPr>
          <w:rFonts w:ascii="Arial" w:hAnsi="Arial" w:cs="Arial"/>
          <w:color w:val="000000"/>
          <w:sz w:val="22"/>
          <w:szCs w:val="22"/>
        </w:rPr>
        <w:t xml:space="preserve"> a</w:t>
      </w:r>
      <w:r w:rsidRPr="003F57D7">
        <w:rPr>
          <w:rFonts w:ascii="Arial" w:hAnsi="Arial" w:cs="Arial"/>
          <w:color w:val="000000"/>
          <w:sz w:val="22"/>
          <w:szCs w:val="22"/>
        </w:rPr>
        <w:t xml:space="preserve"> Call for Evidence</w:t>
      </w:r>
      <w:r>
        <w:rPr>
          <w:rFonts w:ascii="Arial" w:hAnsi="Arial" w:cs="Arial"/>
          <w:color w:val="000000"/>
          <w:sz w:val="22"/>
          <w:szCs w:val="22"/>
        </w:rPr>
        <w:t xml:space="preserve"> in December 2017. This is</w:t>
      </w:r>
      <w:r w:rsidRPr="003F57D7">
        <w:rPr>
          <w:rFonts w:ascii="Arial" w:hAnsi="Arial" w:cs="Arial"/>
          <w:color w:val="000000"/>
          <w:sz w:val="22"/>
          <w:szCs w:val="22"/>
        </w:rPr>
        <w:t xml:space="preserve"> intended to provide all stakeholders with the opportunity to </w:t>
      </w:r>
      <w:r w:rsidR="00040977">
        <w:rPr>
          <w:rFonts w:ascii="Arial" w:hAnsi="Arial" w:cs="Arial"/>
          <w:color w:val="000000"/>
          <w:sz w:val="22"/>
          <w:szCs w:val="22"/>
        </w:rPr>
        <w:t>input into</w:t>
      </w:r>
      <w:r w:rsidR="00040977" w:rsidRPr="003F57D7">
        <w:rPr>
          <w:rFonts w:ascii="Arial" w:hAnsi="Arial" w:cs="Arial"/>
          <w:color w:val="000000"/>
          <w:sz w:val="22"/>
          <w:szCs w:val="22"/>
        </w:rPr>
        <w:t xml:space="preserve"> </w:t>
      </w:r>
      <w:r w:rsidRPr="003F57D7">
        <w:rPr>
          <w:rFonts w:ascii="Arial" w:hAnsi="Arial" w:cs="Arial"/>
          <w:color w:val="000000"/>
          <w:sz w:val="22"/>
          <w:szCs w:val="22"/>
        </w:rPr>
        <w:t>the CCC's work and to enable the CCC to draw on the full range of up-to-date evidence relating to bioenergy production, sustainability and use. The Call for Evidence will be followed by stakeholder workshops on specific ke</w:t>
      </w:r>
      <w:r>
        <w:rPr>
          <w:rFonts w:ascii="Arial" w:hAnsi="Arial" w:cs="Arial"/>
          <w:color w:val="000000"/>
          <w:sz w:val="22"/>
          <w:szCs w:val="22"/>
        </w:rPr>
        <w:t>y topics in 2018. W</w:t>
      </w:r>
      <w:r w:rsidRPr="003F57D7">
        <w:rPr>
          <w:rFonts w:ascii="Arial" w:hAnsi="Arial" w:cs="Arial"/>
          <w:color w:val="000000"/>
          <w:sz w:val="22"/>
          <w:szCs w:val="22"/>
        </w:rPr>
        <w:t xml:space="preserve">e will </w:t>
      </w:r>
      <w:r>
        <w:rPr>
          <w:rFonts w:ascii="Arial" w:hAnsi="Arial" w:cs="Arial"/>
          <w:color w:val="000000"/>
          <w:sz w:val="22"/>
          <w:szCs w:val="22"/>
        </w:rPr>
        <w:t xml:space="preserve">also </w:t>
      </w:r>
      <w:r w:rsidRPr="003F57D7">
        <w:rPr>
          <w:rFonts w:ascii="Arial" w:hAnsi="Arial" w:cs="Arial"/>
          <w:color w:val="000000"/>
          <w:sz w:val="22"/>
          <w:szCs w:val="22"/>
        </w:rPr>
        <w:t>be establishing an Expert Advisory Group to provide advice and support to the CCC throughout the review.</w:t>
      </w:r>
    </w:p>
    <w:p w14:paraId="5EBD8A16" w14:textId="77777777" w:rsidR="00C007D3" w:rsidRPr="003F57D7" w:rsidRDefault="00C007D3" w:rsidP="00C007D3">
      <w:pPr>
        <w:pStyle w:val="Norma1"/>
        <w:spacing w:line="276" w:lineRule="auto"/>
        <w:rPr>
          <w:rFonts w:cs="Arial"/>
          <w:bCs/>
          <w:lang w:eastAsia="en-US"/>
        </w:rPr>
      </w:pPr>
    </w:p>
    <w:p w14:paraId="3AB351CD" w14:textId="77777777" w:rsidR="00373B01" w:rsidRDefault="00373B01" w:rsidP="00373B01">
      <w:pPr>
        <w:pStyle w:val="Norma1"/>
        <w:spacing w:line="276" w:lineRule="auto"/>
        <w:rPr>
          <w:rFonts w:cs="Arial"/>
          <w:bCs/>
          <w:lang w:eastAsia="en-US"/>
        </w:rPr>
      </w:pPr>
      <w:r>
        <w:rPr>
          <w:rFonts w:cs="Arial"/>
          <w:b/>
          <w:bCs/>
          <w:lang w:eastAsia="en-US"/>
        </w:rPr>
        <w:t>Non-energy uses of bioenergy resources</w:t>
      </w:r>
    </w:p>
    <w:p w14:paraId="1DFC1F63" w14:textId="77777777" w:rsidR="00C007D3" w:rsidRPr="005C73E0" w:rsidRDefault="00C007D3" w:rsidP="00C007D3">
      <w:pPr>
        <w:pStyle w:val="Norma1"/>
        <w:spacing w:line="276" w:lineRule="auto"/>
        <w:rPr>
          <w:rFonts w:cs="Arial"/>
          <w:bCs/>
          <w:lang w:eastAsia="en-US"/>
        </w:rPr>
      </w:pPr>
    </w:p>
    <w:p w14:paraId="004604C1" w14:textId="218B0FA7" w:rsidR="00040977" w:rsidRDefault="00C007D3" w:rsidP="00801649">
      <w:pPr>
        <w:spacing w:line="276" w:lineRule="auto"/>
        <w:rPr>
          <w:lang w:eastAsia="en-US"/>
        </w:rPr>
      </w:pPr>
      <w:r w:rsidRPr="005C73E0">
        <w:rPr>
          <w:rFonts w:ascii="Arial" w:eastAsia="Times New Roman" w:hAnsi="Arial" w:cs="Arial"/>
          <w:color w:val="000000"/>
          <w:sz w:val="22"/>
          <w:szCs w:val="22"/>
        </w:rPr>
        <w:lastRenderedPageBreak/>
        <w:t>The</w:t>
      </w:r>
      <w:r w:rsidRPr="003F57D7">
        <w:rPr>
          <w:rFonts w:ascii="Arial" w:eastAsia="Times New Roman" w:hAnsi="Arial" w:cs="Arial"/>
          <w:color w:val="000000"/>
          <w:sz w:val="22"/>
          <w:szCs w:val="22"/>
        </w:rPr>
        <w:t xml:space="preserve"> 2011 </w:t>
      </w:r>
      <w:r w:rsidRPr="005C73E0">
        <w:rPr>
          <w:rFonts w:ascii="Arial" w:eastAsia="Times New Roman" w:hAnsi="Arial" w:cs="Arial"/>
          <w:color w:val="000000"/>
          <w:sz w:val="22"/>
          <w:szCs w:val="22"/>
        </w:rPr>
        <w:t>Bioenergy R</w:t>
      </w:r>
      <w:r w:rsidRPr="003F57D7">
        <w:rPr>
          <w:rFonts w:ascii="Arial" w:eastAsia="Times New Roman" w:hAnsi="Arial" w:cs="Arial"/>
          <w:color w:val="000000"/>
          <w:sz w:val="22"/>
          <w:szCs w:val="22"/>
        </w:rPr>
        <w:t>eview developed a hierarchy of appropriate uses for bioenergy feedstocks based on minimising co</w:t>
      </w:r>
      <w:r w:rsidRPr="005C73E0">
        <w:rPr>
          <w:rFonts w:ascii="Arial" w:eastAsia="Times New Roman" w:hAnsi="Arial" w:cs="Arial"/>
          <w:color w:val="000000"/>
          <w:sz w:val="22"/>
          <w:szCs w:val="22"/>
        </w:rPr>
        <w:t>sts and maximising abatement. The CCC</w:t>
      </w:r>
      <w:r w:rsidRPr="003F57D7">
        <w:rPr>
          <w:rFonts w:ascii="Arial" w:eastAsia="Times New Roman" w:hAnsi="Arial" w:cs="Arial"/>
          <w:color w:val="000000"/>
          <w:sz w:val="22"/>
          <w:szCs w:val="22"/>
        </w:rPr>
        <w:t xml:space="preserve"> concluded that if CCS technology is available</w:t>
      </w:r>
      <w:r w:rsidR="00A418A3">
        <w:rPr>
          <w:rFonts w:ascii="Arial" w:eastAsia="Times New Roman" w:hAnsi="Arial" w:cs="Arial"/>
          <w:color w:val="000000"/>
          <w:sz w:val="22"/>
          <w:szCs w:val="22"/>
        </w:rPr>
        <w:t>,</w:t>
      </w:r>
      <w:r w:rsidRPr="003F57D7">
        <w:rPr>
          <w:rFonts w:ascii="Arial" w:eastAsia="Times New Roman" w:hAnsi="Arial" w:cs="Arial"/>
          <w:color w:val="000000"/>
          <w:sz w:val="22"/>
          <w:szCs w:val="22"/>
        </w:rPr>
        <w:t xml:space="preserve"> it is appropriate to use bioenergy in applications with CCS, making it possible to achieve negative emissions under the right circumstances. This could include power and/or heat generation, hydrogen production, and biofuels production for use in aviation and shipping. If CCS is not available, bioenergy use could be skewed towards heat generation in energy-intensive industry, and to biofuels in aviation and shipping, with no appropriate role in power generation or surfa</w:t>
      </w:r>
      <w:r>
        <w:rPr>
          <w:rFonts w:ascii="Arial" w:eastAsia="Times New Roman" w:hAnsi="Arial" w:cs="Arial"/>
          <w:color w:val="000000"/>
          <w:sz w:val="22"/>
          <w:szCs w:val="22"/>
        </w:rPr>
        <w:t xml:space="preserve">ce transport. </w:t>
      </w:r>
      <w:r w:rsidR="00373B01">
        <w:rPr>
          <w:rFonts w:ascii="Arial" w:eastAsia="Times New Roman" w:hAnsi="Arial" w:cs="Arial"/>
          <w:color w:val="000000"/>
          <w:sz w:val="22"/>
          <w:szCs w:val="22"/>
        </w:rPr>
        <w:t>In either case, the CCC</w:t>
      </w:r>
      <w:r w:rsidR="00373B01" w:rsidRPr="003F57D7">
        <w:rPr>
          <w:rFonts w:ascii="Arial" w:eastAsia="Times New Roman" w:hAnsi="Arial" w:cs="Arial"/>
          <w:color w:val="000000"/>
          <w:sz w:val="22"/>
          <w:szCs w:val="22"/>
        </w:rPr>
        <w:t xml:space="preserve"> concluded the use of woody biomass in construction should be a high priority given that this can potentially secure negative emissions through a very efficient form of carbon capture.</w:t>
      </w:r>
      <w:r w:rsidR="00373B01" w:rsidRPr="005C73E0">
        <w:rPr>
          <w:rFonts w:ascii="Arial" w:eastAsia="Times New Roman" w:hAnsi="Arial" w:cs="Arial"/>
          <w:color w:val="000000"/>
          <w:sz w:val="22"/>
          <w:szCs w:val="22"/>
        </w:rPr>
        <w:t xml:space="preserve"> </w:t>
      </w:r>
      <w:r w:rsidRPr="005C73E0">
        <w:rPr>
          <w:rFonts w:ascii="Arial" w:eastAsia="Times New Roman" w:hAnsi="Arial" w:cs="Arial"/>
          <w:color w:val="000000"/>
          <w:sz w:val="22"/>
          <w:szCs w:val="22"/>
        </w:rPr>
        <w:t xml:space="preserve"> </w:t>
      </w:r>
      <w:r w:rsidR="00801649">
        <w:rPr>
          <w:rFonts w:ascii="Arial" w:eastAsia="Times New Roman" w:hAnsi="Arial" w:cs="Arial"/>
          <w:color w:val="000000"/>
          <w:sz w:val="22"/>
          <w:szCs w:val="22"/>
        </w:rPr>
        <w:t xml:space="preserve">This is illustrated in the Figure below, taken from the 2011 Bioenergy Review main report. </w:t>
      </w:r>
      <w:r w:rsidRPr="005C73E0">
        <w:rPr>
          <w:rFonts w:ascii="Arial" w:eastAsia="Times New Roman" w:hAnsi="Arial" w:cs="Arial"/>
          <w:color w:val="000000"/>
          <w:sz w:val="22"/>
          <w:szCs w:val="22"/>
        </w:rPr>
        <w:t xml:space="preserve">More detail on the CCC’s approach to assessing appropriate use can be found in Technical Paper 3 </w:t>
      </w:r>
      <w:r w:rsidR="003344C0">
        <w:rPr>
          <w:rFonts w:ascii="Arial" w:eastAsia="Times New Roman" w:hAnsi="Arial" w:cs="Arial"/>
          <w:color w:val="000000"/>
          <w:sz w:val="22"/>
          <w:szCs w:val="22"/>
        </w:rPr>
        <w:t>to</w:t>
      </w:r>
      <w:r w:rsidRPr="005C73E0">
        <w:rPr>
          <w:rFonts w:ascii="Arial" w:eastAsia="Times New Roman" w:hAnsi="Arial" w:cs="Arial"/>
          <w:color w:val="000000"/>
          <w:sz w:val="22"/>
          <w:szCs w:val="22"/>
        </w:rPr>
        <w:t xml:space="preserve"> </w:t>
      </w:r>
      <w:r w:rsidR="00040977">
        <w:rPr>
          <w:rFonts w:ascii="Arial" w:eastAsia="Times New Roman" w:hAnsi="Arial" w:cs="Arial"/>
          <w:color w:val="000000"/>
          <w:sz w:val="22"/>
          <w:szCs w:val="22"/>
        </w:rPr>
        <w:t>the main report</w:t>
      </w:r>
      <w:r w:rsidRPr="005C73E0">
        <w:rPr>
          <w:rFonts w:ascii="Arial" w:eastAsia="Times New Roman" w:hAnsi="Arial" w:cs="Arial"/>
          <w:color w:val="000000"/>
          <w:sz w:val="22"/>
          <w:szCs w:val="22"/>
        </w:rPr>
        <w:t>.</w:t>
      </w:r>
      <w:r w:rsidRPr="005C73E0">
        <w:rPr>
          <w:rStyle w:val="FootnoteReference"/>
          <w:rFonts w:ascii="Arial" w:eastAsia="Times New Roman" w:hAnsi="Arial" w:cs="Arial"/>
          <w:color w:val="000000"/>
          <w:sz w:val="22"/>
          <w:szCs w:val="22"/>
        </w:rPr>
        <w:footnoteReference w:id="2"/>
      </w:r>
    </w:p>
    <w:p w14:paraId="19311F21" w14:textId="77777777" w:rsidR="00040977" w:rsidRDefault="00040977" w:rsidP="00C007D3">
      <w:pPr>
        <w:pStyle w:val="Norma1"/>
        <w:spacing w:line="276" w:lineRule="auto"/>
        <w:rPr>
          <w:rFonts w:cs="Arial"/>
          <w:bCs/>
          <w:lang w:eastAsia="en-US"/>
        </w:rPr>
      </w:pPr>
    </w:p>
    <w:p w14:paraId="76AC6DC5" w14:textId="71F5FD6D" w:rsidR="00801649" w:rsidRDefault="00801649" w:rsidP="00C007D3">
      <w:pPr>
        <w:pStyle w:val="Norma1"/>
        <w:spacing w:line="276" w:lineRule="auto"/>
        <w:rPr>
          <w:rFonts w:cs="Arial"/>
          <w:bCs/>
          <w:lang w:eastAsia="en-US"/>
        </w:rPr>
      </w:pPr>
      <w:r>
        <w:rPr>
          <w:noProof/>
        </w:rPr>
        <w:lastRenderedPageBreak/>
        <w:drawing>
          <wp:inline distT="0" distB="0" distL="0" distR="0" wp14:anchorId="05083A62" wp14:editId="7E626C49">
            <wp:extent cx="5731510" cy="39579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957955"/>
                    </a:xfrm>
                    <a:prstGeom prst="rect">
                      <a:avLst/>
                    </a:prstGeom>
                  </pic:spPr>
                </pic:pic>
              </a:graphicData>
            </a:graphic>
          </wp:inline>
        </w:drawing>
      </w:r>
    </w:p>
    <w:p w14:paraId="1F5A6A14" w14:textId="77777777" w:rsidR="003344C0" w:rsidRDefault="003344C0" w:rsidP="00C007D3">
      <w:pPr>
        <w:pStyle w:val="Norma1"/>
        <w:spacing w:line="276" w:lineRule="auto"/>
        <w:rPr>
          <w:rFonts w:cs="Arial"/>
          <w:bCs/>
          <w:lang w:eastAsia="en-US"/>
        </w:rPr>
      </w:pPr>
    </w:p>
    <w:p w14:paraId="43C50464" w14:textId="68C32677" w:rsidR="00C007D3" w:rsidRDefault="00C007D3" w:rsidP="00C007D3">
      <w:pPr>
        <w:pStyle w:val="Norma1"/>
        <w:spacing w:line="276" w:lineRule="auto"/>
        <w:rPr>
          <w:rFonts w:cs="Arial"/>
          <w:color w:val="000000"/>
        </w:rPr>
      </w:pPr>
      <w:r w:rsidRPr="005C73E0">
        <w:rPr>
          <w:rFonts w:cs="Arial"/>
          <w:bCs/>
          <w:lang w:eastAsia="en-US"/>
        </w:rPr>
        <w:t>To inform the CCC’s understanding of wood in construction (WIC) applications and other non-energy uses of bioenergy feedstocks</w:t>
      </w:r>
      <w:r>
        <w:rPr>
          <w:rFonts w:cs="Arial"/>
          <w:bCs/>
          <w:lang w:eastAsia="en-US"/>
        </w:rPr>
        <w:t xml:space="preserve"> for the 2011 Bioenergy Review, the CCC appointed Poyry to un</w:t>
      </w:r>
      <w:r>
        <w:rPr>
          <w:rFonts w:cs="Arial"/>
          <w:bCs/>
          <w:lang w:eastAsia="en-US"/>
        </w:rPr>
        <w:lastRenderedPageBreak/>
        <w:t>dertake an assessment of the alternative uses of biomass in decarbonising industry.</w:t>
      </w:r>
      <w:r>
        <w:rPr>
          <w:rStyle w:val="FootnoteReference"/>
          <w:rFonts w:cs="Arial"/>
          <w:bCs/>
          <w:lang w:eastAsia="en-US"/>
        </w:rPr>
        <w:footnoteReference w:id="3"/>
      </w:r>
      <w:r>
        <w:rPr>
          <w:rFonts w:cs="Arial"/>
          <w:bCs/>
          <w:lang w:eastAsia="en-US"/>
        </w:rPr>
        <w:t xml:space="preserve"> Poyry explored a representative set of industrial sectors and products and found that in a central Reference scenario these non-energy applications of bioenergy resources have an economic abatement potential of 3.6Mt CO</w:t>
      </w:r>
      <w:r w:rsidRPr="00801649">
        <w:rPr>
          <w:rFonts w:cs="Arial"/>
          <w:bCs/>
          <w:vertAlign w:val="subscript"/>
          <w:lang w:eastAsia="en-US"/>
        </w:rPr>
        <w:t>2</w:t>
      </w:r>
      <w:r>
        <w:rPr>
          <w:rFonts w:cs="Arial"/>
          <w:bCs/>
          <w:lang w:eastAsia="en-US"/>
        </w:rPr>
        <w:t xml:space="preserve">e p/a by displacing high-embodied </w:t>
      </w:r>
      <w:r w:rsidR="00DA206D">
        <w:rPr>
          <w:rFonts w:cs="Arial"/>
          <w:bCs/>
          <w:lang w:eastAsia="en-US"/>
        </w:rPr>
        <w:t>c</w:t>
      </w:r>
      <w:r>
        <w:rPr>
          <w:rFonts w:cs="Arial"/>
          <w:bCs/>
          <w:lang w:eastAsia="en-US"/>
        </w:rPr>
        <w:t>arbon products. This is largely from WIC applications but also some bio-based polymers and bio-based steel. When biogenic carbon storage associated with long-life wood products is also included, th</w:t>
      </w:r>
      <w:r w:rsidR="00801649">
        <w:rPr>
          <w:rFonts w:cs="Arial"/>
          <w:bCs/>
          <w:lang w:eastAsia="en-US"/>
        </w:rPr>
        <w:t>e</w:t>
      </w:r>
      <w:r>
        <w:rPr>
          <w:rFonts w:cs="Arial"/>
          <w:bCs/>
          <w:lang w:eastAsia="en-US"/>
        </w:rPr>
        <w:t xml:space="preserve"> abatement potential </w:t>
      </w:r>
      <w:r w:rsidR="00801649">
        <w:rPr>
          <w:rFonts w:cs="Arial"/>
          <w:bCs/>
          <w:lang w:eastAsia="en-US"/>
        </w:rPr>
        <w:t xml:space="preserve">from WIC </w:t>
      </w:r>
      <w:r>
        <w:rPr>
          <w:rFonts w:cs="Arial"/>
          <w:bCs/>
          <w:lang w:eastAsia="en-US"/>
        </w:rPr>
        <w:t xml:space="preserve">increases by a </w:t>
      </w:r>
      <w:r w:rsidR="00BB0D85">
        <w:rPr>
          <w:rFonts w:cs="Arial"/>
          <w:bCs/>
          <w:lang w:eastAsia="en-US"/>
        </w:rPr>
        <w:t xml:space="preserve">further </w:t>
      </w:r>
      <w:r w:rsidR="00BB0D85" w:rsidRPr="0057214F">
        <w:rPr>
          <w:rFonts w:cs="Arial"/>
          <w:bCs/>
          <w:lang w:eastAsia="en-US"/>
        </w:rPr>
        <w:t>8</w:t>
      </w:r>
      <w:r w:rsidR="00DA206D" w:rsidRPr="0057214F">
        <w:rPr>
          <w:rFonts w:cs="Arial"/>
          <w:bCs/>
          <w:lang w:eastAsia="en-US"/>
        </w:rPr>
        <w:t>Mt CO</w:t>
      </w:r>
      <w:r w:rsidR="00DA206D" w:rsidRPr="0057214F">
        <w:rPr>
          <w:rFonts w:cs="Arial"/>
          <w:bCs/>
          <w:vertAlign w:val="subscript"/>
          <w:lang w:eastAsia="en-US"/>
        </w:rPr>
        <w:t>2</w:t>
      </w:r>
      <w:r w:rsidR="00DA206D" w:rsidRPr="0057214F">
        <w:rPr>
          <w:rFonts w:cs="Arial"/>
          <w:bCs/>
          <w:lang w:eastAsia="en-US"/>
        </w:rPr>
        <w:t xml:space="preserve">e </w:t>
      </w:r>
      <w:r w:rsidR="00BB0D85" w:rsidRPr="0057214F">
        <w:rPr>
          <w:rFonts w:cs="Arial"/>
          <w:bCs/>
          <w:lang w:eastAsia="en-US"/>
        </w:rPr>
        <w:t>p/a</w:t>
      </w:r>
      <w:r>
        <w:rPr>
          <w:rFonts w:cs="Arial"/>
          <w:bCs/>
          <w:lang w:eastAsia="en-US"/>
        </w:rPr>
        <w:t xml:space="preserve">. For these reasons, Poyry concluded that </w:t>
      </w:r>
      <w:r w:rsidRPr="00385AEE">
        <w:rPr>
          <w:rFonts w:cs="Arial"/>
          <w:bCs/>
          <w:lang w:eastAsia="en-US"/>
        </w:rPr>
        <w:t>there is</w:t>
      </w:r>
      <w:r w:rsidRPr="00385AEE">
        <w:rPr>
          <w:rFonts w:cs="Arial"/>
          <w:color w:val="000000"/>
        </w:rPr>
        <w:t xml:space="preserve"> a compelling case for the use of wood-based products as a method of abatement in the construction sector. </w:t>
      </w:r>
    </w:p>
    <w:p w14:paraId="784643CC" w14:textId="77777777" w:rsidR="00C007D3" w:rsidRPr="006053FD" w:rsidRDefault="00C007D3" w:rsidP="00C007D3">
      <w:pPr>
        <w:pStyle w:val="Norma1"/>
        <w:spacing w:line="276" w:lineRule="auto"/>
        <w:rPr>
          <w:rFonts w:cs="Arial"/>
          <w:color w:val="000000"/>
        </w:rPr>
      </w:pPr>
    </w:p>
    <w:p w14:paraId="6AA4368A" w14:textId="460001EA" w:rsidR="003344C0" w:rsidRPr="00FE2305" w:rsidRDefault="00FE2305" w:rsidP="00C007D3">
      <w:pPr>
        <w:spacing w:line="276" w:lineRule="auto"/>
        <w:textAlignment w:val="center"/>
        <w:rPr>
          <w:rFonts w:ascii="Arial" w:hAnsi="Arial" w:cs="Arial"/>
          <w:b/>
          <w:color w:val="000000"/>
          <w:sz w:val="22"/>
          <w:szCs w:val="22"/>
        </w:rPr>
      </w:pPr>
      <w:r>
        <w:rPr>
          <w:rFonts w:ascii="Arial" w:hAnsi="Arial" w:cs="Arial"/>
          <w:b/>
          <w:color w:val="000000"/>
          <w:sz w:val="22"/>
          <w:szCs w:val="22"/>
        </w:rPr>
        <w:t xml:space="preserve">Wood in Construction: Opportunities and </w:t>
      </w:r>
      <w:r w:rsidR="00D72839">
        <w:rPr>
          <w:rFonts w:ascii="Arial" w:hAnsi="Arial" w:cs="Arial"/>
          <w:b/>
          <w:color w:val="000000"/>
          <w:sz w:val="22"/>
          <w:szCs w:val="22"/>
        </w:rPr>
        <w:t>barriers</w:t>
      </w:r>
    </w:p>
    <w:p w14:paraId="38CD2B98" w14:textId="77777777" w:rsidR="003344C0" w:rsidRDefault="003344C0" w:rsidP="00C007D3">
      <w:pPr>
        <w:spacing w:line="276" w:lineRule="auto"/>
        <w:textAlignment w:val="center"/>
        <w:rPr>
          <w:rFonts w:ascii="Arial" w:hAnsi="Arial" w:cs="Arial"/>
          <w:color w:val="000000"/>
          <w:sz w:val="22"/>
          <w:szCs w:val="22"/>
        </w:rPr>
      </w:pPr>
    </w:p>
    <w:p w14:paraId="6770805A" w14:textId="53C2E99A" w:rsidR="00FE2305" w:rsidRDefault="00FE2305" w:rsidP="00C007D3">
      <w:pPr>
        <w:spacing w:line="276" w:lineRule="auto"/>
        <w:textAlignment w:val="center"/>
        <w:rPr>
          <w:rFonts w:ascii="Arial" w:hAnsi="Arial" w:cs="Arial"/>
          <w:color w:val="000000"/>
          <w:sz w:val="22"/>
          <w:szCs w:val="22"/>
        </w:rPr>
      </w:pPr>
      <w:r>
        <w:rPr>
          <w:rFonts w:ascii="Arial" w:hAnsi="Arial" w:cs="Arial"/>
          <w:color w:val="000000"/>
          <w:sz w:val="22"/>
          <w:szCs w:val="22"/>
        </w:rPr>
        <w:t>The use of WIC is growing in</w:t>
      </w:r>
      <w:r w:rsidR="00445952">
        <w:rPr>
          <w:rFonts w:ascii="Arial" w:hAnsi="Arial" w:cs="Arial"/>
          <w:color w:val="000000"/>
          <w:sz w:val="22"/>
          <w:szCs w:val="22"/>
        </w:rPr>
        <w:t xml:space="preserve"> the UK and evidence suggests there is</w:t>
      </w:r>
      <w:r>
        <w:rPr>
          <w:rFonts w:ascii="Arial" w:hAnsi="Arial" w:cs="Arial"/>
          <w:color w:val="000000"/>
          <w:sz w:val="22"/>
          <w:szCs w:val="22"/>
        </w:rPr>
        <w:t xml:space="preserve"> a potentially significant opportunity for </w:t>
      </w:r>
      <w:r w:rsidR="00445952">
        <w:rPr>
          <w:rFonts w:ascii="Arial" w:hAnsi="Arial" w:cs="Arial"/>
          <w:color w:val="000000"/>
          <w:sz w:val="22"/>
          <w:szCs w:val="22"/>
        </w:rPr>
        <w:t>this growth to continue. The number of timber-frame housing starts in the UK increased by over 9% in 2016, compared to a 5%</w:t>
      </w:r>
      <w:r w:rsidR="00576B4E">
        <w:rPr>
          <w:rFonts w:ascii="Arial" w:hAnsi="Arial" w:cs="Arial"/>
          <w:color w:val="000000"/>
          <w:sz w:val="22"/>
          <w:szCs w:val="22"/>
        </w:rPr>
        <w:t xml:space="preserve"> increase for housing overall, and a </w:t>
      </w:r>
      <w:r w:rsidR="0074795D">
        <w:rPr>
          <w:rFonts w:ascii="Arial" w:hAnsi="Arial" w:cs="Arial"/>
          <w:color w:val="000000"/>
          <w:sz w:val="22"/>
          <w:szCs w:val="22"/>
        </w:rPr>
        <w:t>significant proportion</w:t>
      </w:r>
      <w:r w:rsidR="00576B4E">
        <w:rPr>
          <w:rFonts w:ascii="Arial" w:hAnsi="Arial" w:cs="Arial"/>
          <w:color w:val="000000"/>
          <w:sz w:val="22"/>
          <w:szCs w:val="22"/>
        </w:rPr>
        <w:t xml:space="preserve"> of 1 and 2 story homes are now built </w:t>
      </w:r>
      <w:r w:rsidR="00576B4E">
        <w:rPr>
          <w:rFonts w:ascii="Arial" w:hAnsi="Arial" w:cs="Arial"/>
          <w:color w:val="000000"/>
          <w:sz w:val="22"/>
          <w:szCs w:val="22"/>
        </w:rPr>
        <w:lastRenderedPageBreak/>
        <w:t xml:space="preserve">with timber each year. At the same time, the </w:t>
      </w:r>
      <w:r w:rsidR="00437E5B">
        <w:rPr>
          <w:rFonts w:ascii="Arial" w:hAnsi="Arial" w:cs="Arial"/>
          <w:color w:val="000000"/>
          <w:sz w:val="22"/>
          <w:szCs w:val="22"/>
        </w:rPr>
        <w:t xml:space="preserve">amount </w:t>
      </w:r>
      <w:r w:rsidR="00A76F15">
        <w:rPr>
          <w:rFonts w:ascii="Arial" w:hAnsi="Arial" w:cs="Arial"/>
          <w:color w:val="000000"/>
          <w:sz w:val="22"/>
          <w:szCs w:val="22"/>
        </w:rPr>
        <w:t xml:space="preserve">of </w:t>
      </w:r>
      <w:r w:rsidR="00437E5B">
        <w:rPr>
          <w:rFonts w:ascii="Arial" w:hAnsi="Arial" w:cs="Arial"/>
          <w:color w:val="000000"/>
          <w:sz w:val="22"/>
          <w:szCs w:val="22"/>
        </w:rPr>
        <w:t>new</w:t>
      </w:r>
      <w:r w:rsidR="00576B4E">
        <w:rPr>
          <w:rFonts w:ascii="Arial" w:hAnsi="Arial" w:cs="Arial"/>
          <w:color w:val="000000"/>
          <w:sz w:val="22"/>
          <w:szCs w:val="22"/>
        </w:rPr>
        <w:t xml:space="preserve"> housing </w:t>
      </w:r>
      <w:r w:rsidR="00437E5B">
        <w:rPr>
          <w:rFonts w:ascii="Arial" w:hAnsi="Arial" w:cs="Arial"/>
          <w:color w:val="000000"/>
          <w:sz w:val="22"/>
          <w:szCs w:val="22"/>
        </w:rPr>
        <w:t>in the UK built using WIC products</w:t>
      </w:r>
      <w:r w:rsidR="00576B4E">
        <w:rPr>
          <w:rFonts w:ascii="Arial" w:hAnsi="Arial" w:cs="Arial"/>
          <w:color w:val="000000"/>
          <w:sz w:val="22"/>
          <w:szCs w:val="22"/>
        </w:rPr>
        <w:t xml:space="preserve"> remains well below some other </w:t>
      </w:r>
      <w:r w:rsidR="00437E5B">
        <w:rPr>
          <w:rFonts w:ascii="Arial" w:hAnsi="Arial" w:cs="Arial"/>
          <w:color w:val="000000"/>
          <w:sz w:val="22"/>
          <w:szCs w:val="22"/>
        </w:rPr>
        <w:t xml:space="preserve">European </w:t>
      </w:r>
      <w:r w:rsidR="00576B4E">
        <w:rPr>
          <w:rFonts w:ascii="Arial" w:hAnsi="Arial" w:cs="Arial"/>
          <w:color w:val="000000"/>
          <w:sz w:val="22"/>
          <w:szCs w:val="22"/>
        </w:rPr>
        <w:t>countries</w:t>
      </w:r>
      <w:r w:rsidR="0099060E">
        <w:rPr>
          <w:rFonts w:ascii="Arial" w:hAnsi="Arial" w:cs="Arial"/>
          <w:color w:val="000000"/>
          <w:sz w:val="22"/>
          <w:szCs w:val="22"/>
        </w:rPr>
        <w:t xml:space="preserve">, and within the UK there are stark differences between nations. Whereas </w:t>
      </w:r>
      <w:r w:rsidR="00437E5B">
        <w:rPr>
          <w:rFonts w:ascii="Arial" w:hAnsi="Arial" w:cs="Arial"/>
          <w:color w:val="000000"/>
          <w:sz w:val="22"/>
          <w:szCs w:val="22"/>
        </w:rPr>
        <w:t xml:space="preserve">in </w:t>
      </w:r>
      <w:r w:rsidR="0099060E">
        <w:rPr>
          <w:rFonts w:ascii="Arial" w:hAnsi="Arial" w:cs="Arial"/>
          <w:color w:val="000000"/>
          <w:sz w:val="22"/>
          <w:szCs w:val="22"/>
        </w:rPr>
        <w:t>Scotland</w:t>
      </w:r>
      <w:r w:rsidR="00437E5B">
        <w:rPr>
          <w:rFonts w:ascii="Arial" w:hAnsi="Arial" w:cs="Arial"/>
          <w:color w:val="000000"/>
          <w:sz w:val="22"/>
          <w:szCs w:val="22"/>
        </w:rPr>
        <w:t xml:space="preserve"> over 80% of all homes are built from timber frames, the equivalent figures for England, Wales and Northern Ireland</w:t>
      </w:r>
      <w:r w:rsidR="00193F8E">
        <w:rPr>
          <w:rFonts w:ascii="Arial" w:hAnsi="Arial" w:cs="Arial"/>
          <w:color w:val="000000"/>
          <w:sz w:val="22"/>
          <w:szCs w:val="22"/>
        </w:rPr>
        <w:t xml:space="preserve"> are </w:t>
      </w:r>
      <w:r w:rsidR="00437E5B">
        <w:rPr>
          <w:rFonts w:ascii="Arial" w:hAnsi="Arial" w:cs="Arial"/>
          <w:color w:val="000000"/>
          <w:sz w:val="22"/>
          <w:szCs w:val="22"/>
        </w:rPr>
        <w:t>30% or below. The CCC is interested in exploring the reasons for these differences and the implications for UK construction, abatement potential and policy.</w:t>
      </w:r>
      <w:r w:rsidR="00437E5B">
        <w:rPr>
          <w:rStyle w:val="FootnoteReference"/>
          <w:rFonts w:ascii="Arial" w:hAnsi="Arial" w:cs="Arial"/>
          <w:color w:val="000000"/>
          <w:sz w:val="22"/>
          <w:szCs w:val="22"/>
        </w:rPr>
        <w:footnoteReference w:id="4"/>
      </w:r>
      <w:r w:rsidR="00437E5B">
        <w:rPr>
          <w:rFonts w:ascii="Arial" w:hAnsi="Arial" w:cs="Arial"/>
          <w:color w:val="000000"/>
          <w:sz w:val="22"/>
          <w:szCs w:val="22"/>
        </w:rPr>
        <w:t xml:space="preserve"> </w:t>
      </w:r>
      <w:r w:rsidR="00576B4E">
        <w:rPr>
          <w:rFonts w:ascii="Arial" w:hAnsi="Arial" w:cs="Arial"/>
          <w:color w:val="000000"/>
          <w:sz w:val="22"/>
          <w:szCs w:val="22"/>
        </w:rPr>
        <w:t xml:space="preserve">    </w:t>
      </w:r>
    </w:p>
    <w:p w14:paraId="3EA55311" w14:textId="77777777" w:rsidR="00FE2305" w:rsidRDefault="00FE2305" w:rsidP="00C007D3">
      <w:pPr>
        <w:spacing w:line="276" w:lineRule="auto"/>
        <w:textAlignment w:val="center"/>
        <w:rPr>
          <w:rFonts w:ascii="Arial" w:hAnsi="Arial" w:cs="Arial"/>
          <w:color w:val="000000"/>
          <w:sz w:val="22"/>
          <w:szCs w:val="22"/>
        </w:rPr>
      </w:pPr>
    </w:p>
    <w:p w14:paraId="3AA3D049" w14:textId="0D98E954" w:rsidR="00C007D3" w:rsidRPr="006053FD" w:rsidRDefault="00373B01" w:rsidP="00C007D3">
      <w:pPr>
        <w:spacing w:line="276" w:lineRule="auto"/>
        <w:textAlignment w:val="center"/>
        <w:rPr>
          <w:rFonts w:ascii="Arial" w:eastAsia="Times New Roman" w:hAnsi="Arial" w:cs="Arial"/>
          <w:color w:val="000000"/>
          <w:sz w:val="22"/>
          <w:szCs w:val="22"/>
        </w:rPr>
      </w:pPr>
      <w:r w:rsidRPr="006053FD">
        <w:rPr>
          <w:rFonts w:ascii="Arial" w:hAnsi="Arial" w:cs="Arial"/>
          <w:color w:val="000000"/>
          <w:sz w:val="22"/>
          <w:szCs w:val="22"/>
        </w:rPr>
        <w:t>Poyry</w:t>
      </w:r>
      <w:r>
        <w:rPr>
          <w:rFonts w:ascii="Arial" w:hAnsi="Arial" w:cs="Arial"/>
          <w:color w:val="000000"/>
          <w:sz w:val="22"/>
          <w:szCs w:val="22"/>
        </w:rPr>
        <w:t>’s 2011 work for the CCC</w:t>
      </w:r>
      <w:r w:rsidRPr="006053FD">
        <w:rPr>
          <w:rFonts w:ascii="Arial" w:hAnsi="Arial" w:cs="Arial"/>
          <w:color w:val="000000"/>
          <w:sz w:val="22"/>
          <w:szCs w:val="22"/>
        </w:rPr>
        <w:t xml:space="preserve"> identified supply chain capacity as a key constraint to increasing the use of WIC in the UK, particularly </w:t>
      </w:r>
      <w:r>
        <w:rPr>
          <w:rFonts w:ascii="Arial" w:hAnsi="Arial" w:cs="Arial"/>
          <w:color w:val="000000"/>
          <w:sz w:val="22"/>
          <w:szCs w:val="22"/>
        </w:rPr>
        <w:t>cultural attitudes in</w:t>
      </w:r>
      <w:r w:rsidRPr="006053FD">
        <w:rPr>
          <w:rFonts w:ascii="Arial" w:hAnsi="Arial" w:cs="Arial"/>
          <w:color w:val="000000"/>
          <w:sz w:val="22"/>
          <w:szCs w:val="22"/>
        </w:rPr>
        <w:t xml:space="preserve"> </w:t>
      </w:r>
      <w:r>
        <w:rPr>
          <w:rFonts w:ascii="Arial" w:hAnsi="Arial" w:cs="Arial"/>
          <w:color w:val="000000"/>
          <w:sz w:val="22"/>
          <w:szCs w:val="22"/>
        </w:rPr>
        <w:t xml:space="preserve">the </w:t>
      </w:r>
      <w:r w:rsidRPr="006053FD">
        <w:rPr>
          <w:rFonts w:ascii="Arial" w:hAnsi="Arial" w:cs="Arial"/>
          <w:color w:val="000000"/>
          <w:sz w:val="22"/>
          <w:szCs w:val="22"/>
        </w:rPr>
        <w:t xml:space="preserve">construction </w:t>
      </w:r>
      <w:r>
        <w:rPr>
          <w:rFonts w:ascii="Arial" w:hAnsi="Arial" w:cs="Arial"/>
          <w:color w:val="000000"/>
          <w:sz w:val="22"/>
          <w:szCs w:val="22"/>
        </w:rPr>
        <w:t>sector</w:t>
      </w:r>
      <w:r w:rsidRPr="006053FD">
        <w:rPr>
          <w:rFonts w:ascii="Arial" w:hAnsi="Arial" w:cs="Arial"/>
          <w:color w:val="000000"/>
          <w:sz w:val="22"/>
          <w:szCs w:val="22"/>
        </w:rPr>
        <w:t xml:space="preserve"> that </w:t>
      </w:r>
      <w:r w:rsidRPr="006053FD">
        <w:rPr>
          <w:rFonts w:ascii="Arial" w:eastAsia="Times New Roman" w:hAnsi="Arial" w:cs="Arial"/>
          <w:color w:val="000000"/>
          <w:sz w:val="22"/>
          <w:szCs w:val="22"/>
        </w:rPr>
        <w:t xml:space="preserve">favour traditional materials such as concrete and steel. </w:t>
      </w:r>
      <w:r w:rsidR="00C007D3" w:rsidRPr="006053FD">
        <w:rPr>
          <w:rFonts w:ascii="Arial" w:eastAsia="Times New Roman" w:hAnsi="Arial" w:cs="Arial"/>
          <w:color w:val="000000"/>
          <w:sz w:val="22"/>
          <w:szCs w:val="22"/>
        </w:rPr>
        <w:t>In addition</w:t>
      </w:r>
      <w:r w:rsidR="00C007D3">
        <w:rPr>
          <w:rFonts w:ascii="Arial" w:eastAsia="Times New Roman" w:hAnsi="Arial" w:cs="Arial"/>
          <w:color w:val="000000"/>
          <w:sz w:val="22"/>
          <w:szCs w:val="22"/>
        </w:rPr>
        <w:t>,</w:t>
      </w:r>
      <w:r w:rsidR="00C007D3" w:rsidRPr="00385AEE">
        <w:rPr>
          <w:rFonts w:ascii="Arial" w:eastAsia="Times New Roman" w:hAnsi="Arial" w:cs="Arial"/>
          <w:color w:val="000000"/>
          <w:sz w:val="22"/>
          <w:szCs w:val="22"/>
        </w:rPr>
        <w:t xml:space="preserve"> industrial wood</w:t>
      </w:r>
      <w:r w:rsidR="00193F8E">
        <w:rPr>
          <w:rFonts w:ascii="Arial" w:eastAsia="Times New Roman" w:hAnsi="Arial" w:cs="Arial"/>
          <w:color w:val="000000"/>
          <w:sz w:val="22"/>
          <w:szCs w:val="22"/>
        </w:rPr>
        <w:t xml:space="preserve"> </w:t>
      </w:r>
      <w:r w:rsidR="00C007D3" w:rsidRPr="00385AEE">
        <w:rPr>
          <w:rFonts w:ascii="Arial" w:eastAsia="Times New Roman" w:hAnsi="Arial" w:cs="Arial"/>
          <w:color w:val="000000"/>
          <w:sz w:val="22"/>
          <w:szCs w:val="22"/>
        </w:rPr>
        <w:t xml:space="preserve">construction solutions </w:t>
      </w:r>
      <w:r w:rsidR="00024573">
        <w:rPr>
          <w:rFonts w:ascii="Arial" w:eastAsia="Times New Roman" w:hAnsi="Arial" w:cs="Arial"/>
          <w:color w:val="000000"/>
          <w:sz w:val="22"/>
          <w:szCs w:val="22"/>
        </w:rPr>
        <w:t>were</w:t>
      </w:r>
      <w:r w:rsidR="00024573" w:rsidRPr="00385AEE">
        <w:rPr>
          <w:rFonts w:ascii="Arial" w:eastAsia="Times New Roman" w:hAnsi="Arial" w:cs="Arial"/>
          <w:color w:val="000000"/>
          <w:sz w:val="22"/>
          <w:szCs w:val="22"/>
        </w:rPr>
        <w:t xml:space="preserve"> </w:t>
      </w:r>
      <w:r w:rsidR="00024573">
        <w:rPr>
          <w:rFonts w:ascii="Arial" w:eastAsia="Times New Roman" w:hAnsi="Arial" w:cs="Arial"/>
          <w:color w:val="000000"/>
          <w:sz w:val="22"/>
          <w:szCs w:val="22"/>
        </w:rPr>
        <w:t xml:space="preserve">still </w:t>
      </w:r>
      <w:r w:rsidR="00C007D3" w:rsidRPr="00385AEE">
        <w:rPr>
          <w:rFonts w:ascii="Arial" w:eastAsia="Times New Roman" w:hAnsi="Arial" w:cs="Arial"/>
          <w:color w:val="000000"/>
          <w:sz w:val="22"/>
          <w:szCs w:val="22"/>
        </w:rPr>
        <w:t>developing</w:t>
      </w:r>
      <w:r w:rsidR="00024573">
        <w:rPr>
          <w:rFonts w:ascii="Arial" w:eastAsia="Times New Roman" w:hAnsi="Arial" w:cs="Arial"/>
          <w:color w:val="000000"/>
          <w:sz w:val="22"/>
          <w:szCs w:val="22"/>
        </w:rPr>
        <w:t xml:space="preserve"> with</w:t>
      </w:r>
      <w:r w:rsidR="00C007D3" w:rsidRPr="00385AEE">
        <w:rPr>
          <w:rFonts w:ascii="Arial" w:eastAsia="Times New Roman" w:hAnsi="Arial" w:cs="Arial"/>
          <w:color w:val="000000"/>
          <w:sz w:val="22"/>
          <w:szCs w:val="22"/>
        </w:rPr>
        <w:t xml:space="preserve"> the design and c</w:t>
      </w:r>
      <w:r w:rsidR="00C007D3" w:rsidRPr="006053FD">
        <w:rPr>
          <w:rFonts w:ascii="Arial" w:eastAsia="Times New Roman" w:hAnsi="Arial" w:cs="Arial"/>
          <w:color w:val="000000"/>
          <w:sz w:val="22"/>
          <w:szCs w:val="22"/>
        </w:rPr>
        <w:t>onstruction of wooden buildings</w:t>
      </w:r>
      <w:r w:rsidR="00C007D3" w:rsidRPr="00385AEE">
        <w:rPr>
          <w:rFonts w:ascii="Arial" w:eastAsia="Times New Roman" w:hAnsi="Arial" w:cs="Arial"/>
          <w:color w:val="000000"/>
          <w:sz w:val="22"/>
          <w:szCs w:val="22"/>
        </w:rPr>
        <w:t xml:space="preserve"> typically requir</w:t>
      </w:r>
      <w:r w:rsidR="00024573">
        <w:rPr>
          <w:rFonts w:ascii="Arial" w:eastAsia="Times New Roman" w:hAnsi="Arial" w:cs="Arial"/>
          <w:color w:val="000000"/>
          <w:sz w:val="22"/>
          <w:szCs w:val="22"/>
        </w:rPr>
        <w:t>ing</w:t>
      </w:r>
      <w:r w:rsidR="00C007D3" w:rsidRPr="00385AEE">
        <w:rPr>
          <w:rFonts w:ascii="Arial" w:eastAsia="Times New Roman" w:hAnsi="Arial" w:cs="Arial"/>
          <w:color w:val="000000"/>
          <w:sz w:val="22"/>
          <w:szCs w:val="22"/>
        </w:rPr>
        <w:t xml:space="preserve"> specific expertise which the UK does not have in large numbers.</w:t>
      </w:r>
      <w:r w:rsidR="00C007D3" w:rsidRPr="006053FD">
        <w:rPr>
          <w:rFonts w:ascii="Arial" w:eastAsia="Times New Roman" w:hAnsi="Arial" w:cs="Arial"/>
          <w:color w:val="000000"/>
          <w:sz w:val="22"/>
          <w:szCs w:val="22"/>
        </w:rPr>
        <w:t xml:space="preserve"> Poy</w:t>
      </w:r>
      <w:r w:rsidR="00C007D3">
        <w:rPr>
          <w:rFonts w:ascii="Arial" w:eastAsia="Times New Roman" w:hAnsi="Arial" w:cs="Arial"/>
          <w:color w:val="000000"/>
          <w:sz w:val="22"/>
          <w:szCs w:val="22"/>
        </w:rPr>
        <w:t xml:space="preserve">ry also highlighted </w:t>
      </w:r>
      <w:r w:rsidR="00C007D3" w:rsidRPr="006053FD">
        <w:rPr>
          <w:rFonts w:ascii="Arial" w:eastAsia="Times New Roman" w:hAnsi="Arial" w:cs="Arial"/>
          <w:color w:val="000000"/>
          <w:sz w:val="22"/>
          <w:szCs w:val="22"/>
        </w:rPr>
        <w:t>important knowledge gaps that should be address</w:t>
      </w:r>
      <w:r w:rsidR="00C007D3">
        <w:rPr>
          <w:rFonts w:ascii="Arial" w:eastAsia="Times New Roman" w:hAnsi="Arial" w:cs="Arial"/>
          <w:color w:val="000000"/>
          <w:sz w:val="22"/>
          <w:szCs w:val="22"/>
        </w:rPr>
        <w:t>ed by future work</w:t>
      </w:r>
      <w:r w:rsidR="00C007D3" w:rsidRPr="006053FD">
        <w:rPr>
          <w:rFonts w:ascii="Arial" w:eastAsia="Times New Roman" w:hAnsi="Arial" w:cs="Arial"/>
          <w:color w:val="000000"/>
          <w:sz w:val="22"/>
          <w:szCs w:val="22"/>
        </w:rPr>
        <w:t>:</w:t>
      </w:r>
    </w:p>
    <w:p w14:paraId="397A5F01" w14:textId="77777777" w:rsidR="00C007D3" w:rsidRPr="006053FD" w:rsidRDefault="00C007D3" w:rsidP="00C007D3">
      <w:pPr>
        <w:numPr>
          <w:ilvl w:val="0"/>
          <w:numId w:val="31"/>
        </w:numPr>
        <w:tabs>
          <w:tab w:val="clear" w:pos="360"/>
          <w:tab w:val="num" w:pos="709"/>
        </w:tabs>
        <w:spacing w:before="120" w:line="276" w:lineRule="auto"/>
        <w:ind w:left="709"/>
        <w:textAlignment w:val="center"/>
        <w:rPr>
          <w:rFonts w:ascii="Arial" w:eastAsia="Times New Roman" w:hAnsi="Arial" w:cs="Arial"/>
          <w:color w:val="000000"/>
          <w:sz w:val="22"/>
          <w:szCs w:val="22"/>
        </w:rPr>
      </w:pPr>
      <w:r w:rsidRPr="006053FD">
        <w:rPr>
          <w:rFonts w:ascii="Arial" w:eastAsia="Times New Roman" w:hAnsi="Arial" w:cs="Arial"/>
          <w:color w:val="000000"/>
          <w:sz w:val="22"/>
          <w:szCs w:val="22"/>
        </w:rPr>
        <w:t>technical and cultural limitations to biomass substitution</w:t>
      </w:r>
    </w:p>
    <w:p w14:paraId="269B8514" w14:textId="77777777" w:rsidR="00C007D3" w:rsidRPr="006053FD" w:rsidRDefault="00C007D3" w:rsidP="00C007D3">
      <w:pPr>
        <w:numPr>
          <w:ilvl w:val="0"/>
          <w:numId w:val="31"/>
        </w:numPr>
        <w:tabs>
          <w:tab w:val="clear" w:pos="360"/>
          <w:tab w:val="num" w:pos="709"/>
        </w:tabs>
        <w:spacing w:line="276" w:lineRule="auto"/>
        <w:ind w:left="709"/>
        <w:textAlignment w:val="center"/>
        <w:rPr>
          <w:rFonts w:ascii="Arial" w:eastAsia="Times New Roman" w:hAnsi="Arial" w:cs="Arial"/>
          <w:color w:val="000000"/>
          <w:sz w:val="22"/>
          <w:szCs w:val="22"/>
        </w:rPr>
      </w:pPr>
      <w:r w:rsidRPr="006053FD">
        <w:rPr>
          <w:rFonts w:ascii="Arial" w:eastAsia="Times New Roman" w:hAnsi="Arial" w:cs="Arial"/>
          <w:color w:val="000000"/>
          <w:sz w:val="22"/>
          <w:szCs w:val="22"/>
        </w:rPr>
        <w:t>specific biomass resource availability for the production of individual substitutes</w:t>
      </w:r>
    </w:p>
    <w:p w14:paraId="374D1055" w14:textId="77777777" w:rsidR="00C007D3" w:rsidRPr="006053FD" w:rsidRDefault="00C007D3" w:rsidP="00C007D3">
      <w:pPr>
        <w:numPr>
          <w:ilvl w:val="0"/>
          <w:numId w:val="31"/>
        </w:numPr>
        <w:tabs>
          <w:tab w:val="clear" w:pos="360"/>
          <w:tab w:val="num" w:pos="709"/>
        </w:tabs>
        <w:spacing w:line="276" w:lineRule="auto"/>
        <w:ind w:left="709"/>
        <w:textAlignment w:val="center"/>
        <w:rPr>
          <w:rFonts w:ascii="Arial" w:eastAsia="Times New Roman" w:hAnsi="Arial" w:cs="Arial"/>
          <w:color w:val="000000"/>
          <w:sz w:val="22"/>
          <w:szCs w:val="22"/>
        </w:rPr>
      </w:pPr>
      <w:r w:rsidRPr="006053FD">
        <w:rPr>
          <w:rFonts w:ascii="Arial" w:eastAsia="Times New Roman" w:hAnsi="Arial" w:cs="Arial"/>
          <w:color w:val="000000"/>
          <w:sz w:val="22"/>
          <w:szCs w:val="22"/>
        </w:rPr>
        <w:lastRenderedPageBreak/>
        <w:t>whole life carbon impacts of bio-genic carbon storage and the variety of disposal options available</w:t>
      </w:r>
    </w:p>
    <w:p w14:paraId="4451B440" w14:textId="59A373A4" w:rsidR="00FC1D41" w:rsidRPr="0057214F" w:rsidRDefault="00FC1D41" w:rsidP="00C007D3">
      <w:pPr>
        <w:pStyle w:val="Norma1"/>
        <w:spacing w:before="240" w:line="276" w:lineRule="auto"/>
        <w:rPr>
          <w:rFonts w:cs="Arial"/>
          <w:color w:val="000000"/>
        </w:rPr>
      </w:pPr>
      <w:r w:rsidRPr="006F3B9D">
        <w:rPr>
          <w:rFonts w:cs="Arial"/>
          <w:color w:val="000000"/>
        </w:rPr>
        <w:t xml:space="preserve">Recent UK Government announcements suggest a renewed focus on overcoming the barriers to WIC and increasing </w:t>
      </w:r>
      <w:r w:rsidR="0018144F" w:rsidRPr="004E4E4E">
        <w:rPr>
          <w:rFonts w:cs="Arial"/>
          <w:color w:val="000000"/>
        </w:rPr>
        <w:t xml:space="preserve">the level of WIC used in new housing, for example the policy commitment in the Clean Growth Strategy (2017) </w:t>
      </w:r>
      <w:r w:rsidR="0018144F" w:rsidRPr="00D72839">
        <w:rPr>
          <w:rFonts w:cs="Arial"/>
          <w:color w:val="000000"/>
        </w:rPr>
        <w:t xml:space="preserve">to </w:t>
      </w:r>
      <w:r w:rsidR="0018144F" w:rsidRPr="0057214F">
        <w:rPr>
          <w:rFonts w:cs="Arial"/>
          <w:color w:val="000000"/>
        </w:rPr>
        <w:t>"increase the amount of UK timber used in construction"</w:t>
      </w:r>
      <w:r w:rsidR="0018144F" w:rsidRPr="006F3B9D">
        <w:rPr>
          <w:rFonts w:cs="Arial"/>
          <w:color w:val="000000"/>
        </w:rPr>
        <w:t>. More broadly</w:t>
      </w:r>
      <w:r w:rsidR="00F85B28">
        <w:rPr>
          <w:rFonts w:cs="Arial"/>
          <w:color w:val="000000"/>
        </w:rPr>
        <w:t>,</w:t>
      </w:r>
      <w:r w:rsidR="0018144F" w:rsidRPr="006F3B9D">
        <w:rPr>
          <w:rFonts w:cs="Arial"/>
          <w:color w:val="000000"/>
        </w:rPr>
        <w:t xml:space="preserve"> as part of </w:t>
      </w:r>
      <w:r w:rsidR="0018144F">
        <w:rPr>
          <w:rFonts w:cs="Arial"/>
          <w:color w:val="000000"/>
        </w:rPr>
        <w:t>its Industrial Strategy</w:t>
      </w:r>
      <w:r w:rsidR="00F85B28">
        <w:rPr>
          <w:rFonts w:cs="Arial"/>
          <w:color w:val="000000"/>
        </w:rPr>
        <w:t>,</w:t>
      </w:r>
      <w:r w:rsidR="0018144F">
        <w:rPr>
          <w:rFonts w:cs="Arial"/>
          <w:color w:val="000000"/>
        </w:rPr>
        <w:t xml:space="preserve"> the Government has agreed a new ‘Sector Deal’ with the Construction Industry which will include up to £170m funding for a ‘Transforming Construction’ programme. This aim of this new programme is to develop the UK’s capabilities </w:t>
      </w:r>
      <w:r w:rsidR="00F85B28">
        <w:rPr>
          <w:rFonts w:cs="Arial"/>
          <w:color w:val="000000"/>
        </w:rPr>
        <w:t>in integrating construction with digital and energy efficiency technologies to develop buildings that use much less energy to build and run. The Government has also</w:t>
      </w:r>
      <w:r w:rsidR="0018144F">
        <w:rPr>
          <w:rFonts w:cs="Arial"/>
          <w:color w:val="000000"/>
        </w:rPr>
        <w:t xml:space="preserve"> </w:t>
      </w:r>
      <w:r w:rsidR="00F85B28">
        <w:rPr>
          <w:rFonts w:cs="Arial"/>
          <w:color w:val="000000"/>
        </w:rPr>
        <w:t xml:space="preserve">committed to use public sector spending to drive update of modern methods of construction. </w:t>
      </w:r>
    </w:p>
    <w:p w14:paraId="63EB1CB1" w14:textId="4DB89E7F" w:rsidR="00FE2305" w:rsidRPr="00FE2305" w:rsidRDefault="00FE2305" w:rsidP="00C007D3">
      <w:pPr>
        <w:pStyle w:val="Norma1"/>
        <w:spacing w:before="240" w:line="276" w:lineRule="auto"/>
        <w:rPr>
          <w:rFonts w:cs="Arial"/>
          <w:b/>
          <w:color w:val="000000"/>
        </w:rPr>
      </w:pPr>
      <w:r w:rsidRPr="00FE2305">
        <w:rPr>
          <w:rFonts w:cs="Arial"/>
          <w:b/>
          <w:color w:val="000000"/>
        </w:rPr>
        <w:t>Rationale for this project</w:t>
      </w:r>
    </w:p>
    <w:p w14:paraId="22784BF8" w14:textId="59B41768" w:rsidR="00C007D3" w:rsidRDefault="00C007D3" w:rsidP="00C007D3">
      <w:pPr>
        <w:pStyle w:val="Norma1"/>
        <w:spacing w:before="240" w:line="276" w:lineRule="auto"/>
        <w:rPr>
          <w:rFonts w:cs="Arial"/>
        </w:rPr>
      </w:pPr>
      <w:r>
        <w:rPr>
          <w:rFonts w:cs="Arial"/>
          <w:color w:val="000000"/>
        </w:rPr>
        <w:t xml:space="preserve">The CCC is now looking to commission new research on the potential for using bioenergy resources for construction and other non-energy applications. This </w:t>
      </w:r>
      <w:r w:rsidR="0074795D">
        <w:rPr>
          <w:rFonts w:cs="Arial"/>
          <w:color w:val="000000"/>
        </w:rPr>
        <w:t xml:space="preserve">should </w:t>
      </w:r>
      <w:r>
        <w:rPr>
          <w:rFonts w:cs="Arial"/>
          <w:color w:val="000000"/>
        </w:rPr>
        <w:t xml:space="preserve">be based on the latest evidence as well as new analysis undertaken by </w:t>
      </w:r>
      <w:r w:rsidR="004856BA">
        <w:rPr>
          <w:rFonts w:cs="Arial"/>
          <w:color w:val="000000"/>
        </w:rPr>
        <w:t>c</w:t>
      </w:r>
      <w:r>
        <w:rPr>
          <w:rFonts w:cs="Arial"/>
          <w:color w:val="000000"/>
        </w:rPr>
        <w:t>onsultants as part of this project.</w:t>
      </w:r>
      <w:r w:rsidRPr="009B4251">
        <w:rPr>
          <w:rFonts w:cs="Arial"/>
        </w:rPr>
        <w:t xml:space="preserve"> </w:t>
      </w:r>
      <w:r>
        <w:rPr>
          <w:rFonts w:cs="Arial"/>
        </w:rPr>
        <w:t xml:space="preserve">It will be expected to address key knowledge gaps and build on work undertaken by the CCC and Poyry in 2011 as well as more recent research undertaken by others. The project </w:t>
      </w:r>
      <w:r>
        <w:rPr>
          <w:rFonts w:cs="Arial"/>
        </w:rPr>
        <w:lastRenderedPageBreak/>
        <w:t xml:space="preserve">will provide both a </w:t>
      </w:r>
      <w:r w:rsidR="000A3A7B">
        <w:rPr>
          <w:rFonts w:cs="Arial"/>
        </w:rPr>
        <w:t>high-level</w:t>
      </w:r>
      <w:r>
        <w:rPr>
          <w:rFonts w:cs="Arial"/>
        </w:rPr>
        <w:t xml:space="preserve"> economy-wide picture of the development and abatement potential of bio-based product applications across multiple sectors through to 2050, and a detailed ‘deep-dive’ assessment of at least one key application, anticipated to be WIC. </w:t>
      </w:r>
    </w:p>
    <w:p w14:paraId="355C0E14" w14:textId="1A76CACF" w:rsidR="006F3B9D" w:rsidRDefault="006F3B9D" w:rsidP="00C007D3">
      <w:pPr>
        <w:pStyle w:val="Norma1"/>
        <w:spacing w:before="240" w:line="276" w:lineRule="auto"/>
        <w:rPr>
          <w:rFonts w:cs="Arial"/>
        </w:rPr>
      </w:pPr>
      <w:r>
        <w:rPr>
          <w:rFonts w:cs="Arial"/>
        </w:rPr>
        <w:t>In relation to WIC the CCC is looking to explore</w:t>
      </w:r>
      <w:r w:rsidR="00E134F8">
        <w:rPr>
          <w:rFonts w:cs="Arial"/>
        </w:rPr>
        <w:t>, inter-alia,</w:t>
      </w:r>
      <w:r>
        <w:rPr>
          <w:rFonts w:cs="Arial"/>
        </w:rPr>
        <w:t xml:space="preserve"> the following issues through this project:</w:t>
      </w:r>
    </w:p>
    <w:p w14:paraId="645F3ED1" w14:textId="50FB08A0" w:rsidR="00CC0D5E" w:rsidRDefault="00CC0D5E" w:rsidP="00CC0D5E">
      <w:pPr>
        <w:pStyle w:val="Norma1"/>
        <w:numPr>
          <w:ilvl w:val="0"/>
          <w:numId w:val="33"/>
        </w:numPr>
        <w:spacing w:line="276" w:lineRule="auto"/>
        <w:rPr>
          <w:rFonts w:cs="Arial"/>
        </w:rPr>
      </w:pPr>
      <w:r>
        <w:rPr>
          <w:rFonts w:cs="Arial"/>
        </w:rPr>
        <w:t>The current context and future market potential for WIC products in the UK</w:t>
      </w:r>
      <w:r w:rsidR="00E134F8">
        <w:rPr>
          <w:rFonts w:cs="Arial"/>
        </w:rPr>
        <w:t>, taking into account factors such as modern construction methods and high-rise housing</w:t>
      </w:r>
      <w:r w:rsidR="00F632EC">
        <w:rPr>
          <w:rFonts w:cs="Arial"/>
        </w:rPr>
        <w:t>, and current UK supply of WIC feedstocks and manufacture of WIC products;</w:t>
      </w:r>
      <w:r w:rsidR="00E134F8">
        <w:rPr>
          <w:rFonts w:cs="Arial"/>
        </w:rPr>
        <w:t>;</w:t>
      </w:r>
    </w:p>
    <w:p w14:paraId="6C26B38D" w14:textId="691B3F3D" w:rsidR="00397D8B" w:rsidRPr="00CF736C" w:rsidRDefault="00E134F8" w:rsidP="00CF736C">
      <w:pPr>
        <w:pStyle w:val="Norma1"/>
        <w:numPr>
          <w:ilvl w:val="0"/>
          <w:numId w:val="33"/>
        </w:numPr>
        <w:spacing w:line="276" w:lineRule="auto"/>
        <w:rPr>
          <w:rFonts w:cs="Arial"/>
        </w:rPr>
      </w:pPr>
      <w:r>
        <w:rPr>
          <w:rFonts w:cs="Arial"/>
        </w:rPr>
        <w:t xml:space="preserve">The </w:t>
      </w:r>
      <w:r w:rsidRPr="00E83AE9">
        <w:rPr>
          <w:rFonts w:cs="Arial"/>
          <w:bCs/>
        </w:rPr>
        <w:t xml:space="preserve">key drivers, barriers, opportunities and risks associated with </w:t>
      </w:r>
      <w:r>
        <w:rPr>
          <w:rFonts w:cs="Arial"/>
          <w:bCs/>
        </w:rPr>
        <w:t xml:space="preserve">scaling up </w:t>
      </w:r>
      <w:r w:rsidRPr="00E83AE9">
        <w:rPr>
          <w:rFonts w:cs="Arial"/>
          <w:bCs/>
        </w:rPr>
        <w:t>WIC</w:t>
      </w:r>
      <w:r w:rsidR="00D061A3">
        <w:rPr>
          <w:rFonts w:cs="Arial"/>
          <w:bCs/>
        </w:rPr>
        <w:t xml:space="preserve">, including </w:t>
      </w:r>
      <w:r w:rsidR="00D061A3">
        <w:rPr>
          <w:rFonts w:cs="Arial"/>
        </w:rPr>
        <w:t>c</w:t>
      </w:r>
      <w:r w:rsidR="00C376E4" w:rsidRPr="00D061A3">
        <w:rPr>
          <w:rFonts w:cs="Arial"/>
        </w:rPr>
        <w:t>ultural barriers to the use of WIC and how/why this varies across the UK;</w:t>
      </w:r>
    </w:p>
    <w:p w14:paraId="757DADB1" w14:textId="5D9D66C4" w:rsidR="00397D8B" w:rsidRDefault="00397D8B" w:rsidP="00CC0D5E">
      <w:pPr>
        <w:pStyle w:val="Norma1"/>
        <w:numPr>
          <w:ilvl w:val="0"/>
          <w:numId w:val="33"/>
        </w:numPr>
        <w:spacing w:line="276" w:lineRule="auto"/>
        <w:rPr>
          <w:rFonts w:cs="Arial"/>
        </w:rPr>
      </w:pPr>
      <w:r>
        <w:rPr>
          <w:rFonts w:cs="Arial"/>
        </w:rPr>
        <w:t>Feedstock requirements, considering bioenergy feedstocks and higher value bio-feedstocks that would not realistically be used for energy (e.g. high value timber);</w:t>
      </w:r>
    </w:p>
    <w:p w14:paraId="164DED3E" w14:textId="694120CF" w:rsidR="00397D8B" w:rsidRPr="00357238" w:rsidRDefault="00E134F8" w:rsidP="00357238">
      <w:pPr>
        <w:pStyle w:val="Norma1"/>
        <w:numPr>
          <w:ilvl w:val="0"/>
          <w:numId w:val="33"/>
        </w:numPr>
        <w:spacing w:line="276" w:lineRule="auto"/>
        <w:rPr>
          <w:rFonts w:cs="Arial"/>
        </w:rPr>
      </w:pPr>
      <w:r>
        <w:rPr>
          <w:rFonts w:cs="Arial"/>
        </w:rPr>
        <w:t>Potential for UK manufacture of WIC products</w:t>
      </w:r>
      <w:r w:rsidR="00D061A3">
        <w:rPr>
          <w:rFonts w:cs="Arial"/>
        </w:rPr>
        <w:t xml:space="preserve"> (potential supply is covered by a separate</w:t>
      </w:r>
      <w:r w:rsidR="0074795D">
        <w:rPr>
          <w:rFonts w:cs="Arial"/>
        </w:rPr>
        <w:t xml:space="preserve"> CCC</w:t>
      </w:r>
      <w:r w:rsidR="00D061A3">
        <w:rPr>
          <w:rFonts w:cs="Arial"/>
        </w:rPr>
        <w:t xml:space="preserve"> land-use modelling project which is running in parallel</w:t>
      </w:r>
      <w:r w:rsidR="0074795D">
        <w:rPr>
          <w:rFonts w:cs="Arial"/>
        </w:rPr>
        <w:t xml:space="preserve"> and there may be linkages between these two projects that consultants will need to take account of</w:t>
      </w:r>
      <w:r w:rsidR="00D061A3">
        <w:rPr>
          <w:rFonts w:cs="Arial"/>
        </w:rPr>
        <w:t>).</w:t>
      </w:r>
    </w:p>
    <w:p w14:paraId="14670122" w14:textId="77687C61" w:rsidR="00CC0D5E" w:rsidRDefault="00E134F8" w:rsidP="00CC0D5E">
      <w:pPr>
        <w:pStyle w:val="Norma1"/>
        <w:numPr>
          <w:ilvl w:val="0"/>
          <w:numId w:val="33"/>
        </w:numPr>
        <w:spacing w:line="276" w:lineRule="auto"/>
        <w:rPr>
          <w:rFonts w:cs="Arial"/>
        </w:rPr>
      </w:pPr>
      <w:r>
        <w:rPr>
          <w:rFonts w:cs="Arial"/>
        </w:rPr>
        <w:t>Lifecycle GHG emission</w:t>
      </w:r>
      <w:r w:rsidR="00CC0D5E">
        <w:rPr>
          <w:rFonts w:cs="Arial"/>
        </w:rPr>
        <w:t xml:space="preserve"> impacts of different WIC products, </w:t>
      </w:r>
      <w:r w:rsidR="00CC0D5E">
        <w:rPr>
          <w:rFonts w:cs="Arial"/>
        </w:rPr>
        <w:lastRenderedPageBreak/>
        <w:t>taking into account</w:t>
      </w:r>
      <w:r>
        <w:rPr>
          <w:rFonts w:cs="Arial"/>
        </w:rPr>
        <w:t xml:space="preserve"> feedstocks, counterfactuals, product equivalence, product life and end-of-life options;</w:t>
      </w:r>
    </w:p>
    <w:p w14:paraId="02901063" w14:textId="0608F6F4" w:rsidR="00BB0D85" w:rsidRDefault="00BB0D85" w:rsidP="00CC0D5E">
      <w:pPr>
        <w:pStyle w:val="Norma1"/>
        <w:numPr>
          <w:ilvl w:val="0"/>
          <w:numId w:val="33"/>
        </w:numPr>
        <w:spacing w:line="276" w:lineRule="auto"/>
        <w:rPr>
          <w:rFonts w:cs="Arial"/>
        </w:rPr>
      </w:pPr>
      <w:r>
        <w:rPr>
          <w:rFonts w:cs="Arial"/>
        </w:rPr>
        <w:t>A robust understanding of the advantages and disadvantages of substituted products, including material characteristics and functional performance. This should include examination of industry claims that some substituted products offer benefits beyond those normally considered in comparisons with WIC, for example the compressive strength of concrete and steel beams and the thermal mass of cement</w:t>
      </w:r>
      <w:r w:rsidR="003F69C9">
        <w:rPr>
          <w:rFonts w:cs="Arial"/>
        </w:rPr>
        <w:t xml:space="preserve"> -together with the carbon implications</w:t>
      </w:r>
      <w:r>
        <w:rPr>
          <w:rFonts w:cs="Arial"/>
        </w:rPr>
        <w:t>.</w:t>
      </w:r>
      <w:r>
        <w:rPr>
          <w:rStyle w:val="FootnoteReference"/>
          <w:rFonts w:cs="Arial"/>
        </w:rPr>
        <w:footnoteReference w:id="5"/>
      </w:r>
    </w:p>
    <w:p w14:paraId="5B3BFF6C" w14:textId="03529E8D" w:rsidR="00E134F8" w:rsidRDefault="00397D8B" w:rsidP="00CC0D5E">
      <w:pPr>
        <w:pStyle w:val="Norma1"/>
        <w:numPr>
          <w:ilvl w:val="0"/>
          <w:numId w:val="33"/>
        </w:numPr>
        <w:spacing w:line="276" w:lineRule="auto"/>
        <w:rPr>
          <w:rFonts w:cs="Arial"/>
        </w:rPr>
      </w:pPr>
      <w:r>
        <w:rPr>
          <w:rFonts w:cs="Arial"/>
        </w:rPr>
        <w:t>A</w:t>
      </w:r>
      <w:r w:rsidR="00CC0D5E">
        <w:rPr>
          <w:rFonts w:cs="Arial"/>
        </w:rPr>
        <w:t>batement potential of WIC in the UK through to 2050</w:t>
      </w:r>
      <w:r>
        <w:rPr>
          <w:rFonts w:cs="Arial"/>
        </w:rPr>
        <w:t xml:space="preserve"> under different scenarios</w:t>
      </w:r>
      <w:r w:rsidR="00E134F8">
        <w:rPr>
          <w:rFonts w:cs="Arial"/>
        </w:rPr>
        <w:t>;</w:t>
      </w:r>
      <w:r w:rsidR="00373B01" w:rsidRPr="00373B01">
        <w:rPr>
          <w:rStyle w:val="FootnoteReference"/>
          <w:rFonts w:cs="Arial"/>
        </w:rPr>
        <w:t xml:space="preserve"> </w:t>
      </w:r>
      <w:r w:rsidR="00373B01">
        <w:rPr>
          <w:rStyle w:val="FootnoteReference"/>
          <w:rFonts w:cs="Arial"/>
        </w:rPr>
        <w:footnoteReference w:id="6"/>
      </w:r>
    </w:p>
    <w:p w14:paraId="6E83A88D" w14:textId="029486E9" w:rsidR="00CC0D5E" w:rsidRDefault="00373B01" w:rsidP="00CC0D5E">
      <w:pPr>
        <w:pStyle w:val="Norma1"/>
        <w:numPr>
          <w:ilvl w:val="0"/>
          <w:numId w:val="33"/>
        </w:numPr>
        <w:spacing w:line="276" w:lineRule="auto"/>
        <w:rPr>
          <w:rFonts w:cs="Arial"/>
        </w:rPr>
      </w:pPr>
      <w:r>
        <w:rPr>
          <w:rFonts w:cs="Arial"/>
        </w:rPr>
        <w:t xml:space="preserve">The context of </w:t>
      </w:r>
      <w:r w:rsidR="00E134F8">
        <w:rPr>
          <w:rFonts w:cs="Arial"/>
        </w:rPr>
        <w:t>GHG accounting for WIC on</w:t>
      </w:r>
      <w:r w:rsidR="00CC0D5E">
        <w:rPr>
          <w:rFonts w:cs="Arial"/>
        </w:rPr>
        <w:t xml:space="preserve"> production </w:t>
      </w:r>
      <w:r w:rsidR="00E134F8">
        <w:rPr>
          <w:rFonts w:cs="Arial"/>
        </w:rPr>
        <w:t>and</w:t>
      </w:r>
      <w:r w:rsidR="00CC0D5E">
        <w:rPr>
          <w:rFonts w:cs="Arial"/>
        </w:rPr>
        <w:t xml:space="preserve"> consumption</w:t>
      </w:r>
      <w:r w:rsidR="00E134F8">
        <w:rPr>
          <w:rFonts w:cs="Arial"/>
        </w:rPr>
        <w:t xml:space="preserve"> bases, taking into account both displacement of high-carbon products and biogenic storage;</w:t>
      </w:r>
    </w:p>
    <w:p w14:paraId="2794ECEF" w14:textId="65C1AAE1" w:rsidR="006F3B9D" w:rsidRPr="00C376E4" w:rsidRDefault="00E134F8" w:rsidP="00C376E4">
      <w:pPr>
        <w:pStyle w:val="Norma1"/>
        <w:numPr>
          <w:ilvl w:val="0"/>
          <w:numId w:val="33"/>
        </w:numPr>
        <w:spacing w:line="276" w:lineRule="auto"/>
        <w:rPr>
          <w:rFonts w:cs="Arial"/>
        </w:rPr>
      </w:pPr>
      <w:r>
        <w:rPr>
          <w:rFonts w:cs="Arial"/>
        </w:rPr>
        <w:t>Implications for policy (actions for Government and Industry).</w:t>
      </w:r>
    </w:p>
    <w:p w14:paraId="7C0740AE" w14:textId="170846BA" w:rsidR="00C007D3" w:rsidRDefault="00C007D3" w:rsidP="00C007D3">
      <w:pPr>
        <w:pStyle w:val="Norma1"/>
        <w:spacing w:before="240" w:line="276" w:lineRule="auto"/>
        <w:rPr>
          <w:rFonts w:cs="Arial"/>
        </w:rPr>
      </w:pPr>
      <w:r>
        <w:rPr>
          <w:rFonts w:cs="Arial"/>
        </w:rPr>
        <w:lastRenderedPageBreak/>
        <w:t xml:space="preserve">The outputs of this project will feed into the CCC’s wider work under the 2018 Bioenergy Review. Specifically, new findings related to WIC and other bio-based products will inform modelling and analysis to be undertaken by the CCC to identify ‘best uses’ of bioenergy resources across the economy, considering both energy and non-energy applications. </w:t>
      </w:r>
      <w:r w:rsidR="00C376E4">
        <w:rPr>
          <w:rFonts w:cs="Arial"/>
        </w:rPr>
        <w:t xml:space="preserve">The CCC is considering using the Energy Technology Institute’s ESME model to support our analysis in this area. </w:t>
      </w:r>
      <w:r w:rsidR="00397D8B">
        <w:rPr>
          <w:rFonts w:cs="Arial"/>
        </w:rPr>
        <w:t xml:space="preserve">This has two implications for </w:t>
      </w:r>
      <w:r w:rsidR="00373B01">
        <w:rPr>
          <w:rFonts w:cs="Arial"/>
        </w:rPr>
        <w:t>c</w:t>
      </w:r>
      <w:r w:rsidR="00397D8B">
        <w:rPr>
          <w:rFonts w:cs="Arial"/>
        </w:rPr>
        <w:t xml:space="preserve">onsultants </w:t>
      </w:r>
      <w:r w:rsidR="00373B01">
        <w:rPr>
          <w:rFonts w:cs="Arial"/>
        </w:rPr>
        <w:t xml:space="preserve">on </w:t>
      </w:r>
      <w:r w:rsidR="00397D8B">
        <w:rPr>
          <w:rFonts w:cs="Arial"/>
        </w:rPr>
        <w:t>the project:</w:t>
      </w:r>
    </w:p>
    <w:p w14:paraId="7BE8522F" w14:textId="2029459B" w:rsidR="00397D8B" w:rsidRDefault="00397D8B" w:rsidP="00C376E4">
      <w:pPr>
        <w:pStyle w:val="Norma1"/>
        <w:numPr>
          <w:ilvl w:val="0"/>
          <w:numId w:val="35"/>
        </w:numPr>
        <w:spacing w:before="240" w:line="276" w:lineRule="auto"/>
        <w:rPr>
          <w:rFonts w:cs="Arial"/>
        </w:rPr>
      </w:pPr>
      <w:r>
        <w:rPr>
          <w:rFonts w:cs="Arial"/>
        </w:rPr>
        <w:t xml:space="preserve">The CCC will require outputs from the project </w:t>
      </w:r>
      <w:r w:rsidR="00B80F41">
        <w:rPr>
          <w:rFonts w:cs="Arial"/>
        </w:rPr>
        <w:t xml:space="preserve">(Tasks 1 and 2) </w:t>
      </w:r>
      <w:r>
        <w:rPr>
          <w:rFonts w:cs="Arial"/>
        </w:rPr>
        <w:t xml:space="preserve">in </w:t>
      </w:r>
      <w:r w:rsidR="00986FC6">
        <w:rPr>
          <w:rFonts w:cs="Arial"/>
        </w:rPr>
        <w:t>a suitable</w:t>
      </w:r>
      <w:r>
        <w:rPr>
          <w:rFonts w:cs="Arial"/>
        </w:rPr>
        <w:t xml:space="preserve"> format(s) to be used in our best-use </w:t>
      </w:r>
      <w:r w:rsidR="00C376E4">
        <w:rPr>
          <w:rFonts w:cs="Arial"/>
        </w:rPr>
        <w:t>analysis</w:t>
      </w:r>
      <w:r>
        <w:rPr>
          <w:rFonts w:cs="Arial"/>
        </w:rPr>
        <w:t xml:space="preserve"> and compared with other end-use options. For some metrics this may require Consultants to provide a range of figures to reflect uncertainty and </w:t>
      </w:r>
      <w:r w:rsidR="00986FC6">
        <w:rPr>
          <w:rFonts w:cs="Arial"/>
        </w:rPr>
        <w:t>sensitivities</w:t>
      </w:r>
      <w:r>
        <w:rPr>
          <w:rFonts w:cs="Arial"/>
        </w:rPr>
        <w:t>, for example</w:t>
      </w:r>
      <w:r w:rsidR="00986FC6">
        <w:rPr>
          <w:rFonts w:cs="Arial"/>
        </w:rPr>
        <w:t xml:space="preserve"> how</w:t>
      </w:r>
      <w:r>
        <w:rPr>
          <w:rFonts w:cs="Arial"/>
        </w:rPr>
        <w:t xml:space="preserve"> </w:t>
      </w:r>
      <w:r w:rsidR="00986FC6">
        <w:rPr>
          <w:rFonts w:cs="Arial"/>
        </w:rPr>
        <w:t>life-cycle GHG impacts change as a function of product life. The format of outputs required will be discussed and agreed during the project.</w:t>
      </w:r>
      <w:r w:rsidR="00C376E4">
        <w:rPr>
          <w:rFonts w:cs="Arial"/>
        </w:rPr>
        <w:t xml:space="preserve"> These outputs must be finalised and delivered by the end </w:t>
      </w:r>
      <w:r w:rsidR="0074795D">
        <w:rPr>
          <w:rFonts w:cs="Arial"/>
        </w:rPr>
        <w:t>of March 2018</w:t>
      </w:r>
      <w:r w:rsidR="00C376E4">
        <w:rPr>
          <w:rFonts w:cs="Arial"/>
        </w:rPr>
        <w:t xml:space="preserve"> at the latest.</w:t>
      </w:r>
    </w:p>
    <w:p w14:paraId="3D496060" w14:textId="6DDE8316" w:rsidR="00C007D3" w:rsidRPr="00387CC1" w:rsidRDefault="00986FC6" w:rsidP="0057214F">
      <w:pPr>
        <w:pStyle w:val="Norma1"/>
        <w:numPr>
          <w:ilvl w:val="0"/>
          <w:numId w:val="35"/>
        </w:numPr>
        <w:spacing w:before="240" w:line="276" w:lineRule="auto"/>
        <w:rPr>
          <w:rFonts w:cs="Arial"/>
          <w:color w:val="000000"/>
        </w:rPr>
      </w:pPr>
      <w:r>
        <w:rPr>
          <w:rFonts w:cs="Arial"/>
        </w:rPr>
        <w:t xml:space="preserve">The CCC encourages input and suggestions from Consultants </w:t>
      </w:r>
      <w:r w:rsidR="00C376E4">
        <w:rPr>
          <w:rFonts w:cs="Arial"/>
        </w:rPr>
        <w:t xml:space="preserve">on how </w:t>
      </w:r>
      <w:r w:rsidR="004E4E4E">
        <w:rPr>
          <w:rFonts w:cs="Arial"/>
        </w:rPr>
        <w:t>the CCC</w:t>
      </w:r>
      <w:r w:rsidR="00C376E4">
        <w:rPr>
          <w:rFonts w:cs="Arial"/>
        </w:rPr>
        <w:t xml:space="preserve"> could</w:t>
      </w:r>
      <w:r w:rsidR="004E4E4E">
        <w:rPr>
          <w:rFonts w:cs="Arial"/>
        </w:rPr>
        <w:t xml:space="preserve"> incorporate non-energy uses to</w:t>
      </w:r>
      <w:r w:rsidR="00C376E4">
        <w:rPr>
          <w:rFonts w:cs="Arial"/>
        </w:rPr>
        <w:t xml:space="preserve"> undertake its</w:t>
      </w:r>
      <w:r>
        <w:rPr>
          <w:rFonts w:cs="Arial"/>
        </w:rPr>
        <w:t xml:space="preserve"> assessment of best-uses and development of a ‘best-use’ hierarchy. Consultants should consider and </w:t>
      </w:r>
      <w:r>
        <w:rPr>
          <w:rFonts w:cs="Arial"/>
        </w:rPr>
        <w:lastRenderedPageBreak/>
        <w:t xml:space="preserve">identify their proposed approach to this in their tender submission. </w:t>
      </w:r>
    </w:p>
    <w:p w14:paraId="430324CE" w14:textId="77777777" w:rsidR="00C007D3" w:rsidRDefault="00C007D3" w:rsidP="00C007D3">
      <w:pPr>
        <w:spacing w:line="276" w:lineRule="auto"/>
        <w:textAlignment w:val="center"/>
        <w:rPr>
          <w:rFonts w:ascii="Arial" w:eastAsia="Times New Roman" w:hAnsi="Arial" w:cs="Arial"/>
          <w:b/>
          <w:color w:val="000000"/>
          <w:sz w:val="22"/>
          <w:szCs w:val="22"/>
        </w:rPr>
      </w:pPr>
    </w:p>
    <w:p w14:paraId="6AA7DC2F" w14:textId="7A45FA4B" w:rsidR="00C007D3" w:rsidRPr="009B4251" w:rsidRDefault="00865B54" w:rsidP="00C007D3">
      <w:pPr>
        <w:spacing w:line="276" w:lineRule="auto"/>
        <w:textAlignment w:val="center"/>
        <w:rPr>
          <w:rFonts w:ascii="Arial" w:eastAsia="Times New Roman" w:hAnsi="Arial" w:cs="Arial"/>
          <w:b/>
          <w:color w:val="000000"/>
          <w:sz w:val="22"/>
          <w:szCs w:val="22"/>
        </w:rPr>
      </w:pPr>
      <w:r>
        <w:rPr>
          <w:rFonts w:ascii="Arial" w:eastAsia="Times New Roman" w:hAnsi="Arial" w:cs="Arial"/>
          <w:b/>
          <w:color w:val="000000"/>
          <w:sz w:val="22"/>
          <w:szCs w:val="22"/>
        </w:rPr>
        <w:t>The b</w:t>
      </w:r>
      <w:r w:rsidR="00C007D3">
        <w:rPr>
          <w:rFonts w:ascii="Arial" w:eastAsia="Times New Roman" w:hAnsi="Arial" w:cs="Arial"/>
          <w:b/>
          <w:color w:val="000000"/>
          <w:sz w:val="22"/>
          <w:szCs w:val="22"/>
        </w:rPr>
        <w:t>ioeconomy</w:t>
      </w:r>
    </w:p>
    <w:p w14:paraId="44B6DFC0" w14:textId="77777777" w:rsidR="00C007D3" w:rsidRPr="00385AEE" w:rsidRDefault="00C007D3" w:rsidP="00C007D3">
      <w:pPr>
        <w:spacing w:line="276" w:lineRule="auto"/>
        <w:textAlignment w:val="center"/>
        <w:rPr>
          <w:rFonts w:ascii="Arial" w:eastAsia="Times New Roman" w:hAnsi="Arial" w:cs="Arial"/>
          <w:color w:val="000000"/>
          <w:sz w:val="22"/>
          <w:szCs w:val="22"/>
        </w:rPr>
      </w:pPr>
    </w:p>
    <w:p w14:paraId="36B29913" w14:textId="3AD6F376" w:rsidR="00C007D3" w:rsidRDefault="00C007D3" w:rsidP="00C007D3">
      <w:pPr>
        <w:pStyle w:val="Norma1"/>
        <w:spacing w:line="276" w:lineRule="auto"/>
        <w:rPr>
          <w:rFonts w:cs="Arial"/>
          <w:bCs/>
          <w:lang w:eastAsia="en-US"/>
        </w:rPr>
      </w:pPr>
      <w:r>
        <w:rPr>
          <w:rFonts w:cs="Arial"/>
          <w:bCs/>
          <w:lang w:eastAsia="en-US"/>
        </w:rPr>
        <w:t xml:space="preserve">Since 2011 there has been substantial </w:t>
      </w:r>
      <w:r w:rsidR="00865B54">
        <w:rPr>
          <w:rFonts w:cs="Arial"/>
          <w:bCs/>
          <w:lang w:eastAsia="en-US"/>
        </w:rPr>
        <w:t>interest in the concept of the b</w:t>
      </w:r>
      <w:r>
        <w:rPr>
          <w:rFonts w:cs="Arial"/>
          <w:bCs/>
          <w:lang w:eastAsia="en-US"/>
        </w:rPr>
        <w:t>ioeconomy, defined in a recent consultation by the UK Government as:</w:t>
      </w:r>
    </w:p>
    <w:p w14:paraId="7CA73CF3" w14:textId="77777777" w:rsidR="00C007D3" w:rsidRDefault="00C007D3" w:rsidP="00C007D3">
      <w:pPr>
        <w:spacing w:before="240" w:line="276" w:lineRule="auto"/>
        <w:ind w:left="284" w:right="521"/>
        <w:rPr>
          <w:rFonts w:ascii="Arial" w:eastAsia="Times New Roman" w:hAnsi="Arial" w:cs="Arial"/>
          <w:i/>
          <w:color w:val="000000"/>
          <w:sz w:val="22"/>
          <w:szCs w:val="22"/>
        </w:rPr>
      </w:pPr>
      <w:r>
        <w:rPr>
          <w:rFonts w:ascii="Arial" w:eastAsia="Times New Roman" w:hAnsi="Arial" w:cs="Arial"/>
          <w:i/>
          <w:color w:val="000000"/>
          <w:sz w:val="22"/>
          <w:szCs w:val="22"/>
        </w:rPr>
        <w:t>T</w:t>
      </w:r>
      <w:r w:rsidRPr="00434469">
        <w:rPr>
          <w:rFonts w:ascii="Arial" w:eastAsia="Times New Roman" w:hAnsi="Arial" w:cs="Arial"/>
          <w:i/>
          <w:color w:val="000000"/>
          <w:sz w:val="22"/>
          <w:szCs w:val="22"/>
        </w:rPr>
        <w:t>he economic opportunity of using biology to help solve challenges we face in agriculture, energy, health and more, which has the potential to deliver economic, environmental and social benefits to the UK</w:t>
      </w:r>
      <w:r>
        <w:rPr>
          <w:rFonts w:ascii="Arial" w:eastAsia="Times New Roman" w:hAnsi="Arial" w:cs="Arial"/>
          <w:i/>
          <w:color w:val="000000"/>
          <w:sz w:val="22"/>
          <w:szCs w:val="22"/>
        </w:rPr>
        <w:t xml:space="preserve">… </w:t>
      </w:r>
      <w:r w:rsidRPr="00434469">
        <w:rPr>
          <w:rFonts w:ascii="Arial" w:eastAsia="Times New Roman" w:hAnsi="Arial" w:cs="Arial"/>
          <w:i/>
          <w:color w:val="000000"/>
          <w:sz w:val="22"/>
          <w:szCs w:val="22"/>
        </w:rPr>
        <w:t>The bioeconomy includes all economic activity derived from bio-based products and processes. These have the potential to contribute to sustainable and resource efficient solutions to the challenges we face in food, chemicals, materials, energy production, health and environmental protection.</w:t>
      </w:r>
      <w:r>
        <w:rPr>
          <w:rStyle w:val="FootnoteReference"/>
          <w:rFonts w:ascii="Arial" w:eastAsia="Times New Roman" w:hAnsi="Arial" w:cs="Arial"/>
          <w:i/>
          <w:color w:val="000000"/>
          <w:sz w:val="22"/>
          <w:szCs w:val="22"/>
        </w:rPr>
        <w:footnoteReference w:id="7"/>
      </w:r>
    </w:p>
    <w:p w14:paraId="078EEBC2" w14:textId="77777777" w:rsidR="00992ADD" w:rsidRDefault="00992ADD" w:rsidP="00992ADD">
      <w:pPr>
        <w:spacing w:before="240" w:line="276" w:lineRule="auto"/>
        <w:ind w:right="521"/>
        <w:rPr>
          <w:rFonts w:ascii="Arial" w:eastAsia="Times New Roman" w:hAnsi="Arial" w:cs="Arial"/>
          <w:color w:val="000000"/>
          <w:sz w:val="22"/>
          <w:szCs w:val="22"/>
        </w:rPr>
      </w:pPr>
      <w:r>
        <w:rPr>
          <w:rFonts w:ascii="Arial" w:eastAsia="Times New Roman" w:hAnsi="Arial" w:cs="Arial"/>
          <w:color w:val="000000"/>
          <w:sz w:val="22"/>
          <w:szCs w:val="22"/>
        </w:rPr>
        <w:t xml:space="preserve">Recent work commissioned by the Biotechnology and Biological Sciences Research Council (BBSRC) has provided an assessment of the UK’s bioeconomy covering sectors such as </w:t>
      </w:r>
      <w:r>
        <w:rPr>
          <w:rFonts w:ascii="Arial" w:eastAsia="Times New Roman" w:hAnsi="Arial" w:cs="Arial"/>
          <w:color w:val="000000"/>
          <w:sz w:val="22"/>
          <w:szCs w:val="22"/>
        </w:rPr>
        <w:lastRenderedPageBreak/>
        <w:t>construction, agriculture, forestry, industrial biotechnology, bioenergy and food and beverage products. The BBSRC study concluded that in 2014</w:t>
      </w:r>
      <w:r w:rsidRPr="00491BDD">
        <w:rPr>
          <w:rFonts w:ascii="Arial" w:eastAsia="Times New Roman" w:hAnsi="Arial" w:cs="Arial"/>
          <w:color w:val="000000"/>
          <w:sz w:val="22"/>
          <w:szCs w:val="22"/>
        </w:rPr>
        <w:t xml:space="preserve"> </w:t>
      </w:r>
      <w:r>
        <w:rPr>
          <w:rFonts w:ascii="Arial" w:eastAsia="Times New Roman" w:hAnsi="Arial" w:cs="Arial"/>
          <w:color w:val="000000"/>
          <w:sz w:val="22"/>
          <w:szCs w:val="22"/>
        </w:rPr>
        <w:t>the bioeconomy generated £220bn in GVA for the UK, 13% of total national GVA, and that the UK is one of the leading countries in bioeconomy innovations.</w:t>
      </w:r>
      <w:r>
        <w:rPr>
          <w:rStyle w:val="FootnoteReference"/>
          <w:rFonts w:ascii="Arial" w:eastAsia="Times New Roman" w:hAnsi="Arial" w:cs="Arial"/>
          <w:color w:val="000000"/>
          <w:sz w:val="22"/>
          <w:szCs w:val="22"/>
        </w:rPr>
        <w:footnoteReference w:id="8"/>
      </w:r>
      <w:r>
        <w:rPr>
          <w:rFonts w:ascii="Arial" w:eastAsia="Times New Roman" w:hAnsi="Arial" w:cs="Arial"/>
          <w:color w:val="000000"/>
          <w:sz w:val="22"/>
          <w:szCs w:val="22"/>
        </w:rPr>
        <w:t xml:space="preserve"> </w:t>
      </w:r>
    </w:p>
    <w:p w14:paraId="36DA2852" w14:textId="7BC76E8F" w:rsidR="00C007D3" w:rsidRDefault="00C007D3" w:rsidP="00C007D3">
      <w:pPr>
        <w:spacing w:before="240" w:line="276" w:lineRule="auto"/>
        <w:ind w:right="521"/>
        <w:rPr>
          <w:rFonts w:ascii="Arial" w:eastAsia="Times New Roman" w:hAnsi="Arial" w:cs="Arial"/>
          <w:color w:val="000000"/>
          <w:sz w:val="22"/>
          <w:szCs w:val="22"/>
        </w:rPr>
      </w:pPr>
      <w:r>
        <w:rPr>
          <w:rFonts w:ascii="Arial" w:eastAsia="Times New Roman" w:hAnsi="Arial" w:cs="Arial"/>
          <w:color w:val="000000"/>
          <w:sz w:val="22"/>
          <w:szCs w:val="22"/>
        </w:rPr>
        <w:t>The Government is planning to publish its Bioeconomy Strategy early in 2018, and the CCC understands that further measures are planned to take this forward in 2018, potentially including further analysis and joint Government-Industry activities.</w:t>
      </w:r>
      <w:r w:rsidR="005B46A3">
        <w:rPr>
          <w:rFonts w:ascii="Arial" w:eastAsia="Times New Roman" w:hAnsi="Arial" w:cs="Arial"/>
          <w:color w:val="000000"/>
          <w:sz w:val="22"/>
          <w:szCs w:val="22"/>
        </w:rPr>
        <w:t xml:space="preserve"> </w:t>
      </w:r>
      <w:r w:rsidR="00373B01">
        <w:rPr>
          <w:rFonts w:ascii="Arial" w:eastAsia="Times New Roman" w:hAnsi="Arial" w:cs="Arial"/>
          <w:color w:val="000000"/>
          <w:sz w:val="22"/>
          <w:szCs w:val="22"/>
        </w:rPr>
        <w:t xml:space="preserve">The </w:t>
      </w:r>
      <w:r w:rsidR="005B46A3">
        <w:rPr>
          <w:rFonts w:ascii="Arial" w:eastAsia="Times New Roman" w:hAnsi="Arial" w:cs="Arial"/>
          <w:color w:val="000000"/>
          <w:sz w:val="22"/>
          <w:szCs w:val="22"/>
        </w:rPr>
        <w:t>Bioeconomy Strategy will identify opportunities for growth in bioeconomy sectors beyond those described in the BBSRC study. This should be taken into account by Consultants undertaking this project.</w:t>
      </w:r>
    </w:p>
    <w:p w14:paraId="28AB4E2C" w14:textId="77777777" w:rsidR="0029731C" w:rsidRDefault="0029731C" w:rsidP="00C007D3">
      <w:pPr>
        <w:pStyle w:val="Norma1"/>
        <w:spacing w:line="276" w:lineRule="auto"/>
        <w:rPr>
          <w:rFonts w:cs="Arial"/>
        </w:rPr>
      </w:pPr>
    </w:p>
    <w:p w14:paraId="30EC2AB5" w14:textId="37379D16" w:rsidR="00EC1B4A" w:rsidRDefault="00C007D3" w:rsidP="00C007D3">
      <w:pPr>
        <w:pStyle w:val="Norma1"/>
        <w:spacing w:line="276" w:lineRule="auto"/>
        <w:rPr>
          <w:rFonts w:cs="Arial"/>
        </w:rPr>
      </w:pPr>
      <w:r>
        <w:rPr>
          <w:rFonts w:cs="Arial"/>
        </w:rPr>
        <w:t xml:space="preserve">The CCC is interested in </w:t>
      </w:r>
      <w:r w:rsidR="00C376E4">
        <w:rPr>
          <w:rFonts w:cs="Arial"/>
        </w:rPr>
        <w:t xml:space="preserve">understanding non-energy uses of bioenergy feedstocks within </w:t>
      </w:r>
      <w:r>
        <w:rPr>
          <w:rFonts w:cs="Arial"/>
        </w:rPr>
        <w:t>a high-level exploration of the bioeconomy concept, particularly in terms of how different future development pathways for the bioeconomy might impact on bioenergy resources and GHG abatement.</w:t>
      </w:r>
      <w:r w:rsidR="005E3BB2" w:rsidRPr="005E3BB2">
        <w:rPr>
          <w:rFonts w:cs="Arial"/>
        </w:rPr>
        <w:t xml:space="preserve"> </w:t>
      </w:r>
    </w:p>
    <w:p w14:paraId="38D19AF7" w14:textId="77777777" w:rsidR="00802D38" w:rsidRDefault="00802D38" w:rsidP="00C007D3">
      <w:pPr>
        <w:pStyle w:val="Norma1"/>
        <w:spacing w:line="276" w:lineRule="auto"/>
        <w:rPr>
          <w:rFonts w:cs="Arial"/>
        </w:rPr>
      </w:pPr>
    </w:p>
    <w:p w14:paraId="5EA8755A" w14:textId="43217C9F" w:rsidR="00FE1227" w:rsidRPr="009D3372" w:rsidRDefault="00016416" w:rsidP="0057214F">
      <w:pPr>
        <w:pStyle w:val="Heading1"/>
        <w:numPr>
          <w:ilvl w:val="0"/>
          <w:numId w:val="1"/>
        </w:numPr>
        <w:jc w:val="both"/>
        <w:rPr>
          <w:rFonts w:ascii="Arial" w:hAnsi="Arial" w:cs="Arial"/>
          <w:sz w:val="22"/>
          <w:szCs w:val="22"/>
        </w:rPr>
      </w:pPr>
      <w:bookmarkStart w:id="9" w:name="_Ref357535689"/>
      <w:bookmarkStart w:id="10" w:name="_Toc381969508"/>
      <w:bookmarkStart w:id="11" w:name="_Toc405888457"/>
      <w:bookmarkStart w:id="12" w:name="_Toc500501840"/>
      <w:r w:rsidRPr="009D3372">
        <w:rPr>
          <w:rFonts w:ascii="Arial" w:hAnsi="Arial" w:cs="Arial"/>
          <w:sz w:val="22"/>
          <w:szCs w:val="22"/>
        </w:rPr>
        <w:lastRenderedPageBreak/>
        <w:t xml:space="preserve">Aims </w:t>
      </w:r>
      <w:bookmarkEnd w:id="9"/>
      <w:bookmarkEnd w:id="10"/>
      <w:bookmarkEnd w:id="11"/>
      <w:r w:rsidR="00216ACB">
        <w:rPr>
          <w:rFonts w:ascii="Arial" w:hAnsi="Arial" w:cs="Arial"/>
          <w:sz w:val="22"/>
          <w:szCs w:val="22"/>
        </w:rPr>
        <w:t>of the project</w:t>
      </w:r>
      <w:bookmarkEnd w:id="12"/>
    </w:p>
    <w:p w14:paraId="19343453" w14:textId="77777777" w:rsidR="00DD521A" w:rsidRDefault="00DD521A" w:rsidP="00DD521A">
      <w:pPr>
        <w:pStyle w:val="Norma1"/>
        <w:rPr>
          <w:rFonts w:cs="Arial"/>
        </w:rPr>
      </w:pPr>
    </w:p>
    <w:p w14:paraId="663A0111" w14:textId="55804E6F" w:rsidR="00ED7CA4" w:rsidRDefault="00EE1EA3" w:rsidP="00EE1EA3">
      <w:pPr>
        <w:pStyle w:val="Norma1"/>
        <w:rPr>
          <w:rFonts w:cs="Arial"/>
        </w:rPr>
      </w:pPr>
      <w:r w:rsidRPr="00EE1EA3">
        <w:rPr>
          <w:rFonts w:cs="Arial"/>
        </w:rPr>
        <w:t xml:space="preserve">The project has </w:t>
      </w:r>
      <w:r w:rsidR="00EE03D5">
        <w:rPr>
          <w:rFonts w:cs="Arial"/>
        </w:rPr>
        <w:t>three</w:t>
      </w:r>
      <w:r w:rsidRPr="00EE1EA3">
        <w:rPr>
          <w:rFonts w:cs="Arial"/>
        </w:rPr>
        <w:t xml:space="preserve"> main aims:</w:t>
      </w:r>
    </w:p>
    <w:p w14:paraId="6218CECE" w14:textId="041665A5" w:rsidR="00ED7CA4" w:rsidRPr="00851447" w:rsidRDefault="00176E0C" w:rsidP="00B16E13">
      <w:pPr>
        <w:numPr>
          <w:ilvl w:val="0"/>
          <w:numId w:val="22"/>
        </w:numPr>
        <w:spacing w:before="240" w:after="120" w:line="276" w:lineRule="auto"/>
        <w:rPr>
          <w:rFonts w:ascii="Arial" w:hAnsi="Arial" w:cs="Arial"/>
          <w:sz w:val="22"/>
        </w:rPr>
      </w:pPr>
      <w:r>
        <w:rPr>
          <w:rFonts w:ascii="Arial" w:hAnsi="Arial" w:cs="Arial"/>
          <w:b/>
          <w:sz w:val="22"/>
        </w:rPr>
        <w:t xml:space="preserve">Understand the context and broad potential for </w:t>
      </w:r>
      <w:r w:rsidR="00851447">
        <w:rPr>
          <w:rFonts w:ascii="Arial" w:hAnsi="Arial" w:cs="Arial"/>
          <w:b/>
          <w:sz w:val="22"/>
        </w:rPr>
        <w:t>increasing the</w:t>
      </w:r>
      <w:r>
        <w:rPr>
          <w:rFonts w:ascii="Arial" w:hAnsi="Arial" w:cs="Arial"/>
          <w:b/>
          <w:sz w:val="22"/>
        </w:rPr>
        <w:t xml:space="preserve"> use of bio-energy resources for non-energy applications in the UK through to 2050</w:t>
      </w:r>
      <w:r w:rsidR="00ED7CA4">
        <w:rPr>
          <w:rFonts w:ascii="Arial" w:hAnsi="Arial" w:cs="Arial"/>
          <w:sz w:val="22"/>
        </w:rPr>
        <w:t xml:space="preserve">. </w:t>
      </w:r>
      <w:r w:rsidR="00971B8B">
        <w:rPr>
          <w:rFonts w:ascii="Arial" w:hAnsi="Arial" w:cs="Arial"/>
          <w:sz w:val="22"/>
        </w:rPr>
        <w:t>A</w:t>
      </w:r>
      <w:r w:rsidR="00851447">
        <w:rPr>
          <w:rFonts w:ascii="Arial" w:hAnsi="Arial" w:cs="Arial"/>
          <w:sz w:val="22"/>
        </w:rPr>
        <w:t xml:space="preserve"> h</w:t>
      </w:r>
      <w:r w:rsidR="007906FE" w:rsidRPr="00176E0C">
        <w:rPr>
          <w:rFonts w:ascii="Arial" w:hAnsi="Arial" w:cs="Arial"/>
          <w:sz w:val="22"/>
        </w:rPr>
        <w:t xml:space="preserve">igh-level investigation </w:t>
      </w:r>
      <w:r>
        <w:rPr>
          <w:rFonts w:ascii="Arial" w:hAnsi="Arial" w:cs="Arial"/>
          <w:sz w:val="22"/>
        </w:rPr>
        <w:t>into</w:t>
      </w:r>
      <w:r w:rsidR="00ED7CA4" w:rsidRPr="00176E0C">
        <w:rPr>
          <w:rFonts w:ascii="Arial" w:hAnsi="Arial" w:cs="Arial"/>
          <w:sz w:val="22"/>
        </w:rPr>
        <w:t xml:space="preserve"> non-energy applications </w:t>
      </w:r>
      <w:r w:rsidR="00851447">
        <w:rPr>
          <w:rFonts w:ascii="Arial" w:hAnsi="Arial" w:cs="Arial"/>
          <w:sz w:val="22"/>
        </w:rPr>
        <w:t xml:space="preserve">of bio-feedstocks </w:t>
      </w:r>
      <w:r w:rsidR="00ED7CA4" w:rsidRPr="00176E0C">
        <w:rPr>
          <w:rFonts w:ascii="Arial" w:hAnsi="Arial" w:cs="Arial"/>
          <w:sz w:val="22"/>
        </w:rPr>
        <w:t>such as wood in construction</w:t>
      </w:r>
      <w:r w:rsidR="00AE3B37" w:rsidRPr="00176E0C">
        <w:rPr>
          <w:rFonts w:ascii="Arial" w:hAnsi="Arial" w:cs="Arial"/>
          <w:sz w:val="22"/>
        </w:rPr>
        <w:t xml:space="preserve"> (WIC)</w:t>
      </w:r>
      <w:r w:rsidR="00ED7CA4" w:rsidRPr="00176E0C">
        <w:rPr>
          <w:rFonts w:ascii="Arial" w:hAnsi="Arial" w:cs="Arial"/>
          <w:sz w:val="22"/>
        </w:rPr>
        <w:t>, bio</w:t>
      </w:r>
      <w:r w:rsidR="007906FE" w:rsidRPr="00176E0C">
        <w:rPr>
          <w:rFonts w:ascii="Arial" w:hAnsi="Arial" w:cs="Arial"/>
          <w:sz w:val="22"/>
        </w:rPr>
        <w:t xml:space="preserve">-based </w:t>
      </w:r>
      <w:r w:rsidR="00ED7CA4" w:rsidRPr="00176E0C">
        <w:rPr>
          <w:rFonts w:ascii="Arial" w:hAnsi="Arial" w:cs="Arial"/>
          <w:sz w:val="22"/>
        </w:rPr>
        <w:t>plastics, bio</w:t>
      </w:r>
      <w:r w:rsidR="007906FE" w:rsidRPr="00176E0C">
        <w:rPr>
          <w:rFonts w:ascii="Arial" w:hAnsi="Arial" w:cs="Arial"/>
          <w:sz w:val="22"/>
        </w:rPr>
        <w:t xml:space="preserve">-based </w:t>
      </w:r>
      <w:r w:rsidR="00ED7CA4" w:rsidRPr="00176E0C">
        <w:rPr>
          <w:rFonts w:ascii="Arial" w:hAnsi="Arial" w:cs="Arial"/>
          <w:sz w:val="22"/>
        </w:rPr>
        <w:t xml:space="preserve">chemicals and other </w:t>
      </w:r>
      <w:r w:rsidR="00971B8B">
        <w:rPr>
          <w:rFonts w:ascii="Arial" w:hAnsi="Arial" w:cs="Arial"/>
          <w:sz w:val="22"/>
        </w:rPr>
        <w:t xml:space="preserve">uses </w:t>
      </w:r>
      <w:r w:rsidR="007906FE" w:rsidRPr="00176E0C">
        <w:rPr>
          <w:rFonts w:ascii="Arial" w:hAnsi="Arial" w:cs="Arial"/>
          <w:sz w:val="22"/>
        </w:rPr>
        <w:t>associated with</w:t>
      </w:r>
      <w:r w:rsidR="00ED7CA4" w:rsidRPr="00176E0C">
        <w:rPr>
          <w:rFonts w:ascii="Arial" w:hAnsi="Arial" w:cs="Arial"/>
          <w:sz w:val="22"/>
        </w:rPr>
        <w:t xml:space="preserve"> the</w:t>
      </w:r>
      <w:r w:rsidR="007906FE" w:rsidRPr="00176E0C">
        <w:rPr>
          <w:rFonts w:ascii="Arial" w:hAnsi="Arial" w:cs="Arial"/>
          <w:sz w:val="22"/>
        </w:rPr>
        <w:t xml:space="preserve"> ‘</w:t>
      </w:r>
      <w:r w:rsidR="00ED7CA4" w:rsidRPr="00176E0C">
        <w:rPr>
          <w:rFonts w:ascii="Arial" w:hAnsi="Arial" w:cs="Arial"/>
          <w:sz w:val="22"/>
        </w:rPr>
        <w:t>bioeconomy</w:t>
      </w:r>
      <w:r w:rsidR="007906FE" w:rsidRPr="00176E0C">
        <w:rPr>
          <w:rFonts w:ascii="Arial" w:hAnsi="Arial" w:cs="Arial"/>
          <w:sz w:val="22"/>
        </w:rPr>
        <w:t>’</w:t>
      </w:r>
      <w:r w:rsidR="00971B8B">
        <w:rPr>
          <w:rFonts w:ascii="Arial" w:hAnsi="Arial" w:cs="Arial"/>
          <w:sz w:val="22"/>
        </w:rPr>
        <w:t>.</w:t>
      </w:r>
      <w:r w:rsidR="008A4D38">
        <w:rPr>
          <w:rFonts w:ascii="Arial" w:hAnsi="Arial" w:cs="Arial"/>
          <w:sz w:val="22"/>
        </w:rPr>
        <w:t xml:space="preserve"> Consideration of the current situation and future potential.</w:t>
      </w:r>
      <w:r w:rsidR="00971B8B">
        <w:rPr>
          <w:rFonts w:ascii="Arial" w:hAnsi="Arial" w:cs="Arial"/>
          <w:sz w:val="22"/>
        </w:rPr>
        <w:t xml:space="preserve"> </w:t>
      </w:r>
      <w:r w:rsidR="00AE3B37" w:rsidRPr="00851447">
        <w:rPr>
          <w:rFonts w:ascii="Arial" w:hAnsi="Arial" w:cs="Arial"/>
          <w:sz w:val="22"/>
        </w:rPr>
        <w:t>B</w:t>
      </w:r>
      <w:r w:rsidR="00A127C6" w:rsidRPr="00851447">
        <w:rPr>
          <w:rFonts w:ascii="Arial" w:hAnsi="Arial" w:cs="Arial"/>
          <w:sz w:val="22"/>
        </w:rPr>
        <w:t xml:space="preserve">road quantification of </w:t>
      </w:r>
      <w:r w:rsidR="00971B8B" w:rsidRPr="00851447">
        <w:rPr>
          <w:rFonts w:ascii="Arial" w:hAnsi="Arial" w:cs="Arial"/>
          <w:sz w:val="22"/>
        </w:rPr>
        <w:t xml:space="preserve">feedstock requirements and </w:t>
      </w:r>
      <w:r w:rsidR="00A127C6" w:rsidRPr="008A4D38">
        <w:rPr>
          <w:rFonts w:ascii="Arial" w:hAnsi="Arial" w:cs="Arial"/>
          <w:sz w:val="22"/>
        </w:rPr>
        <w:t xml:space="preserve">GHG abatement potential </w:t>
      </w:r>
      <w:r w:rsidR="00A127C6" w:rsidRPr="00B16E13">
        <w:rPr>
          <w:rFonts w:ascii="Arial" w:hAnsi="Arial" w:cs="Arial"/>
          <w:sz w:val="22"/>
        </w:rPr>
        <w:t xml:space="preserve">at the product and economy-wide levels. </w:t>
      </w:r>
      <w:r w:rsidR="00F45ED8" w:rsidRPr="00C73F4A">
        <w:rPr>
          <w:rFonts w:ascii="Arial" w:hAnsi="Arial" w:cs="Arial"/>
          <w:sz w:val="22"/>
        </w:rPr>
        <w:t>The focus should be on products with significant GHG abatement potential – in some cases (e.g. WIC) this will include feedstocks which may not typically be used for energy, such as high-value timber.</w:t>
      </w:r>
      <w:r w:rsidR="00C73F4A" w:rsidRPr="0057214F">
        <w:rPr>
          <w:rFonts w:ascii="Arial" w:hAnsi="Arial" w:cs="Arial"/>
          <w:sz w:val="22"/>
        </w:rPr>
        <w:t xml:space="preserve"> Consultants should identify implications for bioenergy and trade-offs/opportunities between non-energy applications.</w:t>
      </w:r>
    </w:p>
    <w:p w14:paraId="1D6F0830" w14:textId="4FC5F490" w:rsidR="00ED7CA4" w:rsidRPr="00AE3B37" w:rsidRDefault="008A4D38" w:rsidP="00E83AE9">
      <w:pPr>
        <w:numPr>
          <w:ilvl w:val="0"/>
          <w:numId w:val="22"/>
        </w:numPr>
        <w:spacing w:before="240" w:after="120" w:line="276" w:lineRule="auto"/>
        <w:rPr>
          <w:rFonts w:ascii="Arial" w:hAnsi="Arial" w:cs="Arial"/>
          <w:sz w:val="22"/>
        </w:rPr>
      </w:pPr>
      <w:r>
        <w:rPr>
          <w:rFonts w:ascii="Arial" w:hAnsi="Arial" w:cs="Arial"/>
          <w:b/>
          <w:bCs/>
          <w:sz w:val="22"/>
        </w:rPr>
        <w:t>Develop</w:t>
      </w:r>
      <w:r>
        <w:rPr>
          <w:rFonts w:ascii="Arial" w:hAnsi="Arial" w:cs="Arial"/>
          <w:b/>
          <w:color w:val="1F497D"/>
          <w:sz w:val="22"/>
          <w:szCs w:val="22"/>
        </w:rPr>
        <w:t xml:space="preserve"> </w:t>
      </w:r>
      <w:r w:rsidRPr="00B16E13">
        <w:rPr>
          <w:rFonts w:ascii="Arial" w:hAnsi="Arial" w:cs="Arial"/>
          <w:b/>
          <w:sz w:val="22"/>
          <w:szCs w:val="22"/>
        </w:rPr>
        <w:t>an in-depth understanding of the current market for wood in construction</w:t>
      </w:r>
      <w:r w:rsidR="00F36E90">
        <w:rPr>
          <w:rFonts w:ascii="Arial" w:hAnsi="Arial" w:cs="Arial"/>
          <w:b/>
          <w:sz w:val="22"/>
          <w:szCs w:val="22"/>
        </w:rPr>
        <w:t xml:space="preserve"> in the UK</w:t>
      </w:r>
      <w:r w:rsidRPr="00B16E13">
        <w:rPr>
          <w:rFonts w:ascii="Arial" w:hAnsi="Arial" w:cs="Arial"/>
          <w:b/>
          <w:sz w:val="22"/>
          <w:szCs w:val="22"/>
        </w:rPr>
        <w:t xml:space="preserve">, how this could develop </w:t>
      </w:r>
      <w:r>
        <w:rPr>
          <w:rFonts w:ascii="Arial" w:hAnsi="Arial" w:cs="Arial"/>
          <w:b/>
          <w:sz w:val="22"/>
          <w:szCs w:val="22"/>
        </w:rPr>
        <w:t>through to 2050</w:t>
      </w:r>
      <w:r w:rsidRPr="00B16E13">
        <w:rPr>
          <w:rFonts w:ascii="Arial" w:hAnsi="Arial" w:cs="Arial"/>
          <w:b/>
          <w:sz w:val="22"/>
          <w:szCs w:val="22"/>
        </w:rPr>
        <w:t xml:space="preserve">, and the </w:t>
      </w:r>
      <w:r w:rsidR="00B16E13">
        <w:rPr>
          <w:rFonts w:ascii="Arial" w:hAnsi="Arial" w:cs="Arial"/>
          <w:b/>
          <w:sz w:val="22"/>
          <w:szCs w:val="22"/>
        </w:rPr>
        <w:t>implications for</w:t>
      </w:r>
      <w:r w:rsidRPr="00B16E13">
        <w:rPr>
          <w:rFonts w:ascii="Arial" w:hAnsi="Arial" w:cs="Arial"/>
          <w:b/>
          <w:sz w:val="22"/>
          <w:szCs w:val="22"/>
        </w:rPr>
        <w:t xml:space="preserve"> GHG abatement</w:t>
      </w:r>
      <w:r w:rsidR="00AE3B37" w:rsidRPr="00B16E13">
        <w:rPr>
          <w:rFonts w:ascii="Arial" w:hAnsi="Arial" w:cs="Arial"/>
          <w:b/>
          <w:bCs/>
          <w:sz w:val="22"/>
        </w:rPr>
        <w:t xml:space="preserve">. </w:t>
      </w:r>
      <w:r w:rsidR="00B16E13" w:rsidRPr="00B16E13">
        <w:rPr>
          <w:rFonts w:ascii="Arial" w:hAnsi="Arial" w:cs="Arial"/>
          <w:bCs/>
          <w:sz w:val="22"/>
        </w:rPr>
        <w:t>This detailed</w:t>
      </w:r>
      <w:r w:rsidR="00B16E13">
        <w:rPr>
          <w:rFonts w:ascii="Arial" w:hAnsi="Arial" w:cs="Arial"/>
          <w:bCs/>
          <w:sz w:val="22"/>
        </w:rPr>
        <w:t xml:space="preserve"> ‘deep-dive’ assessment will </w:t>
      </w:r>
      <w:r w:rsidR="00324C83">
        <w:rPr>
          <w:rFonts w:ascii="Arial" w:hAnsi="Arial" w:cs="Arial"/>
          <w:bCs/>
          <w:sz w:val="22"/>
        </w:rPr>
        <w:t>include both</w:t>
      </w:r>
      <w:r w:rsidR="00B16E13">
        <w:rPr>
          <w:rFonts w:ascii="Arial" w:hAnsi="Arial" w:cs="Arial"/>
          <w:bCs/>
          <w:sz w:val="22"/>
        </w:rPr>
        <w:t xml:space="preserve"> quantitative</w:t>
      </w:r>
      <w:r w:rsidR="00324C83">
        <w:rPr>
          <w:rFonts w:ascii="Arial" w:hAnsi="Arial" w:cs="Arial"/>
          <w:bCs/>
          <w:sz w:val="22"/>
        </w:rPr>
        <w:t xml:space="preserve"> and qualitative</w:t>
      </w:r>
      <w:r w:rsidR="00B16E13">
        <w:rPr>
          <w:rFonts w:ascii="Arial" w:hAnsi="Arial" w:cs="Arial"/>
          <w:bCs/>
          <w:sz w:val="22"/>
        </w:rPr>
        <w:t xml:space="preserve"> </w:t>
      </w:r>
      <w:r w:rsidR="00324C83">
        <w:rPr>
          <w:rFonts w:ascii="Arial" w:hAnsi="Arial" w:cs="Arial"/>
          <w:bCs/>
          <w:sz w:val="22"/>
        </w:rPr>
        <w:t>analysis.</w:t>
      </w:r>
      <w:r w:rsidR="00763F47" w:rsidRPr="00763F47">
        <w:rPr>
          <w:rFonts w:ascii="Arial" w:hAnsi="Arial" w:cs="Arial"/>
          <w:sz w:val="22"/>
        </w:rPr>
        <w:t xml:space="preserve"> </w:t>
      </w:r>
      <w:r w:rsidR="00763F47" w:rsidRPr="00B16E13">
        <w:rPr>
          <w:rFonts w:ascii="Arial" w:hAnsi="Arial" w:cs="Arial"/>
          <w:sz w:val="22"/>
        </w:rPr>
        <w:t xml:space="preserve">Consultants </w:t>
      </w:r>
      <w:r w:rsidR="00763F47" w:rsidRPr="00B16E13">
        <w:rPr>
          <w:rFonts w:ascii="Arial" w:hAnsi="Arial" w:cs="Arial"/>
          <w:sz w:val="22"/>
        </w:rPr>
        <w:lastRenderedPageBreak/>
        <w:t xml:space="preserve">will need to </w:t>
      </w:r>
      <w:r w:rsidR="00763F47">
        <w:rPr>
          <w:rFonts w:ascii="Arial" w:hAnsi="Arial" w:cs="Arial"/>
          <w:sz w:val="22"/>
        </w:rPr>
        <w:t xml:space="preserve">include </w:t>
      </w:r>
      <w:r w:rsidR="00763F47" w:rsidRPr="0057214F">
        <w:rPr>
          <w:rFonts w:ascii="Arial" w:hAnsi="Arial" w:cs="Arial"/>
          <w:sz w:val="22"/>
          <w:u w:val="single"/>
        </w:rPr>
        <w:t>both</w:t>
      </w:r>
      <w:r w:rsidR="00763F47" w:rsidRPr="00E83AE9">
        <w:rPr>
          <w:rFonts w:ascii="Arial" w:hAnsi="Arial" w:cs="Arial"/>
          <w:sz w:val="22"/>
        </w:rPr>
        <w:t xml:space="preserve"> bio-feedstocks that realistically might</w:t>
      </w:r>
      <w:r w:rsidR="00763F47" w:rsidRPr="00E134F8">
        <w:rPr>
          <w:rFonts w:ascii="Arial" w:hAnsi="Arial" w:cs="Arial"/>
          <w:sz w:val="22"/>
        </w:rPr>
        <w:t xml:space="preserve"> be </w:t>
      </w:r>
      <w:r w:rsidR="00763F47" w:rsidRPr="00C376E4">
        <w:rPr>
          <w:rFonts w:ascii="Arial" w:hAnsi="Arial" w:cs="Arial"/>
          <w:sz w:val="22"/>
        </w:rPr>
        <w:t xml:space="preserve">used </w:t>
      </w:r>
      <w:r w:rsidR="00763F47" w:rsidRPr="004E4E4E">
        <w:rPr>
          <w:rFonts w:ascii="Arial" w:hAnsi="Arial" w:cs="Arial"/>
          <w:sz w:val="22"/>
        </w:rPr>
        <w:t xml:space="preserve">for energy </w:t>
      </w:r>
      <w:r w:rsidR="00763F47" w:rsidRPr="0057214F">
        <w:rPr>
          <w:rFonts w:ascii="Arial" w:hAnsi="Arial" w:cs="Arial"/>
          <w:sz w:val="22"/>
          <w:u w:val="single"/>
        </w:rPr>
        <w:t>and</w:t>
      </w:r>
      <w:r w:rsidR="00763F47" w:rsidRPr="004E4E4E">
        <w:rPr>
          <w:rFonts w:ascii="Arial" w:hAnsi="Arial" w:cs="Arial"/>
          <w:sz w:val="22"/>
        </w:rPr>
        <w:t xml:space="preserve"> other bio-feedstocks that can still deliver abatement (e.g. use of high value timber in construction). </w:t>
      </w:r>
      <w:r w:rsidR="00324C83">
        <w:rPr>
          <w:rFonts w:ascii="Arial" w:hAnsi="Arial" w:cs="Arial"/>
          <w:bCs/>
          <w:sz w:val="22"/>
        </w:rPr>
        <w:t>A key objective will be to</w:t>
      </w:r>
      <w:r w:rsidR="00B16E13" w:rsidRPr="00E83AE9">
        <w:rPr>
          <w:rFonts w:ascii="Arial" w:hAnsi="Arial" w:cs="Arial"/>
          <w:bCs/>
          <w:sz w:val="22"/>
        </w:rPr>
        <w:t xml:space="preserve"> identify the potential scale and nature of future market demand and </w:t>
      </w:r>
      <w:r w:rsidR="006D3C4B">
        <w:rPr>
          <w:rFonts w:ascii="Arial" w:hAnsi="Arial" w:cs="Arial"/>
          <w:bCs/>
          <w:sz w:val="22"/>
        </w:rPr>
        <w:t xml:space="preserve">the </w:t>
      </w:r>
      <w:r w:rsidR="00B16E13" w:rsidRPr="00E83AE9">
        <w:rPr>
          <w:rFonts w:ascii="Arial" w:hAnsi="Arial" w:cs="Arial"/>
          <w:bCs/>
          <w:sz w:val="22"/>
        </w:rPr>
        <w:t>extent of GHG abat</w:t>
      </w:r>
      <w:r w:rsidR="00324C83" w:rsidRPr="00E83AE9">
        <w:rPr>
          <w:rFonts w:ascii="Arial" w:hAnsi="Arial" w:cs="Arial"/>
          <w:bCs/>
          <w:sz w:val="22"/>
        </w:rPr>
        <w:t xml:space="preserve">ement under different scenarios. </w:t>
      </w:r>
      <w:r w:rsidR="00324C83">
        <w:rPr>
          <w:rFonts w:ascii="Arial" w:hAnsi="Arial" w:cs="Arial"/>
          <w:sz w:val="22"/>
        </w:rPr>
        <w:t xml:space="preserve">In addition, Consultants will identify and characterise </w:t>
      </w:r>
      <w:r w:rsidR="00B16E13" w:rsidRPr="00E83AE9">
        <w:rPr>
          <w:rFonts w:ascii="Arial" w:hAnsi="Arial" w:cs="Arial"/>
          <w:bCs/>
          <w:sz w:val="22"/>
        </w:rPr>
        <w:t>the key drivers, barriers, opportunities and risks associated with WIC</w:t>
      </w:r>
      <w:r w:rsidR="00324C83">
        <w:rPr>
          <w:rFonts w:ascii="Arial" w:hAnsi="Arial" w:cs="Arial"/>
          <w:bCs/>
          <w:sz w:val="22"/>
        </w:rPr>
        <w:t xml:space="preserve">. </w:t>
      </w:r>
      <w:r w:rsidR="00B16E13">
        <w:rPr>
          <w:rFonts w:ascii="Arial" w:hAnsi="Arial" w:cs="Arial"/>
          <w:bCs/>
          <w:sz w:val="22"/>
        </w:rPr>
        <w:t>It is possible the CCC will require one</w:t>
      </w:r>
      <w:r w:rsidR="00ED7CA4" w:rsidRPr="00AE3B37">
        <w:rPr>
          <w:rFonts w:ascii="Arial" w:hAnsi="Arial" w:cs="Arial"/>
          <w:bCs/>
          <w:sz w:val="22"/>
        </w:rPr>
        <w:t xml:space="preserve"> or two additional</w:t>
      </w:r>
      <w:r w:rsidR="00DC0A34">
        <w:rPr>
          <w:rFonts w:ascii="Arial" w:hAnsi="Arial" w:cs="Arial"/>
          <w:bCs/>
          <w:sz w:val="22"/>
        </w:rPr>
        <w:t xml:space="preserve"> deep-dive assessment</w:t>
      </w:r>
      <w:r w:rsidR="00E30486">
        <w:rPr>
          <w:rFonts w:ascii="Arial" w:hAnsi="Arial" w:cs="Arial"/>
          <w:bCs/>
          <w:sz w:val="22"/>
        </w:rPr>
        <w:t xml:space="preserve">s </w:t>
      </w:r>
      <w:r w:rsidR="00DC0A34">
        <w:rPr>
          <w:rFonts w:ascii="Arial" w:hAnsi="Arial" w:cs="Arial"/>
          <w:bCs/>
          <w:sz w:val="22"/>
        </w:rPr>
        <w:t>depending on the findings</w:t>
      </w:r>
      <w:r w:rsidR="0012300C">
        <w:rPr>
          <w:rFonts w:ascii="Arial" w:hAnsi="Arial" w:cs="Arial"/>
          <w:bCs/>
          <w:sz w:val="22"/>
        </w:rPr>
        <w:t xml:space="preserve"> of</w:t>
      </w:r>
      <w:r w:rsidR="00AE3B37">
        <w:rPr>
          <w:rFonts w:ascii="Arial" w:hAnsi="Arial" w:cs="Arial"/>
          <w:bCs/>
          <w:sz w:val="22"/>
        </w:rPr>
        <w:t xml:space="preserve"> </w:t>
      </w:r>
      <w:r w:rsidR="00ED7CA4" w:rsidRPr="00AE3B37">
        <w:rPr>
          <w:rFonts w:ascii="Arial" w:hAnsi="Arial" w:cs="Arial"/>
          <w:bCs/>
          <w:sz w:val="22"/>
        </w:rPr>
        <w:t>1 above</w:t>
      </w:r>
      <w:r w:rsidR="00E83AE9">
        <w:rPr>
          <w:rFonts w:ascii="Arial" w:hAnsi="Arial" w:cs="Arial"/>
          <w:bCs/>
          <w:sz w:val="22"/>
        </w:rPr>
        <w:t>. Consultants should</w:t>
      </w:r>
      <w:r w:rsidR="003F2503">
        <w:rPr>
          <w:rFonts w:ascii="Arial" w:hAnsi="Arial" w:cs="Arial"/>
          <w:bCs/>
          <w:sz w:val="22"/>
        </w:rPr>
        <w:t xml:space="preserve"> price</w:t>
      </w:r>
      <w:r w:rsidR="00E83AE9">
        <w:rPr>
          <w:rFonts w:ascii="Arial" w:hAnsi="Arial" w:cs="Arial"/>
          <w:bCs/>
          <w:sz w:val="22"/>
        </w:rPr>
        <w:t xml:space="preserve"> these</w:t>
      </w:r>
      <w:r w:rsidR="003F2503">
        <w:rPr>
          <w:rFonts w:ascii="Arial" w:hAnsi="Arial" w:cs="Arial"/>
          <w:bCs/>
          <w:sz w:val="22"/>
        </w:rPr>
        <w:t xml:space="preserve"> separately</w:t>
      </w:r>
      <w:r w:rsidR="00E83AE9">
        <w:rPr>
          <w:rFonts w:ascii="Arial" w:hAnsi="Arial" w:cs="Arial"/>
          <w:bCs/>
          <w:sz w:val="22"/>
        </w:rPr>
        <w:t xml:space="preserve"> in their tender proposals</w:t>
      </w:r>
      <w:r w:rsidR="00B16E13">
        <w:rPr>
          <w:rFonts w:ascii="Arial" w:hAnsi="Arial" w:cs="Arial"/>
          <w:bCs/>
          <w:sz w:val="22"/>
        </w:rPr>
        <w:t>.</w:t>
      </w:r>
    </w:p>
    <w:p w14:paraId="5529C709" w14:textId="28CCA586" w:rsidR="00F36E90" w:rsidRDefault="00E83AE9" w:rsidP="00ED7CA4">
      <w:pPr>
        <w:numPr>
          <w:ilvl w:val="0"/>
          <w:numId w:val="22"/>
        </w:numPr>
        <w:spacing w:before="240" w:after="120" w:line="276" w:lineRule="auto"/>
        <w:rPr>
          <w:rFonts w:ascii="Arial" w:hAnsi="Arial" w:cs="Arial"/>
          <w:sz w:val="22"/>
        </w:rPr>
      </w:pPr>
      <w:r>
        <w:rPr>
          <w:rFonts w:ascii="Arial" w:hAnsi="Arial" w:cs="Arial"/>
          <w:b/>
          <w:sz w:val="22"/>
        </w:rPr>
        <w:t xml:space="preserve">Identify </w:t>
      </w:r>
      <w:r w:rsidR="00FD5AD2">
        <w:rPr>
          <w:rFonts w:ascii="Arial" w:hAnsi="Arial" w:cs="Arial"/>
          <w:b/>
          <w:sz w:val="22"/>
        </w:rPr>
        <w:t>measures</w:t>
      </w:r>
      <w:r>
        <w:rPr>
          <w:rFonts w:ascii="Arial" w:hAnsi="Arial" w:cs="Arial"/>
          <w:b/>
          <w:sz w:val="22"/>
        </w:rPr>
        <w:t xml:space="preserve"> for policy-mak</w:t>
      </w:r>
      <w:r w:rsidR="00F36E90">
        <w:rPr>
          <w:rFonts w:ascii="Arial" w:hAnsi="Arial" w:cs="Arial"/>
          <w:b/>
          <w:sz w:val="22"/>
        </w:rPr>
        <w:t>ers and industry to develop the market for WIC in the UK</w:t>
      </w:r>
      <w:r w:rsidR="00E30486">
        <w:rPr>
          <w:rFonts w:ascii="Arial" w:hAnsi="Arial" w:cs="Arial"/>
          <w:b/>
          <w:sz w:val="22"/>
        </w:rPr>
        <w:t>.</w:t>
      </w:r>
      <w:r w:rsidR="00F36E90">
        <w:rPr>
          <w:rFonts w:ascii="Arial" w:hAnsi="Arial" w:cs="Arial"/>
          <w:b/>
          <w:sz w:val="22"/>
        </w:rPr>
        <w:t xml:space="preserve"> </w:t>
      </w:r>
      <w:r w:rsidR="00FD5AD2">
        <w:rPr>
          <w:rFonts w:ascii="Arial" w:hAnsi="Arial" w:cs="Arial"/>
          <w:sz w:val="22"/>
        </w:rPr>
        <w:t>These measure</w:t>
      </w:r>
      <w:r w:rsidR="00F36E90">
        <w:rPr>
          <w:rFonts w:ascii="Arial" w:hAnsi="Arial" w:cs="Arial"/>
          <w:sz w:val="22"/>
        </w:rPr>
        <w:t>s should draw on examples of international best-practice to address the key issues identified in 2 above. They should be</w:t>
      </w:r>
      <w:r w:rsidR="00F36E90" w:rsidRPr="00F36E90">
        <w:rPr>
          <w:rFonts w:ascii="Arial" w:hAnsi="Arial" w:cs="Arial"/>
          <w:sz w:val="22"/>
        </w:rPr>
        <w:t xml:space="preserve"> practical </w:t>
      </w:r>
      <w:r w:rsidR="00FD5AD2">
        <w:rPr>
          <w:rFonts w:ascii="Arial" w:hAnsi="Arial" w:cs="Arial"/>
          <w:sz w:val="22"/>
        </w:rPr>
        <w:t>option</w:t>
      </w:r>
      <w:r w:rsidR="00F36E90">
        <w:rPr>
          <w:rFonts w:ascii="Arial" w:hAnsi="Arial" w:cs="Arial"/>
          <w:sz w:val="22"/>
        </w:rPr>
        <w:t xml:space="preserve">s </w:t>
      </w:r>
      <w:r w:rsidR="00F36E90" w:rsidRPr="00F36E90">
        <w:rPr>
          <w:rFonts w:ascii="Arial" w:hAnsi="Arial" w:cs="Arial"/>
          <w:sz w:val="22"/>
        </w:rPr>
        <w:t xml:space="preserve">to increase WIC in a way that contributes towards GHG abatement. </w:t>
      </w:r>
      <w:r w:rsidR="00A41888">
        <w:rPr>
          <w:rFonts w:ascii="Arial" w:hAnsi="Arial" w:cs="Arial"/>
          <w:sz w:val="22"/>
        </w:rPr>
        <w:t>Consultants will also develop</w:t>
      </w:r>
      <w:r w:rsidR="00F36E90" w:rsidRPr="00F36E90">
        <w:rPr>
          <w:rFonts w:ascii="Arial" w:hAnsi="Arial" w:cs="Arial"/>
          <w:sz w:val="22"/>
        </w:rPr>
        <w:t xml:space="preserve"> a set of indicators that can be used to track progress over time. Although the focus here is expected to be WIC, </w:t>
      </w:r>
      <w:r w:rsidR="00A41888">
        <w:rPr>
          <w:rFonts w:ascii="Arial" w:hAnsi="Arial" w:cs="Arial"/>
          <w:sz w:val="22"/>
        </w:rPr>
        <w:t>this scope</w:t>
      </w:r>
      <w:r w:rsidR="00F36E90" w:rsidRPr="00F36E90">
        <w:rPr>
          <w:rFonts w:ascii="Arial" w:hAnsi="Arial" w:cs="Arial"/>
          <w:sz w:val="22"/>
        </w:rPr>
        <w:t xml:space="preserve"> should also cover </w:t>
      </w:r>
      <w:r w:rsidR="00A41888">
        <w:rPr>
          <w:rFonts w:ascii="Arial" w:hAnsi="Arial" w:cs="Arial"/>
          <w:sz w:val="22"/>
        </w:rPr>
        <w:t xml:space="preserve">other </w:t>
      </w:r>
      <w:r w:rsidR="00F36E90" w:rsidRPr="00F36E90">
        <w:rPr>
          <w:rFonts w:ascii="Arial" w:hAnsi="Arial" w:cs="Arial"/>
          <w:sz w:val="22"/>
        </w:rPr>
        <w:t xml:space="preserve">applications </w:t>
      </w:r>
      <w:r w:rsidR="00A41888">
        <w:rPr>
          <w:rFonts w:ascii="Arial" w:hAnsi="Arial" w:cs="Arial"/>
          <w:sz w:val="22"/>
        </w:rPr>
        <w:t>explored via additional</w:t>
      </w:r>
      <w:r w:rsidR="00F36E90" w:rsidRPr="00F36E90">
        <w:rPr>
          <w:rFonts w:ascii="Arial" w:hAnsi="Arial" w:cs="Arial"/>
          <w:sz w:val="22"/>
        </w:rPr>
        <w:t xml:space="preserve"> deep-dive assessments.</w:t>
      </w:r>
    </w:p>
    <w:p w14:paraId="30EBBE56" w14:textId="1A0BC4DF" w:rsidR="008A4D38" w:rsidRDefault="00C506FA" w:rsidP="0057214F">
      <w:pPr>
        <w:spacing w:before="240" w:after="120" w:line="276" w:lineRule="auto"/>
        <w:rPr>
          <w:rFonts w:ascii="Arial" w:hAnsi="Arial" w:cs="Arial"/>
          <w:sz w:val="22"/>
        </w:rPr>
      </w:pPr>
      <w:r>
        <w:rPr>
          <w:rFonts w:ascii="Arial" w:hAnsi="Arial" w:cs="Arial"/>
          <w:sz w:val="22"/>
        </w:rPr>
        <w:t xml:space="preserve"> </w:t>
      </w:r>
    </w:p>
    <w:p w14:paraId="5EA8755C" w14:textId="6162E990" w:rsidR="00C4141B" w:rsidRDefault="00BE36BF" w:rsidP="00AD4A29">
      <w:pPr>
        <w:pStyle w:val="Heading1"/>
        <w:numPr>
          <w:ilvl w:val="0"/>
          <w:numId w:val="3"/>
        </w:numPr>
        <w:rPr>
          <w:rFonts w:ascii="Arial" w:hAnsi="Arial" w:cs="Arial"/>
          <w:sz w:val="22"/>
          <w:szCs w:val="22"/>
        </w:rPr>
      </w:pPr>
      <w:bookmarkStart w:id="13" w:name="_Toc500501841"/>
      <w:r>
        <w:rPr>
          <w:rFonts w:ascii="Arial" w:hAnsi="Arial" w:cs="Arial"/>
          <w:sz w:val="22"/>
          <w:szCs w:val="22"/>
        </w:rPr>
        <w:lastRenderedPageBreak/>
        <w:t>Description of work for consultants</w:t>
      </w:r>
      <w:bookmarkEnd w:id="13"/>
    </w:p>
    <w:p w14:paraId="72A33ED2" w14:textId="77777777" w:rsidR="00E9243B" w:rsidRDefault="00E9243B" w:rsidP="00C36711">
      <w:pPr>
        <w:pStyle w:val="Norma1"/>
        <w:spacing w:line="276" w:lineRule="auto"/>
      </w:pPr>
    </w:p>
    <w:p w14:paraId="61785711" w14:textId="6446236D" w:rsidR="00E9243B" w:rsidRDefault="00E9243B" w:rsidP="00C36711">
      <w:pPr>
        <w:pStyle w:val="Norma1"/>
        <w:spacing w:line="276" w:lineRule="auto"/>
      </w:pPr>
      <w:r w:rsidRPr="00E9243B">
        <w:t xml:space="preserve">Bids should set out separate pricing for each task/sub-task. Proposals from individual parties and consortia bids </w:t>
      </w:r>
      <w:r w:rsidR="006A4EAB">
        <w:t>are both welcome.</w:t>
      </w:r>
    </w:p>
    <w:p w14:paraId="7C2A1016" w14:textId="77777777" w:rsidR="00CC0D5E" w:rsidRPr="00E9243B" w:rsidRDefault="00CC0D5E" w:rsidP="00C36711">
      <w:pPr>
        <w:pStyle w:val="Norma1"/>
        <w:spacing w:line="276" w:lineRule="auto"/>
      </w:pPr>
    </w:p>
    <w:p w14:paraId="74B806E9" w14:textId="71CA05D4" w:rsidR="00CC0D5E" w:rsidRDefault="00860FE0" w:rsidP="00C36711">
      <w:pPr>
        <w:spacing w:line="276" w:lineRule="auto"/>
        <w:rPr>
          <w:rFonts w:ascii="Arial" w:eastAsia="Times New Roman" w:hAnsi="Arial" w:cs="Mangal"/>
          <w:sz w:val="22"/>
          <w:szCs w:val="22"/>
        </w:rPr>
      </w:pPr>
      <w:r>
        <w:rPr>
          <w:rFonts w:ascii="Arial" w:eastAsia="Times New Roman" w:hAnsi="Arial" w:cs="Mangal"/>
          <w:sz w:val="22"/>
          <w:szCs w:val="22"/>
        </w:rPr>
        <w:t>Consultants should</w:t>
      </w:r>
      <w:r w:rsidRPr="00860FE0">
        <w:rPr>
          <w:rFonts w:ascii="Arial" w:eastAsia="Times New Roman" w:hAnsi="Arial" w:cs="Mangal"/>
          <w:sz w:val="22"/>
          <w:szCs w:val="22"/>
        </w:rPr>
        <w:t xml:space="preserve"> outline their understanding of the </w:t>
      </w:r>
      <w:r>
        <w:rPr>
          <w:rFonts w:ascii="Arial" w:eastAsia="Times New Roman" w:hAnsi="Arial" w:cs="Mangal"/>
          <w:sz w:val="22"/>
          <w:szCs w:val="22"/>
        </w:rPr>
        <w:t>brief</w:t>
      </w:r>
      <w:r w:rsidRPr="00860FE0">
        <w:rPr>
          <w:rFonts w:ascii="Arial" w:eastAsia="Times New Roman" w:hAnsi="Arial" w:cs="Mangal"/>
          <w:sz w:val="22"/>
          <w:szCs w:val="22"/>
        </w:rPr>
        <w:t xml:space="preserve">; if there are significant issues </w:t>
      </w:r>
      <w:r>
        <w:rPr>
          <w:rFonts w:ascii="Arial" w:eastAsia="Times New Roman" w:hAnsi="Arial" w:cs="Mangal"/>
          <w:sz w:val="22"/>
          <w:szCs w:val="22"/>
        </w:rPr>
        <w:t xml:space="preserve">which are </w:t>
      </w:r>
      <w:r w:rsidRPr="00860FE0">
        <w:rPr>
          <w:rFonts w:ascii="Arial" w:eastAsia="Times New Roman" w:hAnsi="Arial" w:cs="Mangal"/>
          <w:sz w:val="22"/>
          <w:szCs w:val="22"/>
        </w:rPr>
        <w:t>see</w:t>
      </w:r>
      <w:r>
        <w:rPr>
          <w:rFonts w:ascii="Arial" w:eastAsia="Times New Roman" w:hAnsi="Arial" w:cs="Mangal"/>
          <w:sz w:val="22"/>
          <w:szCs w:val="22"/>
        </w:rPr>
        <w:t>n</w:t>
      </w:r>
      <w:r w:rsidRPr="00860FE0">
        <w:rPr>
          <w:rFonts w:ascii="Arial" w:eastAsia="Times New Roman" w:hAnsi="Arial" w:cs="Mangal"/>
          <w:sz w:val="22"/>
          <w:szCs w:val="22"/>
        </w:rPr>
        <w:t xml:space="preserve"> a</w:t>
      </w:r>
      <w:r>
        <w:rPr>
          <w:rFonts w:ascii="Arial" w:eastAsia="Times New Roman" w:hAnsi="Arial" w:cs="Mangal"/>
          <w:sz w:val="22"/>
          <w:szCs w:val="22"/>
        </w:rPr>
        <w:t>s</w:t>
      </w:r>
      <w:r w:rsidRPr="00860FE0">
        <w:rPr>
          <w:rFonts w:ascii="Arial" w:eastAsia="Times New Roman" w:hAnsi="Arial" w:cs="Mangal"/>
          <w:sz w:val="22"/>
          <w:szCs w:val="22"/>
        </w:rPr>
        <w:t xml:space="preserve"> important to our objectives but </w:t>
      </w:r>
      <w:r>
        <w:rPr>
          <w:rFonts w:ascii="Arial" w:eastAsia="Times New Roman" w:hAnsi="Arial" w:cs="Mangal"/>
          <w:sz w:val="22"/>
          <w:szCs w:val="22"/>
        </w:rPr>
        <w:t xml:space="preserve">which </w:t>
      </w:r>
      <w:r w:rsidRPr="00860FE0">
        <w:rPr>
          <w:rFonts w:ascii="Arial" w:eastAsia="Times New Roman" w:hAnsi="Arial" w:cs="Mangal"/>
          <w:sz w:val="22"/>
          <w:szCs w:val="22"/>
        </w:rPr>
        <w:t>are currently missing</w:t>
      </w:r>
      <w:r>
        <w:rPr>
          <w:rFonts w:ascii="Arial" w:eastAsia="Times New Roman" w:hAnsi="Arial" w:cs="Mangal"/>
          <w:sz w:val="22"/>
          <w:szCs w:val="22"/>
        </w:rPr>
        <w:t>,</w:t>
      </w:r>
      <w:r w:rsidRPr="00860FE0">
        <w:rPr>
          <w:rFonts w:ascii="Arial" w:eastAsia="Times New Roman" w:hAnsi="Arial" w:cs="Mangal"/>
          <w:sz w:val="22"/>
          <w:szCs w:val="22"/>
        </w:rPr>
        <w:t xml:space="preserve"> then </w:t>
      </w:r>
      <w:r>
        <w:rPr>
          <w:rFonts w:ascii="Arial" w:eastAsia="Times New Roman" w:hAnsi="Arial" w:cs="Mangal"/>
          <w:sz w:val="22"/>
          <w:szCs w:val="22"/>
        </w:rPr>
        <w:t>this should be</w:t>
      </w:r>
      <w:r w:rsidRPr="00860FE0">
        <w:rPr>
          <w:rFonts w:ascii="Arial" w:eastAsia="Times New Roman" w:hAnsi="Arial" w:cs="Mangal"/>
          <w:sz w:val="22"/>
          <w:szCs w:val="22"/>
        </w:rPr>
        <w:t xml:space="preserve"> </w:t>
      </w:r>
      <w:r>
        <w:rPr>
          <w:rFonts w:ascii="Arial" w:eastAsia="Times New Roman" w:hAnsi="Arial" w:cs="Mangal"/>
          <w:sz w:val="22"/>
          <w:szCs w:val="22"/>
        </w:rPr>
        <w:t>highlighted, and set out alongside a proposed approach for how th</w:t>
      </w:r>
      <w:r w:rsidR="00D30716">
        <w:rPr>
          <w:rFonts w:ascii="Arial" w:eastAsia="Times New Roman" w:hAnsi="Arial" w:cs="Mangal"/>
          <w:sz w:val="22"/>
          <w:szCs w:val="22"/>
        </w:rPr>
        <w:t>ese</w:t>
      </w:r>
      <w:r>
        <w:rPr>
          <w:rFonts w:ascii="Arial" w:eastAsia="Times New Roman" w:hAnsi="Arial" w:cs="Mangal"/>
          <w:sz w:val="22"/>
          <w:szCs w:val="22"/>
        </w:rPr>
        <w:t xml:space="preserve"> will be addressed.</w:t>
      </w:r>
    </w:p>
    <w:p w14:paraId="2F509E7C" w14:textId="6E4E922B" w:rsidR="00860FE0" w:rsidRPr="00860FE0" w:rsidRDefault="00860FE0" w:rsidP="00C36711">
      <w:pPr>
        <w:spacing w:line="276" w:lineRule="auto"/>
        <w:rPr>
          <w:rFonts w:ascii="Arial" w:eastAsia="Times New Roman" w:hAnsi="Arial" w:cs="Mangal"/>
          <w:sz w:val="22"/>
          <w:szCs w:val="22"/>
        </w:rPr>
      </w:pPr>
    </w:p>
    <w:p w14:paraId="5A1BB8BA" w14:textId="296381AF" w:rsidR="00DD521A" w:rsidRDefault="00860FE0" w:rsidP="00865B54">
      <w:pPr>
        <w:pStyle w:val="Norma1"/>
        <w:spacing w:line="276" w:lineRule="auto"/>
      </w:pPr>
      <w:r>
        <w:t>W</w:t>
      </w:r>
      <w:r w:rsidR="00E9243B" w:rsidRPr="00E9243B">
        <w:t>e envisag</w:t>
      </w:r>
      <w:r w:rsidR="00437F3E">
        <w:t xml:space="preserve">e that the work will involve </w:t>
      </w:r>
      <w:r w:rsidR="00437F3E" w:rsidRPr="00CC0D5E">
        <w:t>three</w:t>
      </w:r>
      <w:r w:rsidR="00437F3E">
        <w:t xml:space="preserve"> main </w:t>
      </w:r>
      <w:r w:rsidR="00810EF4">
        <w:t>tasks</w:t>
      </w:r>
      <w:r w:rsidR="00437F3E">
        <w:t xml:space="preserve"> and a number of sub-tasks. These are described below. However consultants are invited to propose and set out amendments to the scope of these tasks in their proposals if they consider alternative approaches to be better able to deliver the objectives of this project within the required timescales and budget.  </w:t>
      </w:r>
    </w:p>
    <w:p w14:paraId="6D1FB127" w14:textId="77777777" w:rsidR="000C29B0" w:rsidRDefault="000C29B0" w:rsidP="00865B54">
      <w:pPr>
        <w:pStyle w:val="Norma1"/>
        <w:spacing w:line="276" w:lineRule="auto"/>
      </w:pPr>
    </w:p>
    <w:p w14:paraId="73DC1F4C" w14:textId="44FD4347" w:rsidR="000C29B0" w:rsidRPr="00865B54" w:rsidRDefault="000C29B0" w:rsidP="00865B54">
      <w:pPr>
        <w:pStyle w:val="Norma1"/>
        <w:spacing w:line="276" w:lineRule="auto"/>
      </w:pPr>
      <w:r>
        <w:t xml:space="preserve">In addition, consultants should note that where possible the CCC will provide </w:t>
      </w:r>
      <w:r w:rsidR="00E87562">
        <w:t xml:space="preserve">and/or help develop </w:t>
      </w:r>
      <w:r>
        <w:t xml:space="preserve">assumptions required for the work, for example in relation to industrial decarbonisation options and UK decarbonisation trajectories. Consultants should make clear in their proposals the areas for which there are likely to be </w:t>
      </w:r>
      <w:r>
        <w:lastRenderedPageBreak/>
        <w:t>constraints in access</w:t>
      </w:r>
      <w:r w:rsidR="00E87562">
        <w:t>ing robust data and where it envisaged the CCC will be involved in developing assumptions</w:t>
      </w:r>
      <w:r>
        <w:t>.</w:t>
      </w:r>
    </w:p>
    <w:p w14:paraId="1442CB65" w14:textId="715BAA7B" w:rsidR="009D3372" w:rsidRPr="00DD6DC9" w:rsidRDefault="009D3372" w:rsidP="00865B54">
      <w:pPr>
        <w:spacing w:before="360" w:line="276" w:lineRule="auto"/>
        <w:rPr>
          <w:rFonts w:ascii="Arial" w:hAnsi="Arial" w:cs="Arial"/>
          <w:b/>
          <w:sz w:val="22"/>
          <w:szCs w:val="22"/>
        </w:rPr>
      </w:pPr>
      <w:r w:rsidRPr="00DD6DC9">
        <w:rPr>
          <w:rFonts w:ascii="Arial" w:hAnsi="Arial" w:cs="Arial"/>
          <w:b/>
          <w:sz w:val="22"/>
          <w:szCs w:val="22"/>
        </w:rPr>
        <w:t xml:space="preserve">Task 1. </w:t>
      </w:r>
      <w:r w:rsidR="00756AF7">
        <w:rPr>
          <w:rFonts w:ascii="Arial" w:hAnsi="Arial" w:cs="Arial"/>
          <w:b/>
          <w:sz w:val="22"/>
        </w:rPr>
        <w:t>Understand the context and broad potential for increasing the use of bio-energy resources for non-energy applications in the UK through to 2050</w:t>
      </w:r>
      <w:r w:rsidRPr="00DD6DC9">
        <w:rPr>
          <w:rFonts w:ascii="Arial" w:hAnsi="Arial" w:cs="Arial"/>
          <w:b/>
          <w:sz w:val="22"/>
          <w:szCs w:val="22"/>
        </w:rPr>
        <w:t xml:space="preserve"> </w:t>
      </w:r>
    </w:p>
    <w:p w14:paraId="0BEE5675" w14:textId="77777777" w:rsidR="00DD6DC9" w:rsidRDefault="00DD6DC9" w:rsidP="001253AE">
      <w:pPr>
        <w:spacing w:line="276" w:lineRule="auto"/>
        <w:rPr>
          <w:rFonts w:ascii="Arial" w:hAnsi="Arial" w:cs="Arial"/>
          <w:sz w:val="22"/>
          <w:szCs w:val="22"/>
        </w:rPr>
      </w:pPr>
    </w:p>
    <w:p w14:paraId="7EDD18D5" w14:textId="77777777" w:rsidR="00756AF7" w:rsidRDefault="001253AE" w:rsidP="00874D9D">
      <w:pPr>
        <w:spacing w:line="276" w:lineRule="auto"/>
        <w:rPr>
          <w:rFonts w:ascii="Arial" w:hAnsi="Arial" w:cs="Arial"/>
          <w:sz w:val="22"/>
          <w:szCs w:val="22"/>
        </w:rPr>
      </w:pPr>
      <w:r>
        <w:rPr>
          <w:rFonts w:ascii="Arial" w:hAnsi="Arial" w:cs="Arial"/>
          <w:sz w:val="22"/>
          <w:szCs w:val="22"/>
        </w:rPr>
        <w:t xml:space="preserve">This task is envisaged as a high-level economy-wide review to </w:t>
      </w:r>
      <w:r w:rsidR="00874D9D">
        <w:rPr>
          <w:rFonts w:ascii="Arial" w:hAnsi="Arial" w:cs="Arial"/>
          <w:sz w:val="22"/>
          <w:szCs w:val="22"/>
        </w:rPr>
        <w:t xml:space="preserve">provide the CCC with an up-to-date </w:t>
      </w:r>
      <w:r>
        <w:rPr>
          <w:rFonts w:ascii="Arial" w:hAnsi="Arial" w:cs="Arial"/>
          <w:sz w:val="22"/>
          <w:szCs w:val="22"/>
        </w:rPr>
        <w:t>understand</w:t>
      </w:r>
      <w:r w:rsidR="00874D9D">
        <w:rPr>
          <w:rFonts w:ascii="Arial" w:hAnsi="Arial" w:cs="Arial"/>
          <w:sz w:val="22"/>
          <w:szCs w:val="22"/>
        </w:rPr>
        <w:t>ing of</w:t>
      </w:r>
      <w:r>
        <w:rPr>
          <w:rFonts w:ascii="Arial" w:hAnsi="Arial" w:cs="Arial"/>
          <w:sz w:val="22"/>
          <w:szCs w:val="22"/>
        </w:rPr>
        <w:t xml:space="preserve"> the potential </w:t>
      </w:r>
      <w:r w:rsidR="00874D9D">
        <w:rPr>
          <w:rFonts w:ascii="Arial" w:hAnsi="Arial" w:cs="Arial"/>
          <w:sz w:val="22"/>
          <w:szCs w:val="22"/>
        </w:rPr>
        <w:t xml:space="preserve">future </w:t>
      </w:r>
      <w:r>
        <w:rPr>
          <w:rFonts w:ascii="Arial" w:hAnsi="Arial" w:cs="Arial"/>
          <w:sz w:val="22"/>
          <w:szCs w:val="22"/>
        </w:rPr>
        <w:t xml:space="preserve">demand for bioenergy feedstocks from non-energy applications such as WIC, bio-based plastics and </w:t>
      </w:r>
      <w:r w:rsidR="00865B54">
        <w:rPr>
          <w:rFonts w:ascii="Arial" w:hAnsi="Arial" w:cs="Arial"/>
          <w:sz w:val="22"/>
          <w:szCs w:val="22"/>
        </w:rPr>
        <w:t>bio-based chemicals. It</w:t>
      </w:r>
      <w:r w:rsidR="00874D9D">
        <w:rPr>
          <w:rFonts w:ascii="Arial" w:hAnsi="Arial" w:cs="Arial"/>
          <w:sz w:val="22"/>
          <w:szCs w:val="22"/>
        </w:rPr>
        <w:t xml:space="preserve"> will provide broad estimates of the </w:t>
      </w:r>
      <w:r w:rsidR="00756AF7">
        <w:rPr>
          <w:rFonts w:ascii="Arial" w:hAnsi="Arial" w:cs="Arial"/>
          <w:sz w:val="22"/>
          <w:szCs w:val="22"/>
        </w:rPr>
        <w:t xml:space="preserve">feedstock requirements and </w:t>
      </w:r>
      <w:r w:rsidR="00874D9D">
        <w:rPr>
          <w:rFonts w:ascii="Arial" w:hAnsi="Arial" w:cs="Arial"/>
          <w:sz w:val="22"/>
          <w:szCs w:val="22"/>
        </w:rPr>
        <w:t xml:space="preserve">GHG abatement potential </w:t>
      </w:r>
      <w:r w:rsidR="00865B54">
        <w:rPr>
          <w:rFonts w:ascii="Arial" w:hAnsi="Arial" w:cs="Arial"/>
          <w:sz w:val="22"/>
          <w:szCs w:val="22"/>
        </w:rPr>
        <w:t>of</w:t>
      </w:r>
      <w:r w:rsidR="00874D9D">
        <w:rPr>
          <w:rFonts w:ascii="Arial" w:hAnsi="Arial" w:cs="Arial"/>
          <w:sz w:val="22"/>
          <w:szCs w:val="22"/>
        </w:rPr>
        <w:t xml:space="preserve"> the most significant</w:t>
      </w:r>
      <w:r>
        <w:rPr>
          <w:rFonts w:ascii="Arial" w:hAnsi="Arial" w:cs="Arial"/>
          <w:sz w:val="22"/>
          <w:szCs w:val="22"/>
        </w:rPr>
        <w:t xml:space="preserve"> non-energy</w:t>
      </w:r>
      <w:r w:rsidR="00874D9D">
        <w:rPr>
          <w:rFonts w:ascii="Arial" w:hAnsi="Arial" w:cs="Arial"/>
          <w:sz w:val="22"/>
          <w:szCs w:val="22"/>
        </w:rPr>
        <w:t xml:space="preserve"> applications</w:t>
      </w:r>
      <w:r w:rsidR="00756AF7">
        <w:rPr>
          <w:rFonts w:ascii="Arial" w:hAnsi="Arial" w:cs="Arial"/>
          <w:sz w:val="22"/>
          <w:szCs w:val="22"/>
        </w:rPr>
        <w:t xml:space="preserve">. It will draw out implications for bioenergy and identify key trade-offs between different end-uses of bioenergy feedstocks. </w:t>
      </w:r>
    </w:p>
    <w:p w14:paraId="6098800D" w14:textId="77777777" w:rsidR="00756AF7" w:rsidRDefault="00756AF7" w:rsidP="00874D9D">
      <w:pPr>
        <w:spacing w:line="276" w:lineRule="auto"/>
        <w:rPr>
          <w:rFonts w:ascii="Arial" w:hAnsi="Arial" w:cs="Arial"/>
          <w:sz w:val="22"/>
          <w:szCs w:val="22"/>
        </w:rPr>
      </w:pPr>
    </w:p>
    <w:p w14:paraId="55755B79" w14:textId="64A8359B" w:rsidR="00756AF7" w:rsidRDefault="00756AF7" w:rsidP="00874D9D">
      <w:pPr>
        <w:spacing w:line="276" w:lineRule="auto"/>
        <w:rPr>
          <w:rFonts w:ascii="Arial" w:hAnsi="Arial" w:cs="Arial"/>
          <w:sz w:val="22"/>
          <w:szCs w:val="22"/>
        </w:rPr>
      </w:pPr>
      <w:r>
        <w:rPr>
          <w:rFonts w:ascii="Arial" w:hAnsi="Arial" w:cs="Arial"/>
          <w:sz w:val="22"/>
          <w:szCs w:val="22"/>
        </w:rPr>
        <w:t xml:space="preserve">The CCC invites </w:t>
      </w:r>
      <w:r w:rsidR="00F45ED8">
        <w:rPr>
          <w:rFonts w:ascii="Arial" w:hAnsi="Arial" w:cs="Arial"/>
          <w:sz w:val="22"/>
          <w:szCs w:val="22"/>
        </w:rPr>
        <w:t>c</w:t>
      </w:r>
      <w:r>
        <w:rPr>
          <w:rFonts w:ascii="Arial" w:hAnsi="Arial" w:cs="Arial"/>
          <w:sz w:val="22"/>
          <w:szCs w:val="22"/>
        </w:rPr>
        <w:t>onsultants to contextualise and map out this analysis within the concept of the bioeconomy. A key question with regards to bioenergy is whether a thriving future bioeconomy will be focussed primarily on high-value low volume applications (and therefore principally be a clean growth story) or instead could represent a significant source of competition for bio-energy feedstocks.</w:t>
      </w:r>
    </w:p>
    <w:p w14:paraId="12431F41" w14:textId="77777777" w:rsidR="00756AF7" w:rsidRDefault="00756AF7" w:rsidP="00874D9D">
      <w:pPr>
        <w:spacing w:line="276" w:lineRule="auto"/>
        <w:rPr>
          <w:rFonts w:ascii="Arial" w:hAnsi="Arial" w:cs="Arial"/>
          <w:sz w:val="22"/>
          <w:szCs w:val="22"/>
        </w:rPr>
      </w:pPr>
    </w:p>
    <w:p w14:paraId="661F53A7" w14:textId="775D2DAC" w:rsidR="001253AE" w:rsidRDefault="00756AF7" w:rsidP="00874D9D">
      <w:pPr>
        <w:spacing w:line="276" w:lineRule="auto"/>
        <w:rPr>
          <w:rFonts w:ascii="Arial" w:hAnsi="Arial" w:cs="Arial"/>
          <w:sz w:val="22"/>
          <w:szCs w:val="22"/>
        </w:rPr>
      </w:pPr>
      <w:r>
        <w:rPr>
          <w:rFonts w:ascii="Arial" w:hAnsi="Arial" w:cs="Arial"/>
          <w:sz w:val="22"/>
          <w:szCs w:val="22"/>
        </w:rPr>
        <w:lastRenderedPageBreak/>
        <w:t xml:space="preserve">This task will provide an understanding of the long-term strategic context for what can sometimes be termed the bioeconomy, within which the analysis for </w:t>
      </w:r>
      <w:r w:rsidR="006D3C4B">
        <w:rPr>
          <w:rFonts w:ascii="Arial" w:hAnsi="Arial" w:cs="Arial"/>
          <w:sz w:val="22"/>
          <w:szCs w:val="22"/>
        </w:rPr>
        <w:t>subsequent tasks will be undertaken</w:t>
      </w:r>
      <w:r>
        <w:rPr>
          <w:rFonts w:ascii="Arial" w:hAnsi="Arial" w:cs="Arial"/>
          <w:sz w:val="22"/>
          <w:szCs w:val="22"/>
        </w:rPr>
        <w:t>.</w:t>
      </w:r>
      <w:r w:rsidR="001253AE">
        <w:rPr>
          <w:rFonts w:ascii="Arial" w:hAnsi="Arial" w:cs="Arial"/>
          <w:sz w:val="22"/>
          <w:szCs w:val="22"/>
        </w:rPr>
        <w:t xml:space="preserve"> </w:t>
      </w:r>
    </w:p>
    <w:p w14:paraId="578843C7" w14:textId="77777777" w:rsidR="001253AE" w:rsidRDefault="001253AE" w:rsidP="00874D9D">
      <w:pPr>
        <w:spacing w:line="276" w:lineRule="auto"/>
        <w:rPr>
          <w:rFonts w:ascii="Arial" w:hAnsi="Arial" w:cs="Arial"/>
          <w:sz w:val="22"/>
          <w:szCs w:val="22"/>
        </w:rPr>
      </w:pPr>
    </w:p>
    <w:p w14:paraId="374980F2" w14:textId="0042913B" w:rsidR="00B82ED4" w:rsidRDefault="00B82ED4" w:rsidP="00874D9D">
      <w:pPr>
        <w:spacing w:line="276" w:lineRule="auto"/>
        <w:rPr>
          <w:rFonts w:ascii="Arial" w:hAnsi="Arial" w:cs="Arial"/>
          <w:sz w:val="22"/>
          <w:szCs w:val="22"/>
        </w:rPr>
      </w:pPr>
      <w:r>
        <w:rPr>
          <w:rFonts w:ascii="Arial" w:hAnsi="Arial" w:cs="Arial"/>
          <w:sz w:val="22"/>
          <w:szCs w:val="22"/>
        </w:rPr>
        <w:t>We do not anticipate detailed new analysis to be undertaken for this task, rather a review of the latest evidence to provide credible quantifications of future demand</w:t>
      </w:r>
      <w:r w:rsidR="00756AF7">
        <w:rPr>
          <w:rFonts w:ascii="Arial" w:hAnsi="Arial" w:cs="Arial"/>
          <w:sz w:val="22"/>
          <w:szCs w:val="22"/>
        </w:rPr>
        <w:t>, feedstock requirements</w:t>
      </w:r>
      <w:r>
        <w:rPr>
          <w:rFonts w:ascii="Arial" w:hAnsi="Arial" w:cs="Arial"/>
          <w:sz w:val="22"/>
          <w:szCs w:val="22"/>
        </w:rPr>
        <w:t xml:space="preserve"> and abatement potential. However the CCC invites consultants to consider any additional analysis th</w:t>
      </w:r>
      <w:r w:rsidR="00437F3E">
        <w:rPr>
          <w:rFonts w:ascii="Arial" w:hAnsi="Arial" w:cs="Arial"/>
          <w:sz w:val="22"/>
          <w:szCs w:val="22"/>
        </w:rPr>
        <w:t xml:space="preserve">at might be required within </w:t>
      </w:r>
      <w:r>
        <w:rPr>
          <w:rFonts w:ascii="Arial" w:hAnsi="Arial" w:cs="Arial"/>
          <w:sz w:val="22"/>
          <w:szCs w:val="22"/>
        </w:rPr>
        <w:t>time and budget constraints and to identify this in their tender proposals.</w:t>
      </w:r>
    </w:p>
    <w:p w14:paraId="2430428D" w14:textId="77777777" w:rsidR="00874D9D" w:rsidRDefault="00874D9D" w:rsidP="00874D9D">
      <w:pPr>
        <w:spacing w:line="276" w:lineRule="auto"/>
        <w:rPr>
          <w:rFonts w:ascii="Arial" w:hAnsi="Arial" w:cs="Arial"/>
          <w:sz w:val="22"/>
          <w:szCs w:val="22"/>
        </w:rPr>
      </w:pPr>
    </w:p>
    <w:p w14:paraId="1F8A9526" w14:textId="234D82B5" w:rsidR="00C376E4" w:rsidRPr="00DF5817" w:rsidRDefault="00874D9D" w:rsidP="00DF5817">
      <w:pPr>
        <w:spacing w:line="276" w:lineRule="auto"/>
        <w:rPr>
          <w:rFonts w:ascii="Arial" w:hAnsi="Arial" w:cs="Arial"/>
          <w:sz w:val="22"/>
          <w:szCs w:val="22"/>
        </w:rPr>
      </w:pPr>
      <w:r w:rsidRPr="001253AE">
        <w:rPr>
          <w:rFonts w:ascii="Arial" w:hAnsi="Arial" w:cs="Arial"/>
          <w:sz w:val="22"/>
          <w:szCs w:val="22"/>
        </w:rPr>
        <w:t>This task can be split i</w:t>
      </w:r>
      <w:r>
        <w:rPr>
          <w:rFonts w:ascii="Arial" w:hAnsi="Arial" w:cs="Arial"/>
          <w:sz w:val="22"/>
          <w:szCs w:val="22"/>
        </w:rPr>
        <w:t>nto two</w:t>
      </w:r>
      <w:r w:rsidRPr="001253AE">
        <w:rPr>
          <w:rFonts w:ascii="Arial" w:hAnsi="Arial" w:cs="Arial"/>
          <w:sz w:val="22"/>
          <w:szCs w:val="22"/>
        </w:rPr>
        <w:t xml:space="preserve"> parts</w:t>
      </w:r>
      <w:r w:rsidR="003747C9">
        <w:rPr>
          <w:rFonts w:ascii="Arial" w:hAnsi="Arial" w:cs="Arial"/>
          <w:sz w:val="22"/>
          <w:szCs w:val="22"/>
        </w:rPr>
        <w:t>:</w:t>
      </w:r>
    </w:p>
    <w:p w14:paraId="2E28519E" w14:textId="243BB536" w:rsidR="00224DAF" w:rsidRDefault="00F24125" w:rsidP="00DF5817">
      <w:pPr>
        <w:spacing w:before="240" w:after="120" w:line="276" w:lineRule="auto"/>
        <w:ind w:left="567" w:hanging="567"/>
        <w:rPr>
          <w:rFonts w:ascii="Arial" w:hAnsi="Arial" w:cs="Arial"/>
          <w:sz w:val="22"/>
          <w:szCs w:val="22"/>
        </w:rPr>
      </w:pPr>
      <w:r w:rsidRPr="00DF5817">
        <w:rPr>
          <w:rFonts w:ascii="Arial" w:hAnsi="Arial" w:cs="Arial"/>
          <w:sz w:val="22"/>
          <w:szCs w:val="22"/>
        </w:rPr>
        <w:t>1a.</w:t>
      </w:r>
      <w:r w:rsidRPr="00DF5817">
        <w:rPr>
          <w:rFonts w:ascii="Arial" w:hAnsi="Arial" w:cs="Arial"/>
          <w:sz w:val="22"/>
          <w:szCs w:val="22"/>
        </w:rPr>
        <w:tab/>
      </w:r>
      <w:r w:rsidR="006D3C4B" w:rsidRPr="00DF5817">
        <w:rPr>
          <w:rFonts w:ascii="Arial" w:hAnsi="Arial" w:cs="Arial"/>
          <w:sz w:val="22"/>
          <w:szCs w:val="22"/>
          <w:u w:val="single"/>
        </w:rPr>
        <w:t>Economy-wide screening to identify</w:t>
      </w:r>
      <w:r w:rsidR="006D3C4B">
        <w:rPr>
          <w:rFonts w:ascii="Arial" w:hAnsi="Arial" w:cs="Arial"/>
          <w:sz w:val="22"/>
          <w:szCs w:val="22"/>
          <w:u w:val="single"/>
        </w:rPr>
        <w:t>, characterise and quantify (in terms of potential market size)</w:t>
      </w:r>
      <w:r w:rsidR="006D3C4B" w:rsidRPr="00DF5817">
        <w:rPr>
          <w:rFonts w:ascii="Arial" w:hAnsi="Arial" w:cs="Arial"/>
          <w:sz w:val="22"/>
          <w:szCs w:val="22"/>
          <w:u w:val="single"/>
        </w:rPr>
        <w:t xml:space="preserve"> the main non-energy applications</w:t>
      </w:r>
      <w:r w:rsidR="006D3C4B">
        <w:rPr>
          <w:rFonts w:ascii="Arial" w:hAnsi="Arial" w:cs="Arial"/>
          <w:sz w:val="22"/>
          <w:szCs w:val="22"/>
          <w:u w:val="single"/>
        </w:rPr>
        <w:t xml:space="preserve"> of bioenergy resources </w:t>
      </w:r>
      <w:r w:rsidR="006D3C4B" w:rsidRPr="00DF5817">
        <w:rPr>
          <w:rFonts w:ascii="Arial" w:hAnsi="Arial" w:cs="Arial"/>
          <w:sz w:val="22"/>
          <w:szCs w:val="22"/>
          <w:u w:val="single"/>
        </w:rPr>
        <w:t>to 2050</w:t>
      </w:r>
      <w:r w:rsidR="00224DAF">
        <w:rPr>
          <w:rFonts w:ascii="Arial" w:hAnsi="Arial" w:cs="Arial"/>
          <w:sz w:val="22"/>
          <w:szCs w:val="22"/>
        </w:rPr>
        <w:t>.</w:t>
      </w:r>
    </w:p>
    <w:p w14:paraId="52866917" w14:textId="4CAE1100" w:rsidR="00224DAF" w:rsidRDefault="00224DAF" w:rsidP="00224DAF">
      <w:pPr>
        <w:spacing w:before="240" w:after="120" w:line="276" w:lineRule="auto"/>
        <w:rPr>
          <w:rFonts w:ascii="Arial" w:hAnsi="Arial" w:cs="Arial"/>
          <w:sz w:val="22"/>
          <w:szCs w:val="22"/>
        </w:rPr>
      </w:pPr>
      <w:r>
        <w:rPr>
          <w:rFonts w:ascii="Arial" w:hAnsi="Arial" w:cs="Arial"/>
          <w:sz w:val="22"/>
          <w:szCs w:val="22"/>
        </w:rPr>
        <w:t>The consultants will identify the economic sectors and main non-energy applications that have the potential to utilise bioenergy feedstocks in the UK. This will result from a review that takes into account previous work undertaken by Poyry for the CCC in 2011</w:t>
      </w:r>
      <w:r w:rsidR="00C73F4A">
        <w:rPr>
          <w:rFonts w:ascii="Arial" w:hAnsi="Arial" w:cs="Arial"/>
          <w:sz w:val="22"/>
          <w:szCs w:val="22"/>
        </w:rPr>
        <w:t>,</w:t>
      </w:r>
      <w:r>
        <w:rPr>
          <w:rStyle w:val="FootnoteReference"/>
          <w:rFonts w:ascii="Arial" w:hAnsi="Arial" w:cs="Arial"/>
          <w:sz w:val="22"/>
          <w:szCs w:val="22"/>
        </w:rPr>
        <w:footnoteReference w:id="9"/>
      </w:r>
      <w:r w:rsidR="00C73F4A">
        <w:rPr>
          <w:rFonts w:ascii="Arial" w:hAnsi="Arial" w:cs="Arial"/>
          <w:sz w:val="22"/>
          <w:szCs w:val="22"/>
        </w:rPr>
        <w:t xml:space="preserve"> </w:t>
      </w:r>
      <w:r>
        <w:rPr>
          <w:rFonts w:ascii="Arial" w:hAnsi="Arial" w:cs="Arial"/>
          <w:sz w:val="22"/>
          <w:szCs w:val="22"/>
        </w:rPr>
        <w:lastRenderedPageBreak/>
        <w:t>recent developments associated with the bioeconomy concept, the latest technological and market developments, and any other relevant applications known to the Consultants.</w:t>
      </w:r>
    </w:p>
    <w:p w14:paraId="35174DE3" w14:textId="6840D26B" w:rsidR="00D41DFD" w:rsidRDefault="00D41DFD" w:rsidP="00D41DFD">
      <w:pPr>
        <w:spacing w:before="240" w:after="120" w:line="276" w:lineRule="auto"/>
        <w:rPr>
          <w:rFonts w:ascii="Arial" w:hAnsi="Arial" w:cs="Arial"/>
          <w:sz w:val="22"/>
          <w:szCs w:val="22"/>
        </w:rPr>
      </w:pPr>
      <w:r>
        <w:rPr>
          <w:rFonts w:ascii="Arial" w:hAnsi="Arial" w:cs="Arial"/>
          <w:sz w:val="22"/>
          <w:szCs w:val="22"/>
        </w:rPr>
        <w:t xml:space="preserve">The CCC is interested in non-energy applications that could represent a non-negligible share of demand for bioenergy resources by 2050 and/or that have the potential to make a </w:t>
      </w:r>
      <w:r w:rsidR="00974030">
        <w:rPr>
          <w:rFonts w:ascii="Arial" w:hAnsi="Arial" w:cs="Arial"/>
          <w:sz w:val="22"/>
          <w:szCs w:val="22"/>
        </w:rPr>
        <w:t>meaningful contribution towards</w:t>
      </w:r>
      <w:r>
        <w:rPr>
          <w:rFonts w:ascii="Arial" w:hAnsi="Arial" w:cs="Arial"/>
          <w:sz w:val="22"/>
          <w:szCs w:val="22"/>
        </w:rPr>
        <w:t xml:space="preserve"> GHG abatement objectives.</w:t>
      </w:r>
      <w:r w:rsidR="00357238" w:rsidRPr="00357238">
        <w:rPr>
          <w:rFonts w:ascii="Arial" w:hAnsi="Arial" w:cs="Arial"/>
          <w:sz w:val="22"/>
        </w:rPr>
        <w:t xml:space="preserve"> </w:t>
      </w:r>
      <w:r w:rsidR="00357238" w:rsidRPr="008004E5">
        <w:rPr>
          <w:rFonts w:ascii="Arial" w:hAnsi="Arial" w:cs="Arial"/>
          <w:sz w:val="22"/>
        </w:rPr>
        <w:t>The focus should be on products with significant GHG abatement potential – in some cases (e.g. WIC) this will include feedstocks which may not typically be used for energy, such as high-value timber.</w:t>
      </w:r>
    </w:p>
    <w:p w14:paraId="1D6B3CEE" w14:textId="58774EA4" w:rsidR="00D93A38" w:rsidRPr="003747C9" w:rsidRDefault="00D41DFD" w:rsidP="003747C9">
      <w:pPr>
        <w:spacing w:before="240" w:after="120" w:line="276" w:lineRule="auto"/>
        <w:rPr>
          <w:rFonts w:ascii="Arial" w:hAnsi="Arial" w:cs="Arial"/>
          <w:sz w:val="22"/>
          <w:szCs w:val="22"/>
        </w:rPr>
      </w:pPr>
      <w:r>
        <w:rPr>
          <w:rFonts w:ascii="Arial" w:hAnsi="Arial" w:cs="Arial"/>
          <w:sz w:val="22"/>
          <w:szCs w:val="22"/>
        </w:rPr>
        <w:t>For each non-energy application, the Consultants will assess potential levels of market penetration</w:t>
      </w:r>
      <w:r w:rsidR="00EE76B3">
        <w:rPr>
          <w:rFonts w:ascii="Arial" w:hAnsi="Arial" w:cs="Arial"/>
          <w:sz w:val="22"/>
          <w:szCs w:val="22"/>
        </w:rPr>
        <w:t xml:space="preserve"> in the UK</w:t>
      </w:r>
      <w:r>
        <w:rPr>
          <w:rFonts w:ascii="Arial" w:hAnsi="Arial" w:cs="Arial"/>
          <w:sz w:val="22"/>
          <w:szCs w:val="22"/>
        </w:rPr>
        <w:t xml:space="preserve"> and quantify at a broad level the potential demand for bioenergy resources, broken down by feedstock type.</w:t>
      </w:r>
      <w:r w:rsidR="00DC6C9B">
        <w:rPr>
          <w:rFonts w:ascii="Arial" w:hAnsi="Arial" w:cs="Arial"/>
          <w:sz w:val="22"/>
          <w:szCs w:val="22"/>
        </w:rPr>
        <w:t xml:space="preserve"> This should draw on an understanding of current markets in the UK and internationally, including any current variation within the UK.</w:t>
      </w:r>
      <w:r w:rsidR="00DC6C9B">
        <w:rPr>
          <w:rStyle w:val="FootnoteReference"/>
          <w:rFonts w:ascii="Arial" w:hAnsi="Arial" w:cs="Arial"/>
          <w:sz w:val="22"/>
          <w:szCs w:val="22"/>
        </w:rPr>
        <w:footnoteReference w:id="10"/>
      </w:r>
      <w:r w:rsidR="00EE76B3">
        <w:rPr>
          <w:rFonts w:ascii="Arial" w:hAnsi="Arial" w:cs="Arial"/>
          <w:sz w:val="22"/>
          <w:szCs w:val="22"/>
        </w:rPr>
        <w:t xml:space="preserve"> Key implications for bioenergy applications should be identified and discussed.</w:t>
      </w:r>
    </w:p>
    <w:p w14:paraId="22344292" w14:textId="4801895D" w:rsidR="00EE54E8" w:rsidRPr="00DF5817" w:rsidRDefault="00F24125" w:rsidP="00DF5817">
      <w:pPr>
        <w:spacing w:before="240" w:after="120" w:line="276" w:lineRule="auto"/>
        <w:ind w:left="567" w:hanging="567"/>
        <w:rPr>
          <w:rFonts w:ascii="Arial" w:hAnsi="Arial" w:cs="Arial"/>
          <w:sz w:val="22"/>
          <w:szCs w:val="22"/>
        </w:rPr>
      </w:pPr>
      <w:r>
        <w:rPr>
          <w:rFonts w:ascii="Arial" w:hAnsi="Arial" w:cs="Arial"/>
        </w:rPr>
        <w:t>1b.</w:t>
      </w:r>
      <w:r>
        <w:rPr>
          <w:rFonts w:ascii="Arial" w:hAnsi="Arial" w:cs="Arial"/>
        </w:rPr>
        <w:tab/>
      </w:r>
      <w:r w:rsidR="003747C9" w:rsidRPr="00DF5817">
        <w:rPr>
          <w:rFonts w:ascii="Arial" w:hAnsi="Arial" w:cs="Arial"/>
          <w:sz w:val="22"/>
          <w:szCs w:val="22"/>
          <w:u w:val="single"/>
        </w:rPr>
        <w:t>For each main non-energy application, characterise and compare</w:t>
      </w:r>
      <w:r w:rsidR="0071781E" w:rsidRPr="00DF5817">
        <w:rPr>
          <w:rFonts w:ascii="Arial" w:hAnsi="Arial" w:cs="Arial"/>
          <w:sz w:val="22"/>
          <w:szCs w:val="22"/>
          <w:u w:val="single"/>
        </w:rPr>
        <w:t xml:space="preserve"> the</w:t>
      </w:r>
      <w:r w:rsidR="003747C9" w:rsidRPr="00DF5817">
        <w:rPr>
          <w:rFonts w:ascii="Arial" w:hAnsi="Arial" w:cs="Arial"/>
          <w:sz w:val="22"/>
          <w:szCs w:val="22"/>
          <w:u w:val="single"/>
        </w:rPr>
        <w:t xml:space="preserve"> bio-based products with their associated substituted </w:t>
      </w:r>
      <w:r w:rsidR="003747C9" w:rsidRPr="00DF5817">
        <w:rPr>
          <w:rFonts w:ascii="Arial" w:hAnsi="Arial" w:cs="Arial"/>
          <w:sz w:val="22"/>
          <w:szCs w:val="22"/>
          <w:u w:val="single"/>
        </w:rPr>
        <w:lastRenderedPageBreak/>
        <w:t>products. Quantify the broad GHG abatement potential and cost at both product and UK economy</w:t>
      </w:r>
      <w:r w:rsidR="00974030" w:rsidRPr="00DF5817">
        <w:rPr>
          <w:rFonts w:ascii="Arial" w:hAnsi="Arial" w:cs="Arial"/>
          <w:sz w:val="22"/>
          <w:szCs w:val="22"/>
          <w:u w:val="single"/>
        </w:rPr>
        <w:t>-wide</w:t>
      </w:r>
      <w:r w:rsidR="003747C9" w:rsidRPr="00DF5817">
        <w:rPr>
          <w:rFonts w:ascii="Arial" w:hAnsi="Arial" w:cs="Arial"/>
          <w:sz w:val="22"/>
          <w:szCs w:val="22"/>
          <w:u w:val="single"/>
        </w:rPr>
        <w:t xml:space="preserve"> </w:t>
      </w:r>
      <w:r w:rsidR="00ED66F9" w:rsidRPr="00DF5817">
        <w:rPr>
          <w:rFonts w:ascii="Arial" w:hAnsi="Arial" w:cs="Arial"/>
          <w:sz w:val="22"/>
          <w:szCs w:val="22"/>
          <w:u w:val="single"/>
        </w:rPr>
        <w:t>scales</w:t>
      </w:r>
      <w:r w:rsidR="00974030" w:rsidRPr="00DF5817">
        <w:rPr>
          <w:rFonts w:ascii="Arial" w:hAnsi="Arial" w:cs="Arial"/>
          <w:sz w:val="22"/>
          <w:szCs w:val="22"/>
          <w:u w:val="single"/>
        </w:rPr>
        <w:t>.</w:t>
      </w:r>
    </w:p>
    <w:p w14:paraId="2920D3FC" w14:textId="58156AED" w:rsidR="00212269" w:rsidRDefault="00974030" w:rsidP="00974030">
      <w:pPr>
        <w:spacing w:before="240" w:after="120" w:line="276" w:lineRule="auto"/>
        <w:rPr>
          <w:rFonts w:ascii="Arial" w:hAnsi="Arial" w:cs="Arial"/>
          <w:sz w:val="22"/>
          <w:szCs w:val="22"/>
        </w:rPr>
      </w:pPr>
      <w:r w:rsidRPr="00212269">
        <w:rPr>
          <w:rFonts w:ascii="Arial" w:hAnsi="Arial" w:cs="Arial"/>
          <w:sz w:val="22"/>
          <w:szCs w:val="22"/>
        </w:rPr>
        <w:t>This</w:t>
      </w:r>
      <w:r w:rsidR="00437F3E">
        <w:rPr>
          <w:rFonts w:ascii="Arial" w:hAnsi="Arial" w:cs="Arial"/>
          <w:sz w:val="22"/>
          <w:szCs w:val="22"/>
        </w:rPr>
        <w:t xml:space="preserve"> sub-</w:t>
      </w:r>
      <w:r w:rsidRPr="00212269">
        <w:rPr>
          <w:rFonts w:ascii="Arial" w:hAnsi="Arial" w:cs="Arial"/>
          <w:sz w:val="22"/>
          <w:szCs w:val="22"/>
        </w:rPr>
        <w:t>task should provide the CCC with summary narratives of the main bio-based products and how they compare with substituted products in terms of cost, performance</w:t>
      </w:r>
      <w:r w:rsidR="00082F62" w:rsidRPr="00212269">
        <w:rPr>
          <w:rFonts w:ascii="Arial" w:hAnsi="Arial" w:cs="Arial"/>
          <w:sz w:val="22"/>
          <w:szCs w:val="22"/>
        </w:rPr>
        <w:t>, GHG emissions and other social, economic and environmental factors.</w:t>
      </w:r>
      <w:r w:rsidR="00ED66F9">
        <w:rPr>
          <w:rFonts w:ascii="Arial" w:hAnsi="Arial" w:cs="Arial"/>
          <w:sz w:val="22"/>
          <w:szCs w:val="22"/>
        </w:rPr>
        <w:t xml:space="preserve"> </w:t>
      </w:r>
      <w:r w:rsidR="00212269">
        <w:rPr>
          <w:rFonts w:ascii="Arial" w:hAnsi="Arial" w:cs="Arial"/>
          <w:sz w:val="22"/>
          <w:szCs w:val="22"/>
        </w:rPr>
        <w:t xml:space="preserve">Consultants should describe the </w:t>
      </w:r>
      <w:r w:rsidR="00212269" w:rsidRPr="00212269">
        <w:rPr>
          <w:rFonts w:ascii="Arial" w:hAnsi="Arial" w:cs="Arial"/>
          <w:sz w:val="22"/>
          <w:szCs w:val="22"/>
        </w:rPr>
        <w:t xml:space="preserve">advantages and disadvantages of product </w:t>
      </w:r>
      <w:r w:rsidR="00212269">
        <w:rPr>
          <w:rFonts w:ascii="Arial" w:hAnsi="Arial" w:cs="Arial"/>
          <w:sz w:val="22"/>
          <w:szCs w:val="22"/>
        </w:rPr>
        <w:t>substitution</w:t>
      </w:r>
      <w:r w:rsidR="00387942">
        <w:rPr>
          <w:rFonts w:ascii="Arial" w:hAnsi="Arial" w:cs="Arial"/>
          <w:sz w:val="22"/>
          <w:szCs w:val="22"/>
        </w:rPr>
        <w:t>, taking into account</w:t>
      </w:r>
      <w:r w:rsidR="00212269">
        <w:rPr>
          <w:rFonts w:ascii="Arial" w:hAnsi="Arial" w:cs="Arial"/>
          <w:sz w:val="22"/>
          <w:szCs w:val="22"/>
        </w:rPr>
        <w:t xml:space="preserve"> </w:t>
      </w:r>
      <w:r w:rsidR="00387942" w:rsidRPr="00212269">
        <w:rPr>
          <w:rFonts w:ascii="Arial" w:hAnsi="Arial" w:cs="Arial"/>
          <w:sz w:val="22"/>
          <w:szCs w:val="22"/>
        </w:rPr>
        <w:t xml:space="preserve">product equivalence </w:t>
      </w:r>
      <w:r w:rsidR="00387942">
        <w:rPr>
          <w:rFonts w:ascii="Arial" w:hAnsi="Arial" w:cs="Arial"/>
          <w:sz w:val="22"/>
          <w:szCs w:val="22"/>
        </w:rPr>
        <w:t xml:space="preserve">(in terms of </w:t>
      </w:r>
      <w:r w:rsidR="00387942" w:rsidRPr="00212269">
        <w:rPr>
          <w:rFonts w:ascii="Arial" w:hAnsi="Arial" w:cs="Arial"/>
          <w:sz w:val="22"/>
          <w:szCs w:val="22"/>
        </w:rPr>
        <w:t>technical performance</w:t>
      </w:r>
      <w:r w:rsidR="00387942">
        <w:rPr>
          <w:rFonts w:ascii="Arial" w:hAnsi="Arial" w:cs="Arial"/>
          <w:sz w:val="22"/>
          <w:szCs w:val="22"/>
        </w:rPr>
        <w:t>) and wider knock-on effects.</w:t>
      </w:r>
    </w:p>
    <w:p w14:paraId="5B4B0CB0" w14:textId="20170077" w:rsidR="00387942" w:rsidRDefault="00C85071" w:rsidP="00974030">
      <w:pPr>
        <w:spacing w:before="240" w:after="120" w:line="276" w:lineRule="auto"/>
        <w:rPr>
          <w:rFonts w:ascii="Arial" w:hAnsi="Arial" w:cs="Arial"/>
          <w:sz w:val="22"/>
          <w:szCs w:val="22"/>
        </w:rPr>
      </w:pPr>
      <w:r>
        <w:rPr>
          <w:rFonts w:ascii="Arial" w:hAnsi="Arial" w:cs="Arial"/>
          <w:sz w:val="22"/>
          <w:szCs w:val="22"/>
        </w:rPr>
        <w:t xml:space="preserve">A key objective of this </w:t>
      </w:r>
      <w:r w:rsidR="00437F3E">
        <w:rPr>
          <w:rFonts w:ascii="Arial" w:hAnsi="Arial" w:cs="Arial"/>
          <w:sz w:val="22"/>
          <w:szCs w:val="22"/>
        </w:rPr>
        <w:t>sub-</w:t>
      </w:r>
      <w:r>
        <w:rPr>
          <w:rFonts w:ascii="Arial" w:hAnsi="Arial" w:cs="Arial"/>
          <w:sz w:val="22"/>
          <w:szCs w:val="22"/>
        </w:rPr>
        <w:t>task is to provide the CCC with a broad understanding of the GHG abatement potential and abatement costs of the main bio-based products identified. Whilst this is not expected to be derived from detailed</w:t>
      </w:r>
      <w:r w:rsidR="00ED66F9">
        <w:rPr>
          <w:rFonts w:ascii="Arial" w:hAnsi="Arial" w:cs="Arial"/>
          <w:sz w:val="22"/>
          <w:szCs w:val="22"/>
        </w:rPr>
        <w:t xml:space="preserve"> new</w:t>
      </w:r>
      <w:r>
        <w:rPr>
          <w:rFonts w:ascii="Arial" w:hAnsi="Arial" w:cs="Arial"/>
          <w:sz w:val="22"/>
          <w:szCs w:val="22"/>
        </w:rPr>
        <w:t xml:space="preserve"> lifecycle analysis, consultants will be expected to </w:t>
      </w:r>
      <w:r w:rsidR="00ED66F9">
        <w:rPr>
          <w:rFonts w:ascii="Arial" w:hAnsi="Arial" w:cs="Arial"/>
          <w:sz w:val="22"/>
          <w:szCs w:val="22"/>
        </w:rPr>
        <w:t xml:space="preserve">identify and </w:t>
      </w:r>
      <w:r>
        <w:rPr>
          <w:rFonts w:ascii="Arial" w:hAnsi="Arial" w:cs="Arial"/>
          <w:sz w:val="22"/>
          <w:szCs w:val="22"/>
        </w:rPr>
        <w:t>consider</w:t>
      </w:r>
      <w:r w:rsidR="00ED66F9">
        <w:rPr>
          <w:rFonts w:ascii="Arial" w:hAnsi="Arial" w:cs="Arial"/>
          <w:sz w:val="22"/>
          <w:szCs w:val="22"/>
        </w:rPr>
        <w:t xml:space="preserve"> the latest evidence related to</w:t>
      </w:r>
      <w:r>
        <w:rPr>
          <w:rFonts w:ascii="Arial" w:hAnsi="Arial" w:cs="Arial"/>
          <w:sz w:val="22"/>
          <w:szCs w:val="22"/>
        </w:rPr>
        <w:t xml:space="preserve"> </w:t>
      </w:r>
      <w:r w:rsidR="00ED66F9">
        <w:rPr>
          <w:rFonts w:ascii="Arial" w:hAnsi="Arial" w:cs="Arial"/>
          <w:sz w:val="22"/>
          <w:szCs w:val="22"/>
        </w:rPr>
        <w:t xml:space="preserve">product </w:t>
      </w:r>
      <w:r>
        <w:rPr>
          <w:rFonts w:ascii="Arial" w:hAnsi="Arial" w:cs="Arial"/>
          <w:sz w:val="22"/>
          <w:szCs w:val="22"/>
        </w:rPr>
        <w:t>life-cycle stages</w:t>
      </w:r>
      <w:r w:rsidR="00ED66F9">
        <w:rPr>
          <w:rFonts w:ascii="Arial" w:hAnsi="Arial" w:cs="Arial"/>
          <w:sz w:val="22"/>
          <w:szCs w:val="22"/>
        </w:rPr>
        <w:t>.</w:t>
      </w:r>
    </w:p>
    <w:p w14:paraId="69329E51" w14:textId="6282599E" w:rsidR="00387942" w:rsidRDefault="00ED66F9" w:rsidP="00974030">
      <w:pPr>
        <w:spacing w:before="240" w:after="120" w:line="276" w:lineRule="auto"/>
        <w:rPr>
          <w:rFonts w:ascii="Arial" w:hAnsi="Arial" w:cs="Arial"/>
          <w:sz w:val="22"/>
          <w:szCs w:val="22"/>
        </w:rPr>
      </w:pPr>
      <w:r>
        <w:rPr>
          <w:rFonts w:ascii="Arial" w:hAnsi="Arial" w:cs="Arial"/>
          <w:sz w:val="22"/>
          <w:szCs w:val="22"/>
        </w:rPr>
        <w:t>Product level estimates should be aggregated to the economy-wide level to provide broad quantification of total abatement potential in the UK throug</w:t>
      </w:r>
      <w:r w:rsidR="005D2D3A">
        <w:rPr>
          <w:rFonts w:ascii="Arial" w:hAnsi="Arial" w:cs="Arial"/>
          <w:sz w:val="22"/>
          <w:szCs w:val="22"/>
        </w:rPr>
        <w:t>h to 2050. This will require a high-level understanding</w:t>
      </w:r>
      <w:r w:rsidR="0019786A">
        <w:rPr>
          <w:rFonts w:ascii="Arial" w:hAnsi="Arial" w:cs="Arial"/>
          <w:sz w:val="22"/>
          <w:szCs w:val="22"/>
        </w:rPr>
        <w:t xml:space="preserve"> of maximum technical and economic </w:t>
      </w:r>
      <w:r w:rsidR="00865DD6">
        <w:rPr>
          <w:rFonts w:ascii="Arial" w:hAnsi="Arial" w:cs="Arial"/>
          <w:sz w:val="22"/>
          <w:szCs w:val="22"/>
        </w:rPr>
        <w:t>substitution</w:t>
      </w:r>
      <w:r w:rsidR="0019786A">
        <w:rPr>
          <w:rFonts w:ascii="Arial" w:hAnsi="Arial" w:cs="Arial"/>
          <w:sz w:val="22"/>
          <w:szCs w:val="22"/>
        </w:rPr>
        <w:t xml:space="preserve"> levels along with reasoned projections of central-case deployment given other constraints.</w:t>
      </w:r>
    </w:p>
    <w:p w14:paraId="3A630C2D" w14:textId="7698A63A" w:rsidR="00437F3E" w:rsidRPr="00212269" w:rsidRDefault="0019786A" w:rsidP="00865B54">
      <w:pPr>
        <w:spacing w:before="240" w:after="120" w:line="276" w:lineRule="auto"/>
        <w:rPr>
          <w:rFonts w:ascii="Arial" w:hAnsi="Arial" w:cs="Arial"/>
          <w:sz w:val="22"/>
          <w:szCs w:val="22"/>
        </w:rPr>
      </w:pPr>
      <w:r w:rsidRPr="00CD64B1">
        <w:rPr>
          <w:rFonts w:ascii="Arial" w:hAnsi="Arial" w:cs="Arial"/>
          <w:sz w:val="22"/>
          <w:szCs w:val="22"/>
        </w:rPr>
        <w:lastRenderedPageBreak/>
        <w:t xml:space="preserve">Using bioenergy feedstocks for non-energy applications can deliver GHG abatement by two principal routes: displacement of high-embodied carbon products and </w:t>
      </w:r>
      <w:r w:rsidR="00BA0401">
        <w:rPr>
          <w:rFonts w:ascii="Arial" w:hAnsi="Arial" w:cs="Arial"/>
          <w:sz w:val="22"/>
          <w:szCs w:val="22"/>
        </w:rPr>
        <w:t>biogenic storage</w:t>
      </w:r>
      <w:r w:rsidRPr="00CD64B1">
        <w:rPr>
          <w:rFonts w:ascii="Arial" w:hAnsi="Arial" w:cs="Arial"/>
          <w:sz w:val="22"/>
          <w:szCs w:val="22"/>
        </w:rPr>
        <w:t xml:space="preserve"> of </w:t>
      </w:r>
      <w:r w:rsidR="001039C2">
        <w:rPr>
          <w:rFonts w:ascii="Arial" w:hAnsi="Arial" w:cs="Arial"/>
          <w:sz w:val="22"/>
          <w:szCs w:val="22"/>
        </w:rPr>
        <w:t>c</w:t>
      </w:r>
      <w:r w:rsidRPr="00CD64B1">
        <w:rPr>
          <w:rFonts w:ascii="Arial" w:hAnsi="Arial" w:cs="Arial"/>
          <w:sz w:val="22"/>
          <w:szCs w:val="22"/>
        </w:rPr>
        <w:t xml:space="preserve">arbon in bio-based products. Consultants should </w:t>
      </w:r>
      <w:r w:rsidR="00CD64B1" w:rsidRPr="00CD64B1">
        <w:rPr>
          <w:rFonts w:ascii="Arial" w:hAnsi="Arial" w:cs="Arial"/>
          <w:sz w:val="22"/>
          <w:szCs w:val="22"/>
        </w:rPr>
        <w:t xml:space="preserve">consider and </w:t>
      </w:r>
      <w:r w:rsidRPr="00CD64B1">
        <w:rPr>
          <w:rFonts w:ascii="Arial" w:hAnsi="Arial" w:cs="Arial"/>
          <w:sz w:val="22"/>
          <w:szCs w:val="22"/>
        </w:rPr>
        <w:t>distinguish between these two routes in their assessments of GHG abatement potential.</w:t>
      </w:r>
      <w:r w:rsidR="00CD64B1">
        <w:rPr>
          <w:rFonts w:ascii="Arial" w:hAnsi="Arial" w:cs="Arial"/>
          <w:sz w:val="22"/>
          <w:szCs w:val="22"/>
          <w:highlight w:val="yellow"/>
        </w:rPr>
        <w:t xml:space="preserve"> </w:t>
      </w:r>
      <w:r w:rsidR="00D22A63">
        <w:rPr>
          <w:rFonts w:ascii="Arial" w:hAnsi="Arial" w:cs="Arial"/>
          <w:sz w:val="22"/>
          <w:szCs w:val="22"/>
        </w:rPr>
        <w:t xml:space="preserve"> </w:t>
      </w:r>
    </w:p>
    <w:p w14:paraId="2AE4A5FB" w14:textId="296AB47E" w:rsidR="001D30BA" w:rsidRDefault="001122F1" w:rsidP="00865B54">
      <w:pPr>
        <w:spacing w:before="360" w:after="120" w:line="276" w:lineRule="auto"/>
        <w:rPr>
          <w:rFonts w:ascii="Arial" w:hAnsi="Arial" w:cs="Arial"/>
          <w:b/>
          <w:bCs/>
          <w:sz w:val="22"/>
        </w:rPr>
      </w:pPr>
      <w:r w:rsidRPr="006052A3">
        <w:rPr>
          <w:rFonts w:ascii="Arial" w:hAnsi="Arial" w:cs="Arial"/>
          <w:b/>
          <w:sz w:val="22"/>
          <w:szCs w:val="22"/>
        </w:rPr>
        <w:t>Task 2</w:t>
      </w:r>
      <w:r w:rsidR="009D3372" w:rsidRPr="006052A3">
        <w:rPr>
          <w:rFonts w:ascii="Arial" w:hAnsi="Arial" w:cs="Arial"/>
          <w:b/>
          <w:sz w:val="22"/>
          <w:szCs w:val="22"/>
        </w:rPr>
        <w:t xml:space="preserve">. </w:t>
      </w:r>
      <w:r w:rsidR="00B80F41">
        <w:rPr>
          <w:rFonts w:ascii="Arial" w:hAnsi="Arial" w:cs="Arial"/>
          <w:b/>
          <w:bCs/>
          <w:sz w:val="22"/>
        </w:rPr>
        <w:t xml:space="preserve">‘Deep-dive’ assessment of WIC to develop an in-depth understanding </w:t>
      </w:r>
      <w:r w:rsidR="00B80F41" w:rsidRPr="00B16E13">
        <w:rPr>
          <w:rFonts w:ascii="Arial" w:hAnsi="Arial" w:cs="Arial"/>
          <w:b/>
          <w:sz w:val="22"/>
          <w:szCs w:val="22"/>
        </w:rPr>
        <w:t>of the current</w:t>
      </w:r>
      <w:r w:rsidR="00B80F41">
        <w:rPr>
          <w:rFonts w:ascii="Arial" w:hAnsi="Arial" w:cs="Arial"/>
          <w:b/>
          <w:sz w:val="22"/>
          <w:szCs w:val="22"/>
        </w:rPr>
        <w:t xml:space="preserve"> UK market</w:t>
      </w:r>
      <w:r w:rsidR="00B80F41" w:rsidRPr="00B16E13">
        <w:rPr>
          <w:rFonts w:ascii="Arial" w:hAnsi="Arial" w:cs="Arial"/>
          <w:b/>
          <w:sz w:val="22"/>
          <w:szCs w:val="22"/>
        </w:rPr>
        <w:t xml:space="preserve">, how this could develop </w:t>
      </w:r>
      <w:r w:rsidR="00B80F41">
        <w:rPr>
          <w:rFonts w:ascii="Arial" w:hAnsi="Arial" w:cs="Arial"/>
          <w:b/>
          <w:sz w:val="22"/>
          <w:szCs w:val="22"/>
        </w:rPr>
        <w:t>to 2050</w:t>
      </w:r>
      <w:r w:rsidR="00B80F41" w:rsidRPr="00B16E13">
        <w:rPr>
          <w:rFonts w:ascii="Arial" w:hAnsi="Arial" w:cs="Arial"/>
          <w:b/>
          <w:sz w:val="22"/>
          <w:szCs w:val="22"/>
        </w:rPr>
        <w:t xml:space="preserve"> </w:t>
      </w:r>
      <w:r w:rsidR="00B80F41">
        <w:rPr>
          <w:rFonts w:ascii="Arial" w:hAnsi="Arial" w:cs="Arial"/>
          <w:b/>
          <w:sz w:val="22"/>
          <w:szCs w:val="22"/>
        </w:rPr>
        <w:t xml:space="preserve">and implications for </w:t>
      </w:r>
      <w:r w:rsidR="00B80F41" w:rsidRPr="00B16E13">
        <w:rPr>
          <w:rFonts w:ascii="Arial" w:hAnsi="Arial" w:cs="Arial"/>
          <w:b/>
          <w:sz w:val="22"/>
          <w:szCs w:val="22"/>
        </w:rPr>
        <w:t>abatement</w:t>
      </w:r>
      <w:r w:rsidR="00B80F41">
        <w:rPr>
          <w:rFonts w:ascii="Arial" w:hAnsi="Arial" w:cs="Arial"/>
          <w:b/>
          <w:bCs/>
          <w:sz w:val="22"/>
        </w:rPr>
        <w:t>.</w:t>
      </w:r>
    </w:p>
    <w:p w14:paraId="37224F0D" w14:textId="14450293" w:rsidR="001D30BA" w:rsidRDefault="001D30BA" w:rsidP="003747C9">
      <w:pPr>
        <w:spacing w:before="240" w:after="120" w:line="276" w:lineRule="auto"/>
        <w:rPr>
          <w:rFonts w:ascii="Arial" w:hAnsi="Arial" w:cs="Arial"/>
          <w:bCs/>
          <w:sz w:val="22"/>
        </w:rPr>
      </w:pPr>
      <w:r>
        <w:rPr>
          <w:rFonts w:ascii="Arial" w:hAnsi="Arial" w:cs="Arial"/>
          <w:bCs/>
          <w:sz w:val="22"/>
        </w:rPr>
        <w:t>This is the main analytical tas</w:t>
      </w:r>
      <w:r w:rsidR="005D2D3A">
        <w:rPr>
          <w:rFonts w:ascii="Arial" w:hAnsi="Arial" w:cs="Arial"/>
          <w:bCs/>
          <w:sz w:val="22"/>
        </w:rPr>
        <w:t>k</w:t>
      </w:r>
      <w:r w:rsidR="00B80F41" w:rsidRPr="00B80F41">
        <w:rPr>
          <w:rFonts w:ascii="Arial" w:hAnsi="Arial" w:cs="Arial"/>
          <w:bCs/>
          <w:sz w:val="22"/>
        </w:rPr>
        <w:t xml:space="preserve"> </w:t>
      </w:r>
      <w:r w:rsidR="00B80F41">
        <w:rPr>
          <w:rFonts w:ascii="Arial" w:hAnsi="Arial" w:cs="Arial"/>
          <w:bCs/>
          <w:sz w:val="22"/>
        </w:rPr>
        <w:t>and the CCC expects that it will involve both quantitative and qualitative analysis</w:t>
      </w:r>
      <w:r w:rsidR="005D2D3A">
        <w:rPr>
          <w:rFonts w:ascii="Arial" w:hAnsi="Arial" w:cs="Arial"/>
          <w:bCs/>
          <w:sz w:val="22"/>
        </w:rPr>
        <w:t xml:space="preserve">. </w:t>
      </w:r>
    </w:p>
    <w:p w14:paraId="65C4B89B" w14:textId="7189A64B" w:rsidR="001D30BA" w:rsidRDefault="001D30BA" w:rsidP="003747C9">
      <w:pPr>
        <w:spacing w:before="240" w:after="120" w:line="276" w:lineRule="auto"/>
        <w:rPr>
          <w:rFonts w:ascii="Arial" w:hAnsi="Arial" w:cs="Arial"/>
          <w:b/>
          <w:sz w:val="22"/>
          <w:szCs w:val="22"/>
        </w:rPr>
      </w:pPr>
      <w:r>
        <w:rPr>
          <w:rFonts w:ascii="Arial" w:hAnsi="Arial" w:cs="Arial"/>
          <w:bCs/>
          <w:sz w:val="22"/>
        </w:rPr>
        <w:t>We anticipate this</w:t>
      </w:r>
      <w:r w:rsidRPr="00AE3B37">
        <w:rPr>
          <w:rFonts w:ascii="Arial" w:hAnsi="Arial" w:cs="Arial"/>
          <w:bCs/>
          <w:sz w:val="22"/>
        </w:rPr>
        <w:t xml:space="preserve"> ‘</w:t>
      </w:r>
      <w:r>
        <w:rPr>
          <w:rFonts w:ascii="Arial" w:hAnsi="Arial" w:cs="Arial"/>
          <w:bCs/>
          <w:sz w:val="22"/>
        </w:rPr>
        <w:t>deep-dive’ analysis will focus on</w:t>
      </w:r>
      <w:r w:rsidRPr="00AE3B37">
        <w:rPr>
          <w:rFonts w:ascii="Arial" w:hAnsi="Arial" w:cs="Arial"/>
          <w:bCs/>
          <w:sz w:val="22"/>
        </w:rPr>
        <w:t xml:space="preserve"> </w:t>
      </w:r>
      <w:r>
        <w:rPr>
          <w:rFonts w:ascii="Arial" w:hAnsi="Arial" w:cs="Arial"/>
          <w:bCs/>
          <w:sz w:val="22"/>
        </w:rPr>
        <w:t>WIC</w:t>
      </w:r>
      <w:r w:rsidR="00437F3E">
        <w:rPr>
          <w:rFonts w:ascii="Arial" w:hAnsi="Arial" w:cs="Arial"/>
          <w:bCs/>
          <w:sz w:val="22"/>
        </w:rPr>
        <w:t xml:space="preserve"> applications</w:t>
      </w:r>
      <w:r>
        <w:rPr>
          <w:rFonts w:ascii="Arial" w:hAnsi="Arial" w:cs="Arial"/>
          <w:bCs/>
          <w:sz w:val="22"/>
        </w:rPr>
        <w:t xml:space="preserve"> but the scope of work may </w:t>
      </w:r>
      <w:r w:rsidRPr="00AE3B37">
        <w:rPr>
          <w:rFonts w:ascii="Arial" w:hAnsi="Arial" w:cs="Arial"/>
          <w:bCs/>
          <w:sz w:val="22"/>
        </w:rPr>
        <w:t>be exp</w:t>
      </w:r>
      <w:r>
        <w:rPr>
          <w:rFonts w:ascii="Arial" w:hAnsi="Arial" w:cs="Arial"/>
          <w:bCs/>
          <w:sz w:val="22"/>
        </w:rPr>
        <w:t xml:space="preserve">anded to include </w:t>
      </w:r>
      <w:r w:rsidRPr="00AE3B37">
        <w:rPr>
          <w:rFonts w:ascii="Arial" w:hAnsi="Arial" w:cs="Arial"/>
          <w:bCs/>
          <w:sz w:val="22"/>
        </w:rPr>
        <w:t>one or two additional</w:t>
      </w:r>
      <w:r>
        <w:rPr>
          <w:rFonts w:ascii="Arial" w:hAnsi="Arial" w:cs="Arial"/>
          <w:bCs/>
          <w:sz w:val="22"/>
        </w:rPr>
        <w:t xml:space="preserve"> deep-dive assessments of other key</w:t>
      </w:r>
      <w:r w:rsidRPr="00AE3B37">
        <w:rPr>
          <w:rFonts w:ascii="Arial" w:hAnsi="Arial" w:cs="Arial"/>
          <w:bCs/>
          <w:sz w:val="22"/>
        </w:rPr>
        <w:t xml:space="preserve"> applicati</w:t>
      </w:r>
      <w:r>
        <w:rPr>
          <w:rFonts w:ascii="Arial" w:hAnsi="Arial" w:cs="Arial"/>
          <w:bCs/>
          <w:sz w:val="22"/>
        </w:rPr>
        <w:t xml:space="preserve">ons </w:t>
      </w:r>
      <w:r w:rsidR="00437F3E">
        <w:rPr>
          <w:rFonts w:ascii="Arial" w:hAnsi="Arial" w:cs="Arial"/>
          <w:bCs/>
          <w:sz w:val="22"/>
        </w:rPr>
        <w:t xml:space="preserve">(e.g. bio-based plastics) </w:t>
      </w:r>
      <w:r>
        <w:rPr>
          <w:rFonts w:ascii="Arial" w:hAnsi="Arial" w:cs="Arial"/>
          <w:bCs/>
          <w:sz w:val="22"/>
        </w:rPr>
        <w:t>depending on the findings of Task 1</w:t>
      </w:r>
      <w:r w:rsidRPr="00AE3B37">
        <w:rPr>
          <w:rFonts w:ascii="Arial" w:hAnsi="Arial" w:cs="Arial"/>
          <w:bCs/>
          <w:sz w:val="22"/>
        </w:rPr>
        <w:t>.</w:t>
      </w:r>
      <w:r w:rsidR="00080502">
        <w:rPr>
          <w:rFonts w:ascii="Arial" w:hAnsi="Arial" w:cs="Arial"/>
          <w:bCs/>
          <w:sz w:val="22"/>
        </w:rPr>
        <w:t xml:space="preserve"> </w:t>
      </w:r>
      <w:r w:rsidR="00437F3E">
        <w:rPr>
          <w:rFonts w:ascii="Arial" w:hAnsi="Arial" w:cs="Arial"/>
          <w:bCs/>
          <w:sz w:val="22"/>
        </w:rPr>
        <w:t xml:space="preserve">Consultants should price for </w:t>
      </w:r>
      <w:r w:rsidR="00080502">
        <w:rPr>
          <w:rFonts w:ascii="Arial" w:hAnsi="Arial" w:cs="Arial"/>
          <w:bCs/>
          <w:sz w:val="22"/>
        </w:rPr>
        <w:t xml:space="preserve">one deep-dive assessment </w:t>
      </w:r>
      <w:r w:rsidR="00193F8E">
        <w:rPr>
          <w:rFonts w:ascii="Arial" w:hAnsi="Arial" w:cs="Arial"/>
          <w:bCs/>
          <w:sz w:val="22"/>
        </w:rPr>
        <w:t xml:space="preserve">(WIC) </w:t>
      </w:r>
      <w:r w:rsidR="00437F3E">
        <w:rPr>
          <w:rFonts w:ascii="Arial" w:hAnsi="Arial" w:cs="Arial"/>
          <w:bCs/>
          <w:sz w:val="22"/>
        </w:rPr>
        <w:t xml:space="preserve">in their </w:t>
      </w:r>
      <w:r w:rsidR="00080502">
        <w:rPr>
          <w:rFonts w:ascii="Arial" w:hAnsi="Arial" w:cs="Arial"/>
          <w:bCs/>
          <w:sz w:val="22"/>
        </w:rPr>
        <w:t>fee proposal but also</w:t>
      </w:r>
      <w:r w:rsidR="008F433B">
        <w:rPr>
          <w:rFonts w:ascii="Arial" w:hAnsi="Arial" w:cs="Arial"/>
          <w:bCs/>
          <w:sz w:val="22"/>
        </w:rPr>
        <w:t xml:space="preserve"> set out </w:t>
      </w:r>
      <w:r w:rsidR="00C75F12">
        <w:rPr>
          <w:rFonts w:ascii="Arial" w:hAnsi="Arial" w:cs="Arial"/>
          <w:bCs/>
          <w:sz w:val="22"/>
        </w:rPr>
        <w:t xml:space="preserve">the </w:t>
      </w:r>
      <w:r w:rsidR="00437F3E">
        <w:rPr>
          <w:rFonts w:ascii="Arial" w:hAnsi="Arial" w:cs="Arial"/>
          <w:bCs/>
          <w:sz w:val="22"/>
        </w:rPr>
        <w:t>additional fee</w:t>
      </w:r>
      <w:r w:rsidR="008F433B">
        <w:rPr>
          <w:rFonts w:ascii="Arial" w:hAnsi="Arial" w:cs="Arial"/>
          <w:bCs/>
          <w:sz w:val="22"/>
        </w:rPr>
        <w:t>s</w:t>
      </w:r>
      <w:r w:rsidR="00437F3E">
        <w:rPr>
          <w:rFonts w:ascii="Arial" w:hAnsi="Arial" w:cs="Arial"/>
          <w:bCs/>
          <w:sz w:val="22"/>
        </w:rPr>
        <w:t xml:space="preserve"> required should one or two further detailed assessments be undertaken.</w:t>
      </w:r>
      <w:r w:rsidR="008F433B">
        <w:rPr>
          <w:rStyle w:val="FootnoteReference"/>
          <w:rFonts w:ascii="Arial" w:hAnsi="Arial" w:cs="Arial"/>
          <w:bCs/>
          <w:sz w:val="22"/>
        </w:rPr>
        <w:footnoteReference w:id="11"/>
      </w:r>
      <w:r w:rsidR="00080502">
        <w:rPr>
          <w:rFonts w:ascii="Arial" w:hAnsi="Arial" w:cs="Arial"/>
          <w:bCs/>
          <w:sz w:val="22"/>
        </w:rPr>
        <w:t xml:space="preserve">  </w:t>
      </w:r>
    </w:p>
    <w:p w14:paraId="6B76E784" w14:textId="12B6FFFA" w:rsidR="00B80F41" w:rsidRDefault="008F433B" w:rsidP="003747C9">
      <w:pPr>
        <w:spacing w:before="240" w:after="120" w:line="276" w:lineRule="auto"/>
        <w:rPr>
          <w:rFonts w:ascii="Arial" w:hAnsi="Arial" w:cs="Arial"/>
          <w:bCs/>
          <w:sz w:val="22"/>
        </w:rPr>
      </w:pPr>
      <w:r>
        <w:rPr>
          <w:rFonts w:ascii="Arial" w:hAnsi="Arial" w:cs="Arial"/>
          <w:bCs/>
          <w:sz w:val="22"/>
        </w:rPr>
        <w:lastRenderedPageBreak/>
        <w:t>The overall purpose of this task is</w:t>
      </w:r>
      <w:r w:rsidR="001D30BA" w:rsidRPr="001D30BA">
        <w:rPr>
          <w:rFonts w:ascii="Arial" w:hAnsi="Arial" w:cs="Arial"/>
          <w:bCs/>
          <w:sz w:val="22"/>
        </w:rPr>
        <w:t xml:space="preserve"> to</w:t>
      </w:r>
      <w:r>
        <w:rPr>
          <w:rFonts w:ascii="Arial" w:hAnsi="Arial" w:cs="Arial"/>
          <w:bCs/>
          <w:sz w:val="22"/>
        </w:rPr>
        <w:t xml:space="preserve"> provide the CCC </w:t>
      </w:r>
      <w:r w:rsidR="00B80F41">
        <w:rPr>
          <w:rFonts w:ascii="Arial" w:hAnsi="Arial" w:cs="Arial"/>
          <w:bCs/>
          <w:sz w:val="22"/>
        </w:rPr>
        <w:t>with an in-depth</w:t>
      </w:r>
      <w:r w:rsidR="00B80F41" w:rsidRPr="001D30BA">
        <w:rPr>
          <w:rFonts w:ascii="Arial" w:hAnsi="Arial" w:cs="Arial"/>
          <w:bCs/>
          <w:sz w:val="22"/>
        </w:rPr>
        <w:t xml:space="preserve"> understand</w:t>
      </w:r>
      <w:r w:rsidR="00B80F41">
        <w:rPr>
          <w:rFonts w:ascii="Arial" w:hAnsi="Arial" w:cs="Arial"/>
          <w:bCs/>
          <w:sz w:val="22"/>
        </w:rPr>
        <w:t>ing of</w:t>
      </w:r>
      <w:r w:rsidR="00B80F41" w:rsidRPr="001D30BA">
        <w:rPr>
          <w:rFonts w:ascii="Arial" w:hAnsi="Arial" w:cs="Arial"/>
          <w:bCs/>
          <w:sz w:val="22"/>
        </w:rPr>
        <w:t xml:space="preserve"> the </w:t>
      </w:r>
      <w:r w:rsidR="00B80F41">
        <w:rPr>
          <w:rFonts w:ascii="Arial" w:hAnsi="Arial" w:cs="Arial"/>
          <w:bCs/>
          <w:sz w:val="22"/>
        </w:rPr>
        <w:t>current</w:t>
      </w:r>
      <w:r w:rsidR="00B80F41" w:rsidRPr="001D30BA">
        <w:rPr>
          <w:rFonts w:ascii="Arial" w:hAnsi="Arial" w:cs="Arial"/>
          <w:bCs/>
          <w:sz w:val="22"/>
        </w:rPr>
        <w:t xml:space="preserve"> </w:t>
      </w:r>
      <w:r w:rsidR="00B80F41">
        <w:rPr>
          <w:rFonts w:ascii="Arial" w:hAnsi="Arial" w:cs="Arial"/>
          <w:bCs/>
          <w:sz w:val="22"/>
        </w:rPr>
        <w:t>UK market for WIC, how this market could develop over time under different scenarios, and what the implications are for GHG abatement given a range of sensitivities.</w:t>
      </w:r>
    </w:p>
    <w:p w14:paraId="0C5F17D7" w14:textId="4B11F99E" w:rsidR="001D30BA" w:rsidRDefault="00B80F41" w:rsidP="003747C9">
      <w:pPr>
        <w:spacing w:before="240" w:after="120" w:line="276" w:lineRule="auto"/>
        <w:rPr>
          <w:rFonts w:ascii="Arial" w:hAnsi="Arial" w:cs="Arial"/>
          <w:sz w:val="22"/>
          <w:szCs w:val="22"/>
        </w:rPr>
      </w:pPr>
      <w:r w:rsidRPr="00B16E13">
        <w:rPr>
          <w:rFonts w:ascii="Arial" w:hAnsi="Arial" w:cs="Arial"/>
          <w:sz w:val="22"/>
        </w:rPr>
        <w:t xml:space="preserve">Consultants </w:t>
      </w:r>
      <w:r>
        <w:rPr>
          <w:rFonts w:ascii="Arial" w:hAnsi="Arial" w:cs="Arial"/>
          <w:sz w:val="22"/>
        </w:rPr>
        <w:t>should</w:t>
      </w:r>
      <w:r w:rsidRPr="00B16E13">
        <w:rPr>
          <w:rFonts w:ascii="Arial" w:hAnsi="Arial" w:cs="Arial"/>
          <w:sz w:val="22"/>
        </w:rPr>
        <w:t xml:space="preserve"> </w:t>
      </w:r>
      <w:r>
        <w:rPr>
          <w:rFonts w:ascii="Arial" w:hAnsi="Arial" w:cs="Arial"/>
          <w:sz w:val="22"/>
        </w:rPr>
        <w:t>includ</w:t>
      </w:r>
      <w:r w:rsidRPr="00D00AB2">
        <w:rPr>
          <w:rFonts w:ascii="Arial" w:hAnsi="Arial" w:cs="Arial"/>
          <w:sz w:val="22"/>
        </w:rPr>
        <w:t>e both</w:t>
      </w:r>
      <w:r w:rsidRPr="00E83AE9">
        <w:rPr>
          <w:rFonts w:ascii="Arial" w:hAnsi="Arial" w:cs="Arial"/>
          <w:sz w:val="22"/>
        </w:rPr>
        <w:t xml:space="preserve"> bio-feedstocks that realistically might</w:t>
      </w:r>
      <w:r w:rsidRPr="00E134F8">
        <w:rPr>
          <w:rFonts w:ascii="Arial" w:hAnsi="Arial" w:cs="Arial"/>
          <w:sz w:val="22"/>
        </w:rPr>
        <w:t xml:space="preserve"> be </w:t>
      </w:r>
      <w:r w:rsidRPr="00C376E4">
        <w:rPr>
          <w:rFonts w:ascii="Arial" w:hAnsi="Arial" w:cs="Arial"/>
          <w:sz w:val="22"/>
        </w:rPr>
        <w:t xml:space="preserve">used </w:t>
      </w:r>
      <w:r w:rsidRPr="004E4E4E">
        <w:rPr>
          <w:rFonts w:ascii="Arial" w:hAnsi="Arial" w:cs="Arial"/>
          <w:sz w:val="22"/>
        </w:rPr>
        <w:t xml:space="preserve">for energy </w:t>
      </w:r>
      <w:r w:rsidRPr="0057214F">
        <w:rPr>
          <w:rFonts w:ascii="Arial" w:hAnsi="Arial" w:cs="Arial"/>
          <w:sz w:val="22"/>
        </w:rPr>
        <w:t>and</w:t>
      </w:r>
      <w:r w:rsidRPr="00357238">
        <w:rPr>
          <w:rFonts w:ascii="Arial" w:hAnsi="Arial" w:cs="Arial"/>
          <w:sz w:val="22"/>
        </w:rPr>
        <w:t xml:space="preserve"> </w:t>
      </w:r>
      <w:r w:rsidRPr="004E4E4E">
        <w:rPr>
          <w:rFonts w:ascii="Arial" w:hAnsi="Arial" w:cs="Arial"/>
          <w:sz w:val="22"/>
        </w:rPr>
        <w:t xml:space="preserve">other bio-feedstocks that can still deliver abatement (e.g. use of high value timber in construction). </w:t>
      </w:r>
    </w:p>
    <w:p w14:paraId="49B6B867" w14:textId="7AB3EC56" w:rsidR="00AB07E8" w:rsidRDefault="00AB07E8" w:rsidP="00AB07E8">
      <w:pPr>
        <w:spacing w:before="240" w:after="120" w:line="276" w:lineRule="auto"/>
        <w:rPr>
          <w:rFonts w:ascii="Arial" w:hAnsi="Arial" w:cs="Arial"/>
          <w:sz w:val="22"/>
          <w:szCs w:val="22"/>
        </w:rPr>
      </w:pPr>
      <w:r>
        <w:rPr>
          <w:rFonts w:ascii="Arial" w:hAnsi="Arial" w:cs="Arial"/>
          <w:sz w:val="22"/>
          <w:szCs w:val="22"/>
        </w:rPr>
        <w:t xml:space="preserve">The CCC expects that </w:t>
      </w:r>
      <w:r w:rsidR="00357238">
        <w:rPr>
          <w:rFonts w:ascii="Arial" w:hAnsi="Arial" w:cs="Arial"/>
          <w:sz w:val="22"/>
          <w:szCs w:val="22"/>
        </w:rPr>
        <w:t>c</w:t>
      </w:r>
      <w:r>
        <w:rPr>
          <w:rFonts w:ascii="Arial" w:hAnsi="Arial" w:cs="Arial"/>
          <w:sz w:val="22"/>
          <w:szCs w:val="22"/>
        </w:rPr>
        <w:t xml:space="preserve">onsultants will engage with key construction industry stakeholders as part of this deep-dive assessment. This is likely to include a stakeholder workshop / roundtable event to test interim findings and scope potential policy options. It could also include additional consultations if required. Consultants should set out their proposed approach to stakeholder engagement in their proposal. </w:t>
      </w:r>
    </w:p>
    <w:p w14:paraId="512313AD" w14:textId="3BF980D7" w:rsidR="00AB07E8" w:rsidRPr="00F24125" w:rsidRDefault="00B80F41" w:rsidP="003747C9">
      <w:pPr>
        <w:spacing w:before="240" w:after="120" w:line="276" w:lineRule="auto"/>
        <w:rPr>
          <w:rFonts w:ascii="Arial" w:hAnsi="Arial" w:cs="Arial"/>
          <w:sz w:val="22"/>
          <w:szCs w:val="22"/>
        </w:rPr>
      </w:pPr>
      <w:r>
        <w:rPr>
          <w:rFonts w:ascii="Arial" w:hAnsi="Arial" w:cs="Arial"/>
          <w:sz w:val="22"/>
          <w:szCs w:val="22"/>
        </w:rPr>
        <w:t xml:space="preserve">This task </w:t>
      </w:r>
      <w:r w:rsidR="0074795D">
        <w:rPr>
          <w:rFonts w:ascii="Arial" w:hAnsi="Arial" w:cs="Arial"/>
          <w:sz w:val="22"/>
          <w:szCs w:val="22"/>
        </w:rPr>
        <w:t>can be</w:t>
      </w:r>
      <w:r>
        <w:rPr>
          <w:rFonts w:ascii="Arial" w:hAnsi="Arial" w:cs="Arial"/>
          <w:sz w:val="22"/>
          <w:szCs w:val="22"/>
        </w:rPr>
        <w:t xml:space="preserve"> split into </w:t>
      </w:r>
      <w:r w:rsidR="0074795D">
        <w:rPr>
          <w:rFonts w:ascii="Arial" w:hAnsi="Arial" w:cs="Arial"/>
          <w:sz w:val="22"/>
          <w:szCs w:val="22"/>
        </w:rPr>
        <w:t>three</w:t>
      </w:r>
      <w:r w:rsidR="00C61FB5">
        <w:rPr>
          <w:rFonts w:ascii="Arial" w:hAnsi="Arial" w:cs="Arial"/>
          <w:sz w:val="22"/>
          <w:szCs w:val="22"/>
        </w:rPr>
        <w:t xml:space="preserve"> part</w:t>
      </w:r>
      <w:r>
        <w:rPr>
          <w:rFonts w:ascii="Arial" w:hAnsi="Arial" w:cs="Arial"/>
          <w:sz w:val="22"/>
          <w:szCs w:val="22"/>
        </w:rPr>
        <w:t>s.</w:t>
      </w:r>
    </w:p>
    <w:p w14:paraId="3450DAAB" w14:textId="61F6AC6C" w:rsidR="00F24125" w:rsidRDefault="00F24125" w:rsidP="00F24125">
      <w:pPr>
        <w:spacing w:before="240" w:after="120" w:line="276" w:lineRule="auto"/>
        <w:ind w:left="567" w:hanging="567"/>
        <w:rPr>
          <w:rFonts w:ascii="Arial" w:hAnsi="Arial" w:cs="Arial"/>
          <w:sz w:val="22"/>
          <w:szCs w:val="22"/>
          <w:u w:val="single"/>
        </w:rPr>
      </w:pPr>
      <w:r w:rsidRPr="00F24125">
        <w:rPr>
          <w:rFonts w:ascii="Arial" w:hAnsi="Arial" w:cs="Arial"/>
          <w:sz w:val="22"/>
          <w:szCs w:val="22"/>
        </w:rPr>
        <w:lastRenderedPageBreak/>
        <w:t>2a.</w:t>
      </w:r>
      <w:r w:rsidRPr="00F24125">
        <w:rPr>
          <w:rFonts w:ascii="Arial" w:hAnsi="Arial" w:cs="Arial"/>
          <w:sz w:val="22"/>
          <w:szCs w:val="22"/>
        </w:rPr>
        <w:tab/>
      </w:r>
      <w:r w:rsidR="006F70B4">
        <w:rPr>
          <w:rFonts w:ascii="Arial" w:hAnsi="Arial" w:cs="Arial"/>
          <w:sz w:val="22"/>
          <w:szCs w:val="22"/>
          <w:u w:val="single"/>
        </w:rPr>
        <w:t>Detailed</w:t>
      </w:r>
      <w:r w:rsidRPr="00F24125">
        <w:rPr>
          <w:rFonts w:ascii="Arial" w:hAnsi="Arial" w:cs="Arial"/>
          <w:sz w:val="22"/>
          <w:szCs w:val="22"/>
          <w:u w:val="single"/>
        </w:rPr>
        <w:t xml:space="preserve"> lifecycle GHG </w:t>
      </w:r>
      <w:r>
        <w:rPr>
          <w:rFonts w:ascii="Arial" w:hAnsi="Arial" w:cs="Arial"/>
          <w:sz w:val="22"/>
          <w:szCs w:val="22"/>
          <w:u w:val="single"/>
        </w:rPr>
        <w:t>and cost analysi</w:t>
      </w:r>
      <w:r w:rsidR="00DF5817">
        <w:rPr>
          <w:rFonts w:ascii="Arial" w:hAnsi="Arial" w:cs="Arial"/>
          <w:sz w:val="22"/>
          <w:szCs w:val="22"/>
          <w:u w:val="single"/>
        </w:rPr>
        <w:t>s for each main WIC product</w:t>
      </w:r>
      <w:r w:rsidR="008F6ED2">
        <w:rPr>
          <w:rFonts w:ascii="Arial" w:hAnsi="Arial" w:cs="Arial"/>
          <w:sz w:val="22"/>
          <w:szCs w:val="22"/>
          <w:u w:val="single"/>
        </w:rPr>
        <w:t>, including those that are not derived from potential bioenergy feedstocks</w:t>
      </w:r>
      <w:r w:rsidR="00DF5817">
        <w:rPr>
          <w:rFonts w:ascii="Arial" w:hAnsi="Arial" w:cs="Arial"/>
          <w:sz w:val="22"/>
          <w:szCs w:val="22"/>
          <w:u w:val="single"/>
        </w:rPr>
        <w:t>. Comparison</w:t>
      </w:r>
      <w:r>
        <w:rPr>
          <w:rFonts w:ascii="Arial" w:hAnsi="Arial" w:cs="Arial"/>
          <w:sz w:val="22"/>
          <w:szCs w:val="22"/>
          <w:u w:val="single"/>
        </w:rPr>
        <w:t xml:space="preserve"> with</w:t>
      </w:r>
      <w:r w:rsidR="008F6ED2">
        <w:rPr>
          <w:rFonts w:ascii="Arial" w:hAnsi="Arial" w:cs="Arial"/>
          <w:sz w:val="22"/>
          <w:szCs w:val="22"/>
          <w:u w:val="single"/>
        </w:rPr>
        <w:t xml:space="preserve"> </w:t>
      </w:r>
      <w:r>
        <w:rPr>
          <w:rFonts w:ascii="Arial" w:hAnsi="Arial" w:cs="Arial"/>
          <w:sz w:val="22"/>
          <w:szCs w:val="22"/>
          <w:u w:val="single"/>
        </w:rPr>
        <w:t>substituted products to quantify GHG abatement</w:t>
      </w:r>
      <w:r w:rsidR="008F6ED2">
        <w:rPr>
          <w:rFonts w:ascii="Arial" w:hAnsi="Arial" w:cs="Arial"/>
          <w:sz w:val="22"/>
          <w:szCs w:val="22"/>
          <w:u w:val="single"/>
        </w:rPr>
        <w:t xml:space="preserve"> and</w:t>
      </w:r>
      <w:r>
        <w:rPr>
          <w:rFonts w:ascii="Arial" w:hAnsi="Arial" w:cs="Arial"/>
          <w:sz w:val="22"/>
          <w:szCs w:val="22"/>
          <w:u w:val="single"/>
        </w:rPr>
        <w:t xml:space="preserve"> costs at the product level.</w:t>
      </w:r>
    </w:p>
    <w:p w14:paraId="4A884CA4" w14:textId="4F4184B3" w:rsidR="00F24125" w:rsidRPr="00F24125" w:rsidRDefault="006F70B4" w:rsidP="003747C9">
      <w:pPr>
        <w:spacing w:before="240" w:after="120" w:line="276" w:lineRule="auto"/>
        <w:rPr>
          <w:rFonts w:ascii="Arial" w:hAnsi="Arial" w:cs="Arial"/>
          <w:sz w:val="22"/>
          <w:szCs w:val="22"/>
        </w:rPr>
      </w:pPr>
      <w:r>
        <w:rPr>
          <w:rFonts w:ascii="Arial" w:hAnsi="Arial" w:cs="Arial"/>
          <w:sz w:val="22"/>
          <w:szCs w:val="22"/>
        </w:rPr>
        <w:t>This should be a comprehensive ‘cradle-to-grave’ lifecycle analysis</w:t>
      </w:r>
      <w:r w:rsidR="00DF5817">
        <w:rPr>
          <w:rFonts w:ascii="Arial" w:hAnsi="Arial" w:cs="Arial"/>
          <w:sz w:val="22"/>
          <w:szCs w:val="22"/>
        </w:rPr>
        <w:t xml:space="preserve"> (LCA)</w:t>
      </w:r>
      <w:r>
        <w:rPr>
          <w:rFonts w:ascii="Arial" w:hAnsi="Arial" w:cs="Arial"/>
          <w:sz w:val="22"/>
          <w:szCs w:val="22"/>
        </w:rPr>
        <w:t xml:space="preserve">. The CCC anticipates that </w:t>
      </w:r>
      <w:r w:rsidR="00357238">
        <w:rPr>
          <w:rFonts w:ascii="Arial" w:hAnsi="Arial" w:cs="Arial"/>
          <w:sz w:val="22"/>
          <w:szCs w:val="22"/>
        </w:rPr>
        <w:t>c</w:t>
      </w:r>
      <w:r>
        <w:rPr>
          <w:rFonts w:ascii="Arial" w:hAnsi="Arial" w:cs="Arial"/>
          <w:sz w:val="22"/>
          <w:szCs w:val="22"/>
        </w:rPr>
        <w:t>onsultants will take account of all issues that might materially impact estimates of lifecycle emissions and costs to 2050, including the following:</w:t>
      </w:r>
    </w:p>
    <w:p w14:paraId="406AB0D0" w14:textId="14980733" w:rsidR="00F24125" w:rsidRDefault="006F70B4" w:rsidP="00DF5817">
      <w:pPr>
        <w:pStyle w:val="ListParagraph"/>
        <w:numPr>
          <w:ilvl w:val="0"/>
          <w:numId w:val="28"/>
        </w:numPr>
        <w:spacing w:before="120" w:after="120"/>
        <w:rPr>
          <w:rFonts w:ascii="Arial" w:hAnsi="Arial" w:cs="Arial"/>
        </w:rPr>
      </w:pPr>
      <w:r>
        <w:rPr>
          <w:rFonts w:ascii="Arial" w:hAnsi="Arial" w:cs="Arial"/>
        </w:rPr>
        <w:t>Feedstock type and source</w:t>
      </w:r>
    </w:p>
    <w:p w14:paraId="2D160CBA" w14:textId="41F2FEEE" w:rsidR="009249F3" w:rsidRDefault="009249F3" w:rsidP="006F70B4">
      <w:pPr>
        <w:pStyle w:val="ListParagraph"/>
        <w:numPr>
          <w:ilvl w:val="0"/>
          <w:numId w:val="28"/>
        </w:numPr>
        <w:spacing w:before="240" w:after="120"/>
        <w:rPr>
          <w:rFonts w:ascii="Arial" w:hAnsi="Arial" w:cs="Arial"/>
        </w:rPr>
      </w:pPr>
      <w:r>
        <w:rPr>
          <w:rFonts w:ascii="Arial" w:hAnsi="Arial" w:cs="Arial"/>
        </w:rPr>
        <w:t>Supply chain requirements</w:t>
      </w:r>
    </w:p>
    <w:p w14:paraId="05F7F5A9" w14:textId="72DB502D" w:rsidR="006F70B4" w:rsidRDefault="006F70B4" w:rsidP="006F70B4">
      <w:pPr>
        <w:pStyle w:val="ListParagraph"/>
        <w:numPr>
          <w:ilvl w:val="0"/>
          <w:numId w:val="28"/>
        </w:numPr>
        <w:spacing w:before="240" w:after="120"/>
        <w:rPr>
          <w:rFonts w:ascii="Arial" w:hAnsi="Arial" w:cs="Arial"/>
        </w:rPr>
      </w:pPr>
      <w:r>
        <w:rPr>
          <w:rFonts w:ascii="Arial" w:hAnsi="Arial" w:cs="Arial"/>
        </w:rPr>
        <w:t>‘Counterfactual’ (substituted) products, including alternative abatement options</w:t>
      </w:r>
      <w:r w:rsidR="008F6ED2">
        <w:rPr>
          <w:rFonts w:ascii="Arial" w:hAnsi="Arial" w:cs="Arial"/>
        </w:rPr>
        <w:t>. This should consider, for example, the thermal mass of cement compared to wood.</w:t>
      </w:r>
    </w:p>
    <w:p w14:paraId="4DA77B47" w14:textId="7051FE56" w:rsidR="009249F3" w:rsidRPr="009249F3" w:rsidRDefault="009249F3" w:rsidP="009249F3">
      <w:pPr>
        <w:pStyle w:val="ListParagraph"/>
        <w:numPr>
          <w:ilvl w:val="0"/>
          <w:numId w:val="28"/>
        </w:numPr>
        <w:spacing w:before="240" w:after="120"/>
        <w:rPr>
          <w:rFonts w:ascii="Arial" w:hAnsi="Arial" w:cs="Arial"/>
        </w:rPr>
      </w:pPr>
      <w:r>
        <w:rPr>
          <w:rFonts w:ascii="Arial" w:hAnsi="Arial" w:cs="Arial"/>
        </w:rPr>
        <w:t>P</w:t>
      </w:r>
      <w:r w:rsidRPr="009249F3">
        <w:rPr>
          <w:rFonts w:ascii="Arial" w:hAnsi="Arial" w:cs="Arial"/>
        </w:rPr>
        <w:t xml:space="preserve">roduct equivalence </w:t>
      </w:r>
      <w:r>
        <w:rPr>
          <w:rFonts w:ascii="Arial" w:hAnsi="Arial" w:cs="Arial"/>
        </w:rPr>
        <w:t xml:space="preserve">– </w:t>
      </w:r>
      <w:r w:rsidR="00E87446">
        <w:rPr>
          <w:rFonts w:ascii="Arial" w:hAnsi="Arial" w:cs="Arial"/>
        </w:rPr>
        <w:t>c</w:t>
      </w:r>
      <w:r w:rsidRPr="009249F3">
        <w:rPr>
          <w:rFonts w:ascii="Arial" w:hAnsi="Arial" w:cs="Arial"/>
        </w:rPr>
        <w:t xml:space="preserve">onsultants </w:t>
      </w:r>
      <w:r>
        <w:rPr>
          <w:rFonts w:ascii="Arial" w:hAnsi="Arial" w:cs="Arial"/>
        </w:rPr>
        <w:t xml:space="preserve">should consider whether reduced or </w:t>
      </w:r>
      <w:r w:rsidRPr="009249F3">
        <w:rPr>
          <w:rFonts w:ascii="Arial" w:hAnsi="Arial" w:cs="Arial"/>
        </w:rPr>
        <w:t>enhanced technical p</w:t>
      </w:r>
      <w:r>
        <w:rPr>
          <w:rFonts w:ascii="Arial" w:hAnsi="Arial" w:cs="Arial"/>
        </w:rPr>
        <w:t>erformance could have</w:t>
      </w:r>
      <w:r w:rsidRPr="009249F3">
        <w:rPr>
          <w:rFonts w:ascii="Arial" w:hAnsi="Arial" w:cs="Arial"/>
        </w:rPr>
        <w:t xml:space="preserve"> wider implications, for example in terms of quantities, product treatment</w:t>
      </w:r>
      <w:r>
        <w:rPr>
          <w:rFonts w:ascii="Arial" w:hAnsi="Arial" w:cs="Arial"/>
        </w:rPr>
        <w:t>, co-products,</w:t>
      </w:r>
      <w:r w:rsidRPr="009249F3">
        <w:rPr>
          <w:rFonts w:ascii="Arial" w:hAnsi="Arial" w:cs="Arial"/>
        </w:rPr>
        <w:t xml:space="preserve"> </w:t>
      </w:r>
      <w:r>
        <w:rPr>
          <w:rFonts w:ascii="Arial" w:hAnsi="Arial" w:cs="Arial"/>
        </w:rPr>
        <w:t xml:space="preserve">construction approaches, </w:t>
      </w:r>
      <w:r w:rsidR="001E5858">
        <w:rPr>
          <w:rFonts w:ascii="Arial" w:hAnsi="Arial" w:cs="Arial"/>
        </w:rPr>
        <w:t xml:space="preserve">implications for fire safety, </w:t>
      </w:r>
      <w:r>
        <w:rPr>
          <w:rFonts w:ascii="Arial" w:hAnsi="Arial" w:cs="Arial"/>
        </w:rPr>
        <w:t xml:space="preserve">operational </w:t>
      </w:r>
      <w:r w:rsidRPr="009249F3">
        <w:rPr>
          <w:rFonts w:ascii="Arial" w:hAnsi="Arial" w:cs="Arial"/>
        </w:rPr>
        <w:t>c</w:t>
      </w:r>
      <w:r>
        <w:rPr>
          <w:rFonts w:ascii="Arial" w:hAnsi="Arial" w:cs="Arial"/>
        </w:rPr>
        <w:t>osts and replacement requirements</w:t>
      </w:r>
      <w:r w:rsidRPr="009249F3">
        <w:rPr>
          <w:rFonts w:ascii="Arial" w:hAnsi="Arial" w:cs="Arial"/>
        </w:rPr>
        <w:t>.</w:t>
      </w:r>
    </w:p>
    <w:p w14:paraId="222AD59E" w14:textId="03450B28" w:rsidR="009249F3" w:rsidRDefault="009249F3" w:rsidP="006F70B4">
      <w:pPr>
        <w:pStyle w:val="ListParagraph"/>
        <w:numPr>
          <w:ilvl w:val="0"/>
          <w:numId w:val="28"/>
        </w:numPr>
        <w:spacing w:before="240" w:after="120"/>
        <w:rPr>
          <w:rFonts w:ascii="Arial" w:hAnsi="Arial" w:cs="Arial"/>
        </w:rPr>
      </w:pPr>
      <w:r>
        <w:rPr>
          <w:rFonts w:ascii="Arial" w:hAnsi="Arial" w:cs="Arial"/>
        </w:rPr>
        <w:t>Product life</w:t>
      </w:r>
    </w:p>
    <w:p w14:paraId="0AC9A6F8" w14:textId="0A2B9617" w:rsidR="009249F3" w:rsidRDefault="009249F3" w:rsidP="006F70B4">
      <w:pPr>
        <w:pStyle w:val="ListParagraph"/>
        <w:numPr>
          <w:ilvl w:val="0"/>
          <w:numId w:val="28"/>
        </w:numPr>
        <w:spacing w:before="240" w:after="120"/>
        <w:rPr>
          <w:rFonts w:ascii="Arial" w:hAnsi="Arial" w:cs="Arial"/>
        </w:rPr>
      </w:pPr>
      <w:r>
        <w:rPr>
          <w:rFonts w:ascii="Arial" w:hAnsi="Arial" w:cs="Arial"/>
        </w:rPr>
        <w:lastRenderedPageBreak/>
        <w:t>End-of-life</w:t>
      </w:r>
      <w:r w:rsidR="00DF5817">
        <w:rPr>
          <w:rFonts w:ascii="Arial" w:hAnsi="Arial" w:cs="Arial"/>
        </w:rPr>
        <w:t xml:space="preserve"> reuse/recycling/disposal</w:t>
      </w:r>
      <w:r>
        <w:rPr>
          <w:rFonts w:ascii="Arial" w:hAnsi="Arial" w:cs="Arial"/>
        </w:rPr>
        <w:t xml:space="preserve"> options</w:t>
      </w:r>
      <w:r w:rsidR="004B484D">
        <w:rPr>
          <w:rStyle w:val="FootnoteReference"/>
          <w:rFonts w:ascii="Arial" w:hAnsi="Arial" w:cs="Arial"/>
        </w:rPr>
        <w:footnoteReference w:id="12"/>
      </w:r>
    </w:p>
    <w:p w14:paraId="4234C3CC" w14:textId="0375993E" w:rsidR="006F70B4" w:rsidRPr="006F70B4" w:rsidRDefault="006F70B4" w:rsidP="006F70B4">
      <w:pPr>
        <w:pStyle w:val="ListParagraph"/>
        <w:numPr>
          <w:ilvl w:val="0"/>
          <w:numId w:val="28"/>
        </w:numPr>
        <w:spacing w:before="240" w:after="120"/>
        <w:rPr>
          <w:rFonts w:ascii="Arial" w:hAnsi="Arial" w:cs="Arial"/>
        </w:rPr>
      </w:pPr>
      <w:r>
        <w:rPr>
          <w:rFonts w:ascii="Arial" w:hAnsi="Arial" w:cs="Arial"/>
        </w:rPr>
        <w:t>Technological and market changes over time</w:t>
      </w:r>
    </w:p>
    <w:p w14:paraId="6095DCEF" w14:textId="14971BF6" w:rsidR="00DF5817" w:rsidRDefault="00DF5817" w:rsidP="00DF5817">
      <w:pPr>
        <w:spacing w:before="240" w:after="120" w:line="276" w:lineRule="auto"/>
        <w:rPr>
          <w:rFonts w:ascii="Arial" w:hAnsi="Arial" w:cs="Arial"/>
          <w:sz w:val="22"/>
          <w:szCs w:val="22"/>
        </w:rPr>
      </w:pPr>
      <w:r>
        <w:rPr>
          <w:rFonts w:ascii="Arial" w:hAnsi="Arial" w:cs="Arial"/>
          <w:sz w:val="22"/>
          <w:szCs w:val="22"/>
        </w:rPr>
        <w:t>This analysis is likely to result in a range of lifecycle emission and abatement cost estimates to reflect different assumptions on the above issues. The CCC expects Consultants to discuss these results, identify the more likely assumptions and develop central</w:t>
      </w:r>
      <w:r w:rsidR="008F6ED2">
        <w:rPr>
          <w:rFonts w:ascii="Arial" w:hAnsi="Arial" w:cs="Arial"/>
          <w:sz w:val="22"/>
          <w:szCs w:val="22"/>
        </w:rPr>
        <w:t>, high and low</w:t>
      </w:r>
      <w:r>
        <w:rPr>
          <w:rFonts w:ascii="Arial" w:hAnsi="Arial" w:cs="Arial"/>
          <w:sz w:val="22"/>
          <w:szCs w:val="22"/>
        </w:rPr>
        <w:t xml:space="preserve"> case estimates for lifecycle emissions savings and abatement costs at the product level.</w:t>
      </w:r>
    </w:p>
    <w:p w14:paraId="6DF6E6DD" w14:textId="36ABACEF" w:rsidR="006F70B4" w:rsidRDefault="00435DF7" w:rsidP="006511BC">
      <w:pPr>
        <w:spacing w:before="240" w:after="120" w:line="276" w:lineRule="auto"/>
        <w:rPr>
          <w:rFonts w:ascii="Arial" w:hAnsi="Arial" w:cs="Arial"/>
          <w:sz w:val="22"/>
          <w:szCs w:val="22"/>
        </w:rPr>
      </w:pPr>
      <w:r>
        <w:rPr>
          <w:rFonts w:ascii="Arial" w:hAnsi="Arial" w:cs="Arial"/>
          <w:sz w:val="22"/>
          <w:szCs w:val="22"/>
        </w:rPr>
        <w:t>This</w:t>
      </w:r>
      <w:r w:rsidR="00CD64B1">
        <w:rPr>
          <w:rFonts w:ascii="Arial" w:hAnsi="Arial" w:cs="Arial"/>
          <w:sz w:val="22"/>
          <w:szCs w:val="22"/>
        </w:rPr>
        <w:t xml:space="preserve"> analysis </w:t>
      </w:r>
      <w:r>
        <w:rPr>
          <w:rFonts w:ascii="Arial" w:hAnsi="Arial" w:cs="Arial"/>
          <w:sz w:val="22"/>
          <w:szCs w:val="22"/>
        </w:rPr>
        <w:t>should differentiate</w:t>
      </w:r>
      <w:r w:rsidR="00CD64B1">
        <w:rPr>
          <w:rFonts w:ascii="Arial" w:hAnsi="Arial" w:cs="Arial"/>
          <w:sz w:val="22"/>
          <w:szCs w:val="22"/>
        </w:rPr>
        <w:t xml:space="preserve"> between abatement delivered via displacement of high-embodied </w:t>
      </w:r>
      <w:r w:rsidR="00133BA4">
        <w:rPr>
          <w:rFonts w:ascii="Arial" w:hAnsi="Arial" w:cs="Arial"/>
          <w:sz w:val="22"/>
          <w:szCs w:val="22"/>
        </w:rPr>
        <w:t>c</w:t>
      </w:r>
      <w:r w:rsidR="00CD64B1">
        <w:rPr>
          <w:rFonts w:ascii="Arial" w:hAnsi="Arial" w:cs="Arial"/>
          <w:sz w:val="22"/>
          <w:szCs w:val="22"/>
        </w:rPr>
        <w:t xml:space="preserve">arbon products and </w:t>
      </w:r>
      <w:r w:rsidR="00BA0401">
        <w:rPr>
          <w:rFonts w:ascii="Arial" w:hAnsi="Arial" w:cs="Arial"/>
          <w:sz w:val="22"/>
          <w:szCs w:val="22"/>
        </w:rPr>
        <w:t xml:space="preserve">biogenic storage of </w:t>
      </w:r>
      <w:r w:rsidR="00C75F12">
        <w:rPr>
          <w:rFonts w:ascii="Arial" w:hAnsi="Arial" w:cs="Arial"/>
          <w:sz w:val="22"/>
          <w:szCs w:val="22"/>
        </w:rPr>
        <w:t>c</w:t>
      </w:r>
      <w:r w:rsidR="00BA0401">
        <w:rPr>
          <w:rFonts w:ascii="Arial" w:hAnsi="Arial" w:cs="Arial"/>
          <w:sz w:val="22"/>
          <w:szCs w:val="22"/>
        </w:rPr>
        <w:t xml:space="preserve">arbon </w:t>
      </w:r>
      <w:r>
        <w:rPr>
          <w:rFonts w:ascii="Arial" w:hAnsi="Arial" w:cs="Arial"/>
          <w:sz w:val="22"/>
          <w:szCs w:val="22"/>
        </w:rPr>
        <w:t>in wood.</w:t>
      </w:r>
      <w:r w:rsidR="00BA0401">
        <w:rPr>
          <w:rFonts w:ascii="Arial" w:hAnsi="Arial" w:cs="Arial"/>
          <w:sz w:val="22"/>
          <w:szCs w:val="22"/>
        </w:rPr>
        <w:t xml:space="preserve"> A key objective of this sub-task will be to investigate how</w:t>
      </w:r>
      <w:r>
        <w:rPr>
          <w:rFonts w:ascii="Arial" w:hAnsi="Arial" w:cs="Arial"/>
          <w:sz w:val="22"/>
          <w:szCs w:val="22"/>
        </w:rPr>
        <w:t xml:space="preserve"> factors such as product life and end-of-life options can affect th</w:t>
      </w:r>
      <w:r w:rsidR="00BA0401">
        <w:rPr>
          <w:rFonts w:ascii="Arial" w:hAnsi="Arial" w:cs="Arial"/>
          <w:sz w:val="22"/>
          <w:szCs w:val="22"/>
        </w:rPr>
        <w:t xml:space="preserve">e length of time that carbon is stored in different </w:t>
      </w:r>
      <w:r>
        <w:rPr>
          <w:rFonts w:ascii="Arial" w:hAnsi="Arial" w:cs="Arial"/>
          <w:sz w:val="22"/>
          <w:szCs w:val="22"/>
        </w:rPr>
        <w:t>WIC products and to in</w:t>
      </w:r>
      <w:r w:rsidR="00BA0401">
        <w:rPr>
          <w:rFonts w:ascii="Arial" w:hAnsi="Arial" w:cs="Arial"/>
          <w:sz w:val="22"/>
          <w:szCs w:val="22"/>
        </w:rPr>
        <w:t>corporate</w:t>
      </w:r>
      <w:r>
        <w:rPr>
          <w:rFonts w:ascii="Arial" w:hAnsi="Arial" w:cs="Arial"/>
          <w:sz w:val="22"/>
          <w:szCs w:val="22"/>
        </w:rPr>
        <w:t xml:space="preserve"> this into lifecycle GHG calculations.</w:t>
      </w:r>
    </w:p>
    <w:p w14:paraId="6BDA70B8" w14:textId="61047BF6" w:rsidR="00435DF7" w:rsidRPr="0057214F" w:rsidRDefault="00CD4570" w:rsidP="00A93844">
      <w:pPr>
        <w:spacing w:before="240" w:after="120" w:line="276" w:lineRule="auto"/>
        <w:ind w:left="567" w:hanging="567"/>
        <w:rPr>
          <w:rFonts w:ascii="Arial" w:hAnsi="Arial" w:cs="Arial"/>
          <w:sz w:val="22"/>
          <w:szCs w:val="22"/>
          <w:u w:val="single"/>
        </w:rPr>
      </w:pPr>
      <w:r w:rsidRPr="00CD4570">
        <w:rPr>
          <w:rFonts w:ascii="Arial" w:hAnsi="Arial" w:cs="Arial"/>
          <w:sz w:val="22"/>
          <w:szCs w:val="22"/>
        </w:rPr>
        <w:t>2</w:t>
      </w:r>
      <w:r w:rsidR="00D00AB2">
        <w:rPr>
          <w:rFonts w:ascii="Arial" w:hAnsi="Arial" w:cs="Arial"/>
          <w:sz w:val="22"/>
          <w:szCs w:val="22"/>
        </w:rPr>
        <w:t>b</w:t>
      </w:r>
      <w:r w:rsidRPr="00CD4570">
        <w:rPr>
          <w:rFonts w:ascii="Arial" w:hAnsi="Arial" w:cs="Arial"/>
          <w:sz w:val="22"/>
          <w:szCs w:val="22"/>
        </w:rPr>
        <w:t>.</w:t>
      </w:r>
      <w:r w:rsidRPr="00CD4570">
        <w:rPr>
          <w:rFonts w:ascii="Arial" w:hAnsi="Arial" w:cs="Arial"/>
          <w:sz w:val="22"/>
          <w:szCs w:val="22"/>
        </w:rPr>
        <w:tab/>
      </w:r>
      <w:r w:rsidR="008F6ED2">
        <w:rPr>
          <w:rFonts w:ascii="Arial" w:hAnsi="Arial" w:cs="Arial"/>
          <w:sz w:val="22"/>
          <w:szCs w:val="22"/>
          <w:u w:val="single"/>
        </w:rPr>
        <w:t>Identify and c</w:t>
      </w:r>
      <w:r w:rsidRPr="00CD4570">
        <w:rPr>
          <w:rFonts w:ascii="Arial" w:hAnsi="Arial" w:cs="Arial"/>
          <w:sz w:val="22"/>
          <w:szCs w:val="22"/>
          <w:u w:val="single"/>
        </w:rPr>
        <w:t xml:space="preserve">haracterise the main </w:t>
      </w:r>
      <w:r w:rsidR="006F1520">
        <w:rPr>
          <w:rFonts w:ascii="Arial" w:hAnsi="Arial" w:cs="Arial"/>
          <w:sz w:val="22"/>
          <w:szCs w:val="22"/>
          <w:u w:val="single"/>
        </w:rPr>
        <w:t xml:space="preserve">drivers, barriers, opportunities and risks associated with </w:t>
      </w:r>
      <w:r w:rsidR="00F05408">
        <w:rPr>
          <w:rFonts w:ascii="Arial" w:hAnsi="Arial" w:cs="Arial"/>
          <w:sz w:val="22"/>
          <w:szCs w:val="22"/>
          <w:u w:val="single"/>
        </w:rPr>
        <w:t xml:space="preserve">increasing </w:t>
      </w:r>
      <w:r w:rsidR="006F1520">
        <w:rPr>
          <w:rFonts w:ascii="Arial" w:hAnsi="Arial" w:cs="Arial"/>
          <w:sz w:val="22"/>
          <w:szCs w:val="22"/>
          <w:u w:val="single"/>
        </w:rPr>
        <w:t>market demand for</w:t>
      </w:r>
      <w:r w:rsidR="00F05408">
        <w:rPr>
          <w:rFonts w:ascii="Arial" w:hAnsi="Arial" w:cs="Arial"/>
          <w:sz w:val="22"/>
          <w:szCs w:val="22"/>
          <w:u w:val="single"/>
        </w:rPr>
        <w:t xml:space="preserve"> WIC products</w:t>
      </w:r>
      <w:r w:rsidRPr="00CD4570">
        <w:rPr>
          <w:rFonts w:ascii="Arial" w:hAnsi="Arial" w:cs="Arial"/>
          <w:sz w:val="22"/>
          <w:szCs w:val="22"/>
          <w:u w:val="single"/>
        </w:rPr>
        <w:t xml:space="preserve"> in the UK</w:t>
      </w:r>
    </w:p>
    <w:p w14:paraId="03583991" w14:textId="7BD4B4C7" w:rsidR="00FD5AD2" w:rsidRDefault="006F1520" w:rsidP="004520FF">
      <w:pPr>
        <w:spacing w:before="240" w:after="120" w:line="276" w:lineRule="auto"/>
        <w:rPr>
          <w:rFonts w:ascii="Arial" w:hAnsi="Arial" w:cs="Arial"/>
          <w:sz w:val="22"/>
          <w:szCs w:val="22"/>
        </w:rPr>
      </w:pPr>
      <w:r>
        <w:rPr>
          <w:rFonts w:ascii="Arial" w:hAnsi="Arial" w:cs="Arial"/>
          <w:sz w:val="22"/>
          <w:szCs w:val="22"/>
        </w:rPr>
        <w:lastRenderedPageBreak/>
        <w:t>This sub-task</w:t>
      </w:r>
      <w:r w:rsidR="00FD5AD2">
        <w:rPr>
          <w:rFonts w:ascii="Arial" w:hAnsi="Arial" w:cs="Arial"/>
          <w:sz w:val="22"/>
          <w:szCs w:val="22"/>
        </w:rPr>
        <w:t xml:space="preserve"> will deliver one of the most important outputs of the project by providing a detailed and comprehensive account of the factors that help or hinder increased uptake of WIC in the UK. It will cover</w:t>
      </w:r>
      <w:r w:rsidR="00F05408">
        <w:rPr>
          <w:rFonts w:ascii="Arial" w:hAnsi="Arial" w:cs="Arial"/>
          <w:sz w:val="22"/>
          <w:szCs w:val="22"/>
        </w:rPr>
        <w:t xml:space="preserve"> technical, econom</w:t>
      </w:r>
      <w:r w:rsidR="00784241">
        <w:rPr>
          <w:rFonts w:ascii="Arial" w:hAnsi="Arial" w:cs="Arial"/>
          <w:sz w:val="22"/>
          <w:szCs w:val="22"/>
        </w:rPr>
        <w:t>ic</w:t>
      </w:r>
      <w:r>
        <w:rPr>
          <w:rFonts w:ascii="Arial" w:hAnsi="Arial" w:cs="Arial"/>
          <w:sz w:val="22"/>
          <w:szCs w:val="22"/>
        </w:rPr>
        <w:t>, market</w:t>
      </w:r>
      <w:r w:rsidR="00784241">
        <w:rPr>
          <w:rFonts w:ascii="Arial" w:hAnsi="Arial" w:cs="Arial"/>
          <w:sz w:val="22"/>
          <w:szCs w:val="22"/>
        </w:rPr>
        <w:t xml:space="preserve"> and social</w:t>
      </w:r>
      <w:r w:rsidR="00FD5AD2">
        <w:rPr>
          <w:rFonts w:ascii="Arial" w:hAnsi="Arial" w:cs="Arial"/>
          <w:sz w:val="22"/>
          <w:szCs w:val="22"/>
        </w:rPr>
        <w:t xml:space="preserve"> issues</w:t>
      </w:r>
      <w:r w:rsidR="00BA0401">
        <w:rPr>
          <w:rFonts w:ascii="Arial" w:hAnsi="Arial" w:cs="Arial"/>
          <w:sz w:val="22"/>
          <w:szCs w:val="22"/>
        </w:rPr>
        <w:t>. Consultants should</w:t>
      </w:r>
      <w:r w:rsidR="00C17AF9">
        <w:rPr>
          <w:rFonts w:ascii="Arial" w:hAnsi="Arial" w:cs="Arial"/>
          <w:sz w:val="22"/>
          <w:szCs w:val="22"/>
        </w:rPr>
        <w:t xml:space="preserve"> consider</w:t>
      </w:r>
      <w:r>
        <w:rPr>
          <w:rFonts w:ascii="Arial" w:hAnsi="Arial" w:cs="Arial"/>
          <w:sz w:val="22"/>
          <w:szCs w:val="22"/>
        </w:rPr>
        <w:t xml:space="preserve"> (inter alia)</w:t>
      </w:r>
      <w:r w:rsidR="00C17AF9">
        <w:rPr>
          <w:rFonts w:ascii="Arial" w:hAnsi="Arial" w:cs="Arial"/>
          <w:sz w:val="22"/>
          <w:szCs w:val="22"/>
        </w:rPr>
        <w:t xml:space="preserve"> regulatory barriers, </w:t>
      </w:r>
      <w:r w:rsidR="00F05408">
        <w:rPr>
          <w:rFonts w:ascii="Arial" w:hAnsi="Arial" w:cs="Arial"/>
          <w:sz w:val="22"/>
          <w:szCs w:val="22"/>
        </w:rPr>
        <w:t>supply chain capacity</w:t>
      </w:r>
      <w:r w:rsidR="00C17AF9">
        <w:rPr>
          <w:rFonts w:ascii="Arial" w:hAnsi="Arial" w:cs="Arial"/>
          <w:sz w:val="22"/>
          <w:szCs w:val="22"/>
        </w:rPr>
        <w:t xml:space="preserve"> constraints</w:t>
      </w:r>
      <w:r w:rsidR="00F05408">
        <w:rPr>
          <w:rFonts w:ascii="Arial" w:hAnsi="Arial" w:cs="Arial"/>
          <w:sz w:val="22"/>
          <w:szCs w:val="22"/>
        </w:rPr>
        <w:t xml:space="preserve"> and demand side factors such as </w:t>
      </w:r>
      <w:r w:rsidR="001E5858">
        <w:rPr>
          <w:rFonts w:ascii="Arial" w:hAnsi="Arial" w:cs="Arial"/>
          <w:sz w:val="22"/>
          <w:szCs w:val="22"/>
        </w:rPr>
        <w:t xml:space="preserve">cultural and skills </w:t>
      </w:r>
      <w:r w:rsidR="00C17AF9">
        <w:rPr>
          <w:rFonts w:ascii="Arial" w:hAnsi="Arial" w:cs="Arial"/>
          <w:sz w:val="22"/>
          <w:szCs w:val="22"/>
        </w:rPr>
        <w:t>limitations</w:t>
      </w:r>
      <w:r w:rsidR="001E5858">
        <w:rPr>
          <w:rFonts w:ascii="Arial" w:hAnsi="Arial" w:cs="Arial"/>
          <w:sz w:val="22"/>
          <w:szCs w:val="22"/>
        </w:rPr>
        <w:t xml:space="preserve"> </w:t>
      </w:r>
      <w:r w:rsidR="00C17AF9">
        <w:rPr>
          <w:rFonts w:ascii="Arial" w:hAnsi="Arial" w:cs="Arial"/>
          <w:sz w:val="22"/>
          <w:szCs w:val="22"/>
        </w:rPr>
        <w:t>in the construction sector</w:t>
      </w:r>
      <w:r w:rsidR="001877C8">
        <w:rPr>
          <w:rFonts w:ascii="Arial" w:hAnsi="Arial" w:cs="Arial"/>
          <w:sz w:val="22"/>
          <w:szCs w:val="22"/>
        </w:rPr>
        <w:t>.</w:t>
      </w:r>
    </w:p>
    <w:p w14:paraId="432AD598" w14:textId="0E9CC749" w:rsidR="00FD5AD2" w:rsidRDefault="00FD5AD2" w:rsidP="004520FF">
      <w:pPr>
        <w:spacing w:before="240" w:after="120" w:line="276" w:lineRule="auto"/>
        <w:rPr>
          <w:rFonts w:ascii="Arial" w:hAnsi="Arial" w:cs="Arial"/>
          <w:sz w:val="22"/>
          <w:szCs w:val="22"/>
        </w:rPr>
      </w:pPr>
      <w:r>
        <w:rPr>
          <w:rFonts w:ascii="Arial" w:hAnsi="Arial" w:cs="Arial"/>
          <w:sz w:val="22"/>
          <w:szCs w:val="22"/>
        </w:rPr>
        <w:t>Consultants will assess the significant differences in the use of WIC between the UK and other countries and between the nations of the UK. The reasons for these differences should be identified and explored, drawing out opportunities for the UK.</w:t>
      </w:r>
    </w:p>
    <w:p w14:paraId="359DE60E" w14:textId="2A28227E" w:rsidR="00FD5AD2" w:rsidRDefault="00FD5AD2" w:rsidP="004520FF">
      <w:pPr>
        <w:spacing w:before="240" w:after="120" w:line="276" w:lineRule="auto"/>
        <w:rPr>
          <w:rFonts w:ascii="Arial" w:hAnsi="Arial" w:cs="Arial"/>
          <w:sz w:val="22"/>
          <w:szCs w:val="22"/>
        </w:rPr>
      </w:pPr>
      <w:r>
        <w:rPr>
          <w:rFonts w:ascii="Arial" w:hAnsi="Arial" w:cs="Arial"/>
          <w:sz w:val="22"/>
          <w:szCs w:val="22"/>
        </w:rPr>
        <w:t>Only a small proportion of solid wood and wood based panel products consumed in the UK is used for new housing.</w:t>
      </w:r>
      <w:r>
        <w:rPr>
          <w:rStyle w:val="FootnoteReference"/>
          <w:rFonts w:ascii="Arial" w:hAnsi="Arial" w:cs="Arial"/>
          <w:sz w:val="22"/>
          <w:szCs w:val="22"/>
        </w:rPr>
        <w:footnoteReference w:id="13"/>
      </w:r>
      <w:r>
        <w:rPr>
          <w:rFonts w:ascii="Arial" w:hAnsi="Arial" w:cs="Arial"/>
          <w:sz w:val="22"/>
          <w:szCs w:val="22"/>
        </w:rPr>
        <w:t xml:space="preserve"> Given this, </w:t>
      </w:r>
      <w:r w:rsidR="0033434C">
        <w:rPr>
          <w:rFonts w:ascii="Arial" w:hAnsi="Arial" w:cs="Arial"/>
          <w:sz w:val="22"/>
          <w:szCs w:val="22"/>
        </w:rPr>
        <w:t>c</w:t>
      </w:r>
      <w:r>
        <w:rPr>
          <w:rFonts w:ascii="Arial" w:hAnsi="Arial" w:cs="Arial"/>
          <w:sz w:val="22"/>
          <w:szCs w:val="22"/>
        </w:rPr>
        <w:t>onsultants should consider applications across the construction sector and not just residential buildings.</w:t>
      </w:r>
    </w:p>
    <w:p w14:paraId="0D9DCFAB" w14:textId="28C551D3" w:rsidR="0033434C" w:rsidRDefault="0033434C" w:rsidP="0033434C">
      <w:pPr>
        <w:spacing w:before="240" w:after="120" w:line="276" w:lineRule="auto"/>
        <w:rPr>
          <w:rFonts w:ascii="Arial" w:hAnsi="Arial" w:cs="Arial"/>
          <w:sz w:val="22"/>
          <w:szCs w:val="22"/>
        </w:rPr>
      </w:pPr>
      <w:r>
        <w:rPr>
          <w:rFonts w:ascii="Arial" w:hAnsi="Arial" w:cs="Arial"/>
          <w:sz w:val="22"/>
          <w:szCs w:val="22"/>
        </w:rPr>
        <w:t>Currently only a small proportion of the wood consumed for materials in the UK is produced from UK forests</w:t>
      </w:r>
      <w:r>
        <w:rPr>
          <w:rStyle w:val="FootnoteReference"/>
          <w:rFonts w:ascii="Arial" w:hAnsi="Arial" w:cs="Arial"/>
          <w:sz w:val="22"/>
          <w:szCs w:val="22"/>
        </w:rPr>
        <w:footnoteReference w:id="14"/>
      </w:r>
      <w:r>
        <w:rPr>
          <w:rFonts w:ascii="Arial" w:hAnsi="Arial" w:cs="Arial"/>
          <w:sz w:val="22"/>
          <w:szCs w:val="22"/>
        </w:rPr>
        <w:t xml:space="preserve"> and new UK buildings using Cross-Laminated Timber do so with imported products. </w:t>
      </w:r>
      <w:r>
        <w:rPr>
          <w:rFonts w:ascii="Arial" w:hAnsi="Arial" w:cs="Arial"/>
          <w:sz w:val="22"/>
          <w:szCs w:val="22"/>
        </w:rPr>
        <w:lastRenderedPageBreak/>
        <w:t>The CCC wants to better understand the potential for developing supply-chains for UK production of WIC products (i.e. for materials from UK forestry resources). The forestry aspects are covered by a separate project and are therefore out of scope – this project should cover any issues related to the supply-chains from manufacture through to build. Consultants should consider technical, economic, market and social issues.</w:t>
      </w:r>
    </w:p>
    <w:p w14:paraId="08CE2A95" w14:textId="60BFFA56" w:rsidR="001E5858" w:rsidRDefault="00FD5AD2" w:rsidP="004520FF">
      <w:pPr>
        <w:spacing w:before="240" w:after="120" w:line="276" w:lineRule="auto"/>
        <w:rPr>
          <w:rFonts w:ascii="Arial" w:hAnsi="Arial" w:cs="Arial"/>
          <w:sz w:val="22"/>
          <w:szCs w:val="22"/>
        </w:rPr>
      </w:pPr>
      <w:r>
        <w:rPr>
          <w:rFonts w:ascii="Arial" w:hAnsi="Arial" w:cs="Arial"/>
          <w:sz w:val="22"/>
          <w:szCs w:val="22"/>
        </w:rPr>
        <w:t>This analysis will feed into Task 3 – the identification of measures for policy makers and industry to increase the use of WIC in the UK.</w:t>
      </w:r>
    </w:p>
    <w:p w14:paraId="58649E04" w14:textId="18C331EA" w:rsidR="00D07CC0" w:rsidRDefault="00F668C6" w:rsidP="00D07CC0">
      <w:pPr>
        <w:spacing w:before="240" w:after="120" w:line="276" w:lineRule="auto"/>
        <w:ind w:left="567" w:hanging="567"/>
        <w:rPr>
          <w:rFonts w:ascii="Arial" w:hAnsi="Arial" w:cs="Arial"/>
          <w:sz w:val="22"/>
          <w:szCs w:val="22"/>
        </w:rPr>
      </w:pPr>
      <w:r w:rsidRPr="00F668C6">
        <w:rPr>
          <w:rFonts w:ascii="Arial" w:hAnsi="Arial" w:cs="Arial"/>
          <w:sz w:val="22"/>
          <w:szCs w:val="22"/>
        </w:rPr>
        <w:t>2</w:t>
      </w:r>
      <w:r w:rsidR="00E87446">
        <w:rPr>
          <w:rFonts w:ascii="Arial" w:hAnsi="Arial" w:cs="Arial"/>
          <w:sz w:val="22"/>
          <w:szCs w:val="22"/>
        </w:rPr>
        <w:t>c</w:t>
      </w:r>
      <w:r w:rsidRPr="00F668C6">
        <w:rPr>
          <w:rFonts w:ascii="Arial" w:hAnsi="Arial" w:cs="Arial"/>
          <w:sz w:val="22"/>
          <w:szCs w:val="22"/>
        </w:rPr>
        <w:t>.</w:t>
      </w:r>
      <w:r w:rsidRPr="00F668C6">
        <w:rPr>
          <w:rFonts w:ascii="Arial" w:hAnsi="Arial" w:cs="Arial"/>
          <w:sz w:val="22"/>
          <w:szCs w:val="22"/>
        </w:rPr>
        <w:tab/>
      </w:r>
      <w:r w:rsidR="003747C9" w:rsidRPr="00F668C6">
        <w:rPr>
          <w:rFonts w:ascii="Arial" w:hAnsi="Arial" w:cs="Arial"/>
          <w:sz w:val="22"/>
          <w:szCs w:val="22"/>
          <w:u w:val="single"/>
        </w:rPr>
        <w:t>Asses</w:t>
      </w:r>
      <w:r>
        <w:rPr>
          <w:rFonts w:ascii="Arial" w:hAnsi="Arial" w:cs="Arial"/>
          <w:sz w:val="22"/>
          <w:szCs w:val="22"/>
          <w:u w:val="single"/>
        </w:rPr>
        <w:t xml:space="preserve">s total UK </w:t>
      </w:r>
      <w:r w:rsidR="005576DF">
        <w:rPr>
          <w:rFonts w:ascii="Arial" w:hAnsi="Arial" w:cs="Arial"/>
          <w:sz w:val="22"/>
          <w:szCs w:val="22"/>
          <w:u w:val="single"/>
        </w:rPr>
        <w:t>deployment of</w:t>
      </w:r>
      <w:r w:rsidR="003747C9" w:rsidRPr="00F668C6">
        <w:rPr>
          <w:rFonts w:ascii="Arial" w:hAnsi="Arial" w:cs="Arial"/>
          <w:sz w:val="22"/>
          <w:szCs w:val="22"/>
          <w:u w:val="single"/>
        </w:rPr>
        <w:t xml:space="preserve"> each main WIC </w:t>
      </w:r>
      <w:r w:rsidRPr="00F668C6">
        <w:rPr>
          <w:rFonts w:ascii="Arial" w:hAnsi="Arial" w:cs="Arial"/>
          <w:sz w:val="22"/>
          <w:szCs w:val="22"/>
          <w:u w:val="single"/>
        </w:rPr>
        <w:t>product</w:t>
      </w:r>
      <w:r w:rsidR="003747C9" w:rsidRPr="00F668C6">
        <w:rPr>
          <w:rFonts w:ascii="Arial" w:hAnsi="Arial" w:cs="Arial"/>
          <w:sz w:val="22"/>
          <w:szCs w:val="22"/>
          <w:u w:val="single"/>
        </w:rPr>
        <w:t xml:space="preserve"> through to 2050</w:t>
      </w:r>
      <w:r w:rsidR="00DE1038">
        <w:rPr>
          <w:rFonts w:ascii="Arial" w:hAnsi="Arial" w:cs="Arial"/>
          <w:sz w:val="22"/>
          <w:szCs w:val="22"/>
          <w:u w:val="single"/>
        </w:rPr>
        <w:t xml:space="preserve"> </w:t>
      </w:r>
      <w:r w:rsidR="00DE1038" w:rsidRPr="00926A8C">
        <w:rPr>
          <w:rFonts w:ascii="Arial" w:hAnsi="Arial" w:cs="Arial"/>
          <w:sz w:val="22"/>
          <w:szCs w:val="22"/>
          <w:u w:val="single"/>
        </w:rPr>
        <w:t>under different scenarios</w:t>
      </w:r>
      <w:r w:rsidR="003747C9" w:rsidRPr="00F668C6">
        <w:rPr>
          <w:rFonts w:ascii="Arial" w:hAnsi="Arial" w:cs="Arial"/>
          <w:sz w:val="22"/>
          <w:szCs w:val="22"/>
          <w:u w:val="single"/>
        </w:rPr>
        <w:t>, leading to estimates of total abatement potential</w:t>
      </w:r>
      <w:r w:rsidR="003747C9" w:rsidRPr="00F668C6">
        <w:rPr>
          <w:rFonts w:ascii="Arial" w:hAnsi="Arial" w:cs="Arial"/>
          <w:sz w:val="22"/>
          <w:szCs w:val="22"/>
        </w:rPr>
        <w:t xml:space="preserve">. </w:t>
      </w:r>
    </w:p>
    <w:p w14:paraId="29489FFF" w14:textId="2A249F2C" w:rsidR="009431A8" w:rsidRDefault="00926A8C" w:rsidP="009431A8">
      <w:pPr>
        <w:spacing w:before="240" w:line="276" w:lineRule="auto"/>
        <w:rPr>
          <w:rFonts w:ascii="Arial" w:hAnsi="Arial" w:cs="Arial"/>
          <w:sz w:val="22"/>
          <w:szCs w:val="22"/>
        </w:rPr>
      </w:pPr>
      <w:r>
        <w:rPr>
          <w:rFonts w:ascii="Arial" w:hAnsi="Arial" w:cs="Arial"/>
          <w:sz w:val="22"/>
          <w:szCs w:val="22"/>
        </w:rPr>
        <w:t>For t</w:t>
      </w:r>
      <w:r w:rsidR="00DE1038">
        <w:rPr>
          <w:rFonts w:ascii="Arial" w:hAnsi="Arial" w:cs="Arial"/>
          <w:sz w:val="22"/>
          <w:szCs w:val="22"/>
        </w:rPr>
        <w:t>his sub-task</w:t>
      </w:r>
      <w:r>
        <w:rPr>
          <w:rFonts w:ascii="Arial" w:hAnsi="Arial" w:cs="Arial"/>
          <w:sz w:val="22"/>
          <w:szCs w:val="22"/>
        </w:rPr>
        <w:t xml:space="preserve"> the Consultants</w:t>
      </w:r>
      <w:r w:rsidR="00DE1038">
        <w:rPr>
          <w:rFonts w:ascii="Arial" w:hAnsi="Arial" w:cs="Arial"/>
          <w:sz w:val="22"/>
          <w:szCs w:val="22"/>
        </w:rPr>
        <w:t xml:space="preserve"> will </w:t>
      </w:r>
      <w:r>
        <w:rPr>
          <w:rFonts w:ascii="Arial" w:hAnsi="Arial" w:cs="Arial"/>
          <w:sz w:val="22"/>
          <w:szCs w:val="22"/>
        </w:rPr>
        <w:t xml:space="preserve">assess and </w:t>
      </w:r>
      <w:r w:rsidR="00DE1038">
        <w:rPr>
          <w:rFonts w:ascii="Arial" w:hAnsi="Arial" w:cs="Arial"/>
          <w:sz w:val="22"/>
          <w:szCs w:val="22"/>
        </w:rPr>
        <w:t>quantify</w:t>
      </w:r>
      <w:r w:rsidR="009431A8">
        <w:rPr>
          <w:rFonts w:ascii="Arial" w:hAnsi="Arial" w:cs="Arial"/>
          <w:sz w:val="22"/>
          <w:szCs w:val="22"/>
        </w:rPr>
        <w:t>:</w:t>
      </w:r>
    </w:p>
    <w:p w14:paraId="1FFC0EFE" w14:textId="135E8E6A" w:rsidR="009431A8" w:rsidRDefault="009431A8" w:rsidP="009431A8">
      <w:pPr>
        <w:pStyle w:val="ListParagraph"/>
        <w:numPr>
          <w:ilvl w:val="0"/>
          <w:numId w:val="29"/>
        </w:numPr>
        <w:spacing w:after="120"/>
        <w:ind w:left="851" w:hanging="425"/>
        <w:rPr>
          <w:rFonts w:ascii="Arial" w:hAnsi="Arial" w:cs="Arial"/>
        </w:rPr>
      </w:pPr>
      <w:r>
        <w:rPr>
          <w:rFonts w:ascii="Arial" w:hAnsi="Arial" w:cs="Arial"/>
        </w:rPr>
        <w:t>T</w:t>
      </w:r>
      <w:r w:rsidR="00DE1038" w:rsidRPr="009431A8">
        <w:rPr>
          <w:rFonts w:ascii="Arial" w:hAnsi="Arial" w:cs="Arial"/>
        </w:rPr>
        <w:t xml:space="preserve">otal </w:t>
      </w:r>
      <w:r>
        <w:rPr>
          <w:rFonts w:ascii="Arial" w:hAnsi="Arial" w:cs="Arial"/>
        </w:rPr>
        <w:t xml:space="preserve">UK </w:t>
      </w:r>
      <w:r w:rsidR="00DE1038" w:rsidRPr="009431A8">
        <w:rPr>
          <w:rFonts w:ascii="Arial" w:hAnsi="Arial" w:cs="Arial"/>
        </w:rPr>
        <w:t>technical and economic substitution potential for each main WIC product</w:t>
      </w:r>
      <w:r>
        <w:rPr>
          <w:rFonts w:ascii="Arial" w:hAnsi="Arial" w:cs="Arial"/>
        </w:rPr>
        <w:t xml:space="preserve"> </w:t>
      </w:r>
      <w:r w:rsidR="00FA20B1">
        <w:rPr>
          <w:rFonts w:ascii="Arial" w:hAnsi="Arial" w:cs="Arial"/>
        </w:rPr>
        <w:t>in</w:t>
      </w:r>
      <w:r w:rsidR="00DE1038" w:rsidRPr="009431A8">
        <w:rPr>
          <w:rFonts w:ascii="Arial" w:hAnsi="Arial" w:cs="Arial"/>
        </w:rPr>
        <w:t xml:space="preserve"> </w:t>
      </w:r>
      <w:r w:rsidR="00FA20B1">
        <w:rPr>
          <w:rFonts w:ascii="Arial" w:hAnsi="Arial" w:cs="Arial"/>
        </w:rPr>
        <w:t xml:space="preserve">each decade </w:t>
      </w:r>
      <w:r w:rsidR="00DE1038" w:rsidRPr="009431A8">
        <w:rPr>
          <w:rFonts w:ascii="Arial" w:hAnsi="Arial" w:cs="Arial"/>
        </w:rPr>
        <w:t>to 2050</w:t>
      </w:r>
      <w:r w:rsidR="00FA20B1">
        <w:rPr>
          <w:rFonts w:ascii="Arial" w:hAnsi="Arial" w:cs="Arial"/>
        </w:rPr>
        <w:t xml:space="preserve"> (assuming a </w:t>
      </w:r>
      <w:r w:rsidR="00133BA4">
        <w:rPr>
          <w:rFonts w:ascii="Arial" w:hAnsi="Arial" w:cs="Arial"/>
        </w:rPr>
        <w:t>c</w:t>
      </w:r>
      <w:r w:rsidR="00FA20B1">
        <w:rPr>
          <w:rFonts w:ascii="Arial" w:hAnsi="Arial" w:cs="Arial"/>
        </w:rPr>
        <w:t xml:space="preserve">arbon price rising to £200/tonne </w:t>
      </w:r>
      <w:r w:rsidR="00CF736C" w:rsidRPr="00833FD7">
        <w:rPr>
          <w:rFonts w:ascii="Arial" w:hAnsi="Arial" w:cs="Arial"/>
        </w:rPr>
        <w:t>CO</w:t>
      </w:r>
      <w:r w:rsidR="00CF736C" w:rsidRPr="0057214F">
        <w:rPr>
          <w:rFonts w:ascii="Arial" w:hAnsi="Arial" w:cs="Arial"/>
          <w:vertAlign w:val="subscript"/>
        </w:rPr>
        <w:t>2</w:t>
      </w:r>
      <w:r w:rsidR="00CF736C" w:rsidRPr="00833FD7">
        <w:rPr>
          <w:rFonts w:ascii="Arial" w:hAnsi="Arial" w:cs="Arial"/>
        </w:rPr>
        <w:t>e</w:t>
      </w:r>
      <w:r w:rsidR="00CF736C">
        <w:rPr>
          <w:rFonts w:ascii="Arial" w:hAnsi="Arial" w:cs="Arial"/>
        </w:rPr>
        <w:t xml:space="preserve"> </w:t>
      </w:r>
      <w:r>
        <w:rPr>
          <w:rFonts w:ascii="Arial" w:hAnsi="Arial" w:cs="Arial"/>
        </w:rPr>
        <w:t>by 2050)</w:t>
      </w:r>
      <w:r w:rsidR="00DE1038" w:rsidRPr="009431A8">
        <w:rPr>
          <w:rFonts w:ascii="Arial" w:hAnsi="Arial" w:cs="Arial"/>
        </w:rPr>
        <w:t xml:space="preserve">. </w:t>
      </w:r>
    </w:p>
    <w:p w14:paraId="482BDC82" w14:textId="06C67F98" w:rsidR="00575370" w:rsidRPr="0057214F" w:rsidRDefault="00926A8C" w:rsidP="00A93844">
      <w:pPr>
        <w:pStyle w:val="ListParagraph"/>
        <w:numPr>
          <w:ilvl w:val="0"/>
          <w:numId w:val="29"/>
        </w:numPr>
        <w:spacing w:after="120"/>
        <w:ind w:left="851" w:hanging="425"/>
        <w:rPr>
          <w:rFonts w:ascii="Arial" w:hAnsi="Arial" w:cs="Arial"/>
        </w:rPr>
      </w:pPr>
      <w:r>
        <w:rPr>
          <w:rFonts w:ascii="Arial" w:hAnsi="Arial" w:cs="Arial"/>
        </w:rPr>
        <w:t>Total</w:t>
      </w:r>
      <w:r w:rsidR="009431A8">
        <w:rPr>
          <w:rFonts w:ascii="Arial" w:hAnsi="Arial" w:cs="Arial"/>
        </w:rPr>
        <w:t xml:space="preserve"> deployment of each main WIC product</w:t>
      </w:r>
      <w:r>
        <w:rPr>
          <w:rFonts w:ascii="Arial" w:hAnsi="Arial" w:cs="Arial"/>
        </w:rPr>
        <w:t xml:space="preserve"> in the UK</w:t>
      </w:r>
      <w:r w:rsidR="00FA20B1">
        <w:rPr>
          <w:rFonts w:ascii="Arial" w:hAnsi="Arial" w:cs="Arial"/>
        </w:rPr>
        <w:t xml:space="preserve"> in each decade</w:t>
      </w:r>
      <w:r w:rsidR="009431A8">
        <w:rPr>
          <w:rFonts w:ascii="Arial" w:hAnsi="Arial" w:cs="Arial"/>
        </w:rPr>
        <w:t xml:space="preserve"> to 2050 under </w:t>
      </w:r>
      <w:r w:rsidR="00575370">
        <w:rPr>
          <w:rFonts w:ascii="Arial" w:hAnsi="Arial" w:cs="Arial"/>
        </w:rPr>
        <w:t>different</w:t>
      </w:r>
      <w:r w:rsidR="009431A8">
        <w:rPr>
          <w:rFonts w:ascii="Arial" w:hAnsi="Arial" w:cs="Arial"/>
        </w:rPr>
        <w:t xml:space="preserve"> scenario</w:t>
      </w:r>
      <w:r w:rsidR="00575370">
        <w:rPr>
          <w:rFonts w:ascii="Arial" w:hAnsi="Arial" w:cs="Arial"/>
        </w:rPr>
        <w:t>s</w:t>
      </w:r>
      <w:r w:rsidR="00FF7D26">
        <w:rPr>
          <w:rFonts w:ascii="Arial" w:hAnsi="Arial" w:cs="Arial"/>
        </w:rPr>
        <w:t>. Th</w:t>
      </w:r>
      <w:r w:rsidR="00575370">
        <w:rPr>
          <w:rFonts w:ascii="Arial" w:hAnsi="Arial" w:cs="Arial"/>
        </w:rPr>
        <w:t>e</w:t>
      </w:r>
      <w:r w:rsidR="00FF7D26">
        <w:rPr>
          <w:rFonts w:ascii="Arial" w:hAnsi="Arial" w:cs="Arial"/>
        </w:rPr>
        <w:t>s</w:t>
      </w:r>
      <w:r w:rsidR="00575370">
        <w:rPr>
          <w:rFonts w:ascii="Arial" w:hAnsi="Arial" w:cs="Arial"/>
        </w:rPr>
        <w:t>e</w:t>
      </w:r>
      <w:r w:rsidR="00FF7D26">
        <w:rPr>
          <w:rFonts w:ascii="Arial" w:hAnsi="Arial" w:cs="Arial"/>
        </w:rPr>
        <w:t xml:space="preserve"> scenario</w:t>
      </w:r>
      <w:r w:rsidR="00575370">
        <w:rPr>
          <w:rFonts w:ascii="Arial" w:hAnsi="Arial" w:cs="Arial"/>
        </w:rPr>
        <w:t>s</w:t>
      </w:r>
      <w:r w:rsidR="00FF7D26">
        <w:rPr>
          <w:rFonts w:ascii="Arial" w:hAnsi="Arial" w:cs="Arial"/>
        </w:rPr>
        <w:t xml:space="preserve"> will</w:t>
      </w:r>
      <w:r>
        <w:rPr>
          <w:rFonts w:ascii="Arial" w:hAnsi="Arial" w:cs="Arial"/>
        </w:rPr>
        <w:t xml:space="preserve"> </w:t>
      </w:r>
      <w:r w:rsidR="009431A8">
        <w:rPr>
          <w:rFonts w:ascii="Arial" w:hAnsi="Arial" w:cs="Arial"/>
        </w:rPr>
        <w:t xml:space="preserve">be developed by the </w:t>
      </w:r>
      <w:r w:rsidR="00CF736C">
        <w:rPr>
          <w:rFonts w:ascii="Arial" w:hAnsi="Arial" w:cs="Arial"/>
        </w:rPr>
        <w:t>c</w:t>
      </w:r>
      <w:r w:rsidR="009431A8">
        <w:rPr>
          <w:rFonts w:ascii="Arial" w:hAnsi="Arial" w:cs="Arial"/>
        </w:rPr>
        <w:t>ons</w:t>
      </w:r>
      <w:r>
        <w:rPr>
          <w:rFonts w:ascii="Arial" w:hAnsi="Arial" w:cs="Arial"/>
        </w:rPr>
        <w:t>ultant and agreed</w:t>
      </w:r>
      <w:r w:rsidR="009431A8">
        <w:rPr>
          <w:rFonts w:ascii="Arial" w:hAnsi="Arial" w:cs="Arial"/>
        </w:rPr>
        <w:t xml:space="preserve"> with the CCC</w:t>
      </w:r>
      <w:r w:rsidR="00FF7D26">
        <w:rPr>
          <w:rFonts w:ascii="Arial" w:hAnsi="Arial" w:cs="Arial"/>
        </w:rPr>
        <w:t>.</w:t>
      </w:r>
      <w:r w:rsidR="00575370">
        <w:rPr>
          <w:rFonts w:ascii="Arial" w:hAnsi="Arial" w:cs="Arial"/>
        </w:rPr>
        <w:t xml:space="preserve"> </w:t>
      </w:r>
      <w:r w:rsidR="00575370" w:rsidRPr="0057214F">
        <w:rPr>
          <w:rFonts w:ascii="Arial" w:hAnsi="Arial" w:cs="Arial"/>
        </w:rPr>
        <w:t xml:space="preserve">As a minimum the CCC anticipates a scenario reflecting central estimates of sectoral development and an upside scenario reflecting more optimistic assumptions. </w:t>
      </w:r>
      <w:r w:rsidR="00575370" w:rsidRPr="0057214F">
        <w:rPr>
          <w:rFonts w:ascii="Arial" w:hAnsi="Arial" w:cs="Arial"/>
        </w:rPr>
        <w:lastRenderedPageBreak/>
        <w:t>Scenarios should be tested against key sensitivities.</w:t>
      </w:r>
      <w:r w:rsidR="00575370">
        <w:rPr>
          <w:rFonts w:ascii="Arial" w:hAnsi="Arial" w:cs="Arial"/>
        </w:rPr>
        <w:t xml:space="preserve"> </w:t>
      </w:r>
      <w:r w:rsidR="00FF7D26" w:rsidRPr="0057214F">
        <w:rPr>
          <w:rFonts w:ascii="Arial" w:hAnsi="Arial" w:cs="Arial"/>
        </w:rPr>
        <w:t xml:space="preserve">Work carried out for the CCC by Poyry in 2011 suggests supply chain capacity may be </w:t>
      </w:r>
      <w:r w:rsidR="00C75F12">
        <w:rPr>
          <w:rFonts w:ascii="Arial" w:hAnsi="Arial" w:cs="Arial"/>
        </w:rPr>
        <w:t>a</w:t>
      </w:r>
      <w:r w:rsidR="00FF7D26" w:rsidRPr="0057214F">
        <w:rPr>
          <w:rFonts w:ascii="Arial" w:hAnsi="Arial" w:cs="Arial"/>
        </w:rPr>
        <w:t xml:space="preserve"> key limiting factor explored here.</w:t>
      </w:r>
    </w:p>
    <w:p w14:paraId="4F3B5209" w14:textId="15A7B13C" w:rsidR="00A93844" w:rsidRDefault="00A93844" w:rsidP="0057214F">
      <w:pPr>
        <w:pStyle w:val="ListParagraph"/>
        <w:numPr>
          <w:ilvl w:val="0"/>
          <w:numId w:val="29"/>
        </w:numPr>
        <w:spacing w:after="120"/>
        <w:ind w:left="851" w:hanging="425"/>
        <w:rPr>
          <w:rFonts w:ascii="Arial" w:hAnsi="Arial" w:cs="Arial"/>
        </w:rPr>
      </w:pPr>
      <w:r>
        <w:rPr>
          <w:rFonts w:ascii="Arial" w:hAnsi="Arial" w:cs="Arial"/>
        </w:rPr>
        <w:t>Total GHG abatement potential</w:t>
      </w:r>
      <w:r w:rsidR="00C75F12">
        <w:rPr>
          <w:rFonts w:ascii="Arial" w:hAnsi="Arial" w:cs="Arial"/>
        </w:rPr>
        <w:t xml:space="preserve"> from each WIC product</w:t>
      </w:r>
      <w:r>
        <w:rPr>
          <w:rFonts w:ascii="Arial" w:hAnsi="Arial" w:cs="Arial"/>
        </w:rPr>
        <w:t xml:space="preserve"> through to 2050 under each scenario, expressed in</w:t>
      </w:r>
      <w:r w:rsidRPr="00A93844">
        <w:rPr>
          <w:rFonts w:ascii="Arial" w:hAnsi="Arial" w:cs="Arial"/>
        </w:rPr>
        <w:t xml:space="preserve"> </w:t>
      </w:r>
      <w:r w:rsidRPr="00833FD7">
        <w:rPr>
          <w:rFonts w:ascii="Arial" w:hAnsi="Arial" w:cs="Arial"/>
        </w:rPr>
        <w:t>Mt CO</w:t>
      </w:r>
      <w:r w:rsidRPr="0057214F">
        <w:rPr>
          <w:rFonts w:ascii="Arial" w:hAnsi="Arial" w:cs="Arial"/>
          <w:vertAlign w:val="subscript"/>
        </w:rPr>
        <w:t>2</w:t>
      </w:r>
      <w:r w:rsidRPr="00833FD7">
        <w:rPr>
          <w:rFonts w:ascii="Arial" w:hAnsi="Arial" w:cs="Arial"/>
        </w:rPr>
        <w:t>e p/a</w:t>
      </w:r>
      <w:r>
        <w:rPr>
          <w:rFonts w:ascii="Arial" w:hAnsi="Arial" w:cs="Arial"/>
        </w:rPr>
        <w:t>. This will take account of changes over time to the emissions factors associated with substituted products e.g. steel/cement emissions trajectories.</w:t>
      </w:r>
    </w:p>
    <w:p w14:paraId="34205E74" w14:textId="5FFADE5D" w:rsidR="00DE1038" w:rsidRPr="0057214F" w:rsidRDefault="00575370" w:rsidP="0057214F">
      <w:pPr>
        <w:pStyle w:val="ListParagraph"/>
        <w:numPr>
          <w:ilvl w:val="0"/>
          <w:numId w:val="29"/>
        </w:numPr>
        <w:spacing w:after="120"/>
        <w:ind w:left="851" w:hanging="425"/>
        <w:rPr>
          <w:rFonts w:ascii="Arial" w:hAnsi="Arial" w:cs="Arial"/>
        </w:rPr>
      </w:pPr>
      <w:r>
        <w:rPr>
          <w:rFonts w:ascii="Arial" w:hAnsi="Arial" w:cs="Arial"/>
        </w:rPr>
        <w:t>The overall demand for different feedstocks under each scenario and the implications for bioenergy applications.</w:t>
      </w:r>
    </w:p>
    <w:p w14:paraId="7243A4A9" w14:textId="47D27B7D" w:rsidR="00CD0491" w:rsidRDefault="00C61FB5" w:rsidP="00F668C6">
      <w:pPr>
        <w:spacing w:before="240" w:after="120" w:line="276" w:lineRule="auto"/>
        <w:rPr>
          <w:rFonts w:ascii="Arial" w:hAnsi="Arial" w:cs="Arial"/>
          <w:sz w:val="22"/>
          <w:szCs w:val="22"/>
        </w:rPr>
      </w:pPr>
      <w:r>
        <w:rPr>
          <w:rFonts w:ascii="Arial" w:hAnsi="Arial" w:cs="Arial"/>
          <w:sz w:val="22"/>
          <w:szCs w:val="22"/>
        </w:rPr>
        <w:t xml:space="preserve">This sub-task </w:t>
      </w:r>
      <w:r w:rsidR="00A93844">
        <w:rPr>
          <w:rFonts w:ascii="Arial" w:hAnsi="Arial" w:cs="Arial"/>
          <w:sz w:val="22"/>
          <w:szCs w:val="22"/>
        </w:rPr>
        <w:t>extends to include</w:t>
      </w:r>
      <w:r>
        <w:rPr>
          <w:rFonts w:ascii="Arial" w:hAnsi="Arial" w:cs="Arial"/>
          <w:sz w:val="22"/>
          <w:szCs w:val="22"/>
        </w:rPr>
        <w:t xml:space="preserve"> consideration of how abatement achieved through</w:t>
      </w:r>
      <w:r w:rsidR="00CD0491">
        <w:rPr>
          <w:rFonts w:ascii="Arial" w:hAnsi="Arial" w:cs="Arial"/>
          <w:sz w:val="22"/>
          <w:szCs w:val="22"/>
        </w:rPr>
        <w:t xml:space="preserve"> WIC relates</w:t>
      </w:r>
      <w:r w:rsidR="00A93844">
        <w:rPr>
          <w:rFonts w:ascii="Arial" w:hAnsi="Arial" w:cs="Arial"/>
          <w:sz w:val="22"/>
          <w:szCs w:val="22"/>
        </w:rPr>
        <w:t xml:space="preserve"> to GHG accounting</w:t>
      </w:r>
      <w:r>
        <w:rPr>
          <w:rFonts w:ascii="Arial" w:hAnsi="Arial" w:cs="Arial"/>
          <w:sz w:val="22"/>
          <w:szCs w:val="22"/>
        </w:rPr>
        <w:t>.</w:t>
      </w:r>
      <w:r w:rsidR="00A93844">
        <w:rPr>
          <w:rFonts w:ascii="Arial" w:hAnsi="Arial" w:cs="Arial"/>
          <w:sz w:val="22"/>
          <w:szCs w:val="22"/>
        </w:rPr>
        <w:t xml:space="preserve"> Consultants will be expected to</w:t>
      </w:r>
      <w:r w:rsidR="00CD0491">
        <w:rPr>
          <w:rFonts w:ascii="Arial" w:hAnsi="Arial" w:cs="Arial"/>
          <w:sz w:val="22"/>
          <w:szCs w:val="22"/>
        </w:rPr>
        <w:t>:</w:t>
      </w:r>
    </w:p>
    <w:p w14:paraId="7C518632" w14:textId="61016DA0" w:rsidR="00A93844" w:rsidRDefault="00CD0491" w:rsidP="0057214F">
      <w:pPr>
        <w:pStyle w:val="ListParagraph"/>
        <w:numPr>
          <w:ilvl w:val="0"/>
          <w:numId w:val="36"/>
        </w:numPr>
        <w:spacing w:after="120"/>
        <w:rPr>
          <w:rFonts w:ascii="Arial" w:hAnsi="Arial" w:cs="Arial"/>
        </w:rPr>
      </w:pPr>
      <w:r w:rsidRPr="00133BA4">
        <w:rPr>
          <w:rFonts w:ascii="Arial" w:hAnsi="Arial" w:cs="Arial"/>
        </w:rPr>
        <w:t>Explore how</w:t>
      </w:r>
      <w:r w:rsidR="00A93844" w:rsidRPr="0057214F">
        <w:rPr>
          <w:rFonts w:ascii="Arial" w:hAnsi="Arial" w:cs="Arial"/>
        </w:rPr>
        <w:t xml:space="preserve"> WIC products used in the UK impact the UK’s GHG inventory (given the role of imports and rules relating to carbon stocks in Harvested Wood Products)</w:t>
      </w:r>
    </w:p>
    <w:p w14:paraId="47E3CD1A" w14:textId="73C8E5A9" w:rsidR="00CD0491" w:rsidRDefault="00CD0491" w:rsidP="0057214F">
      <w:pPr>
        <w:pStyle w:val="ListParagraph"/>
        <w:numPr>
          <w:ilvl w:val="0"/>
          <w:numId w:val="36"/>
        </w:numPr>
        <w:spacing w:after="120"/>
        <w:rPr>
          <w:rFonts w:ascii="Arial" w:hAnsi="Arial" w:cs="Arial"/>
        </w:rPr>
      </w:pPr>
      <w:r>
        <w:rPr>
          <w:rFonts w:ascii="Arial" w:hAnsi="Arial" w:cs="Arial"/>
        </w:rPr>
        <w:t>Differentiate between biogenic carbon stored in WIC products and substitution of other products</w:t>
      </w:r>
    </w:p>
    <w:p w14:paraId="364BE9A9" w14:textId="1E60CE37" w:rsidR="00D07CC0" w:rsidRPr="0057214F" w:rsidRDefault="00CD0491" w:rsidP="0057214F">
      <w:pPr>
        <w:pStyle w:val="ListParagraph"/>
        <w:numPr>
          <w:ilvl w:val="0"/>
          <w:numId w:val="36"/>
        </w:numPr>
        <w:spacing w:after="120"/>
        <w:rPr>
          <w:rFonts w:ascii="Arial" w:hAnsi="Arial" w:cs="Arial"/>
        </w:rPr>
      </w:pPr>
      <w:r>
        <w:rPr>
          <w:rFonts w:ascii="Arial" w:hAnsi="Arial" w:cs="Arial"/>
        </w:rPr>
        <w:t xml:space="preserve">Quantify how increased levels of WIC in the UK (in line with scenarios developed) is likely to contribute towards meeting the UK’s </w:t>
      </w:r>
      <w:r w:rsidR="00D07CC0" w:rsidRPr="0057214F">
        <w:rPr>
          <w:rFonts w:ascii="Arial" w:hAnsi="Arial" w:cs="Arial"/>
        </w:rPr>
        <w:t xml:space="preserve">carbon targets </w:t>
      </w:r>
      <w:r w:rsidR="00A93844" w:rsidRPr="0057214F">
        <w:rPr>
          <w:rFonts w:ascii="Arial" w:hAnsi="Arial" w:cs="Arial"/>
        </w:rPr>
        <w:t>in the future.</w:t>
      </w:r>
    </w:p>
    <w:p w14:paraId="0FCDB929" w14:textId="34267805" w:rsidR="006D3C4B" w:rsidRDefault="006D3C4B" w:rsidP="0057214F">
      <w:pPr>
        <w:spacing w:before="240" w:after="120" w:line="276" w:lineRule="auto"/>
        <w:ind w:left="567" w:hanging="567"/>
        <w:rPr>
          <w:rFonts w:ascii="Arial" w:hAnsi="Arial" w:cs="Arial"/>
          <w:sz w:val="22"/>
          <w:szCs w:val="22"/>
        </w:rPr>
      </w:pPr>
    </w:p>
    <w:p w14:paraId="379F01E9" w14:textId="5F435EAC" w:rsidR="00AF50F7" w:rsidRDefault="00C93A30" w:rsidP="00865B54">
      <w:pPr>
        <w:spacing w:before="360" w:line="276" w:lineRule="auto"/>
        <w:rPr>
          <w:rFonts w:ascii="Arial" w:hAnsi="Arial" w:cs="Arial"/>
          <w:b/>
          <w:sz w:val="22"/>
        </w:rPr>
      </w:pPr>
      <w:r>
        <w:rPr>
          <w:rFonts w:ascii="Arial" w:hAnsi="Arial" w:cs="Arial"/>
          <w:b/>
          <w:sz w:val="22"/>
          <w:szCs w:val="22"/>
        </w:rPr>
        <w:lastRenderedPageBreak/>
        <w:t>Task 3</w:t>
      </w:r>
      <w:r w:rsidR="006052A3" w:rsidRPr="006052A3">
        <w:rPr>
          <w:rFonts w:ascii="Arial" w:hAnsi="Arial" w:cs="Arial"/>
          <w:b/>
          <w:sz w:val="22"/>
          <w:szCs w:val="22"/>
        </w:rPr>
        <w:t xml:space="preserve">: </w:t>
      </w:r>
      <w:r w:rsidR="00C61FB5">
        <w:rPr>
          <w:rFonts w:ascii="Arial" w:hAnsi="Arial" w:cs="Arial"/>
          <w:b/>
          <w:sz w:val="22"/>
        </w:rPr>
        <w:t>Identify actions by policy-makers and industry to develop the market for WIC in the UK. Develop indicators to track progress over time.</w:t>
      </w:r>
      <w:r w:rsidR="00C61FB5" w:rsidDel="00C61FB5">
        <w:rPr>
          <w:rFonts w:ascii="Arial" w:hAnsi="Arial" w:cs="Arial"/>
          <w:b/>
          <w:sz w:val="22"/>
        </w:rPr>
        <w:t xml:space="preserve"> </w:t>
      </w:r>
      <w:r w:rsidR="00176CC5">
        <w:rPr>
          <w:rFonts w:ascii="Arial" w:hAnsi="Arial" w:cs="Arial"/>
          <w:b/>
          <w:sz w:val="22"/>
        </w:rPr>
        <w:t xml:space="preserve"> </w:t>
      </w:r>
    </w:p>
    <w:p w14:paraId="00338658" w14:textId="60F57556" w:rsidR="00B65179" w:rsidRDefault="00B65179" w:rsidP="00865B54">
      <w:pPr>
        <w:spacing w:before="360" w:line="276" w:lineRule="auto"/>
        <w:rPr>
          <w:rFonts w:ascii="Arial" w:hAnsi="Arial" w:cs="Arial"/>
          <w:sz w:val="22"/>
        </w:rPr>
      </w:pPr>
      <w:r>
        <w:rPr>
          <w:rFonts w:ascii="Arial" w:hAnsi="Arial" w:cs="Arial"/>
          <w:sz w:val="22"/>
        </w:rPr>
        <w:t>The CCC envisages that this will be a relatively minor follow on task that will draw on findings of previous tasks and stakeholder engagement. It is not anticipated to involve much additional work.</w:t>
      </w:r>
    </w:p>
    <w:p w14:paraId="38B05834" w14:textId="53B59F15" w:rsidR="00C61FB5" w:rsidRPr="0057214F" w:rsidRDefault="00C61FB5" w:rsidP="00865B54">
      <w:pPr>
        <w:spacing w:before="360" w:line="276" w:lineRule="auto"/>
        <w:rPr>
          <w:rFonts w:ascii="Arial" w:hAnsi="Arial" w:cs="Arial"/>
          <w:bCs/>
          <w:sz w:val="22"/>
          <w:szCs w:val="22"/>
        </w:rPr>
      </w:pPr>
      <w:r>
        <w:rPr>
          <w:rFonts w:ascii="Arial" w:hAnsi="Arial" w:cs="Arial"/>
          <w:sz w:val="22"/>
        </w:rPr>
        <w:t>This task is split into 2 parts.</w:t>
      </w:r>
    </w:p>
    <w:p w14:paraId="09ADD499" w14:textId="204DCE90" w:rsidR="00C61FB5" w:rsidRDefault="00C61FB5" w:rsidP="00C61FB5">
      <w:pPr>
        <w:spacing w:before="240" w:after="120" w:line="276" w:lineRule="auto"/>
        <w:ind w:left="567" w:hanging="567"/>
        <w:rPr>
          <w:rFonts w:ascii="Arial" w:hAnsi="Arial" w:cs="Arial"/>
          <w:sz w:val="22"/>
          <w:szCs w:val="22"/>
          <w:u w:val="single"/>
        </w:rPr>
      </w:pPr>
      <w:r>
        <w:rPr>
          <w:rFonts w:ascii="Arial" w:hAnsi="Arial" w:cs="Arial"/>
          <w:sz w:val="22"/>
          <w:szCs w:val="22"/>
        </w:rPr>
        <w:t>3a.</w:t>
      </w:r>
      <w:r w:rsidRPr="00F333CB">
        <w:rPr>
          <w:rFonts w:ascii="Arial" w:hAnsi="Arial" w:cs="Arial"/>
          <w:sz w:val="22"/>
          <w:szCs w:val="22"/>
        </w:rPr>
        <w:tab/>
      </w:r>
      <w:r w:rsidRPr="00F333CB">
        <w:rPr>
          <w:rFonts w:ascii="Arial" w:hAnsi="Arial" w:cs="Arial"/>
          <w:sz w:val="22"/>
          <w:szCs w:val="22"/>
          <w:u w:val="single"/>
        </w:rPr>
        <w:t xml:space="preserve">Identify </w:t>
      </w:r>
      <w:r>
        <w:rPr>
          <w:rFonts w:ascii="Arial" w:hAnsi="Arial" w:cs="Arial"/>
          <w:sz w:val="22"/>
          <w:szCs w:val="22"/>
          <w:u w:val="single"/>
        </w:rPr>
        <w:t>actions for Government and Industry</w:t>
      </w:r>
      <w:r w:rsidRPr="00F333CB">
        <w:rPr>
          <w:rFonts w:ascii="Arial" w:hAnsi="Arial" w:cs="Arial"/>
          <w:sz w:val="22"/>
          <w:szCs w:val="22"/>
          <w:u w:val="single"/>
        </w:rPr>
        <w:t xml:space="preserve"> to </w:t>
      </w:r>
      <w:r>
        <w:rPr>
          <w:rFonts w:ascii="Arial" w:hAnsi="Arial" w:cs="Arial"/>
          <w:sz w:val="22"/>
          <w:szCs w:val="22"/>
          <w:u w:val="single"/>
        </w:rPr>
        <w:t>develop the UK market</w:t>
      </w:r>
      <w:r w:rsidRPr="00F333CB">
        <w:rPr>
          <w:rFonts w:ascii="Arial" w:hAnsi="Arial" w:cs="Arial"/>
          <w:sz w:val="22"/>
          <w:szCs w:val="22"/>
          <w:u w:val="single"/>
        </w:rPr>
        <w:t xml:space="preserve"> WIC</w:t>
      </w:r>
    </w:p>
    <w:p w14:paraId="6CC1A62E" w14:textId="6516D386" w:rsidR="00C61FB5" w:rsidRDefault="00C61FB5" w:rsidP="00C61FB5">
      <w:pPr>
        <w:spacing w:before="240" w:after="120" w:line="276" w:lineRule="auto"/>
        <w:rPr>
          <w:rFonts w:ascii="Arial" w:hAnsi="Arial" w:cs="Arial"/>
          <w:sz w:val="22"/>
          <w:szCs w:val="22"/>
        </w:rPr>
      </w:pPr>
      <w:r>
        <w:rPr>
          <w:rFonts w:ascii="Arial" w:hAnsi="Arial" w:cs="Arial"/>
          <w:sz w:val="22"/>
          <w:szCs w:val="22"/>
        </w:rPr>
        <w:t>Poyry’s 2011 work for the CCC concluded that there is a compelling case for the use of wood in construction as a method of GHG abatement in the construction sector, but that further work was necessary to better understand the opportunity in the UK.</w:t>
      </w:r>
    </w:p>
    <w:p w14:paraId="27D91819" w14:textId="24D922E8" w:rsidR="00C61FB5" w:rsidRPr="008302CA" w:rsidRDefault="00C61FB5" w:rsidP="00C61FB5">
      <w:pPr>
        <w:spacing w:before="240" w:after="120" w:line="276" w:lineRule="auto"/>
        <w:rPr>
          <w:rFonts w:ascii="Arial" w:hAnsi="Arial" w:cs="Arial"/>
          <w:sz w:val="22"/>
          <w:szCs w:val="22"/>
        </w:rPr>
      </w:pPr>
      <w:r>
        <w:rPr>
          <w:rFonts w:ascii="Arial" w:hAnsi="Arial" w:cs="Arial"/>
          <w:sz w:val="22"/>
          <w:szCs w:val="22"/>
        </w:rPr>
        <w:t>This sub-task will draw on international and Scottish experience and engagement with the UK construction industry to identify actions for Government and Industry to develop supply chain capacity and increase uptake of WIC products in the UK. These</w:t>
      </w:r>
      <w:r>
        <w:rPr>
          <w:rFonts w:ascii="Arial" w:hAnsi="Arial" w:cs="Arial"/>
          <w:sz w:val="22"/>
        </w:rPr>
        <w:t xml:space="preserve"> should be</w:t>
      </w:r>
      <w:r w:rsidRPr="00F36E90">
        <w:rPr>
          <w:rFonts w:ascii="Arial" w:hAnsi="Arial" w:cs="Arial"/>
          <w:sz w:val="22"/>
        </w:rPr>
        <w:t xml:space="preserve"> practical </w:t>
      </w:r>
      <w:r>
        <w:rPr>
          <w:rFonts w:ascii="Arial" w:hAnsi="Arial" w:cs="Arial"/>
          <w:sz w:val="22"/>
        </w:rPr>
        <w:t xml:space="preserve">measures </w:t>
      </w:r>
      <w:r w:rsidRPr="00F36E90">
        <w:rPr>
          <w:rFonts w:ascii="Arial" w:hAnsi="Arial" w:cs="Arial"/>
          <w:sz w:val="22"/>
        </w:rPr>
        <w:t>to increase WIC in a way that contributes towards GHG abatement.</w:t>
      </w:r>
    </w:p>
    <w:p w14:paraId="180C6D17" w14:textId="391CD4FB" w:rsidR="00C61FB5" w:rsidRPr="00F333CB" w:rsidRDefault="00C61FB5" w:rsidP="00C61FB5">
      <w:pPr>
        <w:spacing w:before="240" w:after="120" w:line="276" w:lineRule="auto"/>
        <w:ind w:left="567" w:hanging="567"/>
        <w:rPr>
          <w:rFonts w:ascii="Arial" w:hAnsi="Arial" w:cs="Arial"/>
          <w:sz w:val="22"/>
          <w:szCs w:val="22"/>
        </w:rPr>
      </w:pPr>
      <w:r>
        <w:rPr>
          <w:rFonts w:ascii="Arial" w:hAnsi="Arial" w:cs="Arial"/>
          <w:sz w:val="22"/>
          <w:szCs w:val="22"/>
        </w:rPr>
        <w:lastRenderedPageBreak/>
        <w:t>3b.</w:t>
      </w:r>
      <w:r w:rsidRPr="00F333CB">
        <w:rPr>
          <w:rFonts w:ascii="Arial" w:hAnsi="Arial" w:cs="Arial"/>
          <w:sz w:val="22"/>
          <w:szCs w:val="22"/>
        </w:rPr>
        <w:tab/>
      </w:r>
      <w:r w:rsidRPr="00F333CB">
        <w:rPr>
          <w:rFonts w:ascii="Arial" w:hAnsi="Arial" w:cs="Arial"/>
          <w:sz w:val="22"/>
          <w:szCs w:val="22"/>
          <w:u w:val="single"/>
        </w:rPr>
        <w:t>Develop a set of high-level indicators to track progress over time</w:t>
      </w:r>
      <w:r w:rsidRPr="008443DA">
        <w:rPr>
          <w:rFonts w:ascii="Arial" w:hAnsi="Arial" w:cs="Arial"/>
          <w:sz w:val="22"/>
          <w:szCs w:val="22"/>
          <w:u w:val="single"/>
        </w:rPr>
        <w:t>.</w:t>
      </w:r>
    </w:p>
    <w:p w14:paraId="2FC1BFCE" w14:textId="77777777" w:rsidR="00C61FB5" w:rsidRDefault="00C61FB5" w:rsidP="00C61FB5">
      <w:pPr>
        <w:spacing w:before="240" w:after="120" w:line="276" w:lineRule="auto"/>
        <w:rPr>
          <w:rFonts w:ascii="Arial" w:hAnsi="Arial" w:cs="Arial"/>
          <w:sz w:val="22"/>
          <w:szCs w:val="22"/>
        </w:rPr>
      </w:pPr>
      <w:r>
        <w:rPr>
          <w:rFonts w:ascii="Arial" w:hAnsi="Arial" w:cs="Arial"/>
          <w:sz w:val="22"/>
          <w:szCs w:val="22"/>
        </w:rPr>
        <w:t xml:space="preserve">The purpose of this task will be to develop a small number of indicators (up to five) that can be used by the CCC to track progress towards greater usage of WIC in the UK over time. Indicators could cover key aspects of policy implementation, supply chain capacity and WIC product deployment. </w:t>
      </w:r>
    </w:p>
    <w:p w14:paraId="2C97B9D0" w14:textId="0CBF116C" w:rsidR="00176CC5" w:rsidRPr="00865B54" w:rsidRDefault="00176CC5" w:rsidP="00865B54">
      <w:pPr>
        <w:spacing w:before="240" w:after="120" w:line="276" w:lineRule="auto"/>
        <w:rPr>
          <w:rFonts w:ascii="Arial" w:hAnsi="Arial" w:cs="Arial"/>
          <w:sz w:val="22"/>
        </w:rPr>
      </w:pPr>
    </w:p>
    <w:p w14:paraId="4EBE1222" w14:textId="77777777" w:rsidR="001052DF" w:rsidRDefault="001052DF" w:rsidP="00221F58">
      <w:pPr>
        <w:pStyle w:val="BodyText"/>
        <w:spacing w:line="276" w:lineRule="auto"/>
        <w:jc w:val="left"/>
        <w:rPr>
          <w:rFonts w:ascii="Arial" w:hAnsi="Arial" w:cs="Arial"/>
          <w:sz w:val="22"/>
          <w:szCs w:val="24"/>
        </w:rPr>
      </w:pPr>
    </w:p>
    <w:p w14:paraId="53C03575" w14:textId="402F848C" w:rsidR="00176CC5" w:rsidRPr="00FA4BF8" w:rsidRDefault="00FA4BF8" w:rsidP="00221F58">
      <w:pPr>
        <w:pStyle w:val="BodyText"/>
        <w:spacing w:line="276" w:lineRule="auto"/>
        <w:jc w:val="left"/>
        <w:rPr>
          <w:rFonts w:ascii="Arial" w:hAnsi="Arial" w:cs="Arial"/>
          <w:sz w:val="22"/>
          <w:szCs w:val="24"/>
        </w:rPr>
      </w:pPr>
      <w:r>
        <w:rPr>
          <w:rFonts w:ascii="Arial" w:hAnsi="Arial" w:cs="Arial"/>
          <w:b/>
          <w:sz w:val="22"/>
          <w:szCs w:val="24"/>
        </w:rPr>
        <w:t>Call for evidence</w:t>
      </w:r>
    </w:p>
    <w:p w14:paraId="3C59B123" w14:textId="7FE5DDB9" w:rsidR="00FA4BF8" w:rsidRDefault="00FA4BF8" w:rsidP="00FA4BF8">
      <w:pPr>
        <w:spacing w:before="240" w:after="120" w:line="276" w:lineRule="auto"/>
        <w:rPr>
          <w:rFonts w:ascii="Arial" w:hAnsi="Arial" w:cs="Arial"/>
          <w:sz w:val="22"/>
          <w:szCs w:val="22"/>
        </w:rPr>
      </w:pPr>
      <w:r>
        <w:rPr>
          <w:rFonts w:ascii="Arial" w:hAnsi="Arial" w:cs="Arial"/>
          <w:sz w:val="22"/>
          <w:szCs w:val="22"/>
        </w:rPr>
        <w:t xml:space="preserve">The Bioenergy Review Call for Evidence issued by the CCC in December 2017 includes questions related to WIC and other non-energy applications of bioenergy resources. </w:t>
      </w:r>
      <w:r w:rsidR="00CF736C">
        <w:rPr>
          <w:rFonts w:ascii="Arial" w:hAnsi="Arial" w:cs="Arial"/>
          <w:sz w:val="22"/>
          <w:szCs w:val="22"/>
        </w:rPr>
        <w:t>The Call for Evidence will close at the end of January 2018. Consultants</w:t>
      </w:r>
      <w:r>
        <w:rPr>
          <w:rFonts w:ascii="Arial" w:hAnsi="Arial" w:cs="Arial"/>
          <w:sz w:val="22"/>
          <w:szCs w:val="22"/>
        </w:rPr>
        <w:t xml:space="preserve"> will be expected to consider any relevant evidence submitted by stakeholders as part of this process when undertaking the above tasks.</w:t>
      </w:r>
    </w:p>
    <w:p w14:paraId="0FCF9BA1" w14:textId="77777777" w:rsidR="00176CC5" w:rsidRPr="0029731C" w:rsidRDefault="00176CC5" w:rsidP="00221F58">
      <w:pPr>
        <w:pStyle w:val="BodyText"/>
        <w:spacing w:line="276" w:lineRule="auto"/>
        <w:jc w:val="left"/>
        <w:rPr>
          <w:rFonts w:ascii="Arial" w:hAnsi="Arial" w:cs="Arial"/>
          <w:sz w:val="22"/>
          <w:szCs w:val="24"/>
        </w:rPr>
      </w:pPr>
    </w:p>
    <w:p w14:paraId="5EA8755E" w14:textId="77777777" w:rsidR="0034658D" w:rsidRPr="009D3372" w:rsidRDefault="0034658D" w:rsidP="00AD4A29">
      <w:pPr>
        <w:pStyle w:val="Heading1"/>
        <w:numPr>
          <w:ilvl w:val="0"/>
          <w:numId w:val="3"/>
        </w:numPr>
        <w:rPr>
          <w:rFonts w:ascii="Arial" w:hAnsi="Arial" w:cs="Arial"/>
          <w:sz w:val="22"/>
          <w:szCs w:val="22"/>
        </w:rPr>
      </w:pPr>
      <w:bookmarkStart w:id="14" w:name="_Ref357541705"/>
      <w:bookmarkStart w:id="15" w:name="_Toc381969510"/>
      <w:bookmarkStart w:id="16" w:name="_Toc405888459"/>
      <w:bookmarkStart w:id="17" w:name="_Toc500501842"/>
      <w:r w:rsidRPr="009D3372">
        <w:rPr>
          <w:rFonts w:ascii="Arial" w:hAnsi="Arial" w:cs="Arial"/>
          <w:sz w:val="22"/>
          <w:szCs w:val="22"/>
        </w:rPr>
        <w:t xml:space="preserve">Outputs </w:t>
      </w:r>
      <w:r w:rsidR="00104197" w:rsidRPr="009D3372">
        <w:rPr>
          <w:rFonts w:ascii="Arial" w:hAnsi="Arial" w:cs="Arial"/>
          <w:sz w:val="22"/>
          <w:szCs w:val="22"/>
        </w:rPr>
        <w:t>Required</w:t>
      </w:r>
      <w:bookmarkEnd w:id="14"/>
      <w:bookmarkEnd w:id="15"/>
      <w:bookmarkEnd w:id="16"/>
      <w:bookmarkEnd w:id="17"/>
    </w:p>
    <w:p w14:paraId="15115440" w14:textId="77777777" w:rsidR="00DD521A" w:rsidRPr="009D3372" w:rsidRDefault="00DD521A" w:rsidP="00DD521A">
      <w:pPr>
        <w:pStyle w:val="Norma1"/>
        <w:rPr>
          <w:rFonts w:cs="Arial"/>
        </w:rPr>
      </w:pPr>
    </w:p>
    <w:p w14:paraId="517FB444" w14:textId="307807BB" w:rsidR="0029731C" w:rsidRPr="0029731C" w:rsidRDefault="0029731C" w:rsidP="0029731C">
      <w:pPr>
        <w:pStyle w:val="BodyText"/>
        <w:spacing w:line="276" w:lineRule="auto"/>
        <w:jc w:val="left"/>
        <w:rPr>
          <w:rFonts w:ascii="Arial" w:hAnsi="Arial" w:cs="Arial"/>
          <w:b/>
          <w:sz w:val="22"/>
          <w:szCs w:val="24"/>
          <w:highlight w:val="yellow"/>
        </w:rPr>
      </w:pPr>
      <w:r w:rsidRPr="00AF50F7">
        <w:rPr>
          <w:rFonts w:ascii="Arial" w:hAnsi="Arial" w:cs="Arial"/>
          <w:sz w:val="22"/>
          <w:szCs w:val="24"/>
        </w:rPr>
        <w:t xml:space="preserve">The key deliverables for this project will be agreed at the project meeting but </w:t>
      </w:r>
      <w:r w:rsidR="00AF50F7" w:rsidRPr="00AF50F7">
        <w:rPr>
          <w:rFonts w:ascii="Arial" w:hAnsi="Arial" w:cs="Arial"/>
          <w:sz w:val="22"/>
          <w:szCs w:val="24"/>
        </w:rPr>
        <w:t xml:space="preserve">are likely to </w:t>
      </w:r>
      <w:r w:rsidRPr="00AF50F7">
        <w:rPr>
          <w:rFonts w:ascii="Arial" w:hAnsi="Arial" w:cs="Arial"/>
          <w:sz w:val="22"/>
          <w:szCs w:val="24"/>
        </w:rPr>
        <w:t xml:space="preserve">include </w:t>
      </w:r>
      <w:r w:rsidR="003F3E01">
        <w:rPr>
          <w:rFonts w:ascii="Arial" w:hAnsi="Arial" w:cs="Arial"/>
          <w:sz w:val="22"/>
          <w:szCs w:val="24"/>
        </w:rPr>
        <w:t xml:space="preserve">2 </w:t>
      </w:r>
      <w:r w:rsidR="00AF50F7" w:rsidRPr="00AF50F7">
        <w:rPr>
          <w:rFonts w:ascii="Arial" w:hAnsi="Arial" w:cs="Arial"/>
          <w:sz w:val="22"/>
          <w:szCs w:val="24"/>
        </w:rPr>
        <w:t>interim report</w:t>
      </w:r>
      <w:r w:rsidR="003F3E01">
        <w:rPr>
          <w:rFonts w:ascii="Arial" w:hAnsi="Arial" w:cs="Arial"/>
          <w:sz w:val="22"/>
          <w:szCs w:val="24"/>
        </w:rPr>
        <w:t>s</w:t>
      </w:r>
      <w:r w:rsidR="00CD0491">
        <w:rPr>
          <w:rFonts w:ascii="Arial" w:hAnsi="Arial" w:cs="Arial"/>
          <w:sz w:val="22"/>
          <w:szCs w:val="24"/>
        </w:rPr>
        <w:t xml:space="preserve"> (or slidepacks)</w:t>
      </w:r>
      <w:r w:rsidR="00AF50F7" w:rsidRPr="00AF50F7">
        <w:rPr>
          <w:rFonts w:ascii="Arial" w:hAnsi="Arial" w:cs="Arial"/>
          <w:sz w:val="22"/>
          <w:szCs w:val="24"/>
        </w:rPr>
        <w:t xml:space="preserve">, </w:t>
      </w:r>
      <w:r w:rsidR="00AF50F7" w:rsidRPr="00AF50F7">
        <w:rPr>
          <w:rFonts w:ascii="Arial" w:hAnsi="Arial" w:cs="Arial"/>
          <w:sz w:val="22"/>
          <w:szCs w:val="24"/>
        </w:rPr>
        <w:lastRenderedPageBreak/>
        <w:t xml:space="preserve">a final </w:t>
      </w:r>
      <w:r w:rsidRPr="00AF50F7">
        <w:rPr>
          <w:rFonts w:ascii="Arial" w:hAnsi="Arial" w:cs="Arial"/>
          <w:sz w:val="22"/>
          <w:szCs w:val="24"/>
        </w:rPr>
        <w:t>report</w:t>
      </w:r>
      <w:r w:rsidR="006449B9">
        <w:rPr>
          <w:rFonts w:ascii="Arial" w:hAnsi="Arial" w:cs="Arial"/>
          <w:sz w:val="22"/>
          <w:szCs w:val="24"/>
        </w:rPr>
        <w:t xml:space="preserve"> (with earlier draft version)</w:t>
      </w:r>
      <w:r w:rsidRPr="00AF50F7">
        <w:rPr>
          <w:rFonts w:ascii="Arial" w:hAnsi="Arial" w:cs="Arial"/>
          <w:sz w:val="22"/>
          <w:szCs w:val="24"/>
        </w:rPr>
        <w:t>, supporting spreadsheets and minutes from project meetings</w:t>
      </w:r>
      <w:r w:rsidRPr="0029731C">
        <w:rPr>
          <w:rFonts w:ascii="Arial" w:hAnsi="Arial" w:cs="Arial"/>
          <w:sz w:val="22"/>
          <w:szCs w:val="24"/>
        </w:rPr>
        <w:t xml:space="preserve">. </w:t>
      </w:r>
    </w:p>
    <w:p w14:paraId="5EA8755F" w14:textId="77777777" w:rsidR="00A469D8" w:rsidRPr="009D3372" w:rsidRDefault="00A469D8" w:rsidP="007963DA">
      <w:pPr>
        <w:pStyle w:val="Norma1"/>
        <w:ind w:left="360"/>
        <w:rPr>
          <w:rFonts w:cs="Arial"/>
          <w:b/>
          <w:bCs/>
          <w:iCs/>
        </w:rPr>
      </w:pPr>
    </w:p>
    <w:p w14:paraId="5EA87560" w14:textId="77777777" w:rsidR="00936F29" w:rsidRPr="009D3372" w:rsidRDefault="00F042F9" w:rsidP="00AD4A29">
      <w:pPr>
        <w:pStyle w:val="Heading1"/>
        <w:numPr>
          <w:ilvl w:val="0"/>
          <w:numId w:val="3"/>
        </w:numPr>
        <w:rPr>
          <w:rFonts w:ascii="Arial" w:hAnsi="Arial" w:cs="Arial"/>
          <w:sz w:val="22"/>
          <w:szCs w:val="22"/>
        </w:rPr>
      </w:pPr>
      <w:bookmarkStart w:id="18" w:name="_Toc381969511"/>
      <w:bookmarkStart w:id="19" w:name="_Toc405888460"/>
      <w:bookmarkStart w:id="20" w:name="_Toc500501843"/>
      <w:bookmarkStart w:id="21" w:name="_Ref373505205"/>
      <w:bookmarkStart w:id="22" w:name="_Ref357541720"/>
      <w:r w:rsidRPr="009D3372">
        <w:rPr>
          <w:rFonts w:ascii="Arial" w:hAnsi="Arial" w:cs="Arial"/>
          <w:sz w:val="22"/>
          <w:szCs w:val="22"/>
        </w:rPr>
        <w:t>O</w:t>
      </w:r>
      <w:r w:rsidR="006700D3" w:rsidRPr="009D3372">
        <w:rPr>
          <w:rFonts w:ascii="Arial" w:hAnsi="Arial" w:cs="Arial"/>
          <w:sz w:val="22"/>
          <w:szCs w:val="22"/>
        </w:rPr>
        <w:t>wnership and Publication</w:t>
      </w:r>
      <w:bookmarkEnd w:id="18"/>
      <w:bookmarkEnd w:id="19"/>
      <w:bookmarkEnd w:id="20"/>
    </w:p>
    <w:p w14:paraId="7DD79DA8" w14:textId="77777777" w:rsidR="00DD521A" w:rsidRPr="009D3372" w:rsidRDefault="00DD521A" w:rsidP="00DD521A">
      <w:pPr>
        <w:pStyle w:val="Norma1"/>
        <w:rPr>
          <w:rFonts w:cs="Arial"/>
        </w:rPr>
      </w:pPr>
    </w:p>
    <w:p w14:paraId="3F8293D3" w14:textId="4075BF30" w:rsidR="00DD521A" w:rsidRPr="00097264" w:rsidRDefault="00221F58" w:rsidP="00CA297A">
      <w:pPr>
        <w:pStyle w:val="Norma1"/>
        <w:spacing w:line="276" w:lineRule="auto"/>
        <w:rPr>
          <w:rFonts w:cs="Arial"/>
          <w:color w:val="000000" w:themeColor="text1"/>
        </w:rPr>
      </w:pPr>
      <w:r>
        <w:rPr>
          <w:rFonts w:cs="Arial"/>
          <w:color w:val="000000" w:themeColor="text1"/>
        </w:rPr>
        <w:t>The key deliverables will be handed over to the CCC, who may choose to publish these as supporting evidence on their website. Spreadsheets should be open access and unrestricted, to enable full QA of results and assumptions.</w:t>
      </w:r>
    </w:p>
    <w:p w14:paraId="53C8200E" w14:textId="77777777" w:rsidR="00DD521A" w:rsidRPr="009D3372" w:rsidRDefault="00DD521A" w:rsidP="00DD521A">
      <w:pPr>
        <w:pStyle w:val="Norma1"/>
        <w:rPr>
          <w:rFonts w:cs="Arial"/>
        </w:rPr>
      </w:pPr>
    </w:p>
    <w:p w14:paraId="5EA87562" w14:textId="77777777" w:rsidR="006700D3" w:rsidRPr="009D3372" w:rsidRDefault="00936F29" w:rsidP="00AD4A29">
      <w:pPr>
        <w:pStyle w:val="Heading1"/>
        <w:numPr>
          <w:ilvl w:val="0"/>
          <w:numId w:val="3"/>
        </w:numPr>
        <w:rPr>
          <w:rFonts w:ascii="Arial" w:hAnsi="Arial" w:cs="Arial"/>
          <w:sz w:val="22"/>
          <w:szCs w:val="22"/>
        </w:rPr>
      </w:pPr>
      <w:bookmarkStart w:id="23" w:name="_Toc500501844"/>
      <w:r w:rsidRPr="009D3372">
        <w:rPr>
          <w:rFonts w:ascii="Arial" w:hAnsi="Arial" w:cs="Arial"/>
          <w:sz w:val="22"/>
          <w:szCs w:val="22"/>
        </w:rPr>
        <w:t>Quality Assurance</w:t>
      </w:r>
      <w:bookmarkEnd w:id="23"/>
      <w:r w:rsidR="00AB7905" w:rsidRPr="009D3372">
        <w:rPr>
          <w:rFonts w:ascii="Arial" w:hAnsi="Arial" w:cs="Arial"/>
          <w:sz w:val="22"/>
          <w:szCs w:val="22"/>
        </w:rPr>
        <w:t xml:space="preserve"> </w:t>
      </w:r>
      <w:bookmarkEnd w:id="21"/>
    </w:p>
    <w:p w14:paraId="7C05295D" w14:textId="77777777" w:rsidR="00DD521A" w:rsidRPr="0029731C" w:rsidRDefault="00DD521A" w:rsidP="00DD521A">
      <w:pPr>
        <w:pStyle w:val="Norma1"/>
        <w:rPr>
          <w:rFonts w:cs="Arial"/>
          <w:sz w:val="20"/>
        </w:rPr>
      </w:pPr>
    </w:p>
    <w:p w14:paraId="0D1AB12B" w14:textId="77777777" w:rsidR="0029731C" w:rsidRPr="0029731C" w:rsidRDefault="0029731C" w:rsidP="00CA297A">
      <w:pPr>
        <w:pStyle w:val="BodyText"/>
        <w:spacing w:line="276" w:lineRule="auto"/>
        <w:jc w:val="left"/>
        <w:rPr>
          <w:rFonts w:ascii="Arial" w:eastAsia="Calibri" w:hAnsi="Arial" w:cs="Arial"/>
          <w:color w:val="000000"/>
          <w:sz w:val="22"/>
          <w:szCs w:val="24"/>
          <w:lang w:eastAsia="en-GB"/>
        </w:rPr>
      </w:pPr>
      <w:r w:rsidRPr="0029731C">
        <w:rPr>
          <w:rFonts w:ascii="Arial" w:eastAsia="Calibri" w:hAnsi="Arial" w:cs="Arial"/>
          <w:color w:val="000000"/>
          <w:sz w:val="22"/>
          <w:szCs w:val="24"/>
          <w:lang w:eastAsia="en-GB"/>
        </w:rPr>
        <w:t xml:space="preserve">This project must comply with the ‘CCC – Quality Assurance of Evidence and Analysis’ guidance and bidders must set out their approach to quality assurance in their response to this ITT.  </w:t>
      </w:r>
    </w:p>
    <w:p w14:paraId="540B7458" w14:textId="77777777" w:rsidR="0029731C" w:rsidRPr="0029731C" w:rsidRDefault="0029731C" w:rsidP="00CA297A">
      <w:pPr>
        <w:pStyle w:val="BodyText"/>
        <w:spacing w:line="276" w:lineRule="auto"/>
        <w:jc w:val="left"/>
        <w:rPr>
          <w:rFonts w:ascii="Arial" w:eastAsia="Calibri" w:hAnsi="Arial" w:cs="Arial"/>
          <w:color w:val="000000"/>
          <w:sz w:val="22"/>
          <w:szCs w:val="24"/>
          <w:lang w:eastAsia="en-GB"/>
        </w:rPr>
      </w:pPr>
    </w:p>
    <w:p w14:paraId="567B36E0"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 xml:space="preserve">All research tasks and modelling must be quality assured and documented. Contractors should: </w:t>
      </w:r>
    </w:p>
    <w:p w14:paraId="4FF50039" w14:textId="77777777" w:rsidR="0029731C" w:rsidRPr="0029731C" w:rsidRDefault="0029731C" w:rsidP="00CA297A">
      <w:pPr>
        <w:pStyle w:val="BodyText"/>
        <w:spacing w:line="276" w:lineRule="auto"/>
        <w:jc w:val="left"/>
        <w:rPr>
          <w:rFonts w:ascii="Arial" w:hAnsi="Arial" w:cs="Arial"/>
          <w:color w:val="000000"/>
          <w:sz w:val="22"/>
          <w:szCs w:val="24"/>
        </w:rPr>
      </w:pPr>
    </w:p>
    <w:p w14:paraId="0516642D" w14:textId="77777777" w:rsidR="0029731C" w:rsidRPr="0029731C" w:rsidRDefault="0029731C" w:rsidP="00CA297A">
      <w:pPr>
        <w:pStyle w:val="BodyText"/>
        <w:numPr>
          <w:ilvl w:val="0"/>
          <w:numId w:val="7"/>
        </w:numPr>
        <w:spacing w:line="276" w:lineRule="auto"/>
        <w:jc w:val="left"/>
        <w:rPr>
          <w:rFonts w:ascii="Arial" w:hAnsi="Arial" w:cs="Arial"/>
          <w:color w:val="000000"/>
          <w:sz w:val="22"/>
          <w:szCs w:val="24"/>
        </w:rPr>
      </w:pPr>
      <w:r w:rsidRPr="0029731C">
        <w:rPr>
          <w:rFonts w:ascii="Arial" w:hAnsi="Arial" w:cs="Arial"/>
          <w:color w:val="000000"/>
          <w:sz w:val="22"/>
          <w:szCs w:val="24"/>
        </w:rPr>
        <w:t xml:space="preserve">Include a quality assurance (QA) plan that they will apply to all of the research tasks and modelling, </w:t>
      </w:r>
    </w:p>
    <w:p w14:paraId="470DC12E" w14:textId="77777777" w:rsidR="0029731C" w:rsidRPr="0029731C" w:rsidRDefault="0029731C" w:rsidP="00CA297A">
      <w:pPr>
        <w:pStyle w:val="BodyText"/>
        <w:numPr>
          <w:ilvl w:val="0"/>
          <w:numId w:val="7"/>
        </w:numPr>
        <w:spacing w:line="276" w:lineRule="auto"/>
        <w:jc w:val="left"/>
        <w:rPr>
          <w:rFonts w:ascii="Arial" w:hAnsi="Arial" w:cs="Arial"/>
          <w:color w:val="000000"/>
          <w:sz w:val="22"/>
          <w:szCs w:val="24"/>
          <w:lang w:eastAsia="en-GB"/>
        </w:rPr>
      </w:pPr>
      <w:r w:rsidRPr="0029731C">
        <w:rPr>
          <w:rFonts w:ascii="Arial" w:hAnsi="Arial" w:cs="Arial"/>
          <w:color w:val="000000"/>
          <w:sz w:val="22"/>
          <w:szCs w:val="24"/>
          <w:lang w:eastAsia="en-GB"/>
        </w:rPr>
        <w:t>Specify who will be responsible for quality assurance and ensure that this is done by individuals who were not directly involved in the research, analysis or model development,</w:t>
      </w:r>
    </w:p>
    <w:p w14:paraId="75B8C957" w14:textId="77777777" w:rsidR="0029731C" w:rsidRPr="0029731C" w:rsidRDefault="0029731C" w:rsidP="00CA297A">
      <w:pPr>
        <w:pStyle w:val="BodyText"/>
        <w:numPr>
          <w:ilvl w:val="0"/>
          <w:numId w:val="7"/>
        </w:numPr>
        <w:spacing w:line="276" w:lineRule="auto"/>
        <w:jc w:val="left"/>
        <w:rPr>
          <w:rFonts w:ascii="Arial" w:hAnsi="Arial" w:cs="Arial"/>
          <w:color w:val="000000"/>
          <w:sz w:val="22"/>
          <w:szCs w:val="24"/>
        </w:rPr>
      </w:pPr>
      <w:r w:rsidRPr="0029731C">
        <w:rPr>
          <w:rFonts w:ascii="Arial" w:hAnsi="Arial" w:cs="Arial"/>
          <w:color w:val="000000"/>
          <w:sz w:val="22"/>
          <w:szCs w:val="24"/>
        </w:rPr>
        <w:lastRenderedPageBreak/>
        <w:t>Provide QA log to demonstrate the QA undertaken, including who undertook the QA and the scope, type and level of QA that has been undertaken (e.g. a log entry only stating ‘the data was checked’ will not be sufficient)</w:t>
      </w:r>
      <w:r w:rsidRPr="0029731C">
        <w:rPr>
          <w:rFonts w:ascii="Arial" w:hAnsi="Arial" w:cs="Arial"/>
          <w:color w:val="000000"/>
          <w:sz w:val="22"/>
          <w:szCs w:val="24"/>
          <w:lang w:eastAsia="en-GB"/>
        </w:rPr>
        <w:t xml:space="preserve"> </w:t>
      </w:r>
    </w:p>
    <w:p w14:paraId="4D110152" w14:textId="77777777" w:rsidR="0029731C" w:rsidRPr="0029731C" w:rsidRDefault="0029731C" w:rsidP="00CA297A">
      <w:pPr>
        <w:pStyle w:val="BodyText"/>
        <w:spacing w:line="276" w:lineRule="auto"/>
        <w:jc w:val="left"/>
        <w:rPr>
          <w:rFonts w:ascii="Arial" w:hAnsi="Arial" w:cs="Arial"/>
          <w:color w:val="000000"/>
          <w:sz w:val="22"/>
          <w:szCs w:val="24"/>
        </w:rPr>
      </w:pPr>
    </w:p>
    <w:p w14:paraId="206C843A"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E196BF3" w14:textId="77777777" w:rsidR="0029731C" w:rsidRPr="0029731C" w:rsidRDefault="0029731C" w:rsidP="00CA297A">
      <w:pPr>
        <w:pStyle w:val="BodyText"/>
        <w:spacing w:line="276" w:lineRule="auto"/>
        <w:jc w:val="left"/>
        <w:rPr>
          <w:rFonts w:ascii="Arial" w:hAnsi="Arial" w:cs="Arial"/>
          <w:color w:val="000000"/>
          <w:sz w:val="22"/>
          <w:szCs w:val="24"/>
        </w:rPr>
      </w:pPr>
    </w:p>
    <w:p w14:paraId="304F4309"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BCB908D" w14:textId="77777777" w:rsidR="0029731C" w:rsidRPr="0029731C" w:rsidRDefault="0029731C" w:rsidP="00CA297A">
      <w:pPr>
        <w:pStyle w:val="BodyText"/>
        <w:spacing w:line="276" w:lineRule="auto"/>
        <w:jc w:val="left"/>
        <w:rPr>
          <w:rFonts w:ascii="Arial" w:hAnsi="Arial" w:cs="Arial"/>
          <w:color w:val="000000"/>
          <w:sz w:val="22"/>
          <w:szCs w:val="24"/>
        </w:rPr>
      </w:pPr>
    </w:p>
    <w:p w14:paraId="7B755AB8"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For primary research, contractors should be willing to facilitate CCC research staff to attend interviews or listen in to telephone surveys as part of the quality assurance process.</w:t>
      </w:r>
    </w:p>
    <w:p w14:paraId="5EA87563" w14:textId="77777777" w:rsidR="006700D3" w:rsidRPr="009D3372" w:rsidRDefault="006700D3" w:rsidP="007963DA">
      <w:pPr>
        <w:pStyle w:val="Norma1"/>
        <w:ind w:left="360"/>
        <w:jc w:val="both"/>
        <w:rPr>
          <w:rFonts w:cs="Arial"/>
          <w:b/>
          <w:bCs/>
          <w:iCs/>
        </w:rPr>
      </w:pPr>
    </w:p>
    <w:p w14:paraId="5EA87564" w14:textId="77777777" w:rsidR="0038006D" w:rsidRDefault="0038006D" w:rsidP="00AD4A29">
      <w:pPr>
        <w:pStyle w:val="Heading1"/>
        <w:numPr>
          <w:ilvl w:val="0"/>
          <w:numId w:val="3"/>
        </w:numPr>
        <w:rPr>
          <w:rFonts w:ascii="Arial" w:hAnsi="Arial" w:cs="Arial"/>
          <w:sz w:val="22"/>
          <w:szCs w:val="22"/>
        </w:rPr>
      </w:pPr>
      <w:bookmarkStart w:id="24" w:name="_Ref373505215"/>
      <w:bookmarkStart w:id="25" w:name="_Toc381969513"/>
      <w:bookmarkStart w:id="26" w:name="_Toc405888462"/>
      <w:bookmarkStart w:id="27" w:name="_Toc500501845"/>
      <w:r w:rsidRPr="009D3372">
        <w:rPr>
          <w:rFonts w:ascii="Arial" w:hAnsi="Arial" w:cs="Arial"/>
          <w:sz w:val="22"/>
          <w:szCs w:val="22"/>
        </w:rPr>
        <w:t>Timetable</w:t>
      </w:r>
      <w:bookmarkEnd w:id="22"/>
      <w:bookmarkEnd w:id="24"/>
      <w:bookmarkEnd w:id="25"/>
      <w:bookmarkEnd w:id="26"/>
      <w:bookmarkEnd w:id="27"/>
    </w:p>
    <w:p w14:paraId="023008AF" w14:textId="77777777" w:rsidR="00181796" w:rsidRPr="00181796" w:rsidRDefault="00181796" w:rsidP="00181796">
      <w:pPr>
        <w:pStyle w:val="Norma1"/>
      </w:pPr>
    </w:p>
    <w:p w14:paraId="55468980" w14:textId="39A961D4" w:rsidR="00181796" w:rsidRPr="00181796" w:rsidRDefault="00181796" w:rsidP="00181796">
      <w:pPr>
        <w:keepNext/>
        <w:rPr>
          <w:rFonts w:ascii="Arial" w:hAnsi="Arial" w:cs="Arial"/>
          <w:sz w:val="22"/>
          <w:szCs w:val="22"/>
        </w:rPr>
      </w:pPr>
      <w:r w:rsidRPr="00181796">
        <w:rPr>
          <w:rFonts w:ascii="Arial" w:hAnsi="Arial" w:cs="Arial"/>
          <w:sz w:val="22"/>
          <w:szCs w:val="22"/>
        </w:rPr>
        <w:lastRenderedPageBreak/>
        <w:t xml:space="preserve">The proposed timetable for the </w:t>
      </w:r>
      <w:r w:rsidRPr="00F5386B">
        <w:rPr>
          <w:rFonts w:ascii="Arial" w:hAnsi="Arial" w:cs="Arial"/>
          <w:sz w:val="22"/>
          <w:szCs w:val="22"/>
        </w:rPr>
        <w:t>project is set out in the following table. The pro</w:t>
      </w:r>
      <w:r w:rsidR="00DB021C" w:rsidRPr="00F5386B">
        <w:rPr>
          <w:rFonts w:ascii="Arial" w:hAnsi="Arial" w:cs="Arial"/>
          <w:sz w:val="22"/>
          <w:szCs w:val="22"/>
        </w:rPr>
        <w:t xml:space="preserve">ject is expected to kick off </w:t>
      </w:r>
      <w:r w:rsidR="00133BA4">
        <w:rPr>
          <w:rFonts w:ascii="Arial" w:hAnsi="Arial" w:cs="Arial"/>
          <w:sz w:val="22"/>
          <w:szCs w:val="22"/>
        </w:rPr>
        <w:t>towards the end of January</w:t>
      </w:r>
      <w:r w:rsidRPr="00F5386B">
        <w:rPr>
          <w:rFonts w:ascii="Arial" w:hAnsi="Arial" w:cs="Arial"/>
          <w:sz w:val="22"/>
          <w:szCs w:val="22"/>
        </w:rPr>
        <w:t>, with</w:t>
      </w:r>
      <w:r w:rsidR="00DB021C" w:rsidRPr="00F5386B">
        <w:rPr>
          <w:rFonts w:ascii="Arial" w:hAnsi="Arial" w:cs="Arial"/>
          <w:sz w:val="22"/>
          <w:szCs w:val="22"/>
        </w:rPr>
        <w:t xml:space="preserve"> </w:t>
      </w:r>
      <w:r w:rsidR="00802D38">
        <w:rPr>
          <w:rFonts w:ascii="Arial" w:hAnsi="Arial" w:cs="Arial"/>
          <w:sz w:val="22"/>
          <w:szCs w:val="22"/>
        </w:rPr>
        <w:t>a draft final</w:t>
      </w:r>
      <w:r w:rsidR="00DB021C" w:rsidRPr="00F5386B">
        <w:rPr>
          <w:rFonts w:ascii="Arial" w:hAnsi="Arial" w:cs="Arial"/>
          <w:sz w:val="22"/>
          <w:szCs w:val="22"/>
        </w:rPr>
        <w:t xml:space="preserve"> report</w:t>
      </w:r>
      <w:r w:rsidR="00802D38">
        <w:rPr>
          <w:rFonts w:ascii="Arial" w:hAnsi="Arial" w:cs="Arial"/>
          <w:sz w:val="22"/>
          <w:szCs w:val="22"/>
        </w:rPr>
        <w:t xml:space="preserve"> by the </w:t>
      </w:r>
      <w:r w:rsidR="00802D38" w:rsidRPr="0057214F">
        <w:rPr>
          <w:rFonts w:ascii="Arial" w:hAnsi="Arial" w:cs="Arial"/>
          <w:sz w:val="22"/>
          <w:szCs w:val="22"/>
        </w:rPr>
        <w:t>end of March 2018</w:t>
      </w:r>
      <w:r w:rsidR="00802D38" w:rsidRPr="00133BA4">
        <w:rPr>
          <w:rFonts w:ascii="Arial" w:hAnsi="Arial" w:cs="Arial"/>
          <w:sz w:val="22"/>
          <w:szCs w:val="22"/>
        </w:rPr>
        <w:t xml:space="preserve"> and the final report in </w:t>
      </w:r>
      <w:r w:rsidR="00802D38" w:rsidRPr="0057214F">
        <w:rPr>
          <w:rFonts w:ascii="Arial" w:hAnsi="Arial" w:cs="Arial"/>
          <w:sz w:val="22"/>
          <w:szCs w:val="22"/>
        </w:rPr>
        <w:t>April</w:t>
      </w:r>
      <w:r w:rsidRPr="00F5386B">
        <w:rPr>
          <w:rFonts w:ascii="Arial" w:hAnsi="Arial" w:cs="Arial"/>
          <w:sz w:val="22"/>
          <w:szCs w:val="22"/>
        </w:rPr>
        <w:t>.</w:t>
      </w:r>
    </w:p>
    <w:p w14:paraId="0E15CA1F" w14:textId="77777777" w:rsidR="00181796" w:rsidRPr="00181796" w:rsidRDefault="00181796" w:rsidP="00181796">
      <w:pPr>
        <w:keepNext/>
        <w:rPr>
          <w:rFonts w:ascii="Arial" w:hAnsi="Arial" w:cs="Arial"/>
          <w:sz w:val="22"/>
          <w:szCs w:val="22"/>
        </w:rPr>
      </w:pPr>
    </w:p>
    <w:p w14:paraId="74F7B9D6" w14:textId="386520F7" w:rsidR="00181796" w:rsidRPr="00181796" w:rsidRDefault="00181796" w:rsidP="00181796">
      <w:pPr>
        <w:keepNext/>
        <w:rPr>
          <w:rFonts w:ascii="Arial" w:hAnsi="Arial" w:cs="Arial"/>
          <w:sz w:val="22"/>
          <w:szCs w:val="22"/>
          <w:highlight w:val="yellow"/>
        </w:rPr>
      </w:pPr>
      <w:r w:rsidRPr="00181796">
        <w:rPr>
          <w:rFonts w:ascii="Arial" w:hAnsi="Arial" w:cs="Arial"/>
          <w:sz w:val="22"/>
          <w:szCs w:val="22"/>
        </w:rPr>
        <w:t>In addition to the formal reporting points, the CCC would expect to</w:t>
      </w:r>
      <w:r w:rsidR="00802D38">
        <w:rPr>
          <w:rFonts w:ascii="Arial" w:hAnsi="Arial" w:cs="Arial"/>
          <w:sz w:val="22"/>
          <w:szCs w:val="22"/>
        </w:rPr>
        <w:t xml:space="preserve"> have regular </w:t>
      </w:r>
      <w:r w:rsidRPr="00181796">
        <w:rPr>
          <w:rFonts w:ascii="Arial" w:hAnsi="Arial" w:cs="Arial"/>
          <w:sz w:val="22"/>
          <w:szCs w:val="22"/>
        </w:rPr>
        <w:t xml:space="preserve">scheduled discussions </w:t>
      </w:r>
      <w:r w:rsidR="00802D38">
        <w:rPr>
          <w:rFonts w:ascii="Arial" w:hAnsi="Arial" w:cs="Arial"/>
          <w:sz w:val="22"/>
          <w:szCs w:val="22"/>
        </w:rPr>
        <w:t>(</w:t>
      </w:r>
      <w:r w:rsidR="00802D38" w:rsidRPr="0057214F">
        <w:rPr>
          <w:rFonts w:ascii="Arial" w:hAnsi="Arial" w:cs="Arial"/>
          <w:sz w:val="22"/>
          <w:szCs w:val="22"/>
        </w:rPr>
        <w:t>weekly meetings or calls</w:t>
      </w:r>
      <w:r w:rsidR="00802D38">
        <w:rPr>
          <w:rFonts w:ascii="Arial" w:hAnsi="Arial" w:cs="Arial"/>
          <w:sz w:val="22"/>
          <w:szCs w:val="22"/>
        </w:rPr>
        <w:t xml:space="preserve">) </w:t>
      </w:r>
      <w:r w:rsidRPr="00181796">
        <w:rPr>
          <w:rFonts w:ascii="Arial" w:hAnsi="Arial" w:cs="Arial"/>
          <w:sz w:val="22"/>
          <w:szCs w:val="22"/>
        </w:rPr>
        <w:t>to ensure the work is progressing as expected.</w:t>
      </w:r>
    </w:p>
    <w:p w14:paraId="5EA137E2" w14:textId="77777777" w:rsidR="00181796" w:rsidRPr="00181796" w:rsidRDefault="00181796" w:rsidP="00181796">
      <w:pPr>
        <w:pStyle w:val="ListParagraph"/>
        <w:keepNext/>
        <w:jc w:val="both"/>
        <w:rPr>
          <w:rFonts w:ascii="Arial" w:hAnsi="Arial" w:cs="Arial"/>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3"/>
      </w:tblGrid>
      <w:tr w:rsidR="00181796" w:rsidRPr="00181796" w14:paraId="45D8895A" w14:textId="77777777" w:rsidTr="00835D0D">
        <w:tc>
          <w:tcPr>
            <w:tcW w:w="3539" w:type="dxa"/>
            <w:shd w:val="clear" w:color="auto" w:fill="auto"/>
          </w:tcPr>
          <w:p w14:paraId="69E9BDBA" w14:textId="77777777" w:rsidR="00181796" w:rsidRPr="00802D38" w:rsidRDefault="00181796" w:rsidP="006D635B">
            <w:pPr>
              <w:keepNext/>
              <w:jc w:val="both"/>
              <w:rPr>
                <w:rFonts w:ascii="Arial" w:hAnsi="Arial" w:cs="Arial"/>
                <w:b/>
                <w:sz w:val="22"/>
                <w:szCs w:val="22"/>
                <w:highlight w:val="yellow"/>
              </w:rPr>
            </w:pPr>
            <w:r w:rsidRPr="0057214F">
              <w:rPr>
                <w:rFonts w:ascii="Arial" w:hAnsi="Arial" w:cs="Arial"/>
                <w:b/>
                <w:sz w:val="22"/>
                <w:szCs w:val="22"/>
              </w:rPr>
              <w:t>Date</w:t>
            </w:r>
          </w:p>
        </w:tc>
        <w:tc>
          <w:tcPr>
            <w:tcW w:w="4983" w:type="dxa"/>
            <w:shd w:val="clear" w:color="auto" w:fill="auto"/>
          </w:tcPr>
          <w:p w14:paraId="47208699" w14:textId="77777777" w:rsidR="00181796" w:rsidRPr="003F3E01" w:rsidRDefault="00181796" w:rsidP="006D635B">
            <w:pPr>
              <w:keepNext/>
              <w:jc w:val="both"/>
              <w:rPr>
                <w:rFonts w:ascii="Arial" w:hAnsi="Arial" w:cs="Arial"/>
                <w:b/>
                <w:sz w:val="22"/>
                <w:szCs w:val="22"/>
              </w:rPr>
            </w:pPr>
            <w:r w:rsidRPr="003F3E01">
              <w:rPr>
                <w:rFonts w:ascii="Arial" w:hAnsi="Arial" w:cs="Arial"/>
                <w:b/>
                <w:sz w:val="22"/>
                <w:szCs w:val="22"/>
              </w:rPr>
              <w:t>Action</w:t>
            </w:r>
          </w:p>
        </w:tc>
      </w:tr>
      <w:tr w:rsidR="003F3E01" w:rsidRPr="00181796" w14:paraId="044DA5AA" w14:textId="77777777" w:rsidTr="00835D0D">
        <w:tc>
          <w:tcPr>
            <w:tcW w:w="3539" w:type="dxa"/>
            <w:shd w:val="clear" w:color="auto" w:fill="auto"/>
          </w:tcPr>
          <w:p w14:paraId="74D5F561" w14:textId="4C3A692D" w:rsidR="003F3E01" w:rsidRPr="00802D38" w:rsidRDefault="003F3E01" w:rsidP="00727049">
            <w:pPr>
              <w:keepNext/>
              <w:spacing w:before="60" w:after="60"/>
              <w:jc w:val="both"/>
              <w:rPr>
                <w:rFonts w:ascii="Arial" w:hAnsi="Arial" w:cs="Arial"/>
                <w:sz w:val="22"/>
                <w:szCs w:val="22"/>
                <w:highlight w:val="yellow"/>
              </w:rPr>
            </w:pPr>
            <w:r w:rsidRPr="0057214F">
              <w:rPr>
                <w:rFonts w:ascii="Arial" w:hAnsi="Arial" w:cs="Arial"/>
                <w:sz w:val="22"/>
                <w:szCs w:val="22"/>
              </w:rPr>
              <w:t>1</w:t>
            </w:r>
            <w:r w:rsidR="006449B9" w:rsidRPr="0057214F">
              <w:rPr>
                <w:rFonts w:ascii="Arial" w:hAnsi="Arial" w:cs="Arial"/>
                <w:sz w:val="22"/>
                <w:szCs w:val="22"/>
              </w:rPr>
              <w:t>5</w:t>
            </w:r>
            <w:r w:rsidRPr="0057214F">
              <w:rPr>
                <w:rFonts w:ascii="Arial" w:hAnsi="Arial" w:cs="Arial"/>
                <w:sz w:val="22"/>
                <w:szCs w:val="22"/>
                <w:vertAlign w:val="superscript"/>
              </w:rPr>
              <w:t>th</w:t>
            </w:r>
            <w:r w:rsidRPr="0057214F">
              <w:rPr>
                <w:rFonts w:ascii="Arial" w:hAnsi="Arial" w:cs="Arial"/>
                <w:sz w:val="22"/>
                <w:szCs w:val="22"/>
              </w:rPr>
              <w:t xml:space="preserve"> December 2017</w:t>
            </w:r>
          </w:p>
        </w:tc>
        <w:tc>
          <w:tcPr>
            <w:tcW w:w="4983" w:type="dxa"/>
            <w:shd w:val="clear" w:color="auto" w:fill="auto"/>
          </w:tcPr>
          <w:p w14:paraId="4F337649" w14:textId="34521E19" w:rsidR="003F3E01" w:rsidRPr="003F3E01" w:rsidRDefault="003F3E01" w:rsidP="006D635B">
            <w:pPr>
              <w:keepNext/>
              <w:spacing w:before="60" w:after="60"/>
              <w:jc w:val="both"/>
              <w:rPr>
                <w:rFonts w:ascii="Arial" w:hAnsi="Arial" w:cs="Arial"/>
                <w:sz w:val="22"/>
                <w:szCs w:val="22"/>
              </w:rPr>
            </w:pPr>
            <w:r w:rsidRPr="003F3E01">
              <w:rPr>
                <w:rFonts w:ascii="Arial" w:hAnsi="Arial" w:cs="Arial"/>
                <w:sz w:val="22"/>
                <w:szCs w:val="22"/>
              </w:rPr>
              <w:t>Publication of ITT</w:t>
            </w:r>
          </w:p>
        </w:tc>
      </w:tr>
      <w:tr w:rsidR="00181796" w:rsidRPr="00181796" w14:paraId="14733CA6" w14:textId="77777777" w:rsidTr="00835D0D">
        <w:tc>
          <w:tcPr>
            <w:tcW w:w="3539" w:type="dxa"/>
            <w:shd w:val="clear" w:color="auto" w:fill="auto"/>
          </w:tcPr>
          <w:p w14:paraId="1F1A1F82" w14:textId="77E1CF2B" w:rsidR="00181796" w:rsidRPr="0057214F" w:rsidRDefault="00802D38" w:rsidP="00727049">
            <w:pPr>
              <w:keepNext/>
              <w:spacing w:before="60" w:after="60"/>
              <w:jc w:val="both"/>
              <w:rPr>
                <w:rFonts w:ascii="Arial" w:hAnsi="Arial" w:cs="Arial"/>
                <w:sz w:val="22"/>
                <w:szCs w:val="22"/>
              </w:rPr>
            </w:pPr>
            <w:r w:rsidRPr="0057214F">
              <w:rPr>
                <w:rFonts w:ascii="Arial" w:hAnsi="Arial" w:cs="Arial"/>
                <w:sz w:val="22"/>
                <w:szCs w:val="22"/>
              </w:rPr>
              <w:t>1</w:t>
            </w:r>
            <w:r w:rsidR="004850A0" w:rsidRPr="0057214F">
              <w:rPr>
                <w:rFonts w:ascii="Arial" w:hAnsi="Arial" w:cs="Arial"/>
                <w:sz w:val="22"/>
                <w:szCs w:val="22"/>
              </w:rPr>
              <w:t>8</w:t>
            </w:r>
            <w:r w:rsidRPr="0057214F">
              <w:rPr>
                <w:rFonts w:ascii="Arial" w:hAnsi="Arial" w:cs="Arial"/>
                <w:sz w:val="22"/>
                <w:szCs w:val="22"/>
                <w:vertAlign w:val="superscript"/>
              </w:rPr>
              <w:t>th</w:t>
            </w:r>
            <w:r w:rsidR="00222C48" w:rsidRPr="0057214F">
              <w:rPr>
                <w:rFonts w:ascii="Arial" w:hAnsi="Arial" w:cs="Arial"/>
                <w:sz w:val="22"/>
                <w:szCs w:val="22"/>
              </w:rPr>
              <w:t xml:space="preserve"> </w:t>
            </w:r>
            <w:r w:rsidRPr="0057214F">
              <w:rPr>
                <w:rFonts w:ascii="Arial" w:hAnsi="Arial" w:cs="Arial"/>
                <w:sz w:val="22"/>
                <w:szCs w:val="22"/>
              </w:rPr>
              <w:t>January 2018</w:t>
            </w:r>
            <w:r w:rsidR="00184496" w:rsidRPr="0057214F">
              <w:rPr>
                <w:rFonts w:ascii="Arial" w:hAnsi="Arial" w:cs="Arial"/>
                <w:sz w:val="22"/>
                <w:szCs w:val="22"/>
              </w:rPr>
              <w:t xml:space="preserve">, </w:t>
            </w:r>
            <w:r w:rsidR="00727049" w:rsidRPr="0057214F">
              <w:rPr>
                <w:rFonts w:ascii="Arial" w:hAnsi="Arial" w:cs="Arial"/>
                <w:sz w:val="22"/>
                <w:szCs w:val="22"/>
              </w:rPr>
              <w:t>9</w:t>
            </w:r>
            <w:r w:rsidR="00184496" w:rsidRPr="0057214F">
              <w:rPr>
                <w:rFonts w:ascii="Arial" w:hAnsi="Arial" w:cs="Arial"/>
                <w:sz w:val="22"/>
                <w:szCs w:val="22"/>
              </w:rPr>
              <w:t xml:space="preserve"> am</w:t>
            </w:r>
          </w:p>
        </w:tc>
        <w:tc>
          <w:tcPr>
            <w:tcW w:w="4983" w:type="dxa"/>
            <w:shd w:val="clear" w:color="auto" w:fill="auto"/>
          </w:tcPr>
          <w:p w14:paraId="48378196" w14:textId="77777777" w:rsidR="00181796" w:rsidRPr="003F3E01" w:rsidRDefault="00181796" w:rsidP="006D635B">
            <w:pPr>
              <w:keepNext/>
              <w:spacing w:before="60" w:after="60"/>
              <w:jc w:val="both"/>
              <w:rPr>
                <w:rFonts w:ascii="Arial" w:hAnsi="Arial" w:cs="Arial"/>
                <w:sz w:val="22"/>
                <w:szCs w:val="22"/>
              </w:rPr>
            </w:pPr>
            <w:r w:rsidRPr="003F3E01">
              <w:rPr>
                <w:rFonts w:ascii="Arial" w:hAnsi="Arial" w:cs="Arial"/>
                <w:sz w:val="22"/>
                <w:szCs w:val="22"/>
              </w:rPr>
              <w:t>Deadline for response to ITT</w:t>
            </w:r>
          </w:p>
        </w:tc>
      </w:tr>
      <w:tr w:rsidR="00181796" w:rsidRPr="00181796" w14:paraId="5209E8E1" w14:textId="77777777" w:rsidTr="00835D0D">
        <w:tc>
          <w:tcPr>
            <w:tcW w:w="3539" w:type="dxa"/>
            <w:shd w:val="clear" w:color="auto" w:fill="auto"/>
          </w:tcPr>
          <w:p w14:paraId="23EA6806" w14:textId="77AB520B" w:rsidR="00181796" w:rsidRPr="0057214F" w:rsidRDefault="00802D38" w:rsidP="007E57CD">
            <w:pPr>
              <w:keepNext/>
              <w:spacing w:before="60" w:after="60"/>
              <w:jc w:val="both"/>
              <w:rPr>
                <w:rFonts w:ascii="Arial" w:hAnsi="Arial" w:cs="Arial"/>
                <w:sz w:val="22"/>
                <w:szCs w:val="22"/>
              </w:rPr>
            </w:pPr>
            <w:r w:rsidRPr="0057214F">
              <w:rPr>
                <w:rFonts w:ascii="Arial" w:hAnsi="Arial" w:cs="Arial"/>
                <w:sz w:val="22"/>
                <w:szCs w:val="22"/>
              </w:rPr>
              <w:t>23</w:t>
            </w:r>
            <w:r w:rsidRPr="0057214F">
              <w:rPr>
                <w:rFonts w:ascii="Arial" w:hAnsi="Arial" w:cs="Arial"/>
                <w:sz w:val="22"/>
                <w:szCs w:val="22"/>
                <w:vertAlign w:val="superscript"/>
              </w:rPr>
              <w:t>rd</w:t>
            </w:r>
            <w:r w:rsidRPr="0057214F">
              <w:rPr>
                <w:rFonts w:ascii="Arial" w:hAnsi="Arial" w:cs="Arial"/>
                <w:sz w:val="22"/>
                <w:szCs w:val="22"/>
              </w:rPr>
              <w:t xml:space="preserve"> January</w:t>
            </w:r>
          </w:p>
        </w:tc>
        <w:tc>
          <w:tcPr>
            <w:tcW w:w="4983" w:type="dxa"/>
            <w:shd w:val="clear" w:color="auto" w:fill="auto"/>
          </w:tcPr>
          <w:p w14:paraId="72A57F19" w14:textId="77777777" w:rsidR="00181796" w:rsidRPr="003F3E01" w:rsidRDefault="00181796" w:rsidP="006D635B">
            <w:pPr>
              <w:keepNext/>
              <w:spacing w:before="60" w:after="60"/>
              <w:jc w:val="both"/>
              <w:rPr>
                <w:rFonts w:ascii="Arial" w:hAnsi="Arial" w:cs="Arial"/>
                <w:sz w:val="22"/>
                <w:szCs w:val="22"/>
              </w:rPr>
            </w:pPr>
            <w:r w:rsidRPr="003F3E01">
              <w:rPr>
                <w:rFonts w:ascii="Arial" w:hAnsi="Arial" w:cs="Arial"/>
                <w:sz w:val="22"/>
                <w:szCs w:val="22"/>
              </w:rPr>
              <w:t>Interviews</w:t>
            </w:r>
          </w:p>
        </w:tc>
      </w:tr>
      <w:tr w:rsidR="00181796" w:rsidRPr="00181796" w14:paraId="27D4AAC3" w14:textId="77777777" w:rsidTr="00835D0D">
        <w:tc>
          <w:tcPr>
            <w:tcW w:w="3539" w:type="dxa"/>
            <w:shd w:val="clear" w:color="auto" w:fill="auto"/>
          </w:tcPr>
          <w:p w14:paraId="6137D0E2" w14:textId="77B8A5A3" w:rsidR="00181796" w:rsidRPr="0057214F" w:rsidRDefault="00DB021C" w:rsidP="00802D38">
            <w:pPr>
              <w:keepNext/>
              <w:spacing w:before="60" w:after="60"/>
              <w:jc w:val="both"/>
              <w:rPr>
                <w:rFonts w:ascii="Arial" w:hAnsi="Arial" w:cs="Arial"/>
                <w:sz w:val="22"/>
                <w:szCs w:val="22"/>
              </w:rPr>
            </w:pPr>
            <w:r w:rsidRPr="0057214F">
              <w:rPr>
                <w:rFonts w:ascii="Arial" w:hAnsi="Arial" w:cs="Arial"/>
                <w:sz w:val="22"/>
                <w:szCs w:val="22"/>
              </w:rPr>
              <w:t xml:space="preserve">w/c </w:t>
            </w:r>
            <w:r w:rsidR="00802D38" w:rsidRPr="0057214F">
              <w:rPr>
                <w:rFonts w:ascii="Arial" w:hAnsi="Arial" w:cs="Arial"/>
                <w:sz w:val="22"/>
                <w:szCs w:val="22"/>
              </w:rPr>
              <w:t>29</w:t>
            </w:r>
            <w:r w:rsidR="00802D38" w:rsidRPr="0057214F">
              <w:rPr>
                <w:rFonts w:ascii="Arial" w:hAnsi="Arial" w:cs="Arial"/>
                <w:sz w:val="22"/>
                <w:szCs w:val="22"/>
                <w:vertAlign w:val="superscript"/>
              </w:rPr>
              <w:t>th</w:t>
            </w:r>
            <w:r w:rsidR="00802D38" w:rsidRPr="0057214F">
              <w:rPr>
                <w:rFonts w:ascii="Arial" w:hAnsi="Arial" w:cs="Arial"/>
                <w:sz w:val="22"/>
                <w:szCs w:val="22"/>
              </w:rPr>
              <w:t xml:space="preserve"> January</w:t>
            </w:r>
          </w:p>
        </w:tc>
        <w:tc>
          <w:tcPr>
            <w:tcW w:w="4983" w:type="dxa"/>
            <w:shd w:val="clear" w:color="auto" w:fill="auto"/>
          </w:tcPr>
          <w:p w14:paraId="35556371" w14:textId="77777777" w:rsidR="00181796" w:rsidRPr="003F3E01" w:rsidRDefault="00181796" w:rsidP="006D635B">
            <w:pPr>
              <w:keepNext/>
              <w:tabs>
                <w:tab w:val="left" w:pos="2175"/>
              </w:tabs>
              <w:spacing w:before="60" w:after="60"/>
              <w:jc w:val="both"/>
              <w:rPr>
                <w:rFonts w:ascii="Arial" w:hAnsi="Arial" w:cs="Arial"/>
                <w:sz w:val="22"/>
                <w:szCs w:val="22"/>
              </w:rPr>
            </w:pPr>
            <w:r w:rsidRPr="003F3E01">
              <w:rPr>
                <w:rFonts w:ascii="Arial" w:hAnsi="Arial" w:cs="Arial"/>
                <w:sz w:val="22"/>
                <w:szCs w:val="22"/>
              </w:rPr>
              <w:t>Kick-off meeting (identify key sources of information, agree methodology &amp; timelines)</w:t>
            </w:r>
            <w:r w:rsidRPr="003F3E01">
              <w:rPr>
                <w:rFonts w:ascii="Arial" w:hAnsi="Arial" w:cs="Arial"/>
                <w:sz w:val="22"/>
                <w:szCs w:val="22"/>
              </w:rPr>
              <w:tab/>
            </w:r>
          </w:p>
        </w:tc>
      </w:tr>
      <w:tr w:rsidR="00181796" w:rsidRPr="00181796" w14:paraId="0A1AC1E0" w14:textId="77777777" w:rsidTr="00835D0D">
        <w:tc>
          <w:tcPr>
            <w:tcW w:w="3539" w:type="dxa"/>
            <w:shd w:val="clear" w:color="auto" w:fill="auto"/>
          </w:tcPr>
          <w:p w14:paraId="24A7C3F9" w14:textId="3424B187" w:rsidR="00181796" w:rsidRPr="0057214F" w:rsidRDefault="00DB021C" w:rsidP="00802D38">
            <w:pPr>
              <w:keepNext/>
              <w:spacing w:before="60" w:after="60"/>
              <w:jc w:val="both"/>
              <w:rPr>
                <w:rFonts w:ascii="Arial" w:hAnsi="Arial" w:cs="Arial"/>
                <w:sz w:val="22"/>
                <w:szCs w:val="22"/>
              </w:rPr>
            </w:pPr>
            <w:r w:rsidRPr="0057214F">
              <w:rPr>
                <w:rFonts w:ascii="Arial" w:hAnsi="Arial" w:cs="Arial"/>
                <w:sz w:val="22"/>
                <w:szCs w:val="22"/>
              </w:rPr>
              <w:t xml:space="preserve">w/c </w:t>
            </w:r>
            <w:r w:rsidR="00802D38" w:rsidRPr="0057214F">
              <w:rPr>
                <w:rFonts w:ascii="Arial" w:hAnsi="Arial" w:cs="Arial"/>
                <w:sz w:val="22"/>
                <w:szCs w:val="22"/>
              </w:rPr>
              <w:t>19</w:t>
            </w:r>
            <w:r w:rsidR="00802D38" w:rsidRPr="0057214F">
              <w:rPr>
                <w:rFonts w:ascii="Arial" w:hAnsi="Arial" w:cs="Arial"/>
                <w:sz w:val="22"/>
                <w:szCs w:val="22"/>
                <w:vertAlign w:val="superscript"/>
              </w:rPr>
              <w:t>th</w:t>
            </w:r>
            <w:r w:rsidR="00802D38" w:rsidRPr="0057214F">
              <w:rPr>
                <w:rFonts w:ascii="Arial" w:hAnsi="Arial" w:cs="Arial"/>
                <w:sz w:val="22"/>
                <w:szCs w:val="22"/>
              </w:rPr>
              <w:t xml:space="preserve"> February</w:t>
            </w:r>
          </w:p>
        </w:tc>
        <w:tc>
          <w:tcPr>
            <w:tcW w:w="4983" w:type="dxa"/>
            <w:shd w:val="clear" w:color="auto" w:fill="auto"/>
          </w:tcPr>
          <w:p w14:paraId="5315E5B9" w14:textId="613A4A77" w:rsidR="00181796" w:rsidRPr="003F3E01" w:rsidRDefault="00835D0D" w:rsidP="00835D0D">
            <w:pPr>
              <w:keepNext/>
              <w:spacing w:before="60" w:after="60"/>
              <w:jc w:val="both"/>
              <w:rPr>
                <w:rFonts w:ascii="Arial" w:hAnsi="Arial" w:cs="Arial"/>
                <w:sz w:val="22"/>
                <w:szCs w:val="22"/>
              </w:rPr>
            </w:pPr>
            <w:r w:rsidRPr="003F3E01">
              <w:rPr>
                <w:rFonts w:ascii="Arial" w:hAnsi="Arial" w:cs="Arial"/>
                <w:sz w:val="22"/>
                <w:szCs w:val="22"/>
              </w:rPr>
              <w:t>M</w:t>
            </w:r>
            <w:r w:rsidR="00181796" w:rsidRPr="003F3E01">
              <w:rPr>
                <w:rFonts w:ascii="Arial" w:hAnsi="Arial" w:cs="Arial"/>
                <w:sz w:val="22"/>
                <w:szCs w:val="22"/>
              </w:rPr>
              <w:t xml:space="preserve">eeting </w:t>
            </w:r>
            <w:r w:rsidRPr="003F3E01">
              <w:rPr>
                <w:rFonts w:ascii="Arial" w:hAnsi="Arial" w:cs="Arial"/>
                <w:sz w:val="22"/>
                <w:szCs w:val="22"/>
              </w:rPr>
              <w:t>on</w:t>
            </w:r>
            <w:r w:rsidR="00802D38" w:rsidRPr="003F3E01">
              <w:rPr>
                <w:rFonts w:ascii="Arial" w:hAnsi="Arial" w:cs="Arial"/>
                <w:sz w:val="22"/>
                <w:szCs w:val="22"/>
              </w:rPr>
              <w:t xml:space="preserve"> </w:t>
            </w:r>
            <w:r w:rsidRPr="003F3E01">
              <w:rPr>
                <w:rFonts w:ascii="Arial" w:hAnsi="Arial" w:cs="Arial"/>
                <w:sz w:val="22"/>
                <w:szCs w:val="22"/>
              </w:rPr>
              <w:t>interim</w:t>
            </w:r>
            <w:r w:rsidR="00802D38" w:rsidRPr="003F3E01">
              <w:rPr>
                <w:rFonts w:ascii="Arial" w:hAnsi="Arial" w:cs="Arial"/>
                <w:sz w:val="22"/>
                <w:szCs w:val="22"/>
              </w:rPr>
              <w:t xml:space="preserve"> Task 1</w:t>
            </w:r>
            <w:r w:rsidR="00F5386B" w:rsidRPr="003F3E01">
              <w:rPr>
                <w:rFonts w:ascii="Arial" w:hAnsi="Arial" w:cs="Arial"/>
                <w:sz w:val="22"/>
                <w:szCs w:val="22"/>
              </w:rPr>
              <w:t xml:space="preserve"> </w:t>
            </w:r>
            <w:r w:rsidR="00DB021C" w:rsidRPr="003F3E01">
              <w:rPr>
                <w:rFonts w:ascii="Arial" w:hAnsi="Arial" w:cs="Arial"/>
                <w:sz w:val="22"/>
                <w:szCs w:val="22"/>
              </w:rPr>
              <w:t>results</w:t>
            </w:r>
          </w:p>
        </w:tc>
      </w:tr>
      <w:tr w:rsidR="00181796" w:rsidRPr="00181796" w14:paraId="381B59F5" w14:textId="77777777" w:rsidTr="00835D0D">
        <w:tc>
          <w:tcPr>
            <w:tcW w:w="3539" w:type="dxa"/>
            <w:shd w:val="clear" w:color="auto" w:fill="auto"/>
          </w:tcPr>
          <w:p w14:paraId="3F8C75C8" w14:textId="449BC780" w:rsidR="00181796" w:rsidRPr="0057214F" w:rsidRDefault="00DB021C" w:rsidP="00802D38">
            <w:pPr>
              <w:keepNext/>
              <w:spacing w:before="60" w:after="60"/>
              <w:jc w:val="both"/>
              <w:rPr>
                <w:rFonts w:ascii="Arial" w:hAnsi="Arial" w:cs="Arial"/>
                <w:sz w:val="22"/>
                <w:szCs w:val="22"/>
              </w:rPr>
            </w:pPr>
            <w:r w:rsidRPr="0057214F">
              <w:rPr>
                <w:rFonts w:ascii="Arial" w:hAnsi="Arial" w:cs="Arial"/>
                <w:sz w:val="22"/>
                <w:szCs w:val="22"/>
              </w:rPr>
              <w:t xml:space="preserve">w/c </w:t>
            </w:r>
            <w:r w:rsidR="00802D38" w:rsidRPr="0057214F">
              <w:rPr>
                <w:rFonts w:ascii="Arial" w:hAnsi="Arial" w:cs="Arial"/>
                <w:sz w:val="22"/>
                <w:szCs w:val="22"/>
              </w:rPr>
              <w:t>26</w:t>
            </w:r>
            <w:r w:rsidR="00802D38" w:rsidRPr="0057214F">
              <w:rPr>
                <w:rFonts w:ascii="Arial" w:hAnsi="Arial" w:cs="Arial"/>
                <w:sz w:val="22"/>
                <w:szCs w:val="22"/>
                <w:vertAlign w:val="superscript"/>
              </w:rPr>
              <w:t>th</w:t>
            </w:r>
            <w:r w:rsidR="00802D38" w:rsidRPr="0057214F">
              <w:rPr>
                <w:rFonts w:ascii="Arial" w:hAnsi="Arial" w:cs="Arial"/>
                <w:sz w:val="22"/>
                <w:szCs w:val="22"/>
              </w:rPr>
              <w:t xml:space="preserve"> February</w:t>
            </w:r>
          </w:p>
        </w:tc>
        <w:tc>
          <w:tcPr>
            <w:tcW w:w="4983" w:type="dxa"/>
            <w:shd w:val="clear" w:color="auto" w:fill="auto"/>
          </w:tcPr>
          <w:p w14:paraId="0A8F5778" w14:textId="410C2F9D" w:rsidR="00181796" w:rsidRPr="003F3E01" w:rsidRDefault="00532E19" w:rsidP="00532E19">
            <w:pPr>
              <w:keepNext/>
              <w:spacing w:before="60" w:after="60"/>
              <w:jc w:val="both"/>
              <w:rPr>
                <w:rFonts w:ascii="Arial" w:hAnsi="Arial" w:cs="Arial"/>
                <w:sz w:val="22"/>
                <w:szCs w:val="22"/>
              </w:rPr>
            </w:pPr>
            <w:r w:rsidRPr="003F3E01">
              <w:rPr>
                <w:rFonts w:ascii="Arial" w:hAnsi="Arial" w:cs="Arial"/>
                <w:sz w:val="22"/>
                <w:szCs w:val="22"/>
              </w:rPr>
              <w:t>Deliverable 1: Task 1</w:t>
            </w:r>
            <w:r w:rsidR="00835D0D" w:rsidRPr="003F3E01">
              <w:rPr>
                <w:rFonts w:ascii="Arial" w:hAnsi="Arial" w:cs="Arial"/>
                <w:sz w:val="22"/>
                <w:szCs w:val="22"/>
              </w:rPr>
              <w:t xml:space="preserve"> report </w:t>
            </w:r>
            <w:r w:rsidR="004850A0">
              <w:rPr>
                <w:rFonts w:ascii="Arial" w:hAnsi="Arial" w:cs="Arial"/>
                <w:sz w:val="22"/>
                <w:szCs w:val="22"/>
              </w:rPr>
              <w:t>or slidepack</w:t>
            </w:r>
          </w:p>
        </w:tc>
      </w:tr>
      <w:tr w:rsidR="00181796" w:rsidRPr="00181796" w14:paraId="609C28F0" w14:textId="77777777" w:rsidTr="00835D0D">
        <w:tc>
          <w:tcPr>
            <w:tcW w:w="3539" w:type="dxa"/>
            <w:shd w:val="clear" w:color="auto" w:fill="auto"/>
          </w:tcPr>
          <w:p w14:paraId="0C56CACC" w14:textId="0017FFC6" w:rsidR="00181796" w:rsidRPr="0057214F" w:rsidRDefault="007B3B96" w:rsidP="00352265">
            <w:pPr>
              <w:keepNext/>
              <w:spacing w:before="60" w:after="60"/>
              <w:jc w:val="both"/>
              <w:rPr>
                <w:rFonts w:ascii="Arial" w:hAnsi="Arial" w:cs="Arial"/>
                <w:sz w:val="22"/>
                <w:szCs w:val="22"/>
              </w:rPr>
            </w:pPr>
            <w:r w:rsidRPr="0057214F">
              <w:rPr>
                <w:rFonts w:ascii="Arial" w:hAnsi="Arial" w:cs="Arial"/>
                <w:sz w:val="22"/>
                <w:szCs w:val="22"/>
              </w:rPr>
              <w:t xml:space="preserve">w/c </w:t>
            </w:r>
            <w:r w:rsidR="00835D0D" w:rsidRPr="0057214F">
              <w:rPr>
                <w:rFonts w:ascii="Arial" w:hAnsi="Arial" w:cs="Arial"/>
                <w:sz w:val="22"/>
                <w:szCs w:val="22"/>
              </w:rPr>
              <w:t>19</w:t>
            </w:r>
            <w:r w:rsidR="00835D0D" w:rsidRPr="0057214F">
              <w:rPr>
                <w:rFonts w:ascii="Arial" w:hAnsi="Arial" w:cs="Arial"/>
                <w:sz w:val="22"/>
                <w:szCs w:val="22"/>
                <w:vertAlign w:val="superscript"/>
              </w:rPr>
              <w:t>th</w:t>
            </w:r>
            <w:r w:rsidR="00835D0D" w:rsidRPr="0057214F">
              <w:rPr>
                <w:rFonts w:ascii="Arial" w:hAnsi="Arial" w:cs="Arial"/>
                <w:sz w:val="22"/>
                <w:szCs w:val="22"/>
              </w:rPr>
              <w:t xml:space="preserve"> or w/c </w:t>
            </w:r>
            <w:r w:rsidR="00352265" w:rsidRPr="0057214F">
              <w:rPr>
                <w:rFonts w:ascii="Arial" w:hAnsi="Arial" w:cs="Arial"/>
                <w:sz w:val="22"/>
                <w:szCs w:val="22"/>
              </w:rPr>
              <w:t>26</w:t>
            </w:r>
            <w:r w:rsidR="00352265" w:rsidRPr="0057214F">
              <w:rPr>
                <w:rFonts w:ascii="Arial" w:hAnsi="Arial" w:cs="Arial"/>
                <w:sz w:val="22"/>
                <w:szCs w:val="22"/>
                <w:vertAlign w:val="superscript"/>
              </w:rPr>
              <w:t>th</w:t>
            </w:r>
            <w:r w:rsidR="00352265" w:rsidRPr="0057214F">
              <w:rPr>
                <w:rFonts w:ascii="Arial" w:hAnsi="Arial" w:cs="Arial"/>
                <w:sz w:val="22"/>
                <w:szCs w:val="22"/>
              </w:rPr>
              <w:t xml:space="preserve"> March</w:t>
            </w:r>
          </w:p>
        </w:tc>
        <w:tc>
          <w:tcPr>
            <w:tcW w:w="4983" w:type="dxa"/>
            <w:shd w:val="clear" w:color="auto" w:fill="auto"/>
          </w:tcPr>
          <w:p w14:paraId="78AEAFD3" w14:textId="0740403A" w:rsidR="00181796" w:rsidRPr="003F3E01" w:rsidRDefault="00352265" w:rsidP="003F3E01">
            <w:pPr>
              <w:keepNext/>
              <w:spacing w:before="60" w:after="60"/>
              <w:jc w:val="both"/>
              <w:rPr>
                <w:rFonts w:ascii="Arial" w:hAnsi="Arial" w:cs="Arial"/>
                <w:sz w:val="22"/>
                <w:szCs w:val="22"/>
              </w:rPr>
            </w:pPr>
            <w:r w:rsidRPr="003F3E01">
              <w:rPr>
                <w:rFonts w:ascii="Arial" w:hAnsi="Arial" w:cs="Arial"/>
                <w:sz w:val="22"/>
                <w:szCs w:val="22"/>
              </w:rPr>
              <w:t xml:space="preserve">Meeting on </w:t>
            </w:r>
            <w:r w:rsidR="00835D0D" w:rsidRPr="003F3E01">
              <w:rPr>
                <w:rFonts w:ascii="Arial" w:hAnsi="Arial" w:cs="Arial"/>
                <w:sz w:val="22"/>
                <w:szCs w:val="22"/>
              </w:rPr>
              <w:t>interim</w:t>
            </w:r>
            <w:r w:rsidRPr="003F3E01">
              <w:rPr>
                <w:rFonts w:ascii="Arial" w:hAnsi="Arial" w:cs="Arial"/>
                <w:sz w:val="22"/>
                <w:szCs w:val="22"/>
              </w:rPr>
              <w:t xml:space="preserve"> Task 2 </w:t>
            </w:r>
            <w:r w:rsidR="003F3E01" w:rsidRPr="003F3E01">
              <w:rPr>
                <w:rFonts w:ascii="Arial" w:hAnsi="Arial" w:cs="Arial"/>
                <w:sz w:val="22"/>
                <w:szCs w:val="22"/>
              </w:rPr>
              <w:t>results</w:t>
            </w:r>
          </w:p>
        </w:tc>
      </w:tr>
      <w:tr w:rsidR="00181796" w:rsidRPr="00181796" w14:paraId="133504C0" w14:textId="77777777" w:rsidTr="00835D0D">
        <w:tc>
          <w:tcPr>
            <w:tcW w:w="3539" w:type="dxa"/>
            <w:shd w:val="clear" w:color="auto" w:fill="auto"/>
          </w:tcPr>
          <w:p w14:paraId="61DB5F9E" w14:textId="1C51DB43" w:rsidR="00181796" w:rsidRPr="0057214F" w:rsidRDefault="00532E19" w:rsidP="00532E19">
            <w:pPr>
              <w:keepNext/>
              <w:spacing w:before="60" w:after="60"/>
              <w:jc w:val="both"/>
              <w:rPr>
                <w:rFonts w:ascii="Arial" w:hAnsi="Arial" w:cs="Arial"/>
                <w:sz w:val="22"/>
                <w:szCs w:val="22"/>
              </w:rPr>
            </w:pPr>
            <w:r w:rsidRPr="0057214F">
              <w:rPr>
                <w:rFonts w:ascii="Arial" w:hAnsi="Arial" w:cs="Arial"/>
                <w:sz w:val="22"/>
                <w:szCs w:val="22"/>
              </w:rPr>
              <w:t>31</w:t>
            </w:r>
            <w:r w:rsidRPr="0057214F">
              <w:rPr>
                <w:rFonts w:ascii="Arial" w:hAnsi="Arial" w:cs="Arial"/>
                <w:sz w:val="22"/>
                <w:szCs w:val="22"/>
                <w:vertAlign w:val="superscript"/>
              </w:rPr>
              <w:t>st</w:t>
            </w:r>
            <w:r w:rsidRPr="0057214F">
              <w:rPr>
                <w:rFonts w:ascii="Arial" w:hAnsi="Arial" w:cs="Arial"/>
                <w:sz w:val="22"/>
                <w:szCs w:val="22"/>
              </w:rPr>
              <w:t xml:space="preserve"> March</w:t>
            </w:r>
          </w:p>
        </w:tc>
        <w:tc>
          <w:tcPr>
            <w:tcW w:w="4983" w:type="dxa"/>
            <w:shd w:val="clear" w:color="auto" w:fill="auto"/>
          </w:tcPr>
          <w:p w14:paraId="37F027D6" w14:textId="31C4E2B8" w:rsidR="00181796" w:rsidRPr="003F3E01" w:rsidRDefault="00532E19" w:rsidP="006D635B">
            <w:pPr>
              <w:keepNext/>
              <w:spacing w:before="60" w:after="60"/>
              <w:jc w:val="both"/>
              <w:rPr>
                <w:rFonts w:ascii="Arial" w:hAnsi="Arial" w:cs="Arial"/>
                <w:sz w:val="22"/>
                <w:szCs w:val="22"/>
              </w:rPr>
            </w:pPr>
            <w:r w:rsidRPr="003F3E01">
              <w:rPr>
                <w:rFonts w:ascii="Arial" w:hAnsi="Arial" w:cs="Arial"/>
                <w:sz w:val="22"/>
                <w:szCs w:val="22"/>
              </w:rPr>
              <w:t>Deliverable 2: Task 2 report</w:t>
            </w:r>
            <w:r w:rsidR="004850A0">
              <w:rPr>
                <w:rFonts w:ascii="Arial" w:hAnsi="Arial" w:cs="Arial"/>
                <w:sz w:val="22"/>
                <w:szCs w:val="22"/>
              </w:rPr>
              <w:t xml:space="preserve"> or slidepack</w:t>
            </w:r>
          </w:p>
        </w:tc>
      </w:tr>
      <w:tr w:rsidR="00532E19" w:rsidRPr="00181796" w14:paraId="1CC33AC0" w14:textId="77777777" w:rsidTr="00835D0D">
        <w:tc>
          <w:tcPr>
            <w:tcW w:w="3539" w:type="dxa"/>
            <w:shd w:val="clear" w:color="auto" w:fill="auto"/>
          </w:tcPr>
          <w:p w14:paraId="0DB0664C" w14:textId="022B1BED" w:rsidR="00532E19" w:rsidRPr="0057214F" w:rsidRDefault="00835D0D" w:rsidP="006D635B">
            <w:pPr>
              <w:keepNext/>
              <w:spacing w:before="60" w:after="60"/>
              <w:jc w:val="both"/>
              <w:rPr>
                <w:rFonts w:ascii="Arial" w:hAnsi="Arial" w:cs="Arial"/>
                <w:sz w:val="22"/>
                <w:szCs w:val="22"/>
              </w:rPr>
            </w:pPr>
            <w:r w:rsidRPr="0057214F">
              <w:rPr>
                <w:rFonts w:ascii="Arial" w:hAnsi="Arial" w:cs="Arial"/>
                <w:sz w:val="22"/>
                <w:szCs w:val="22"/>
              </w:rPr>
              <w:t>w/c 16</w:t>
            </w:r>
            <w:r w:rsidRPr="0057214F">
              <w:rPr>
                <w:rFonts w:ascii="Arial" w:hAnsi="Arial" w:cs="Arial"/>
                <w:sz w:val="22"/>
                <w:szCs w:val="22"/>
                <w:vertAlign w:val="superscript"/>
              </w:rPr>
              <w:t>th</w:t>
            </w:r>
            <w:r w:rsidRPr="0057214F">
              <w:rPr>
                <w:rFonts w:ascii="Arial" w:hAnsi="Arial" w:cs="Arial"/>
                <w:sz w:val="22"/>
                <w:szCs w:val="22"/>
              </w:rPr>
              <w:t xml:space="preserve"> April</w:t>
            </w:r>
          </w:p>
        </w:tc>
        <w:tc>
          <w:tcPr>
            <w:tcW w:w="4983" w:type="dxa"/>
            <w:shd w:val="clear" w:color="auto" w:fill="auto"/>
          </w:tcPr>
          <w:p w14:paraId="783D7C35" w14:textId="4451D260" w:rsidR="00835D0D" w:rsidRPr="003F3E01" w:rsidRDefault="00835D0D" w:rsidP="006D635B">
            <w:pPr>
              <w:keepNext/>
              <w:spacing w:before="60" w:after="60"/>
              <w:jc w:val="both"/>
              <w:rPr>
                <w:rFonts w:ascii="Arial" w:hAnsi="Arial" w:cs="Arial"/>
                <w:sz w:val="22"/>
                <w:szCs w:val="22"/>
              </w:rPr>
            </w:pPr>
            <w:r w:rsidRPr="003F3E01">
              <w:rPr>
                <w:rFonts w:ascii="Arial" w:hAnsi="Arial" w:cs="Arial"/>
                <w:sz w:val="22"/>
                <w:szCs w:val="22"/>
              </w:rPr>
              <w:t xml:space="preserve">Meeting on </w:t>
            </w:r>
            <w:r w:rsidR="003F3E01" w:rsidRPr="003F3E01">
              <w:rPr>
                <w:rFonts w:ascii="Arial" w:hAnsi="Arial" w:cs="Arial"/>
                <w:sz w:val="22"/>
                <w:szCs w:val="22"/>
              </w:rPr>
              <w:t xml:space="preserve">interim </w:t>
            </w:r>
            <w:r w:rsidRPr="003F3E01">
              <w:rPr>
                <w:rFonts w:ascii="Arial" w:hAnsi="Arial" w:cs="Arial"/>
                <w:sz w:val="22"/>
                <w:szCs w:val="22"/>
              </w:rPr>
              <w:t xml:space="preserve">Task 3 results </w:t>
            </w:r>
          </w:p>
          <w:p w14:paraId="435130A0" w14:textId="5E946059" w:rsidR="00532E19" w:rsidRPr="003F3E01" w:rsidRDefault="00835D0D" w:rsidP="006D635B">
            <w:pPr>
              <w:keepNext/>
              <w:spacing w:before="60" w:after="60"/>
              <w:jc w:val="both"/>
              <w:rPr>
                <w:rFonts w:ascii="Arial" w:hAnsi="Arial" w:cs="Arial"/>
                <w:sz w:val="22"/>
                <w:szCs w:val="22"/>
              </w:rPr>
            </w:pPr>
            <w:r w:rsidRPr="003F3E01">
              <w:rPr>
                <w:rFonts w:ascii="Arial" w:hAnsi="Arial" w:cs="Arial"/>
                <w:sz w:val="22"/>
                <w:szCs w:val="22"/>
              </w:rPr>
              <w:t>Overall project findings</w:t>
            </w:r>
          </w:p>
        </w:tc>
      </w:tr>
      <w:tr w:rsidR="00835D0D" w:rsidRPr="00181796" w14:paraId="00C82A75" w14:textId="77777777" w:rsidTr="00835D0D">
        <w:tc>
          <w:tcPr>
            <w:tcW w:w="3539" w:type="dxa"/>
            <w:shd w:val="clear" w:color="auto" w:fill="auto"/>
          </w:tcPr>
          <w:p w14:paraId="43E40739" w14:textId="69D2FF2D" w:rsidR="00835D0D" w:rsidRPr="0057214F" w:rsidRDefault="00835D0D" w:rsidP="006D635B">
            <w:pPr>
              <w:keepNext/>
              <w:spacing w:before="60" w:after="60"/>
              <w:jc w:val="both"/>
              <w:rPr>
                <w:rFonts w:ascii="Arial" w:hAnsi="Arial" w:cs="Arial"/>
                <w:sz w:val="22"/>
                <w:szCs w:val="22"/>
              </w:rPr>
            </w:pPr>
            <w:r w:rsidRPr="0057214F">
              <w:rPr>
                <w:rFonts w:ascii="Arial" w:hAnsi="Arial" w:cs="Arial"/>
                <w:sz w:val="22"/>
                <w:szCs w:val="22"/>
              </w:rPr>
              <w:t>w/c 23</w:t>
            </w:r>
            <w:r w:rsidRPr="0057214F">
              <w:rPr>
                <w:rFonts w:ascii="Arial" w:hAnsi="Arial" w:cs="Arial"/>
                <w:sz w:val="22"/>
                <w:szCs w:val="22"/>
                <w:vertAlign w:val="superscript"/>
              </w:rPr>
              <w:t>rd</w:t>
            </w:r>
            <w:r w:rsidRPr="0057214F">
              <w:rPr>
                <w:rFonts w:ascii="Arial" w:hAnsi="Arial" w:cs="Arial"/>
                <w:sz w:val="22"/>
                <w:szCs w:val="22"/>
              </w:rPr>
              <w:t xml:space="preserve"> April</w:t>
            </w:r>
          </w:p>
        </w:tc>
        <w:tc>
          <w:tcPr>
            <w:tcW w:w="4983" w:type="dxa"/>
            <w:shd w:val="clear" w:color="auto" w:fill="auto"/>
          </w:tcPr>
          <w:p w14:paraId="1DF5FBC3" w14:textId="2DF35F84" w:rsidR="00835D0D" w:rsidRPr="003F3E01" w:rsidRDefault="00835D0D" w:rsidP="006D635B">
            <w:pPr>
              <w:keepNext/>
              <w:spacing w:before="60" w:after="60"/>
              <w:jc w:val="both"/>
              <w:rPr>
                <w:rFonts w:ascii="Arial" w:hAnsi="Arial" w:cs="Arial"/>
                <w:sz w:val="22"/>
                <w:szCs w:val="22"/>
              </w:rPr>
            </w:pPr>
            <w:r w:rsidRPr="003F3E01">
              <w:rPr>
                <w:rFonts w:ascii="Arial" w:hAnsi="Arial" w:cs="Arial"/>
                <w:sz w:val="22"/>
                <w:szCs w:val="22"/>
              </w:rPr>
              <w:t>Draft final report</w:t>
            </w:r>
          </w:p>
        </w:tc>
      </w:tr>
      <w:tr w:rsidR="00352265" w:rsidRPr="00181796" w14:paraId="2C995FD4" w14:textId="77777777" w:rsidTr="00835D0D">
        <w:tc>
          <w:tcPr>
            <w:tcW w:w="3539" w:type="dxa"/>
            <w:shd w:val="clear" w:color="auto" w:fill="auto"/>
          </w:tcPr>
          <w:p w14:paraId="06E5930C" w14:textId="1BF94A28" w:rsidR="00352265" w:rsidRPr="0057214F" w:rsidRDefault="00835D0D" w:rsidP="006D635B">
            <w:pPr>
              <w:keepNext/>
              <w:spacing w:before="60" w:after="60"/>
              <w:jc w:val="both"/>
              <w:rPr>
                <w:rFonts w:ascii="Arial" w:hAnsi="Arial" w:cs="Arial"/>
                <w:sz w:val="22"/>
                <w:szCs w:val="22"/>
              </w:rPr>
            </w:pPr>
            <w:r w:rsidRPr="0057214F">
              <w:rPr>
                <w:rFonts w:ascii="Arial" w:hAnsi="Arial" w:cs="Arial"/>
                <w:sz w:val="22"/>
                <w:szCs w:val="22"/>
              </w:rPr>
              <w:t>11</w:t>
            </w:r>
            <w:r w:rsidRPr="0057214F">
              <w:rPr>
                <w:rFonts w:ascii="Arial" w:hAnsi="Arial" w:cs="Arial"/>
                <w:sz w:val="22"/>
                <w:szCs w:val="22"/>
                <w:vertAlign w:val="superscript"/>
              </w:rPr>
              <w:t>th</w:t>
            </w:r>
            <w:r w:rsidRPr="0057214F">
              <w:rPr>
                <w:rFonts w:ascii="Arial" w:hAnsi="Arial" w:cs="Arial"/>
                <w:sz w:val="22"/>
                <w:szCs w:val="22"/>
              </w:rPr>
              <w:t xml:space="preserve"> May</w:t>
            </w:r>
          </w:p>
        </w:tc>
        <w:tc>
          <w:tcPr>
            <w:tcW w:w="4983" w:type="dxa"/>
            <w:shd w:val="clear" w:color="auto" w:fill="auto"/>
          </w:tcPr>
          <w:p w14:paraId="3046F107" w14:textId="50CD17C7" w:rsidR="00352265" w:rsidRPr="003F3E01" w:rsidRDefault="00835D0D" w:rsidP="006D635B">
            <w:pPr>
              <w:keepNext/>
              <w:spacing w:before="60" w:after="60"/>
              <w:jc w:val="both"/>
              <w:rPr>
                <w:rFonts w:ascii="Arial" w:hAnsi="Arial" w:cs="Arial"/>
                <w:sz w:val="22"/>
                <w:szCs w:val="22"/>
              </w:rPr>
            </w:pPr>
            <w:r w:rsidRPr="003F3E01">
              <w:rPr>
                <w:rFonts w:ascii="Arial" w:hAnsi="Arial" w:cs="Arial"/>
                <w:sz w:val="22"/>
                <w:szCs w:val="22"/>
              </w:rPr>
              <w:t xml:space="preserve">Deliverable 3: </w:t>
            </w:r>
            <w:r w:rsidR="00532E19" w:rsidRPr="003F3E01">
              <w:rPr>
                <w:rFonts w:ascii="Arial" w:hAnsi="Arial" w:cs="Arial"/>
                <w:sz w:val="22"/>
                <w:szCs w:val="22"/>
              </w:rPr>
              <w:t>Final report</w:t>
            </w:r>
            <w:r w:rsidRPr="003F3E01">
              <w:rPr>
                <w:rFonts w:ascii="Arial" w:hAnsi="Arial" w:cs="Arial"/>
                <w:sz w:val="22"/>
                <w:szCs w:val="22"/>
              </w:rPr>
              <w:t xml:space="preserve"> (covering all tasks)</w:t>
            </w:r>
          </w:p>
        </w:tc>
      </w:tr>
    </w:tbl>
    <w:p w14:paraId="72044152" w14:textId="77777777" w:rsidR="00DD521A" w:rsidRPr="009D3372" w:rsidRDefault="00DD521A" w:rsidP="007963DA">
      <w:pPr>
        <w:pStyle w:val="Norma1"/>
        <w:rPr>
          <w:rFonts w:cs="Arial"/>
        </w:rPr>
      </w:pPr>
    </w:p>
    <w:p w14:paraId="5EA87572" w14:textId="77777777" w:rsidR="00D75586" w:rsidRPr="009D3372" w:rsidRDefault="00D75586" w:rsidP="002D32D5">
      <w:pPr>
        <w:pStyle w:val="ListParagraph"/>
        <w:spacing w:after="0" w:line="240" w:lineRule="auto"/>
        <w:ind w:left="0"/>
        <w:contextualSpacing w:val="0"/>
        <w:jc w:val="both"/>
        <w:rPr>
          <w:rFonts w:ascii="Arial" w:hAnsi="Arial" w:cs="Arial"/>
        </w:rPr>
      </w:pPr>
      <w:bookmarkStart w:id="28" w:name="_Toc271272913"/>
    </w:p>
    <w:p w14:paraId="5EA87573" w14:textId="77777777" w:rsidR="00E070AD" w:rsidRPr="009D3372" w:rsidRDefault="00E070AD" w:rsidP="00AD4A29">
      <w:pPr>
        <w:pStyle w:val="Heading1"/>
        <w:numPr>
          <w:ilvl w:val="0"/>
          <w:numId w:val="3"/>
        </w:numPr>
        <w:rPr>
          <w:rFonts w:ascii="Arial" w:hAnsi="Arial" w:cs="Arial"/>
          <w:sz w:val="22"/>
          <w:szCs w:val="22"/>
        </w:rPr>
      </w:pPr>
      <w:bookmarkStart w:id="29" w:name="_Ref338852517"/>
      <w:bookmarkStart w:id="30" w:name="_Toc381969516"/>
      <w:bookmarkStart w:id="31" w:name="_Toc405888465"/>
      <w:bookmarkStart w:id="32" w:name="_Toc500501846"/>
      <w:bookmarkEnd w:id="28"/>
      <w:r w:rsidRPr="009D3372">
        <w:rPr>
          <w:rFonts w:ascii="Arial" w:hAnsi="Arial" w:cs="Arial"/>
          <w:sz w:val="22"/>
          <w:szCs w:val="22"/>
        </w:rPr>
        <w:lastRenderedPageBreak/>
        <w:t>Working Arrangements</w:t>
      </w:r>
      <w:bookmarkEnd w:id="29"/>
      <w:bookmarkEnd w:id="30"/>
      <w:bookmarkEnd w:id="31"/>
      <w:bookmarkEnd w:id="32"/>
    </w:p>
    <w:p w14:paraId="5EA87574" w14:textId="77777777" w:rsidR="00AA62E8" w:rsidRPr="009D3372" w:rsidRDefault="00AA62E8" w:rsidP="005A7FBC">
      <w:pPr>
        <w:pStyle w:val="Norma1"/>
        <w:jc w:val="both"/>
        <w:rPr>
          <w:rFonts w:cs="Arial"/>
          <w:b/>
          <w:bCs/>
          <w:iCs/>
        </w:rPr>
      </w:pPr>
    </w:p>
    <w:p w14:paraId="5EA87575" w14:textId="016847B5" w:rsidR="00AA62E8" w:rsidRPr="009D3372" w:rsidRDefault="00AA62E8" w:rsidP="00293D12">
      <w:pPr>
        <w:pStyle w:val="Norma1"/>
        <w:ind w:left="360"/>
        <w:jc w:val="both"/>
        <w:rPr>
          <w:rFonts w:cs="Arial"/>
          <w:bCs/>
        </w:rPr>
      </w:pPr>
      <w:r w:rsidRPr="009D3372">
        <w:rPr>
          <w:rFonts w:cs="Arial"/>
          <w:bCs/>
        </w:rPr>
        <w:t>The successful contractor will be expected to identify one named point of contract through</w:t>
      </w:r>
      <w:r w:rsidR="005A7FBC" w:rsidRPr="009D3372">
        <w:rPr>
          <w:rFonts w:cs="Arial"/>
          <w:bCs/>
        </w:rPr>
        <w:t xml:space="preserve"> </w:t>
      </w:r>
      <w:r w:rsidRPr="009D3372">
        <w:rPr>
          <w:rFonts w:cs="Arial"/>
          <w:bCs/>
        </w:rPr>
        <w:t>whom all e</w:t>
      </w:r>
      <w:r w:rsidR="0097210C" w:rsidRPr="009D3372">
        <w:rPr>
          <w:rFonts w:cs="Arial"/>
          <w:bCs/>
        </w:rPr>
        <w:t>nquiries can be filtered. A CCC</w:t>
      </w:r>
      <w:r w:rsidRPr="009D3372">
        <w:rPr>
          <w:rFonts w:cs="Arial"/>
          <w:bCs/>
        </w:rPr>
        <w:t xml:space="preserve"> project manager will be assigned to the project and will be the central point of contact. </w:t>
      </w:r>
    </w:p>
    <w:p w14:paraId="5EA87578" w14:textId="77777777" w:rsidR="00AA62E8" w:rsidRPr="009D3372" w:rsidRDefault="00AA62E8" w:rsidP="00AA62E8">
      <w:pPr>
        <w:pStyle w:val="ListParagraph"/>
        <w:ind w:left="0"/>
        <w:rPr>
          <w:rFonts w:ascii="Arial" w:eastAsia="Times New Roman" w:hAnsi="Arial" w:cs="Arial"/>
        </w:rPr>
      </w:pPr>
    </w:p>
    <w:p w14:paraId="5EA87579" w14:textId="77777777" w:rsidR="003C1CE8" w:rsidRPr="009D3372" w:rsidRDefault="007A7010" w:rsidP="00AD4A29">
      <w:pPr>
        <w:pStyle w:val="Heading1"/>
        <w:numPr>
          <w:ilvl w:val="0"/>
          <w:numId w:val="3"/>
        </w:numPr>
        <w:rPr>
          <w:rFonts w:ascii="Arial" w:hAnsi="Arial" w:cs="Arial"/>
          <w:sz w:val="22"/>
          <w:szCs w:val="22"/>
        </w:rPr>
      </w:pPr>
      <w:bookmarkStart w:id="33" w:name="_Toc500501847"/>
      <w:r w:rsidRPr="009D3372">
        <w:rPr>
          <w:rFonts w:ascii="Arial" w:hAnsi="Arial" w:cs="Arial"/>
          <w:sz w:val="22"/>
          <w:szCs w:val="22"/>
        </w:rPr>
        <w:t>Skills and experience</w:t>
      </w:r>
      <w:bookmarkEnd w:id="33"/>
    </w:p>
    <w:p w14:paraId="5EA8757A" w14:textId="77777777" w:rsidR="00427AFA" w:rsidRPr="009D3372" w:rsidRDefault="00427AFA" w:rsidP="00B960BC">
      <w:pPr>
        <w:pStyle w:val="Norma1"/>
        <w:ind w:left="360"/>
        <w:jc w:val="both"/>
        <w:rPr>
          <w:rFonts w:cs="Arial"/>
        </w:rPr>
      </w:pPr>
    </w:p>
    <w:p w14:paraId="5EA8757B" w14:textId="5FB8080B" w:rsidR="00FA702B" w:rsidRPr="009D3372" w:rsidRDefault="0097210C" w:rsidP="00C36711">
      <w:pPr>
        <w:pStyle w:val="PTablebodyCharCharChar"/>
        <w:tabs>
          <w:tab w:val="clear" w:pos="7823"/>
          <w:tab w:val="right" w:pos="709"/>
        </w:tabs>
        <w:spacing w:after="0" w:line="276" w:lineRule="auto"/>
        <w:ind w:left="360"/>
        <w:rPr>
          <w:rFonts w:ascii="Arial" w:hAnsi="Arial" w:cs="Arial"/>
          <w:sz w:val="22"/>
          <w:szCs w:val="22"/>
          <w:highlight w:val="yellow"/>
        </w:rPr>
      </w:pPr>
      <w:r w:rsidRPr="009D3372">
        <w:rPr>
          <w:rFonts w:ascii="Arial" w:hAnsi="Arial" w:cs="Arial"/>
          <w:sz w:val="22"/>
          <w:szCs w:val="22"/>
        </w:rPr>
        <w:t>C</w:t>
      </w:r>
      <w:r w:rsidR="004B3AD5" w:rsidRPr="009D3372">
        <w:rPr>
          <w:rFonts w:ascii="Arial" w:hAnsi="Arial" w:cs="Arial"/>
          <w:sz w:val="22"/>
          <w:szCs w:val="22"/>
        </w:rPr>
        <w:t xml:space="preserve">CC </w:t>
      </w:r>
      <w:r w:rsidR="007A7010" w:rsidRPr="009D3372">
        <w:rPr>
          <w:rFonts w:ascii="Arial" w:hAnsi="Arial" w:cs="Arial"/>
          <w:sz w:val="22"/>
          <w:szCs w:val="22"/>
        </w:rPr>
        <w:t xml:space="preserve">would like you to demonstrate that you have </w:t>
      </w:r>
      <w:r w:rsidR="009F7CC0" w:rsidRPr="009D3372">
        <w:rPr>
          <w:rFonts w:ascii="Arial" w:hAnsi="Arial" w:cs="Arial"/>
          <w:sz w:val="22"/>
          <w:szCs w:val="22"/>
        </w:rPr>
        <w:t>the experience and capabilities to undertake the project</w:t>
      </w:r>
      <w:r w:rsidR="007A7010" w:rsidRPr="009D3372">
        <w:rPr>
          <w:rFonts w:ascii="Arial" w:hAnsi="Arial" w:cs="Arial"/>
          <w:sz w:val="22"/>
          <w:szCs w:val="22"/>
        </w:rPr>
        <w:t xml:space="preserve">. Your tender response should include a summary of </w:t>
      </w:r>
      <w:r w:rsidR="009F7CC0" w:rsidRPr="009D3372">
        <w:rPr>
          <w:rFonts w:ascii="Arial" w:hAnsi="Arial" w:cs="Arial"/>
          <w:sz w:val="22"/>
          <w:szCs w:val="22"/>
        </w:rPr>
        <w:t>each proposed team members experience</w:t>
      </w:r>
      <w:r w:rsidR="007A7010" w:rsidRPr="009D3372">
        <w:rPr>
          <w:rFonts w:ascii="Arial" w:hAnsi="Arial" w:cs="Arial"/>
          <w:sz w:val="22"/>
          <w:szCs w:val="22"/>
        </w:rPr>
        <w:t xml:space="preserve"> </w:t>
      </w:r>
      <w:r w:rsidR="009F7CC0" w:rsidRPr="009D3372">
        <w:rPr>
          <w:rFonts w:ascii="Arial" w:hAnsi="Arial" w:cs="Arial"/>
          <w:sz w:val="22"/>
          <w:szCs w:val="22"/>
        </w:rPr>
        <w:t>and capabilities</w:t>
      </w:r>
      <w:r w:rsidR="007A7010" w:rsidRPr="009D3372">
        <w:rPr>
          <w:rFonts w:ascii="Arial" w:hAnsi="Arial" w:cs="Arial"/>
          <w:sz w:val="22"/>
          <w:szCs w:val="22"/>
        </w:rPr>
        <w:t>.</w:t>
      </w:r>
      <w:r w:rsidR="00816371" w:rsidRPr="009D3372">
        <w:rPr>
          <w:rFonts w:ascii="Arial" w:hAnsi="Arial" w:cs="Arial"/>
          <w:sz w:val="22"/>
          <w:szCs w:val="22"/>
          <w:highlight w:val="yellow"/>
        </w:rPr>
        <w:t xml:space="preserve"> </w:t>
      </w:r>
    </w:p>
    <w:p w14:paraId="5EA8757C" w14:textId="77777777" w:rsidR="00FA702B" w:rsidRPr="009D3372" w:rsidRDefault="00FA702B" w:rsidP="00C36711">
      <w:pPr>
        <w:pStyle w:val="PTablebodyCharCharChar"/>
        <w:spacing w:after="0" w:line="276" w:lineRule="auto"/>
        <w:ind w:left="0"/>
        <w:rPr>
          <w:rFonts w:ascii="Arial" w:hAnsi="Arial" w:cs="Arial"/>
          <w:sz w:val="22"/>
          <w:szCs w:val="22"/>
        </w:rPr>
      </w:pPr>
    </w:p>
    <w:p w14:paraId="5EA8757D" w14:textId="77777777" w:rsidR="003C1CE8" w:rsidRPr="009D3372" w:rsidRDefault="003C1CE8" w:rsidP="00C36711">
      <w:pPr>
        <w:pStyle w:val="PTablebodyCharCharChar"/>
        <w:tabs>
          <w:tab w:val="clear" w:pos="7823"/>
          <w:tab w:val="right" w:pos="709"/>
        </w:tabs>
        <w:spacing w:after="0" w:line="276" w:lineRule="auto"/>
        <w:ind w:left="360"/>
        <w:rPr>
          <w:rFonts w:ascii="Arial" w:hAnsi="Arial" w:cs="Arial"/>
          <w:sz w:val="22"/>
          <w:szCs w:val="22"/>
        </w:rPr>
      </w:pPr>
      <w:r w:rsidRPr="009D3372">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9D3372" w:rsidRDefault="003C1CE8" w:rsidP="00C36711">
      <w:pPr>
        <w:pStyle w:val="PTablebodyCharCharChar"/>
        <w:spacing w:after="0" w:line="276" w:lineRule="auto"/>
        <w:ind w:left="0"/>
        <w:rPr>
          <w:rFonts w:ascii="Arial" w:hAnsi="Arial" w:cs="Arial"/>
          <w:sz w:val="22"/>
          <w:szCs w:val="22"/>
        </w:rPr>
      </w:pPr>
    </w:p>
    <w:p w14:paraId="5EA8757F" w14:textId="77777777" w:rsidR="00D64BB0" w:rsidRPr="009D3372" w:rsidRDefault="003C1CE8" w:rsidP="00C36711">
      <w:pPr>
        <w:pStyle w:val="Norma1"/>
        <w:spacing w:line="276" w:lineRule="auto"/>
        <w:ind w:left="360"/>
        <w:jc w:val="both"/>
        <w:rPr>
          <w:rFonts w:cs="Arial"/>
        </w:rPr>
      </w:pPr>
      <w:r w:rsidRPr="009D3372">
        <w:rPr>
          <w:rFonts w:cs="Arial"/>
        </w:rPr>
        <w:t>Contractors should identify the individual(s) who will be responsible for managing the project.</w:t>
      </w:r>
      <w:bookmarkStart w:id="34" w:name="_Ref338852499"/>
    </w:p>
    <w:p w14:paraId="5EA87580" w14:textId="77777777" w:rsidR="00986070" w:rsidRPr="009D3372" w:rsidRDefault="00986070" w:rsidP="00D64BB0">
      <w:pPr>
        <w:pStyle w:val="Norma1"/>
        <w:jc w:val="both"/>
        <w:rPr>
          <w:rFonts w:cs="Arial"/>
        </w:rPr>
      </w:pPr>
    </w:p>
    <w:p w14:paraId="5EA87581" w14:textId="77777777" w:rsidR="003043AD" w:rsidRPr="009D3372" w:rsidRDefault="00D64BB0" w:rsidP="00AD4A29">
      <w:pPr>
        <w:pStyle w:val="Heading1"/>
        <w:numPr>
          <w:ilvl w:val="0"/>
          <w:numId w:val="3"/>
        </w:numPr>
        <w:rPr>
          <w:rFonts w:ascii="Arial" w:hAnsi="Arial" w:cs="Arial"/>
          <w:sz w:val="22"/>
          <w:szCs w:val="22"/>
        </w:rPr>
      </w:pPr>
      <w:bookmarkStart w:id="35" w:name="_Ref373505239"/>
      <w:bookmarkStart w:id="36" w:name="_Toc381969518"/>
      <w:bookmarkStart w:id="37" w:name="_Toc405888467"/>
      <w:bookmarkStart w:id="38" w:name="_Toc500501848"/>
      <w:r w:rsidRPr="009D3372">
        <w:rPr>
          <w:rFonts w:ascii="Arial" w:hAnsi="Arial" w:cs="Arial"/>
          <w:sz w:val="22"/>
          <w:szCs w:val="22"/>
        </w:rPr>
        <w:lastRenderedPageBreak/>
        <w:t>C</w:t>
      </w:r>
      <w:r w:rsidR="00A64B82" w:rsidRPr="009D3372">
        <w:rPr>
          <w:rFonts w:ascii="Arial" w:hAnsi="Arial" w:cs="Arial"/>
          <w:sz w:val="22"/>
          <w:szCs w:val="22"/>
        </w:rPr>
        <w:t>onsortium Bids</w:t>
      </w:r>
      <w:bookmarkEnd w:id="35"/>
      <w:bookmarkEnd w:id="36"/>
      <w:bookmarkEnd w:id="37"/>
      <w:bookmarkEnd w:id="38"/>
    </w:p>
    <w:p w14:paraId="5EA87582" w14:textId="77777777" w:rsidR="00D64BB0" w:rsidRPr="009D3372" w:rsidRDefault="00D64BB0" w:rsidP="00C36711">
      <w:pPr>
        <w:pStyle w:val="Norma1"/>
        <w:spacing w:line="276" w:lineRule="auto"/>
        <w:jc w:val="both"/>
        <w:rPr>
          <w:rFonts w:cs="Arial"/>
        </w:rPr>
      </w:pPr>
    </w:p>
    <w:p w14:paraId="5EA87583" w14:textId="77777777" w:rsidR="00D65A99" w:rsidRPr="009D3372" w:rsidRDefault="003043AD" w:rsidP="00C36711">
      <w:pPr>
        <w:pStyle w:val="FootnoteText"/>
        <w:spacing w:line="276" w:lineRule="auto"/>
        <w:ind w:left="360"/>
        <w:jc w:val="both"/>
        <w:rPr>
          <w:rFonts w:ascii="Arial" w:hAnsi="Arial" w:cs="Arial"/>
          <w:sz w:val="22"/>
          <w:szCs w:val="22"/>
          <w:lang w:eastAsia="en-GB"/>
        </w:rPr>
      </w:pPr>
      <w:r w:rsidRPr="009D3372">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9D3372">
        <w:rPr>
          <w:rFonts w:ascii="Arial" w:hAnsi="Arial" w:cs="Arial"/>
          <w:sz w:val="22"/>
          <w:szCs w:val="22"/>
          <w:lang w:eastAsia="en-GB"/>
        </w:rPr>
        <w:t xml:space="preserve">  We </w:t>
      </w:r>
      <w:r w:rsidR="00D65A99" w:rsidRPr="009D3372">
        <w:rPr>
          <w:rFonts w:ascii="Arial" w:hAnsi="Arial" w:cs="Arial"/>
          <w:sz w:val="22"/>
          <w:szCs w:val="22"/>
        </w:rPr>
        <w:t>expect the bidder to indicate who in the consortium will be th</w:t>
      </w:r>
      <w:r w:rsidR="00CD651A" w:rsidRPr="009D3372">
        <w:rPr>
          <w:rFonts w:ascii="Arial" w:hAnsi="Arial" w:cs="Arial"/>
          <w:sz w:val="22"/>
          <w:szCs w:val="22"/>
        </w:rPr>
        <w:t xml:space="preserve">e </w:t>
      </w:r>
      <w:r w:rsidR="00CD651A" w:rsidRPr="009D3372">
        <w:rPr>
          <w:rFonts w:ascii="Arial" w:hAnsi="Arial" w:cs="Arial"/>
          <w:sz w:val="22"/>
          <w:szCs w:val="22"/>
          <w:lang w:eastAsia="en-GB"/>
        </w:rPr>
        <w:t>lead contact for this project, and the organisation and governance associated with the consortia.</w:t>
      </w:r>
    </w:p>
    <w:p w14:paraId="5EA87584" w14:textId="77777777" w:rsidR="003043AD" w:rsidRPr="009D3372" w:rsidRDefault="003043AD" w:rsidP="00C36711">
      <w:pPr>
        <w:pStyle w:val="FootnoteText"/>
        <w:spacing w:line="276" w:lineRule="auto"/>
        <w:ind w:left="567"/>
        <w:jc w:val="both"/>
        <w:rPr>
          <w:rFonts w:ascii="Arial" w:hAnsi="Arial" w:cs="Arial"/>
          <w:sz w:val="22"/>
          <w:szCs w:val="22"/>
          <w:lang w:eastAsia="en-GB"/>
        </w:rPr>
      </w:pPr>
    </w:p>
    <w:p w14:paraId="5EA87585" w14:textId="77777777" w:rsidR="003043AD" w:rsidRPr="009D3372" w:rsidRDefault="003043AD" w:rsidP="00C36711">
      <w:pPr>
        <w:pStyle w:val="FootnoteText"/>
        <w:spacing w:line="276" w:lineRule="auto"/>
        <w:ind w:left="360"/>
        <w:jc w:val="both"/>
        <w:rPr>
          <w:rFonts w:ascii="Arial" w:hAnsi="Arial" w:cs="Arial"/>
          <w:sz w:val="22"/>
          <w:szCs w:val="22"/>
          <w:lang w:eastAsia="en-GB"/>
        </w:rPr>
      </w:pPr>
      <w:r w:rsidRPr="009D3372">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9D3372" w:rsidRDefault="003043AD" w:rsidP="00C36711">
      <w:pPr>
        <w:pStyle w:val="FootnoteText"/>
        <w:spacing w:line="276" w:lineRule="auto"/>
        <w:ind w:left="567"/>
        <w:jc w:val="both"/>
        <w:rPr>
          <w:rFonts w:ascii="Arial" w:hAnsi="Arial" w:cs="Arial"/>
          <w:sz w:val="22"/>
          <w:szCs w:val="22"/>
          <w:lang w:eastAsia="en-GB"/>
        </w:rPr>
      </w:pPr>
    </w:p>
    <w:p w14:paraId="5EA87587" w14:textId="79EB2CDE" w:rsidR="00AD130E" w:rsidRPr="009D3372" w:rsidRDefault="00AD130E" w:rsidP="00C36711">
      <w:pPr>
        <w:pStyle w:val="NoSpacing"/>
        <w:spacing w:line="276" w:lineRule="auto"/>
        <w:ind w:left="360"/>
        <w:jc w:val="both"/>
        <w:rPr>
          <w:rFonts w:ascii="Arial" w:hAnsi="Arial" w:cs="Arial"/>
        </w:rPr>
      </w:pPr>
      <w:r w:rsidRPr="009D3372">
        <w:rPr>
          <w:rFonts w:ascii="Arial" w:hAnsi="Arial" w:cs="Arial"/>
        </w:rPr>
        <w:t>If a consortium is not proposing to form a corporate entity, full details of alternative proposed arran</w:t>
      </w:r>
      <w:r w:rsidR="007A11CB" w:rsidRPr="009D3372">
        <w:rPr>
          <w:rFonts w:ascii="Arial" w:hAnsi="Arial" w:cs="Arial"/>
        </w:rPr>
        <w:t>gements should be provided</w:t>
      </w:r>
      <w:r w:rsidR="0097210C" w:rsidRPr="009D3372">
        <w:rPr>
          <w:rFonts w:ascii="Arial" w:hAnsi="Arial" w:cs="Arial"/>
        </w:rPr>
        <w:t>. However, please note C</w:t>
      </w:r>
      <w:r w:rsidRPr="009D3372">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9D3372" w:rsidRDefault="00AD130E" w:rsidP="00C36711">
      <w:pPr>
        <w:pStyle w:val="NoSpacing"/>
        <w:spacing w:line="276" w:lineRule="auto"/>
        <w:jc w:val="both"/>
        <w:rPr>
          <w:rFonts w:ascii="Arial" w:hAnsi="Arial" w:cs="Arial"/>
        </w:rPr>
      </w:pPr>
    </w:p>
    <w:p w14:paraId="5EA87589" w14:textId="40024243" w:rsidR="00AD130E" w:rsidRPr="009D3372" w:rsidRDefault="0097210C" w:rsidP="00C36711">
      <w:pPr>
        <w:pStyle w:val="NoSpacing"/>
        <w:spacing w:line="276" w:lineRule="auto"/>
        <w:ind w:left="360"/>
        <w:jc w:val="both"/>
        <w:rPr>
          <w:rFonts w:ascii="Arial" w:hAnsi="Arial" w:cs="Arial"/>
        </w:rPr>
      </w:pPr>
      <w:r w:rsidRPr="009D3372">
        <w:rPr>
          <w:rFonts w:ascii="Arial" w:hAnsi="Arial" w:cs="Arial"/>
        </w:rPr>
        <w:t>C</w:t>
      </w:r>
      <w:r w:rsidR="00AD130E" w:rsidRPr="009D3372">
        <w:rPr>
          <w:rFonts w:ascii="Arial" w:hAnsi="Arial" w:cs="Arial"/>
        </w:rPr>
        <w:t xml:space="preserve">CC recognises that arrangements in relation to consortia may (within limits) be subject to future change. Potential Providers should therefore respond in the light of the arrangements as </w:t>
      </w:r>
      <w:r w:rsidR="00AD130E" w:rsidRPr="009D3372">
        <w:rPr>
          <w:rFonts w:ascii="Arial" w:hAnsi="Arial" w:cs="Arial"/>
        </w:rPr>
        <w:lastRenderedPageBreak/>
        <w:t xml:space="preserve">currently envisaged. Potential Providers are reminded that any future proposed change in relation to </w:t>
      </w:r>
      <w:r w:rsidRPr="009D3372">
        <w:rPr>
          <w:rFonts w:ascii="Arial" w:hAnsi="Arial" w:cs="Arial"/>
        </w:rPr>
        <w:t>consortia must be notified to C</w:t>
      </w:r>
      <w:r w:rsidR="00AD130E" w:rsidRPr="009D3372">
        <w:rPr>
          <w:rFonts w:ascii="Arial" w:hAnsi="Arial" w:cs="Arial"/>
        </w:rPr>
        <w:t xml:space="preserve">CC so that it can make a further assessment by applying the selection criteria to the new information provided. </w:t>
      </w:r>
    </w:p>
    <w:p w14:paraId="5EA8758A" w14:textId="77777777" w:rsidR="004A2B75" w:rsidRPr="009D3372" w:rsidRDefault="004A2B75" w:rsidP="00053592">
      <w:pPr>
        <w:pStyle w:val="FootnoteText"/>
        <w:rPr>
          <w:rFonts w:ascii="Arial" w:hAnsi="Arial" w:cs="Arial"/>
          <w:sz w:val="22"/>
          <w:szCs w:val="22"/>
          <w:lang w:eastAsia="en-GB"/>
        </w:rPr>
      </w:pPr>
    </w:p>
    <w:p w14:paraId="5EA8758B" w14:textId="77777777" w:rsidR="00F0291F" w:rsidRPr="009D3372" w:rsidRDefault="00F0291F" w:rsidP="00AD4A29">
      <w:pPr>
        <w:pStyle w:val="Heading1"/>
        <w:numPr>
          <w:ilvl w:val="0"/>
          <w:numId w:val="3"/>
        </w:numPr>
        <w:rPr>
          <w:rFonts w:ascii="Arial" w:hAnsi="Arial" w:cs="Arial"/>
          <w:sz w:val="22"/>
          <w:szCs w:val="22"/>
        </w:rPr>
      </w:pPr>
      <w:bookmarkStart w:id="39" w:name="_Ref357541811"/>
      <w:bookmarkStart w:id="40" w:name="_Toc381969519"/>
      <w:bookmarkStart w:id="41" w:name="_Toc405888468"/>
      <w:bookmarkStart w:id="42" w:name="_Toc500501849"/>
      <w:bookmarkStart w:id="43" w:name="_Toc246831559"/>
      <w:bookmarkStart w:id="44" w:name="_Toc271272917"/>
      <w:bookmarkStart w:id="45" w:name="_Ref338852577"/>
      <w:bookmarkEnd w:id="34"/>
      <w:r w:rsidRPr="009D3372">
        <w:rPr>
          <w:rFonts w:ascii="Arial" w:hAnsi="Arial" w:cs="Arial"/>
          <w:sz w:val="22"/>
          <w:szCs w:val="22"/>
        </w:rPr>
        <w:t>Budget</w:t>
      </w:r>
      <w:bookmarkEnd w:id="39"/>
      <w:bookmarkEnd w:id="40"/>
      <w:bookmarkEnd w:id="41"/>
      <w:bookmarkEnd w:id="42"/>
      <w:r w:rsidRPr="009D3372">
        <w:rPr>
          <w:rFonts w:ascii="Arial" w:hAnsi="Arial" w:cs="Arial"/>
          <w:sz w:val="22"/>
          <w:szCs w:val="22"/>
        </w:rPr>
        <w:t xml:space="preserve"> </w:t>
      </w:r>
    </w:p>
    <w:p w14:paraId="5EA8758C" w14:textId="77777777" w:rsidR="004335BC" w:rsidRPr="009D3372" w:rsidRDefault="004335BC" w:rsidP="004335BC">
      <w:pPr>
        <w:pStyle w:val="Norma1"/>
        <w:rPr>
          <w:rFonts w:cs="Arial"/>
          <w:b/>
          <w:bCs/>
          <w:iCs/>
        </w:rPr>
      </w:pPr>
    </w:p>
    <w:p w14:paraId="5EA8758D" w14:textId="4F845DF1" w:rsidR="003C1CE8" w:rsidRPr="00616668" w:rsidRDefault="003C1CE8" w:rsidP="0057214F">
      <w:pPr>
        <w:pStyle w:val="Paragraph"/>
        <w:spacing w:line="276" w:lineRule="auto"/>
        <w:ind w:left="360" w:firstLine="0"/>
        <w:rPr>
          <w:color w:val="000000" w:themeColor="text1"/>
          <w:sz w:val="22"/>
          <w:szCs w:val="22"/>
        </w:rPr>
      </w:pPr>
      <w:r w:rsidRPr="00616668">
        <w:rPr>
          <w:sz w:val="22"/>
          <w:szCs w:val="22"/>
        </w:rPr>
        <w:t xml:space="preserve">The budget </w:t>
      </w:r>
      <w:r w:rsidRPr="00616668">
        <w:rPr>
          <w:color w:val="000000" w:themeColor="text1"/>
          <w:sz w:val="22"/>
          <w:szCs w:val="22"/>
        </w:rPr>
        <w:t>for this project is</w:t>
      </w:r>
      <w:r w:rsidRPr="00045F69">
        <w:rPr>
          <w:b/>
          <w:color w:val="000000" w:themeColor="text1"/>
          <w:sz w:val="22"/>
          <w:szCs w:val="22"/>
        </w:rPr>
        <w:t xml:space="preserve"> </w:t>
      </w:r>
      <w:r w:rsidR="004A2B75" w:rsidRPr="0057214F">
        <w:rPr>
          <w:b/>
          <w:color w:val="000000" w:themeColor="text1"/>
          <w:sz w:val="22"/>
          <w:szCs w:val="22"/>
        </w:rPr>
        <w:t>£</w:t>
      </w:r>
      <w:r w:rsidR="003A38CB" w:rsidRPr="0057214F">
        <w:rPr>
          <w:b/>
          <w:color w:val="000000" w:themeColor="text1"/>
          <w:sz w:val="22"/>
          <w:szCs w:val="22"/>
        </w:rPr>
        <w:t>4</w:t>
      </w:r>
      <w:r w:rsidR="003F13D6" w:rsidRPr="0057214F">
        <w:rPr>
          <w:b/>
          <w:color w:val="000000" w:themeColor="text1"/>
          <w:sz w:val="22"/>
          <w:szCs w:val="22"/>
        </w:rPr>
        <w:t>0</w:t>
      </w:r>
      <w:r w:rsidR="00CA297A" w:rsidRPr="0057214F">
        <w:rPr>
          <w:b/>
          <w:color w:val="000000" w:themeColor="text1"/>
          <w:sz w:val="22"/>
          <w:szCs w:val="22"/>
        </w:rPr>
        <w:t xml:space="preserve">,000 </w:t>
      </w:r>
      <w:r w:rsidRPr="0057214F">
        <w:rPr>
          <w:b/>
          <w:color w:val="000000" w:themeColor="text1"/>
          <w:sz w:val="22"/>
          <w:szCs w:val="22"/>
        </w:rPr>
        <w:t>to</w:t>
      </w:r>
      <w:r w:rsidR="00526862" w:rsidRPr="0057214F">
        <w:rPr>
          <w:b/>
          <w:color w:val="000000" w:themeColor="text1"/>
          <w:sz w:val="22"/>
          <w:szCs w:val="22"/>
        </w:rPr>
        <w:t xml:space="preserve"> </w:t>
      </w:r>
      <w:r w:rsidR="00293D12" w:rsidRPr="0057214F">
        <w:rPr>
          <w:b/>
          <w:color w:val="000000" w:themeColor="text1"/>
          <w:sz w:val="22"/>
          <w:szCs w:val="22"/>
        </w:rPr>
        <w:t>£</w:t>
      </w:r>
      <w:r w:rsidR="003A38CB" w:rsidRPr="0057214F">
        <w:rPr>
          <w:b/>
          <w:color w:val="000000" w:themeColor="text1"/>
          <w:sz w:val="22"/>
          <w:szCs w:val="22"/>
        </w:rPr>
        <w:t>5</w:t>
      </w:r>
      <w:r w:rsidR="003F13D6" w:rsidRPr="0057214F">
        <w:rPr>
          <w:b/>
          <w:color w:val="000000" w:themeColor="text1"/>
          <w:sz w:val="22"/>
          <w:szCs w:val="22"/>
        </w:rPr>
        <w:t>0</w:t>
      </w:r>
      <w:r w:rsidR="00CA297A" w:rsidRPr="0057214F">
        <w:rPr>
          <w:b/>
          <w:color w:val="000000" w:themeColor="text1"/>
          <w:sz w:val="22"/>
          <w:szCs w:val="22"/>
        </w:rPr>
        <w:t>,000</w:t>
      </w:r>
      <w:r w:rsidR="00685B87" w:rsidRPr="00045F69">
        <w:rPr>
          <w:b/>
          <w:color w:val="000000" w:themeColor="text1"/>
          <w:sz w:val="22"/>
          <w:szCs w:val="22"/>
        </w:rPr>
        <w:t xml:space="preserve"> </w:t>
      </w:r>
      <w:r w:rsidR="00CA297A" w:rsidRPr="00616668">
        <w:rPr>
          <w:color w:val="000000" w:themeColor="text1"/>
          <w:sz w:val="22"/>
          <w:szCs w:val="22"/>
        </w:rPr>
        <w:t>ex</w:t>
      </w:r>
      <w:r w:rsidR="00685B87" w:rsidRPr="00616668">
        <w:rPr>
          <w:color w:val="000000" w:themeColor="text1"/>
          <w:sz w:val="22"/>
          <w:szCs w:val="22"/>
        </w:rPr>
        <w:t>cluding VAT</w:t>
      </w:r>
      <w:r w:rsidR="006449B9">
        <w:rPr>
          <w:color w:val="000000" w:themeColor="text1"/>
          <w:sz w:val="22"/>
          <w:szCs w:val="22"/>
        </w:rPr>
        <w:t>. Proposals for any additional deep-dives should be priced separately.</w:t>
      </w:r>
    </w:p>
    <w:p w14:paraId="5EA8758E" w14:textId="77777777" w:rsidR="00B00EA2" w:rsidRPr="009D3372" w:rsidRDefault="00B00EA2" w:rsidP="00C36711">
      <w:pPr>
        <w:pStyle w:val="ListParagraph"/>
        <w:ind w:left="0"/>
        <w:jc w:val="both"/>
        <w:rPr>
          <w:rFonts w:ascii="Arial" w:hAnsi="Arial" w:cs="Arial"/>
        </w:rPr>
      </w:pPr>
    </w:p>
    <w:p w14:paraId="62986803" w14:textId="6E89889F" w:rsidR="00865B54" w:rsidRDefault="003F3E01" w:rsidP="00865B54">
      <w:pPr>
        <w:pStyle w:val="ListParagraph"/>
        <w:ind w:left="360"/>
        <w:jc w:val="both"/>
        <w:rPr>
          <w:rFonts w:ascii="Arial" w:hAnsi="Arial" w:cs="Arial"/>
        </w:rPr>
      </w:pPr>
      <w:r>
        <w:rPr>
          <w:rFonts w:ascii="Arial" w:hAnsi="Arial" w:cs="Arial"/>
        </w:rPr>
        <w:t>Tenderers</w:t>
      </w:r>
      <w:r w:rsidR="003C1CE8" w:rsidRPr="009D3372">
        <w:rPr>
          <w:rFonts w:ascii="Arial" w:hAnsi="Arial" w:cs="Arial"/>
        </w:rPr>
        <w:t xml:space="preserve"> should provide</w:t>
      </w:r>
      <w:r w:rsidR="00865B54">
        <w:rPr>
          <w:rFonts w:ascii="Arial" w:hAnsi="Arial" w:cs="Arial"/>
        </w:rPr>
        <w:t xml:space="preserve"> a </w:t>
      </w:r>
      <w:r w:rsidR="00865B54" w:rsidRPr="0057214F">
        <w:rPr>
          <w:rFonts w:ascii="Arial" w:hAnsi="Arial" w:cs="Arial"/>
        </w:rPr>
        <w:t xml:space="preserve">fixed </w:t>
      </w:r>
      <w:r w:rsidR="00865DD6" w:rsidRPr="0057214F">
        <w:rPr>
          <w:rFonts w:ascii="Arial" w:hAnsi="Arial" w:cs="Arial"/>
        </w:rPr>
        <w:t xml:space="preserve">price </w:t>
      </w:r>
      <w:r w:rsidR="00865B54" w:rsidRPr="0057214F">
        <w:rPr>
          <w:rFonts w:ascii="Arial" w:hAnsi="Arial" w:cs="Arial"/>
        </w:rPr>
        <w:t>fee</w:t>
      </w:r>
      <w:r w:rsidR="00865B54">
        <w:rPr>
          <w:rFonts w:ascii="Arial" w:hAnsi="Arial" w:cs="Arial"/>
        </w:rPr>
        <w:t xml:space="preserve"> proposal covering all work required to deliver the scope of work as set out in this document, assuming one deep-dive assessment (focussed on Wood in Construction applications). Tenderers should also provide a proposal for the additional fees required if a further one or two deep-dive assessments are undertaken.</w:t>
      </w:r>
    </w:p>
    <w:p w14:paraId="71D53C91" w14:textId="77777777" w:rsidR="00865B54" w:rsidRDefault="00865B54" w:rsidP="00865B54">
      <w:pPr>
        <w:pStyle w:val="ListParagraph"/>
        <w:ind w:left="360"/>
        <w:jc w:val="both"/>
        <w:rPr>
          <w:rFonts w:ascii="Arial" w:hAnsi="Arial" w:cs="Arial"/>
        </w:rPr>
      </w:pPr>
    </w:p>
    <w:p w14:paraId="5EA8758F" w14:textId="6F415F51" w:rsidR="0089058C" w:rsidRPr="00865B54" w:rsidRDefault="00865B54" w:rsidP="00865B54">
      <w:pPr>
        <w:pStyle w:val="ListParagraph"/>
        <w:ind w:left="360"/>
        <w:jc w:val="both"/>
        <w:rPr>
          <w:rFonts w:ascii="Arial" w:hAnsi="Arial" w:cs="Arial"/>
        </w:rPr>
      </w:pPr>
      <w:r>
        <w:rPr>
          <w:rFonts w:ascii="Arial" w:hAnsi="Arial" w:cs="Arial"/>
        </w:rPr>
        <w:t>Fee proposals should include</w:t>
      </w:r>
      <w:r w:rsidR="003C1CE8" w:rsidRPr="00865B54">
        <w:rPr>
          <w:rFonts w:ascii="Arial" w:hAnsi="Arial" w:cs="Arial"/>
        </w:rPr>
        <w:t xml:space="preserve"> a full and detailed breakdown of costs (including options where appropriate). This should include staff (and day rate) allocated to specific tasks. </w:t>
      </w:r>
      <w:bookmarkEnd w:id="43"/>
      <w:bookmarkEnd w:id="44"/>
      <w:bookmarkEnd w:id="45"/>
    </w:p>
    <w:p w14:paraId="5EA87592" w14:textId="77777777" w:rsidR="00220792" w:rsidRPr="009D3372" w:rsidRDefault="00220792" w:rsidP="00C36711">
      <w:pPr>
        <w:pStyle w:val="ListParagraph"/>
        <w:ind w:left="0"/>
        <w:jc w:val="both"/>
        <w:rPr>
          <w:rFonts w:ascii="Arial" w:hAnsi="Arial" w:cs="Arial"/>
        </w:rPr>
      </w:pPr>
    </w:p>
    <w:p w14:paraId="5EA87593" w14:textId="169C1BF8" w:rsidR="00272E19" w:rsidRPr="009D3372" w:rsidRDefault="00272E19" w:rsidP="00C36711">
      <w:pPr>
        <w:pStyle w:val="ListParagraph"/>
        <w:spacing w:after="0"/>
        <w:ind w:left="360"/>
        <w:jc w:val="both"/>
        <w:rPr>
          <w:rFonts w:ascii="Arial" w:hAnsi="Arial" w:cs="Arial"/>
        </w:rPr>
      </w:pPr>
      <w:r w:rsidRPr="009D3372">
        <w:rPr>
          <w:rFonts w:ascii="Arial" w:hAnsi="Arial" w:cs="Arial"/>
        </w:rPr>
        <w:t>Payments will be linked to delivery of key milestones</w:t>
      </w:r>
      <w:r w:rsidR="003F3E01">
        <w:rPr>
          <w:rFonts w:ascii="Arial" w:hAnsi="Arial" w:cs="Arial"/>
        </w:rPr>
        <w:t>, expected to be the three main deliverables outlined in the table in section 8</w:t>
      </w:r>
      <w:r w:rsidRPr="009D3372">
        <w:rPr>
          <w:rFonts w:ascii="Arial" w:hAnsi="Arial" w:cs="Arial"/>
        </w:rPr>
        <w:t xml:space="preserve">. The indicative milestones and phasing of payments </w:t>
      </w:r>
      <w:r w:rsidR="00DC39C6" w:rsidRPr="009D3372">
        <w:rPr>
          <w:rFonts w:ascii="Arial" w:hAnsi="Arial" w:cs="Arial"/>
        </w:rPr>
        <w:t>can be adjusted and agreed with the contractor</w:t>
      </w:r>
      <w:r w:rsidR="007A11CB" w:rsidRPr="009D3372">
        <w:rPr>
          <w:rFonts w:ascii="Arial" w:hAnsi="Arial" w:cs="Arial"/>
        </w:rPr>
        <w:t xml:space="preserve"> and Project Manager. </w:t>
      </w:r>
      <w:r w:rsidR="00E41E71" w:rsidRPr="009D3372">
        <w:rPr>
          <w:rFonts w:ascii="Arial" w:hAnsi="Arial" w:cs="Arial"/>
        </w:rPr>
        <w:t>P</w:t>
      </w:r>
      <w:r w:rsidR="00DC39C6" w:rsidRPr="009D3372">
        <w:rPr>
          <w:rFonts w:ascii="Arial" w:hAnsi="Arial" w:cs="Arial"/>
        </w:rPr>
        <w:t>lease advise in your tender response how this breakdown reflects your usual payment processes</w:t>
      </w:r>
      <w:r w:rsidR="00CA297A">
        <w:rPr>
          <w:rFonts w:ascii="Arial" w:hAnsi="Arial" w:cs="Arial"/>
        </w:rPr>
        <w:t>.</w:t>
      </w:r>
    </w:p>
    <w:p w14:paraId="5EA87594" w14:textId="77777777" w:rsidR="00DC39C6" w:rsidRPr="009D3372" w:rsidRDefault="00DC39C6" w:rsidP="00C36711">
      <w:pPr>
        <w:pStyle w:val="ListParagraph"/>
        <w:spacing w:after="0"/>
        <w:ind w:left="0"/>
        <w:jc w:val="both"/>
        <w:rPr>
          <w:rFonts w:ascii="Arial" w:hAnsi="Arial" w:cs="Arial"/>
        </w:rPr>
      </w:pPr>
    </w:p>
    <w:p w14:paraId="5EA87595" w14:textId="77777777" w:rsidR="008261E0" w:rsidRPr="009D3372" w:rsidRDefault="003C06AA" w:rsidP="00C36711">
      <w:pPr>
        <w:pStyle w:val="Norma1"/>
        <w:spacing w:line="276" w:lineRule="auto"/>
        <w:ind w:left="360"/>
        <w:jc w:val="both"/>
        <w:rPr>
          <w:rFonts w:eastAsia="MS Mincho" w:cs="Arial"/>
          <w:lang w:eastAsia="en-US"/>
        </w:rPr>
      </w:pPr>
      <w:r w:rsidRPr="009D3372">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9D3372" w:rsidRDefault="00532695" w:rsidP="00C36711">
      <w:pPr>
        <w:pStyle w:val="Norma1"/>
        <w:spacing w:line="276" w:lineRule="auto"/>
        <w:jc w:val="both"/>
        <w:rPr>
          <w:rFonts w:eastAsia="MS Mincho" w:cs="Arial"/>
          <w:lang w:eastAsia="en-US"/>
        </w:rPr>
      </w:pPr>
    </w:p>
    <w:p w14:paraId="5EA87597" w14:textId="396B2958" w:rsidR="00443DE6" w:rsidRPr="009D3372" w:rsidRDefault="008261E0" w:rsidP="00C36711">
      <w:pPr>
        <w:pStyle w:val="Norma1"/>
        <w:spacing w:line="276" w:lineRule="auto"/>
        <w:ind w:left="360"/>
        <w:jc w:val="both"/>
        <w:rPr>
          <w:rFonts w:eastAsia="MS Mincho" w:cs="Arial"/>
          <w:lang w:eastAsia="en-US"/>
        </w:rPr>
      </w:pPr>
      <w:r w:rsidRPr="009D3372">
        <w:rPr>
          <w:rFonts w:eastAsia="MS Mincho" w:cs="Arial"/>
          <w:lang w:eastAsia="en-US"/>
        </w:rPr>
        <w:t xml:space="preserve">The </w:t>
      </w:r>
      <w:r w:rsidR="00CA297A">
        <w:rPr>
          <w:rFonts w:eastAsia="MS Mincho" w:cs="Arial"/>
          <w:lang w:eastAsia="en-US"/>
        </w:rPr>
        <w:t>CCC</w:t>
      </w:r>
      <w:r w:rsidRPr="009D3372">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9D3372">
        <w:rPr>
          <w:rFonts w:eastAsia="MS Mincho" w:cs="Arial"/>
          <w:lang w:eastAsia="en-US"/>
        </w:rPr>
        <w:t>.</w:t>
      </w:r>
    </w:p>
    <w:p w14:paraId="5EA87598" w14:textId="77777777" w:rsidR="003C06AA" w:rsidRPr="009D3372" w:rsidRDefault="003C06AA" w:rsidP="003C1CE8">
      <w:pPr>
        <w:pStyle w:val="Norma1"/>
        <w:jc w:val="both"/>
        <w:rPr>
          <w:rFonts w:cs="Arial"/>
          <w:highlight w:val="yellow"/>
        </w:rPr>
      </w:pPr>
    </w:p>
    <w:p w14:paraId="5EA87599" w14:textId="77777777" w:rsidR="003C1CE8" w:rsidRPr="009D3372" w:rsidRDefault="005C6FBA" w:rsidP="00AD4A29">
      <w:pPr>
        <w:pStyle w:val="Heading1"/>
        <w:numPr>
          <w:ilvl w:val="0"/>
          <w:numId w:val="3"/>
        </w:numPr>
        <w:rPr>
          <w:rFonts w:ascii="Arial" w:hAnsi="Arial" w:cs="Arial"/>
          <w:sz w:val="22"/>
          <w:szCs w:val="22"/>
        </w:rPr>
      </w:pPr>
      <w:bookmarkStart w:id="46" w:name="_Ref357541836"/>
      <w:bookmarkStart w:id="47" w:name="_Toc381969520"/>
      <w:bookmarkStart w:id="48" w:name="_Toc405888469"/>
      <w:bookmarkStart w:id="49" w:name="_Toc500501850"/>
      <w:r w:rsidRPr="009D3372">
        <w:rPr>
          <w:rFonts w:ascii="Arial" w:hAnsi="Arial" w:cs="Arial"/>
          <w:sz w:val="22"/>
          <w:szCs w:val="22"/>
        </w:rPr>
        <w:t>Evaluation of Tenders</w:t>
      </w:r>
      <w:bookmarkEnd w:id="46"/>
      <w:bookmarkEnd w:id="47"/>
      <w:bookmarkEnd w:id="48"/>
      <w:bookmarkEnd w:id="49"/>
    </w:p>
    <w:p w14:paraId="5EA8759A" w14:textId="77777777" w:rsidR="003C1CE8" w:rsidRPr="009D3372" w:rsidRDefault="003C1CE8" w:rsidP="00E4650D">
      <w:pPr>
        <w:pStyle w:val="Norma1"/>
        <w:jc w:val="both"/>
        <w:rPr>
          <w:rFonts w:cs="Arial"/>
        </w:rPr>
      </w:pPr>
    </w:p>
    <w:p w14:paraId="5EA8759B" w14:textId="64C04ADF" w:rsidR="005C788B" w:rsidRPr="009D3372" w:rsidRDefault="003C1CE8" w:rsidP="00E72DB1">
      <w:pPr>
        <w:pStyle w:val="Norma1"/>
        <w:ind w:left="360"/>
        <w:jc w:val="both"/>
        <w:rPr>
          <w:rFonts w:cs="Arial"/>
        </w:rPr>
      </w:pPr>
      <w:r w:rsidRPr="009D3372">
        <w:rPr>
          <w:rFonts w:cs="Arial"/>
        </w:rPr>
        <w:t xml:space="preserve">Contractors are invited to submit full tenders of no </w:t>
      </w:r>
      <w:r w:rsidRPr="00020AA1">
        <w:rPr>
          <w:rFonts w:cs="Arial"/>
        </w:rPr>
        <w:t xml:space="preserve">more </w:t>
      </w:r>
      <w:r w:rsidRPr="00020AA1">
        <w:rPr>
          <w:rFonts w:cs="Arial"/>
          <w:color w:val="000000" w:themeColor="text1"/>
        </w:rPr>
        <w:t xml:space="preserve">than </w:t>
      </w:r>
      <w:r w:rsidR="00020AA1">
        <w:rPr>
          <w:rFonts w:cs="Arial"/>
          <w:color w:val="000000" w:themeColor="text1"/>
        </w:rPr>
        <w:t>5</w:t>
      </w:r>
      <w:r w:rsidR="00B315E3" w:rsidRPr="00020AA1">
        <w:rPr>
          <w:rFonts w:cs="Arial"/>
          <w:color w:val="000000" w:themeColor="text1"/>
        </w:rPr>
        <w:t>0</w:t>
      </w:r>
      <w:r w:rsidR="00832B02" w:rsidRPr="00020AA1">
        <w:rPr>
          <w:rFonts w:cs="Arial"/>
          <w:color w:val="000000" w:themeColor="text1"/>
        </w:rPr>
        <w:t xml:space="preserve"> </w:t>
      </w:r>
      <w:r w:rsidRPr="00020AA1">
        <w:rPr>
          <w:rFonts w:cs="Arial"/>
          <w:color w:val="000000" w:themeColor="text1"/>
        </w:rPr>
        <w:t>pages</w:t>
      </w:r>
      <w:r w:rsidR="008036AA" w:rsidRPr="009D3372">
        <w:rPr>
          <w:rFonts w:cs="Arial"/>
        </w:rPr>
        <w:t>, excluding declarations</w:t>
      </w:r>
      <w:r w:rsidRPr="009D3372">
        <w:rPr>
          <w:rFonts w:cs="Arial"/>
        </w:rPr>
        <w:t>.</w:t>
      </w:r>
      <w:r w:rsidR="00E4650D" w:rsidRPr="009D3372">
        <w:rPr>
          <w:rFonts w:cs="Arial"/>
        </w:rPr>
        <w:t xml:space="preserve"> </w:t>
      </w:r>
      <w:r w:rsidR="003C54D5" w:rsidRPr="009D3372">
        <w:rPr>
          <w:rFonts w:cs="Arial"/>
        </w:rPr>
        <w:t xml:space="preserve">Tenders will be evaluated by at least three </w:t>
      </w:r>
      <w:r w:rsidR="0097210C" w:rsidRPr="009D3372">
        <w:rPr>
          <w:rFonts w:cs="Arial"/>
        </w:rPr>
        <w:t>C</w:t>
      </w:r>
      <w:r w:rsidR="003C54D5" w:rsidRPr="009D3372">
        <w:rPr>
          <w:rFonts w:cs="Arial"/>
        </w:rPr>
        <w:t>CC staff</w:t>
      </w:r>
      <w:r w:rsidR="005C788B" w:rsidRPr="009D3372">
        <w:rPr>
          <w:rFonts w:cs="Arial"/>
        </w:rPr>
        <w:t>.</w:t>
      </w:r>
    </w:p>
    <w:p w14:paraId="5EA8759C" w14:textId="77777777" w:rsidR="00E4650D" w:rsidRPr="009D3372" w:rsidRDefault="00E4650D" w:rsidP="00E4650D">
      <w:pPr>
        <w:pStyle w:val="Norma1"/>
        <w:jc w:val="both"/>
        <w:rPr>
          <w:rFonts w:cs="Arial"/>
        </w:rPr>
      </w:pPr>
    </w:p>
    <w:p w14:paraId="5EA8759F" w14:textId="66D1713C" w:rsidR="00002825" w:rsidRPr="009D3372" w:rsidRDefault="0097210C" w:rsidP="00804221">
      <w:pPr>
        <w:pStyle w:val="NoSpacing"/>
        <w:ind w:left="360"/>
        <w:rPr>
          <w:rFonts w:ascii="Arial" w:hAnsi="Arial" w:cs="Arial"/>
        </w:rPr>
      </w:pPr>
      <w:r w:rsidRPr="009D3372">
        <w:rPr>
          <w:rFonts w:ascii="Arial" w:hAnsi="Arial" w:cs="Arial"/>
        </w:rPr>
        <w:t>C</w:t>
      </w:r>
      <w:r w:rsidR="003C54D5" w:rsidRPr="009D3372">
        <w:rPr>
          <w:rFonts w:ascii="Arial" w:hAnsi="Arial" w:cs="Arial"/>
        </w:rPr>
        <w:t xml:space="preserve">CC will select the bidder that </w:t>
      </w:r>
      <w:r w:rsidR="007C2B17" w:rsidRPr="009D3372">
        <w:rPr>
          <w:rFonts w:ascii="Arial" w:hAnsi="Arial" w:cs="Arial"/>
        </w:rPr>
        <w:t>scores highest against the</w:t>
      </w:r>
      <w:r w:rsidR="003C54D5" w:rsidRPr="009D3372">
        <w:rPr>
          <w:rFonts w:ascii="Arial" w:hAnsi="Arial" w:cs="Arial"/>
        </w:rPr>
        <w:t xml:space="preserve"> crit</w:t>
      </w:r>
      <w:r w:rsidR="00804221" w:rsidRPr="009D3372">
        <w:rPr>
          <w:rFonts w:ascii="Arial" w:hAnsi="Arial" w:cs="Arial"/>
        </w:rPr>
        <w:t>eria and weighting listed below, s</w:t>
      </w:r>
      <w:r w:rsidR="00002825" w:rsidRPr="009D3372">
        <w:rPr>
          <w:rFonts w:ascii="Arial" w:hAnsi="Arial" w:cs="Arial"/>
        </w:rPr>
        <w:t xml:space="preserve">ee </w:t>
      </w:r>
      <w:r w:rsidR="00EE50B0" w:rsidRPr="009D3372">
        <w:rPr>
          <w:rFonts w:ascii="Arial" w:hAnsi="Arial" w:cs="Arial"/>
        </w:rPr>
        <w:t>the ITT</w:t>
      </w:r>
      <w:r w:rsidR="00002825" w:rsidRPr="009D3372">
        <w:rPr>
          <w:rFonts w:ascii="Arial" w:hAnsi="Arial" w:cs="Arial"/>
        </w:rPr>
        <w:t xml:space="preserve"> for further information</w:t>
      </w:r>
      <w:r w:rsidR="00804221" w:rsidRPr="009D3372">
        <w:rPr>
          <w:rFonts w:ascii="Arial" w:hAnsi="Arial" w:cs="Arial"/>
        </w:rPr>
        <w:t>.</w:t>
      </w:r>
    </w:p>
    <w:p w14:paraId="5EA875A0" w14:textId="77777777" w:rsidR="001623B7" w:rsidRPr="009D3372" w:rsidRDefault="001623B7" w:rsidP="001623B7">
      <w:pPr>
        <w:pStyle w:val="Norma1"/>
        <w:widowControl/>
        <w:overflowPunct/>
        <w:autoSpaceDE/>
        <w:autoSpaceDN/>
        <w:adjustRightInd/>
        <w:jc w:val="both"/>
        <w:textAlignment w:val="auto"/>
        <w:rPr>
          <w:rFonts w:cs="Arial"/>
        </w:rPr>
      </w:pPr>
    </w:p>
    <w:p w14:paraId="5EA875A1" w14:textId="77777777" w:rsidR="001623B7" w:rsidRPr="009D3372" w:rsidRDefault="001623B7" w:rsidP="001623B7">
      <w:pPr>
        <w:pStyle w:val="Norma1"/>
        <w:spacing w:line="276" w:lineRule="auto"/>
        <w:rPr>
          <w:rFonts w:cs="Arial"/>
          <w:b/>
        </w:rPr>
      </w:pPr>
    </w:p>
    <w:p w14:paraId="5EA875A2" w14:textId="77777777" w:rsidR="001623B7" w:rsidRPr="009D3372" w:rsidRDefault="001623B7" w:rsidP="00941465">
      <w:pPr>
        <w:pStyle w:val="Norma1"/>
        <w:spacing w:line="276" w:lineRule="auto"/>
        <w:ind w:left="360"/>
        <w:rPr>
          <w:rFonts w:cs="Arial"/>
          <w:b/>
        </w:rPr>
      </w:pPr>
      <w:r w:rsidRPr="009D3372">
        <w:rPr>
          <w:rFonts w:cs="Arial"/>
          <w:b/>
        </w:rPr>
        <w:t>EVALUATION CRITERIA AND SCORING METHODOLOGY</w:t>
      </w:r>
    </w:p>
    <w:p w14:paraId="5EA875A3" w14:textId="77777777" w:rsidR="001623B7" w:rsidRPr="009D3372" w:rsidRDefault="001623B7" w:rsidP="001623B7">
      <w:pPr>
        <w:pStyle w:val="Norma1"/>
        <w:spacing w:line="276" w:lineRule="auto"/>
        <w:rPr>
          <w:rFonts w:cs="Arial"/>
          <w:b/>
        </w:rPr>
      </w:pPr>
    </w:p>
    <w:p w14:paraId="5EA875A9" w14:textId="77777777" w:rsidR="001623B7" w:rsidRPr="009D3372" w:rsidRDefault="001623B7" w:rsidP="001623B7">
      <w:pPr>
        <w:pStyle w:val="Norma1"/>
        <w:ind w:left="1197"/>
        <w:rPr>
          <w:rFonts w:cs="Arial"/>
          <w:color w:val="FF0000"/>
        </w:rPr>
      </w:pPr>
    </w:p>
    <w:tbl>
      <w:tblPr>
        <w:tblStyle w:val="NormalTable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8"/>
        <w:gridCol w:w="2261"/>
      </w:tblGrid>
      <w:tr w:rsidR="00133BA4" w:rsidRPr="009D3372" w14:paraId="5EA875AD" w14:textId="77777777" w:rsidTr="00532E19">
        <w:tc>
          <w:tcPr>
            <w:tcW w:w="1133" w:type="dxa"/>
          </w:tcPr>
          <w:p w14:paraId="5EA875AA" w14:textId="524CA45C" w:rsidR="00133BA4" w:rsidRPr="009D3372" w:rsidRDefault="00133BA4" w:rsidP="00133BA4">
            <w:pPr>
              <w:pStyle w:val="Heading4"/>
              <w:rPr>
                <w:rFonts w:ascii="Arial" w:hAnsi="Arial" w:cs="Arial"/>
              </w:rPr>
            </w:pPr>
            <w:bookmarkStart w:id="50" w:name="_Toc496603086"/>
            <w:bookmarkStart w:id="51" w:name="p2"/>
            <w:bookmarkStart w:id="52" w:name="_Toc443904769"/>
            <w:bookmarkStart w:id="53" w:name="_Toc500501851"/>
            <w:r w:rsidRPr="00F7796D">
              <w:rPr>
                <w:rFonts w:ascii="Arial" w:hAnsi="Arial" w:cs="Arial"/>
              </w:rPr>
              <w:t>Criterion</w:t>
            </w:r>
            <w:bookmarkEnd w:id="50"/>
            <w:bookmarkEnd w:id="51"/>
            <w:bookmarkEnd w:id="52"/>
            <w:bookmarkEnd w:id="53"/>
          </w:p>
        </w:tc>
        <w:tc>
          <w:tcPr>
            <w:tcW w:w="5928" w:type="dxa"/>
            <w:shd w:val="clear" w:color="auto" w:fill="auto"/>
          </w:tcPr>
          <w:p w14:paraId="5EA875AB" w14:textId="7605D6BA" w:rsidR="00133BA4" w:rsidRPr="009D3372" w:rsidRDefault="00133BA4" w:rsidP="00133BA4">
            <w:pPr>
              <w:pStyle w:val="Heading4"/>
              <w:rPr>
                <w:rFonts w:ascii="Arial" w:hAnsi="Arial" w:cs="Arial"/>
              </w:rPr>
            </w:pPr>
            <w:bookmarkStart w:id="54" w:name="_Toc496603087"/>
            <w:bookmarkStart w:id="55" w:name="_Toc443904770"/>
            <w:bookmarkStart w:id="56" w:name="_Toc500501852"/>
            <w:r w:rsidRPr="00F7796D">
              <w:rPr>
                <w:rFonts w:ascii="Arial" w:hAnsi="Arial" w:cs="Arial"/>
              </w:rPr>
              <w:t>Description</w:t>
            </w:r>
            <w:bookmarkEnd w:id="54"/>
            <w:bookmarkEnd w:id="55"/>
            <w:bookmarkEnd w:id="56"/>
          </w:p>
        </w:tc>
        <w:tc>
          <w:tcPr>
            <w:tcW w:w="2261" w:type="dxa"/>
            <w:shd w:val="clear" w:color="auto" w:fill="auto"/>
          </w:tcPr>
          <w:p w14:paraId="5EA875AC" w14:textId="1A8AA732" w:rsidR="00133BA4" w:rsidRPr="009D3372" w:rsidRDefault="00133BA4" w:rsidP="00133BA4">
            <w:pPr>
              <w:pStyle w:val="Heading4"/>
              <w:rPr>
                <w:rFonts w:ascii="Arial" w:hAnsi="Arial" w:cs="Arial"/>
              </w:rPr>
            </w:pPr>
            <w:bookmarkStart w:id="57" w:name="_Toc496603088"/>
            <w:bookmarkStart w:id="58" w:name="_Toc443904771"/>
            <w:bookmarkStart w:id="59" w:name="_Toc500501853"/>
            <w:r w:rsidRPr="00F7796D">
              <w:rPr>
                <w:rFonts w:ascii="Arial" w:hAnsi="Arial" w:cs="Arial"/>
              </w:rPr>
              <w:t>Weighting</w:t>
            </w:r>
            <w:bookmarkEnd w:id="57"/>
            <w:bookmarkEnd w:id="58"/>
            <w:bookmarkEnd w:id="59"/>
          </w:p>
        </w:tc>
      </w:tr>
      <w:tr w:rsidR="00133BA4" w:rsidRPr="009D3372" w14:paraId="5EA875B1" w14:textId="77777777" w:rsidTr="00532E19">
        <w:tc>
          <w:tcPr>
            <w:tcW w:w="1133" w:type="dxa"/>
          </w:tcPr>
          <w:p w14:paraId="5EA875AE" w14:textId="0B8D90E8" w:rsidR="00133BA4" w:rsidRPr="00020AA1" w:rsidRDefault="00133BA4" w:rsidP="00133BA4">
            <w:pPr>
              <w:pStyle w:val="Norma1"/>
              <w:rPr>
                <w:rFonts w:cs="Arial"/>
              </w:rPr>
            </w:pPr>
            <w:r>
              <w:rPr>
                <w:rFonts w:cs="Arial"/>
              </w:rPr>
              <w:t>1</w:t>
            </w:r>
          </w:p>
        </w:tc>
        <w:tc>
          <w:tcPr>
            <w:tcW w:w="5928" w:type="dxa"/>
            <w:shd w:val="clear" w:color="auto" w:fill="auto"/>
          </w:tcPr>
          <w:p w14:paraId="5EA875AF" w14:textId="50FCC715" w:rsidR="00133BA4" w:rsidRPr="00020AA1" w:rsidRDefault="00133BA4" w:rsidP="00133BA4">
            <w:pPr>
              <w:pStyle w:val="Norma1"/>
              <w:rPr>
                <w:rFonts w:cs="Arial"/>
              </w:rPr>
            </w:pPr>
            <w:r w:rsidRPr="00334AEE">
              <w:rPr>
                <w:rFonts w:ascii="Calibri" w:hAnsi="Calibri"/>
                <w:b/>
              </w:rPr>
              <w:t>RELEVANT EXPERIENCE</w:t>
            </w:r>
            <w:r>
              <w:rPr>
                <w:rFonts w:ascii="Calibri" w:hAnsi="Calibri"/>
                <w:b/>
              </w:rPr>
              <w:t xml:space="preserve"> / DEMONSTRATION OF CABABILITY</w:t>
            </w:r>
          </w:p>
        </w:tc>
        <w:tc>
          <w:tcPr>
            <w:tcW w:w="2261" w:type="dxa"/>
            <w:shd w:val="clear" w:color="auto" w:fill="auto"/>
          </w:tcPr>
          <w:p w14:paraId="5EA875B0" w14:textId="0C6E5051" w:rsidR="00133BA4" w:rsidRPr="00020AA1" w:rsidRDefault="00133BA4" w:rsidP="00133BA4">
            <w:pPr>
              <w:pStyle w:val="Norma1"/>
              <w:rPr>
                <w:rFonts w:cs="Arial"/>
              </w:rPr>
            </w:pPr>
            <w:r>
              <w:rPr>
                <w:rFonts w:cs="Arial"/>
              </w:rPr>
              <w:t>20%</w:t>
            </w:r>
          </w:p>
        </w:tc>
      </w:tr>
      <w:tr w:rsidR="00133BA4" w:rsidRPr="009D3372" w14:paraId="5EA875B5" w14:textId="77777777" w:rsidTr="00532E19">
        <w:tc>
          <w:tcPr>
            <w:tcW w:w="1133" w:type="dxa"/>
          </w:tcPr>
          <w:p w14:paraId="5EA875B2" w14:textId="7F0BE52D" w:rsidR="00133BA4" w:rsidRPr="00020AA1" w:rsidRDefault="00133BA4" w:rsidP="00133BA4">
            <w:pPr>
              <w:pStyle w:val="Norma1"/>
              <w:rPr>
                <w:rFonts w:cs="Arial"/>
              </w:rPr>
            </w:pPr>
            <w:r>
              <w:rPr>
                <w:rFonts w:cs="Arial"/>
              </w:rPr>
              <w:t>2</w:t>
            </w:r>
          </w:p>
        </w:tc>
        <w:tc>
          <w:tcPr>
            <w:tcW w:w="5928" w:type="dxa"/>
            <w:shd w:val="clear" w:color="auto" w:fill="auto"/>
          </w:tcPr>
          <w:p w14:paraId="5EA875B3" w14:textId="40AADFD6" w:rsidR="00133BA4" w:rsidRPr="00020AA1" w:rsidRDefault="00133BA4" w:rsidP="00133BA4">
            <w:pPr>
              <w:pStyle w:val="Norma1"/>
              <w:rPr>
                <w:rFonts w:cs="Arial"/>
              </w:rPr>
            </w:pPr>
            <w:r w:rsidRPr="00334AEE">
              <w:rPr>
                <w:rFonts w:ascii="Calibri" w:hAnsi="Calibri"/>
                <w:b/>
              </w:rPr>
              <w:t xml:space="preserve">MANAGING YOUR </w:t>
            </w:r>
            <w:r>
              <w:rPr>
                <w:rFonts w:ascii="Calibri" w:hAnsi="Calibri"/>
                <w:b/>
              </w:rPr>
              <w:t>RELATIONSHIP WITH THE CCC</w:t>
            </w:r>
          </w:p>
        </w:tc>
        <w:tc>
          <w:tcPr>
            <w:tcW w:w="2261" w:type="dxa"/>
            <w:shd w:val="clear" w:color="auto" w:fill="auto"/>
          </w:tcPr>
          <w:p w14:paraId="5EA875B4" w14:textId="7659E151" w:rsidR="00133BA4" w:rsidRPr="00020AA1" w:rsidRDefault="00133BA4" w:rsidP="00133BA4">
            <w:pPr>
              <w:pStyle w:val="Norma1"/>
              <w:rPr>
                <w:rFonts w:cs="Arial"/>
              </w:rPr>
            </w:pPr>
            <w:r>
              <w:rPr>
                <w:rFonts w:cs="Arial"/>
              </w:rPr>
              <w:t>5%</w:t>
            </w:r>
          </w:p>
        </w:tc>
      </w:tr>
      <w:tr w:rsidR="00133BA4" w:rsidRPr="009D3372" w14:paraId="5EA875B9" w14:textId="77777777" w:rsidTr="00532E19">
        <w:tc>
          <w:tcPr>
            <w:tcW w:w="1133" w:type="dxa"/>
          </w:tcPr>
          <w:p w14:paraId="5EA875B6" w14:textId="7125D2B0" w:rsidR="00133BA4" w:rsidRPr="00020AA1" w:rsidRDefault="00133BA4" w:rsidP="00133BA4">
            <w:pPr>
              <w:pStyle w:val="Norma1"/>
              <w:rPr>
                <w:rFonts w:cs="Arial"/>
              </w:rPr>
            </w:pPr>
            <w:r>
              <w:rPr>
                <w:rFonts w:cs="Arial"/>
              </w:rPr>
              <w:t>3</w:t>
            </w:r>
          </w:p>
        </w:tc>
        <w:tc>
          <w:tcPr>
            <w:tcW w:w="5928" w:type="dxa"/>
            <w:shd w:val="clear" w:color="auto" w:fill="auto"/>
          </w:tcPr>
          <w:p w14:paraId="5EA875B7" w14:textId="4161B891" w:rsidR="00133BA4" w:rsidRPr="00020AA1" w:rsidRDefault="00133BA4" w:rsidP="00133BA4">
            <w:pPr>
              <w:pStyle w:val="Norma1"/>
              <w:rPr>
                <w:rFonts w:cs="Arial"/>
              </w:rPr>
            </w:pPr>
            <w:r w:rsidRPr="00334AEE">
              <w:rPr>
                <w:rFonts w:ascii="Calibri" w:hAnsi="Calibri"/>
                <w:b/>
              </w:rPr>
              <w:t>QUALITY ASSURING THE SERVICES YOU PROVIDE</w:t>
            </w:r>
          </w:p>
        </w:tc>
        <w:tc>
          <w:tcPr>
            <w:tcW w:w="2261" w:type="dxa"/>
            <w:shd w:val="clear" w:color="auto" w:fill="auto"/>
          </w:tcPr>
          <w:p w14:paraId="5EA875B8" w14:textId="5CF26ACA" w:rsidR="00133BA4" w:rsidRPr="00020AA1" w:rsidRDefault="00133BA4" w:rsidP="00133BA4">
            <w:pPr>
              <w:pStyle w:val="Norma1"/>
              <w:rPr>
                <w:rFonts w:cs="Arial"/>
              </w:rPr>
            </w:pPr>
            <w:r>
              <w:rPr>
                <w:rFonts w:cs="Arial"/>
              </w:rPr>
              <w:t>5%</w:t>
            </w:r>
          </w:p>
        </w:tc>
      </w:tr>
      <w:tr w:rsidR="00133BA4" w:rsidRPr="009D3372" w14:paraId="5EA875C1" w14:textId="77777777" w:rsidTr="00532E19">
        <w:tc>
          <w:tcPr>
            <w:tcW w:w="1133" w:type="dxa"/>
          </w:tcPr>
          <w:p w14:paraId="5EA875BE" w14:textId="5AF7B899" w:rsidR="00133BA4" w:rsidRPr="00020AA1" w:rsidRDefault="00133BA4" w:rsidP="00133BA4">
            <w:pPr>
              <w:pStyle w:val="Norma1"/>
              <w:rPr>
                <w:rFonts w:cs="Arial"/>
              </w:rPr>
            </w:pPr>
            <w:r>
              <w:rPr>
                <w:rFonts w:cs="Arial"/>
              </w:rPr>
              <w:t>4</w:t>
            </w:r>
          </w:p>
        </w:tc>
        <w:tc>
          <w:tcPr>
            <w:tcW w:w="5928" w:type="dxa"/>
            <w:shd w:val="clear" w:color="auto" w:fill="auto"/>
          </w:tcPr>
          <w:p w14:paraId="5EA875BF" w14:textId="6C71B107" w:rsidR="00133BA4" w:rsidRPr="00020AA1" w:rsidRDefault="00133BA4" w:rsidP="00133BA4">
            <w:pPr>
              <w:pStyle w:val="Norma1"/>
              <w:rPr>
                <w:rFonts w:cs="Arial"/>
              </w:rPr>
            </w:pPr>
            <w:r w:rsidRPr="00334AEE">
              <w:rPr>
                <w:rFonts w:ascii="Calibri" w:hAnsi="Calibri"/>
                <w:b/>
              </w:rPr>
              <w:t>MANAGEMENT STRUCTURE</w:t>
            </w:r>
          </w:p>
        </w:tc>
        <w:tc>
          <w:tcPr>
            <w:tcW w:w="2261" w:type="dxa"/>
            <w:shd w:val="clear" w:color="auto" w:fill="auto"/>
          </w:tcPr>
          <w:p w14:paraId="5EA875C0" w14:textId="60A14583" w:rsidR="00133BA4" w:rsidRPr="00020AA1" w:rsidRDefault="00133BA4" w:rsidP="00133BA4">
            <w:pPr>
              <w:pStyle w:val="Norma1"/>
              <w:rPr>
                <w:rFonts w:cs="Arial"/>
              </w:rPr>
            </w:pPr>
            <w:r>
              <w:rPr>
                <w:rFonts w:cs="Arial"/>
              </w:rPr>
              <w:t>5%</w:t>
            </w:r>
          </w:p>
        </w:tc>
      </w:tr>
      <w:tr w:rsidR="00133BA4" w:rsidRPr="009D3372" w14:paraId="5EA875C5" w14:textId="77777777" w:rsidTr="00532E19">
        <w:tc>
          <w:tcPr>
            <w:tcW w:w="1133" w:type="dxa"/>
          </w:tcPr>
          <w:p w14:paraId="5EA875C2" w14:textId="25F4A90E" w:rsidR="00133BA4" w:rsidRPr="00020AA1" w:rsidRDefault="00133BA4" w:rsidP="00133BA4">
            <w:pPr>
              <w:pStyle w:val="Norma1"/>
              <w:rPr>
                <w:rFonts w:cs="Arial"/>
              </w:rPr>
            </w:pPr>
            <w:r>
              <w:rPr>
                <w:rFonts w:cs="Arial"/>
              </w:rPr>
              <w:t>5</w:t>
            </w:r>
          </w:p>
        </w:tc>
        <w:tc>
          <w:tcPr>
            <w:tcW w:w="5928" w:type="dxa"/>
            <w:shd w:val="clear" w:color="auto" w:fill="auto"/>
          </w:tcPr>
          <w:p w14:paraId="5EA875C3" w14:textId="3606383B" w:rsidR="00133BA4" w:rsidRPr="00020AA1" w:rsidRDefault="00133BA4" w:rsidP="00133BA4">
            <w:pPr>
              <w:pStyle w:val="Norma1"/>
              <w:rPr>
                <w:rFonts w:cs="Arial"/>
              </w:rPr>
            </w:pPr>
            <w:r w:rsidRPr="00334AEE">
              <w:rPr>
                <w:rFonts w:ascii="Calibri" w:hAnsi="Calibri"/>
                <w:b/>
              </w:rPr>
              <w:t>PROJECT TEAM</w:t>
            </w:r>
            <w:r>
              <w:rPr>
                <w:rFonts w:ascii="Calibri" w:hAnsi="Calibri"/>
                <w:b/>
              </w:rPr>
              <w:t xml:space="preserve"> – SKILLS AND KNOWLEDGE</w:t>
            </w:r>
          </w:p>
        </w:tc>
        <w:tc>
          <w:tcPr>
            <w:tcW w:w="2261" w:type="dxa"/>
            <w:shd w:val="clear" w:color="auto" w:fill="auto"/>
          </w:tcPr>
          <w:p w14:paraId="5EA875C4" w14:textId="74339734" w:rsidR="00133BA4" w:rsidRPr="00020AA1" w:rsidRDefault="00133BA4" w:rsidP="00133BA4">
            <w:pPr>
              <w:pStyle w:val="Norma1"/>
              <w:rPr>
                <w:rFonts w:cs="Arial"/>
              </w:rPr>
            </w:pPr>
            <w:r>
              <w:rPr>
                <w:rFonts w:cs="Arial"/>
              </w:rPr>
              <w:t>20%</w:t>
            </w:r>
          </w:p>
        </w:tc>
      </w:tr>
      <w:tr w:rsidR="00133BA4" w:rsidRPr="009D3372" w14:paraId="5EA875C9" w14:textId="77777777" w:rsidTr="00532E19">
        <w:tc>
          <w:tcPr>
            <w:tcW w:w="1133" w:type="dxa"/>
          </w:tcPr>
          <w:p w14:paraId="5EA875C6" w14:textId="7A3C9575" w:rsidR="00133BA4" w:rsidRPr="00020AA1" w:rsidRDefault="00133BA4" w:rsidP="00133BA4">
            <w:pPr>
              <w:pStyle w:val="Norma1"/>
              <w:rPr>
                <w:rFonts w:cs="Arial"/>
              </w:rPr>
            </w:pPr>
            <w:r>
              <w:rPr>
                <w:rFonts w:cs="Arial"/>
              </w:rPr>
              <w:t>6</w:t>
            </w:r>
          </w:p>
        </w:tc>
        <w:tc>
          <w:tcPr>
            <w:tcW w:w="5928" w:type="dxa"/>
            <w:shd w:val="clear" w:color="auto" w:fill="auto"/>
          </w:tcPr>
          <w:p w14:paraId="5EA875C7" w14:textId="013E952E" w:rsidR="00133BA4" w:rsidRPr="00020AA1" w:rsidRDefault="00133BA4" w:rsidP="00133BA4">
            <w:pPr>
              <w:pStyle w:val="Norma1"/>
              <w:rPr>
                <w:rFonts w:cs="Arial"/>
              </w:rPr>
            </w:pPr>
            <w:r w:rsidRPr="00334AEE">
              <w:rPr>
                <w:rFonts w:ascii="Calibri" w:hAnsi="Calibri"/>
                <w:b/>
              </w:rPr>
              <w:t>METHOD, ABILITY AND TECHNICAL CAPACITY</w:t>
            </w:r>
            <w:r>
              <w:rPr>
                <w:rFonts w:ascii="Calibri" w:hAnsi="Calibri"/>
                <w:b/>
              </w:rPr>
              <w:t xml:space="preserve"> </w:t>
            </w:r>
          </w:p>
        </w:tc>
        <w:tc>
          <w:tcPr>
            <w:tcW w:w="2261" w:type="dxa"/>
            <w:shd w:val="clear" w:color="auto" w:fill="auto"/>
          </w:tcPr>
          <w:p w14:paraId="5EA875C8" w14:textId="3302F6D2" w:rsidR="00133BA4" w:rsidRPr="00020AA1" w:rsidRDefault="00133BA4" w:rsidP="00133BA4">
            <w:pPr>
              <w:pStyle w:val="Norma1"/>
              <w:rPr>
                <w:rFonts w:cs="Arial"/>
              </w:rPr>
            </w:pPr>
            <w:r>
              <w:rPr>
                <w:rFonts w:cs="Arial"/>
              </w:rPr>
              <w:t>25%</w:t>
            </w:r>
          </w:p>
        </w:tc>
      </w:tr>
      <w:tr w:rsidR="00133BA4" w:rsidRPr="009D3372" w14:paraId="2E6C8FB4" w14:textId="77777777" w:rsidTr="00532E19">
        <w:tc>
          <w:tcPr>
            <w:tcW w:w="1133" w:type="dxa"/>
          </w:tcPr>
          <w:p w14:paraId="1E560CCE" w14:textId="13C391EF" w:rsidR="00133BA4" w:rsidRPr="00020AA1" w:rsidRDefault="00133BA4" w:rsidP="00133BA4">
            <w:pPr>
              <w:pStyle w:val="Norma1"/>
              <w:rPr>
                <w:rFonts w:cs="Arial"/>
              </w:rPr>
            </w:pPr>
            <w:r>
              <w:rPr>
                <w:rFonts w:cs="Arial"/>
              </w:rPr>
              <w:t>7</w:t>
            </w:r>
          </w:p>
        </w:tc>
        <w:tc>
          <w:tcPr>
            <w:tcW w:w="5928" w:type="dxa"/>
            <w:shd w:val="clear" w:color="auto" w:fill="auto"/>
          </w:tcPr>
          <w:p w14:paraId="66360B15" w14:textId="50C247C7" w:rsidR="00133BA4" w:rsidRPr="00020AA1" w:rsidRDefault="00133BA4" w:rsidP="00133BA4">
            <w:pPr>
              <w:pStyle w:val="Norma1"/>
              <w:rPr>
                <w:rFonts w:cs="Arial"/>
              </w:rPr>
            </w:pPr>
            <w:r w:rsidRPr="00334AEE">
              <w:rPr>
                <w:rFonts w:ascii="Calibri" w:hAnsi="Calibri"/>
                <w:b/>
              </w:rPr>
              <w:t>UNDERSTANDING OF REQUIREMENTS</w:t>
            </w:r>
          </w:p>
        </w:tc>
        <w:tc>
          <w:tcPr>
            <w:tcW w:w="2261" w:type="dxa"/>
            <w:shd w:val="clear" w:color="auto" w:fill="auto"/>
          </w:tcPr>
          <w:p w14:paraId="42541313" w14:textId="484881D9" w:rsidR="00133BA4" w:rsidRPr="00020AA1" w:rsidRDefault="00133BA4" w:rsidP="00133BA4">
            <w:pPr>
              <w:pStyle w:val="Norma1"/>
              <w:rPr>
                <w:rFonts w:cs="Arial"/>
              </w:rPr>
            </w:pPr>
            <w:r>
              <w:rPr>
                <w:rFonts w:cs="Arial"/>
              </w:rPr>
              <w:t>10%</w:t>
            </w:r>
          </w:p>
        </w:tc>
      </w:tr>
      <w:tr w:rsidR="00133BA4" w:rsidRPr="009D3372" w14:paraId="1D5C5230" w14:textId="77777777" w:rsidTr="00532E19">
        <w:tc>
          <w:tcPr>
            <w:tcW w:w="1133" w:type="dxa"/>
          </w:tcPr>
          <w:p w14:paraId="2768895F" w14:textId="560B43FA" w:rsidR="00133BA4" w:rsidRPr="009D3372" w:rsidRDefault="00133BA4" w:rsidP="00133BA4">
            <w:pPr>
              <w:pStyle w:val="Norma1"/>
              <w:rPr>
                <w:rFonts w:cs="Arial"/>
              </w:rPr>
            </w:pPr>
            <w:r>
              <w:rPr>
                <w:rFonts w:cs="Arial"/>
              </w:rPr>
              <w:t>8</w:t>
            </w:r>
          </w:p>
        </w:tc>
        <w:tc>
          <w:tcPr>
            <w:tcW w:w="5928" w:type="dxa"/>
            <w:shd w:val="clear" w:color="auto" w:fill="auto"/>
          </w:tcPr>
          <w:p w14:paraId="706ACC83" w14:textId="093BA710" w:rsidR="00133BA4" w:rsidRPr="009D3372" w:rsidRDefault="00133BA4" w:rsidP="00133BA4">
            <w:pPr>
              <w:pStyle w:val="Norma1"/>
              <w:rPr>
                <w:rFonts w:cs="Arial"/>
              </w:rPr>
            </w:pPr>
            <w:r>
              <w:rPr>
                <w:rFonts w:ascii="Calibri" w:hAnsi="Calibri"/>
                <w:b/>
              </w:rPr>
              <w:t xml:space="preserve">RISK AND </w:t>
            </w:r>
            <w:r w:rsidRPr="00334AEE">
              <w:rPr>
                <w:rFonts w:ascii="Calibri" w:hAnsi="Calibri"/>
                <w:b/>
              </w:rPr>
              <w:t>CHALLENGES</w:t>
            </w:r>
          </w:p>
        </w:tc>
        <w:tc>
          <w:tcPr>
            <w:tcW w:w="2261" w:type="dxa"/>
            <w:shd w:val="clear" w:color="auto" w:fill="auto"/>
          </w:tcPr>
          <w:p w14:paraId="4C34B6F9" w14:textId="5084D11A" w:rsidR="00133BA4" w:rsidRPr="009D3372" w:rsidRDefault="00133BA4" w:rsidP="00133BA4">
            <w:pPr>
              <w:pStyle w:val="Norma1"/>
              <w:rPr>
                <w:rFonts w:cs="Arial"/>
              </w:rPr>
            </w:pPr>
            <w:r>
              <w:rPr>
                <w:rFonts w:cs="Arial"/>
              </w:rPr>
              <w:t>10%</w:t>
            </w:r>
          </w:p>
        </w:tc>
      </w:tr>
      <w:tr w:rsidR="00133BA4" w:rsidRPr="009D3372" w14:paraId="7906B683" w14:textId="77777777" w:rsidTr="00532E19">
        <w:tc>
          <w:tcPr>
            <w:tcW w:w="7061" w:type="dxa"/>
            <w:gridSpan w:val="2"/>
          </w:tcPr>
          <w:p w14:paraId="171673B9" w14:textId="77777777" w:rsidR="00133BA4" w:rsidRPr="009D3372" w:rsidRDefault="00133BA4" w:rsidP="006D635B">
            <w:pPr>
              <w:pStyle w:val="Norma1"/>
              <w:rPr>
                <w:rFonts w:cs="Arial"/>
              </w:rPr>
            </w:pPr>
          </w:p>
        </w:tc>
        <w:tc>
          <w:tcPr>
            <w:tcW w:w="2261" w:type="dxa"/>
            <w:shd w:val="clear" w:color="auto" w:fill="auto"/>
          </w:tcPr>
          <w:p w14:paraId="53623136" w14:textId="77777777" w:rsidR="00133BA4" w:rsidRPr="009D3372" w:rsidRDefault="00133BA4" w:rsidP="006D635B">
            <w:pPr>
              <w:pStyle w:val="Norma1"/>
              <w:rPr>
                <w:rFonts w:cs="Arial"/>
              </w:rPr>
            </w:pPr>
          </w:p>
        </w:tc>
      </w:tr>
      <w:tr w:rsidR="001623B7" w:rsidRPr="009D3372" w14:paraId="5EA875CC" w14:textId="77777777" w:rsidTr="00532E19">
        <w:tc>
          <w:tcPr>
            <w:tcW w:w="7061" w:type="dxa"/>
            <w:gridSpan w:val="2"/>
          </w:tcPr>
          <w:p w14:paraId="5EA875CA" w14:textId="77777777" w:rsidR="001623B7" w:rsidRPr="009D3372" w:rsidRDefault="001623B7" w:rsidP="006D635B">
            <w:pPr>
              <w:pStyle w:val="Norma1"/>
              <w:rPr>
                <w:rFonts w:cs="Arial"/>
              </w:rPr>
            </w:pPr>
          </w:p>
        </w:tc>
        <w:tc>
          <w:tcPr>
            <w:tcW w:w="2261" w:type="dxa"/>
            <w:shd w:val="clear" w:color="auto" w:fill="auto"/>
          </w:tcPr>
          <w:p w14:paraId="5EA875CB" w14:textId="77777777" w:rsidR="001623B7" w:rsidRPr="009D3372" w:rsidRDefault="001623B7" w:rsidP="006D635B">
            <w:pPr>
              <w:pStyle w:val="Norma1"/>
              <w:rPr>
                <w:rFonts w:cs="Arial"/>
              </w:rPr>
            </w:pPr>
            <w:r w:rsidRPr="009D3372">
              <w:rPr>
                <w:rFonts w:cs="Arial"/>
              </w:rPr>
              <w:t>100%</w:t>
            </w:r>
          </w:p>
        </w:tc>
      </w:tr>
    </w:tbl>
    <w:p w14:paraId="5EA875CD" w14:textId="77777777" w:rsidR="001623B7" w:rsidRPr="009D3372" w:rsidRDefault="001623B7" w:rsidP="001623B7">
      <w:pPr>
        <w:pStyle w:val="Norma1"/>
        <w:rPr>
          <w:rFonts w:cs="Arial"/>
        </w:rPr>
      </w:pPr>
    </w:p>
    <w:p w14:paraId="405ED9CC" w14:textId="77777777" w:rsidR="0089389E" w:rsidRPr="009D3372" w:rsidRDefault="0089389E" w:rsidP="00F129F3">
      <w:pPr>
        <w:pStyle w:val="Norma1"/>
        <w:jc w:val="both"/>
        <w:rPr>
          <w:rFonts w:cs="Arial"/>
          <w:b/>
          <w:bCs/>
        </w:rPr>
      </w:pPr>
    </w:p>
    <w:p w14:paraId="5EA875CE" w14:textId="77777777" w:rsidR="00F129F3" w:rsidRPr="009D3372" w:rsidRDefault="00F129F3" w:rsidP="00F129F3">
      <w:pPr>
        <w:pStyle w:val="Norma1"/>
        <w:jc w:val="both"/>
        <w:rPr>
          <w:rFonts w:cs="Arial"/>
          <w:b/>
          <w:bCs/>
        </w:rPr>
      </w:pPr>
      <w:r w:rsidRPr="009D3372">
        <w:rPr>
          <w:rFonts w:cs="Arial"/>
          <w:b/>
          <w:bCs/>
        </w:rPr>
        <w:t>Scoring Method</w:t>
      </w:r>
    </w:p>
    <w:p w14:paraId="5EA875CF" w14:textId="77777777" w:rsidR="00F129F3" w:rsidRPr="009D3372" w:rsidRDefault="00F129F3" w:rsidP="00F129F3">
      <w:pPr>
        <w:pStyle w:val="Norma1"/>
        <w:jc w:val="both"/>
        <w:rPr>
          <w:rFonts w:cs="Arial"/>
          <w:b/>
          <w:bCs/>
        </w:rPr>
      </w:pPr>
    </w:p>
    <w:p w14:paraId="5EA875D0" w14:textId="77777777" w:rsidR="00F129F3" w:rsidRPr="009D3372" w:rsidRDefault="00F129F3" w:rsidP="00F129F3">
      <w:pPr>
        <w:pStyle w:val="Norma1"/>
        <w:jc w:val="both"/>
        <w:rPr>
          <w:rFonts w:cs="Arial"/>
          <w:bCs/>
        </w:rPr>
      </w:pPr>
      <w:r w:rsidRPr="009D3372">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9D3372" w:rsidRDefault="00F129F3" w:rsidP="00F129F3">
      <w:pPr>
        <w:pStyle w:val="Norma1"/>
        <w:jc w:val="both"/>
        <w:rPr>
          <w:rFonts w:cs="Arial"/>
          <w:bCs/>
        </w:rPr>
      </w:pPr>
    </w:p>
    <w:p w14:paraId="5EA875D2" w14:textId="77777777" w:rsidR="00F129F3" w:rsidRPr="009D3372" w:rsidRDefault="00F129F3" w:rsidP="00F129F3">
      <w:pPr>
        <w:pStyle w:val="Norma1"/>
        <w:jc w:val="both"/>
        <w:rPr>
          <w:rFonts w:cs="Arial"/>
        </w:rPr>
      </w:pPr>
      <w:r w:rsidRPr="009D3372">
        <w:rPr>
          <w:rFonts w:cs="Arial"/>
        </w:rPr>
        <w:t xml:space="preserve">The total score will be calculated by applying the weighting set against each criterion, outlined above; the maximum number of </w:t>
      </w:r>
      <w:r w:rsidRPr="009D3372">
        <w:rPr>
          <w:rFonts w:cs="Arial"/>
        </w:rPr>
        <w:lastRenderedPageBreak/>
        <w:t>marks possible will be 100.  Should any contractor score 1 in any of the criteria, they will be excluded from the tender competition.</w:t>
      </w:r>
    </w:p>
    <w:p w14:paraId="11D63197" w14:textId="77777777" w:rsidR="0089389E" w:rsidRPr="009D3372" w:rsidRDefault="0089389E" w:rsidP="00F129F3">
      <w:pPr>
        <w:pStyle w:val="Norma1"/>
        <w:jc w:val="both"/>
        <w:rPr>
          <w:rFonts w:cs="Arial"/>
        </w:rPr>
      </w:pPr>
    </w:p>
    <w:p w14:paraId="5EA875D3" w14:textId="77777777" w:rsidR="00F129F3" w:rsidRPr="009D3372" w:rsidRDefault="00F129F3" w:rsidP="00F129F3">
      <w:pPr>
        <w:pStyle w:val="Norma1"/>
        <w:spacing w:line="276" w:lineRule="auto"/>
        <w:rPr>
          <w:rFonts w:cs="Arial"/>
          <w:color w:val="0000FF"/>
        </w:rPr>
      </w:pPr>
    </w:p>
    <w:tbl>
      <w:tblPr>
        <w:tblStyle w:val="Norm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9D3372" w14:paraId="5EA875D6" w14:textId="77777777" w:rsidTr="006D635B">
        <w:tc>
          <w:tcPr>
            <w:tcW w:w="816" w:type="dxa"/>
          </w:tcPr>
          <w:p w14:paraId="5EA875D4" w14:textId="77777777" w:rsidR="00F129F3" w:rsidRPr="009D3372" w:rsidRDefault="00F129F3" w:rsidP="006D635B">
            <w:pPr>
              <w:pStyle w:val="Norma1"/>
              <w:spacing w:line="276" w:lineRule="auto"/>
              <w:jc w:val="both"/>
              <w:rPr>
                <w:rFonts w:cs="Arial"/>
                <w:b/>
              </w:rPr>
            </w:pPr>
            <w:r w:rsidRPr="009D3372">
              <w:rPr>
                <w:rFonts w:cs="Arial"/>
                <w:b/>
              </w:rPr>
              <w:t>Score</w:t>
            </w:r>
          </w:p>
        </w:tc>
        <w:tc>
          <w:tcPr>
            <w:tcW w:w="7939" w:type="dxa"/>
          </w:tcPr>
          <w:p w14:paraId="5EA875D5" w14:textId="77777777" w:rsidR="00F129F3" w:rsidRPr="009D3372" w:rsidRDefault="00F129F3" w:rsidP="006D635B">
            <w:pPr>
              <w:pStyle w:val="Norma1"/>
              <w:spacing w:line="276" w:lineRule="auto"/>
              <w:jc w:val="both"/>
              <w:rPr>
                <w:rFonts w:cs="Arial"/>
                <w:b/>
              </w:rPr>
            </w:pPr>
            <w:r w:rsidRPr="009D3372">
              <w:rPr>
                <w:rFonts w:cs="Arial"/>
                <w:b/>
              </w:rPr>
              <w:t>Description</w:t>
            </w:r>
          </w:p>
        </w:tc>
      </w:tr>
      <w:tr w:rsidR="00F129F3" w:rsidRPr="009D3372" w14:paraId="5EA875D9" w14:textId="77777777" w:rsidTr="006D635B">
        <w:trPr>
          <w:trHeight w:val="313"/>
        </w:trPr>
        <w:tc>
          <w:tcPr>
            <w:tcW w:w="816" w:type="dxa"/>
          </w:tcPr>
          <w:p w14:paraId="5EA875D7" w14:textId="77777777" w:rsidR="00F129F3" w:rsidRPr="009D3372" w:rsidRDefault="00F129F3" w:rsidP="006D635B">
            <w:pPr>
              <w:pStyle w:val="Norma1"/>
              <w:spacing w:line="276" w:lineRule="auto"/>
              <w:jc w:val="both"/>
              <w:rPr>
                <w:rFonts w:cs="Arial"/>
              </w:rPr>
            </w:pPr>
            <w:r w:rsidRPr="009D3372">
              <w:rPr>
                <w:rFonts w:cs="Arial"/>
              </w:rPr>
              <w:t>1</w:t>
            </w:r>
          </w:p>
        </w:tc>
        <w:tc>
          <w:tcPr>
            <w:tcW w:w="7939" w:type="dxa"/>
          </w:tcPr>
          <w:p w14:paraId="5EA875D8" w14:textId="77777777" w:rsidR="00F129F3" w:rsidRPr="009D3372" w:rsidRDefault="00F129F3" w:rsidP="006D635B">
            <w:pPr>
              <w:pStyle w:val="NoSpacing"/>
              <w:rPr>
                <w:rFonts w:ascii="Arial" w:hAnsi="Arial" w:cs="Arial"/>
              </w:rPr>
            </w:pPr>
            <w:r w:rsidRPr="009D3372">
              <w:rPr>
                <w:rFonts w:ascii="Arial" w:hAnsi="Arial" w:cs="Arial"/>
              </w:rPr>
              <w:t>Not Satisfactory: Proposal contains significant shortcomings and does not meet the required standard</w:t>
            </w:r>
          </w:p>
        </w:tc>
      </w:tr>
      <w:tr w:rsidR="00F129F3" w:rsidRPr="009D3372" w14:paraId="5EA875DC" w14:textId="77777777" w:rsidTr="006D635B">
        <w:tc>
          <w:tcPr>
            <w:tcW w:w="816" w:type="dxa"/>
          </w:tcPr>
          <w:p w14:paraId="5EA875DA" w14:textId="77777777" w:rsidR="00F129F3" w:rsidRPr="009D3372" w:rsidRDefault="00F129F3" w:rsidP="006D635B">
            <w:pPr>
              <w:pStyle w:val="Norma1"/>
              <w:spacing w:line="276" w:lineRule="auto"/>
              <w:jc w:val="both"/>
              <w:rPr>
                <w:rFonts w:cs="Arial"/>
              </w:rPr>
            </w:pPr>
            <w:r w:rsidRPr="009D3372">
              <w:rPr>
                <w:rFonts w:cs="Arial"/>
              </w:rPr>
              <w:t>2</w:t>
            </w:r>
          </w:p>
        </w:tc>
        <w:tc>
          <w:tcPr>
            <w:tcW w:w="7939" w:type="dxa"/>
          </w:tcPr>
          <w:p w14:paraId="5EA875DB" w14:textId="77777777" w:rsidR="00F129F3" w:rsidRPr="009D3372" w:rsidRDefault="00F129F3" w:rsidP="006D635B">
            <w:pPr>
              <w:pStyle w:val="NoSpacing"/>
              <w:rPr>
                <w:rFonts w:ascii="Arial" w:hAnsi="Arial" w:cs="Arial"/>
              </w:rPr>
            </w:pPr>
            <w:r w:rsidRPr="009D3372">
              <w:rPr>
                <w:rFonts w:ascii="Arial" w:hAnsi="Arial" w:cs="Arial"/>
              </w:rPr>
              <w:t xml:space="preserve">Partially Satisfactory: Proposal partially meets the required standard, with one or more moderate weaknesses or gaps </w:t>
            </w:r>
          </w:p>
        </w:tc>
      </w:tr>
      <w:tr w:rsidR="00F129F3" w:rsidRPr="009D3372" w14:paraId="5EA875DF" w14:textId="77777777" w:rsidTr="006D635B">
        <w:tc>
          <w:tcPr>
            <w:tcW w:w="816" w:type="dxa"/>
          </w:tcPr>
          <w:p w14:paraId="5EA875DD" w14:textId="77777777" w:rsidR="00F129F3" w:rsidRPr="009D3372" w:rsidRDefault="00F129F3" w:rsidP="006D635B">
            <w:pPr>
              <w:pStyle w:val="Norma1"/>
              <w:spacing w:line="276" w:lineRule="auto"/>
              <w:jc w:val="both"/>
              <w:rPr>
                <w:rFonts w:cs="Arial"/>
              </w:rPr>
            </w:pPr>
            <w:r w:rsidRPr="009D3372">
              <w:rPr>
                <w:rFonts w:cs="Arial"/>
              </w:rPr>
              <w:t>3</w:t>
            </w:r>
          </w:p>
        </w:tc>
        <w:tc>
          <w:tcPr>
            <w:tcW w:w="7939" w:type="dxa"/>
          </w:tcPr>
          <w:p w14:paraId="5EA875DE" w14:textId="77777777" w:rsidR="00F129F3" w:rsidRPr="009D3372" w:rsidRDefault="00F129F3" w:rsidP="006D635B">
            <w:pPr>
              <w:pStyle w:val="NoSpacing"/>
              <w:rPr>
                <w:rFonts w:ascii="Arial" w:hAnsi="Arial" w:cs="Arial"/>
              </w:rPr>
            </w:pPr>
            <w:r w:rsidRPr="009D3372">
              <w:rPr>
                <w:rFonts w:ascii="Arial" w:hAnsi="Arial" w:cs="Arial"/>
              </w:rPr>
              <w:t>Satisfactory: Proposal mostly meets the required standard, with one or more minor weaknesses or gaps.</w:t>
            </w:r>
          </w:p>
        </w:tc>
      </w:tr>
      <w:tr w:rsidR="00F129F3" w:rsidRPr="009D3372" w14:paraId="5EA875E2" w14:textId="77777777" w:rsidTr="006D635B">
        <w:tc>
          <w:tcPr>
            <w:tcW w:w="816" w:type="dxa"/>
          </w:tcPr>
          <w:p w14:paraId="5EA875E0" w14:textId="77777777" w:rsidR="00F129F3" w:rsidRPr="009D3372" w:rsidRDefault="00F129F3" w:rsidP="006D635B">
            <w:pPr>
              <w:pStyle w:val="Norma1"/>
              <w:spacing w:line="276" w:lineRule="auto"/>
              <w:jc w:val="both"/>
              <w:rPr>
                <w:rFonts w:cs="Arial"/>
              </w:rPr>
            </w:pPr>
            <w:r w:rsidRPr="009D3372">
              <w:rPr>
                <w:rFonts w:cs="Arial"/>
              </w:rPr>
              <w:t>4</w:t>
            </w:r>
          </w:p>
        </w:tc>
        <w:tc>
          <w:tcPr>
            <w:tcW w:w="7939" w:type="dxa"/>
          </w:tcPr>
          <w:p w14:paraId="5EA875E1" w14:textId="77777777" w:rsidR="00F129F3" w:rsidRPr="009D3372" w:rsidRDefault="00F129F3" w:rsidP="006D635B">
            <w:pPr>
              <w:pStyle w:val="NoSpacing"/>
              <w:rPr>
                <w:rFonts w:ascii="Arial" w:hAnsi="Arial" w:cs="Arial"/>
              </w:rPr>
            </w:pPr>
            <w:r w:rsidRPr="009D3372">
              <w:rPr>
                <w:rFonts w:ascii="Arial" w:hAnsi="Arial" w:cs="Arial"/>
              </w:rPr>
              <w:t>Good: Proposal meets the required standard, with moderate levels of assurance</w:t>
            </w:r>
          </w:p>
        </w:tc>
      </w:tr>
      <w:tr w:rsidR="00F129F3" w:rsidRPr="009D3372" w14:paraId="5EA875E5" w14:textId="77777777" w:rsidTr="006D635B">
        <w:tc>
          <w:tcPr>
            <w:tcW w:w="816" w:type="dxa"/>
          </w:tcPr>
          <w:p w14:paraId="5EA875E3" w14:textId="77777777" w:rsidR="00F129F3" w:rsidRPr="009D3372" w:rsidRDefault="00F129F3" w:rsidP="006D635B">
            <w:pPr>
              <w:pStyle w:val="Norma1"/>
              <w:spacing w:line="276" w:lineRule="auto"/>
              <w:jc w:val="both"/>
              <w:rPr>
                <w:rFonts w:cs="Arial"/>
              </w:rPr>
            </w:pPr>
            <w:r w:rsidRPr="009D3372">
              <w:rPr>
                <w:rFonts w:cs="Arial"/>
              </w:rPr>
              <w:t>5</w:t>
            </w:r>
          </w:p>
        </w:tc>
        <w:tc>
          <w:tcPr>
            <w:tcW w:w="7939" w:type="dxa"/>
          </w:tcPr>
          <w:p w14:paraId="5EA875E4" w14:textId="77777777" w:rsidR="00F129F3" w:rsidRPr="009D3372" w:rsidRDefault="00F129F3" w:rsidP="006D635B">
            <w:pPr>
              <w:pStyle w:val="NoSpacing"/>
              <w:rPr>
                <w:rFonts w:ascii="Arial" w:hAnsi="Arial" w:cs="Arial"/>
              </w:rPr>
            </w:pPr>
            <w:r w:rsidRPr="009D3372">
              <w:rPr>
                <w:rFonts w:ascii="Arial" w:hAnsi="Arial" w:cs="Arial"/>
              </w:rPr>
              <w:t>Excellent: Proposal fully meets the required standard with high levels of assurance</w:t>
            </w:r>
          </w:p>
        </w:tc>
      </w:tr>
    </w:tbl>
    <w:p w14:paraId="5EA87614" w14:textId="77777777" w:rsidR="001623B7" w:rsidRPr="009D3372" w:rsidRDefault="001623B7" w:rsidP="001623B7">
      <w:pPr>
        <w:pStyle w:val="Norma1"/>
        <w:widowControl/>
        <w:overflowPunct/>
        <w:autoSpaceDE/>
        <w:autoSpaceDN/>
        <w:adjustRightInd/>
        <w:jc w:val="both"/>
        <w:textAlignment w:val="auto"/>
        <w:rPr>
          <w:rFonts w:cs="Arial"/>
        </w:rPr>
      </w:pPr>
      <w:bookmarkStart w:id="60" w:name="nine01"/>
      <w:bookmarkEnd w:id="60"/>
    </w:p>
    <w:p w14:paraId="5EA87615" w14:textId="77777777" w:rsidR="004A2B75" w:rsidRPr="009D3372" w:rsidRDefault="004A2B75" w:rsidP="00E4650D">
      <w:pPr>
        <w:pStyle w:val="Norma1"/>
        <w:jc w:val="both"/>
        <w:rPr>
          <w:rFonts w:cs="Arial"/>
          <w:b/>
        </w:rPr>
      </w:pPr>
    </w:p>
    <w:p w14:paraId="5EA87616" w14:textId="77777777" w:rsidR="00BD1875" w:rsidRPr="009D3372" w:rsidRDefault="00BD1875" w:rsidP="00E4650D">
      <w:pPr>
        <w:pStyle w:val="Norma1"/>
        <w:jc w:val="both"/>
        <w:rPr>
          <w:rFonts w:cs="Arial"/>
          <w:b/>
        </w:rPr>
      </w:pPr>
      <w:r w:rsidRPr="009D3372">
        <w:rPr>
          <w:rFonts w:cs="Arial"/>
          <w:b/>
        </w:rPr>
        <w:t>Structure of Tenders</w:t>
      </w:r>
    </w:p>
    <w:p w14:paraId="5EA87617" w14:textId="77777777" w:rsidR="00BD1875" w:rsidRPr="009D3372" w:rsidRDefault="00BD1875" w:rsidP="00E4650D">
      <w:pPr>
        <w:pStyle w:val="Norma1"/>
        <w:jc w:val="both"/>
        <w:rPr>
          <w:rFonts w:cs="Arial"/>
        </w:rPr>
      </w:pPr>
    </w:p>
    <w:p w14:paraId="5EA87618" w14:textId="6E218984" w:rsidR="00D648EC" w:rsidRPr="009D3372" w:rsidRDefault="007B668D" w:rsidP="00E4650D">
      <w:pPr>
        <w:pStyle w:val="Norma1"/>
        <w:jc w:val="both"/>
        <w:rPr>
          <w:rFonts w:eastAsia="Calibri" w:cs="Arial"/>
          <w:lang w:eastAsia="en-US"/>
        </w:rPr>
      </w:pPr>
      <w:r w:rsidRPr="009D3372">
        <w:rPr>
          <w:rFonts w:cs="Arial"/>
        </w:rPr>
        <w:t>Contractors are strongly advised to structure their tender submissions to cover</w:t>
      </w:r>
      <w:r w:rsidR="000B765B" w:rsidRPr="009D3372">
        <w:rPr>
          <w:rFonts w:cs="Arial"/>
        </w:rPr>
        <w:t xml:space="preserve"> each of</w:t>
      </w:r>
      <w:r w:rsidRPr="009D3372">
        <w:rPr>
          <w:rFonts w:cs="Arial"/>
        </w:rPr>
        <w:t xml:space="preserve"> the criteria above</w:t>
      </w:r>
      <w:r w:rsidR="00F81BC1" w:rsidRPr="009D3372">
        <w:rPr>
          <w:rFonts w:cs="Arial"/>
        </w:rPr>
        <w:t xml:space="preserve"> and supply a price </w:t>
      </w:r>
      <w:r w:rsidR="006D62F6" w:rsidRPr="009D3372">
        <w:rPr>
          <w:rFonts w:eastAsia="Calibri" w:cs="Arial"/>
          <w:lang w:eastAsia="en-US"/>
        </w:rPr>
        <w:t xml:space="preserve">schedule </w:t>
      </w:r>
      <w:r w:rsidR="00D648EC" w:rsidRPr="009D3372">
        <w:rPr>
          <w:rFonts w:eastAsia="Calibri" w:cs="Arial"/>
          <w:lang w:eastAsia="en-US"/>
        </w:rPr>
        <w:t xml:space="preserve">specifying the daily rates (ex-VAT) you will charge for each level of your staff. </w:t>
      </w:r>
    </w:p>
    <w:p w14:paraId="5EA87619" w14:textId="77777777" w:rsidR="003C1CE8" w:rsidRPr="009D3372" w:rsidRDefault="003C1CE8" w:rsidP="003C1CE8">
      <w:pPr>
        <w:pStyle w:val="Norma1"/>
        <w:rPr>
          <w:rFonts w:cs="Arial"/>
        </w:rPr>
      </w:pPr>
    </w:p>
    <w:p w14:paraId="5EA8761A" w14:textId="77777777" w:rsidR="003B5CAF" w:rsidRPr="009D3372" w:rsidRDefault="003B5CAF" w:rsidP="003C1CE8">
      <w:pPr>
        <w:pStyle w:val="Norma1"/>
        <w:jc w:val="both"/>
        <w:rPr>
          <w:rFonts w:cs="Arial"/>
          <w:b/>
        </w:rPr>
      </w:pPr>
    </w:p>
    <w:p w14:paraId="5EA8761B" w14:textId="20AA3288" w:rsidR="000B02C5" w:rsidRPr="009D3372" w:rsidRDefault="000B02C5" w:rsidP="008A0415">
      <w:pPr>
        <w:pStyle w:val="Norma1"/>
        <w:jc w:val="both"/>
        <w:rPr>
          <w:rFonts w:cs="Arial"/>
          <w:b/>
        </w:rPr>
      </w:pPr>
      <w:r w:rsidRPr="009D3372">
        <w:rPr>
          <w:rFonts w:cs="Arial"/>
          <w:b/>
        </w:rPr>
        <w:t xml:space="preserve">Evaluation for Interviews </w:t>
      </w:r>
    </w:p>
    <w:p w14:paraId="5EA8761C" w14:textId="77777777" w:rsidR="000B02C5" w:rsidRPr="009D3372" w:rsidRDefault="000B02C5" w:rsidP="008A0415">
      <w:pPr>
        <w:pStyle w:val="Norma1"/>
        <w:jc w:val="both"/>
        <w:rPr>
          <w:rFonts w:cs="Arial"/>
          <w:b/>
        </w:rPr>
      </w:pPr>
    </w:p>
    <w:p w14:paraId="5EA8761D" w14:textId="4BB87FDC" w:rsidR="002E198B" w:rsidRPr="009D3372" w:rsidRDefault="0097210C" w:rsidP="008A0415">
      <w:pPr>
        <w:pStyle w:val="Norma1"/>
        <w:jc w:val="both"/>
        <w:rPr>
          <w:rFonts w:cs="Arial"/>
        </w:rPr>
      </w:pPr>
      <w:r w:rsidRPr="009D3372">
        <w:rPr>
          <w:rFonts w:cs="Arial"/>
        </w:rPr>
        <w:t>C</w:t>
      </w:r>
      <w:r w:rsidR="00222DF8" w:rsidRPr="009D3372">
        <w:rPr>
          <w:rFonts w:cs="Arial"/>
        </w:rPr>
        <w:t xml:space="preserve">CC reserves the right to award the contract based on applicants’ written evaluation only if one candidate emerges from the evaluation stage as significantly stronger than the others.  </w:t>
      </w:r>
    </w:p>
    <w:p w14:paraId="5EA8761E" w14:textId="77777777" w:rsidR="002E198B" w:rsidRPr="009D3372" w:rsidRDefault="002E198B" w:rsidP="008A0415">
      <w:pPr>
        <w:pStyle w:val="Norma1"/>
        <w:jc w:val="both"/>
        <w:rPr>
          <w:rFonts w:cs="Arial"/>
        </w:rPr>
      </w:pPr>
    </w:p>
    <w:p w14:paraId="3DADA445" w14:textId="7D50EC42" w:rsidR="00802C0A" w:rsidRPr="009D3372" w:rsidRDefault="00802C0A" w:rsidP="00802C0A">
      <w:pPr>
        <w:pStyle w:val="Norma1"/>
        <w:jc w:val="both"/>
        <w:rPr>
          <w:rFonts w:cs="Arial"/>
        </w:rPr>
      </w:pPr>
      <w:r w:rsidRPr="009D3372">
        <w:rPr>
          <w:rFonts w:cs="Arial"/>
        </w:rPr>
        <w:t>Sho</w:t>
      </w:r>
      <w:r w:rsidRPr="00C36711">
        <w:rPr>
          <w:rFonts w:cs="Arial"/>
        </w:rPr>
        <w:t>uld interviews go ahead, CCC will shortlist the top suppliers with the highest marks from the written proposals. Interviews are provisionally expected to be held on</w:t>
      </w:r>
      <w:r w:rsidR="007E57CD">
        <w:rPr>
          <w:rFonts w:cs="Arial"/>
        </w:rPr>
        <w:t xml:space="preserve"> the </w:t>
      </w:r>
      <w:r w:rsidR="007E57CD" w:rsidRPr="0057214F">
        <w:rPr>
          <w:rFonts w:cs="Arial"/>
          <w:b/>
          <w:color w:val="FF0000"/>
        </w:rPr>
        <w:t>23</w:t>
      </w:r>
      <w:r w:rsidR="007E57CD" w:rsidRPr="0057214F">
        <w:rPr>
          <w:rFonts w:cs="Arial"/>
          <w:b/>
          <w:color w:val="FF0000"/>
          <w:vertAlign w:val="superscript"/>
        </w:rPr>
        <w:t>rd</w:t>
      </w:r>
      <w:r w:rsidR="007E57CD" w:rsidRPr="0057214F">
        <w:rPr>
          <w:rFonts w:cs="Arial"/>
          <w:b/>
          <w:color w:val="FF0000"/>
        </w:rPr>
        <w:t xml:space="preserve"> January 2018</w:t>
      </w:r>
      <w:r w:rsidR="007E57CD" w:rsidRPr="0057214F">
        <w:rPr>
          <w:rFonts w:cs="Arial"/>
          <w:b/>
        </w:rPr>
        <w:t>. Please keep this date free</w:t>
      </w:r>
      <w:r w:rsidR="005D74E3">
        <w:rPr>
          <w:rFonts w:cs="Arial"/>
          <w:b/>
        </w:rPr>
        <w:t xml:space="preserve"> so</w:t>
      </w:r>
      <w:r w:rsidR="007E57CD" w:rsidRPr="0057214F">
        <w:rPr>
          <w:rFonts w:cs="Arial"/>
          <w:b/>
        </w:rPr>
        <w:t xml:space="preserve"> that your team can attend if required</w:t>
      </w:r>
      <w:r w:rsidRPr="0057214F">
        <w:rPr>
          <w:rFonts w:cs="Arial"/>
          <w:b/>
        </w:rPr>
        <w:t xml:space="preserve">. </w:t>
      </w:r>
      <w:r w:rsidR="00EC69CB">
        <w:rPr>
          <w:rFonts w:cs="Arial"/>
          <w:b/>
        </w:rPr>
        <w:t>I</w:t>
      </w:r>
      <w:r w:rsidR="007E57CD" w:rsidRPr="0057214F">
        <w:rPr>
          <w:rFonts w:cs="Arial"/>
          <w:b/>
        </w:rPr>
        <w:t>f this date changes, CCC will notify applicants</w:t>
      </w:r>
      <w:r w:rsidRPr="00C36711">
        <w:rPr>
          <w:rFonts w:cs="Arial"/>
        </w:rPr>
        <w:t>.</w:t>
      </w:r>
      <w:r w:rsidRPr="009D3372">
        <w:rPr>
          <w:rFonts w:cs="Arial"/>
        </w:rPr>
        <w:t xml:space="preserve"> </w:t>
      </w:r>
    </w:p>
    <w:p w14:paraId="5CD39FFD" w14:textId="77777777" w:rsidR="00802C0A" w:rsidRPr="009D3372" w:rsidRDefault="00802C0A" w:rsidP="008A0415">
      <w:pPr>
        <w:pStyle w:val="Norma1"/>
        <w:jc w:val="both"/>
        <w:rPr>
          <w:rFonts w:cs="Arial"/>
        </w:rPr>
      </w:pPr>
    </w:p>
    <w:p w14:paraId="5EA87621" w14:textId="335D7D1B" w:rsidR="006C44C2" w:rsidRPr="007E57CD" w:rsidRDefault="006C44C2" w:rsidP="008A0415">
      <w:pPr>
        <w:pStyle w:val="Norma1"/>
        <w:jc w:val="both"/>
        <w:rPr>
          <w:rFonts w:cs="Arial"/>
          <w:highlight w:val="yellow"/>
        </w:rPr>
      </w:pPr>
      <w:r w:rsidRPr="0057214F">
        <w:rPr>
          <w:rFonts w:cs="Arial"/>
        </w:rPr>
        <w:t>The areas to be covered in the interview, and markings allocated to each topic area will be sent to the shortlisted supplier prior to interview.</w:t>
      </w:r>
    </w:p>
    <w:p w14:paraId="5EA87622" w14:textId="77777777" w:rsidR="006C44C2" w:rsidRPr="007E57CD" w:rsidRDefault="006C44C2" w:rsidP="008A0415">
      <w:pPr>
        <w:pStyle w:val="Norma1"/>
        <w:jc w:val="both"/>
        <w:rPr>
          <w:rFonts w:cs="Arial"/>
          <w:highlight w:val="yellow"/>
        </w:rPr>
      </w:pPr>
    </w:p>
    <w:p w14:paraId="5EA87624" w14:textId="77777777" w:rsidR="00A54FFC" w:rsidRPr="009D3372" w:rsidRDefault="00A54FFC" w:rsidP="008A0415">
      <w:pPr>
        <w:pStyle w:val="Norma1"/>
        <w:jc w:val="both"/>
        <w:rPr>
          <w:rFonts w:cs="Arial"/>
        </w:rPr>
      </w:pPr>
    </w:p>
    <w:p w14:paraId="5EA87625" w14:textId="77777777" w:rsidR="003C1CE8" w:rsidRPr="009D3372" w:rsidRDefault="003C1CE8" w:rsidP="003C1CE8">
      <w:pPr>
        <w:pStyle w:val="Norma1"/>
        <w:jc w:val="both"/>
        <w:rPr>
          <w:rFonts w:cs="Arial"/>
        </w:rPr>
      </w:pPr>
    </w:p>
    <w:bookmarkEnd w:id="4"/>
    <w:p w14:paraId="5EA87629" w14:textId="77777777" w:rsidR="00A10F62" w:rsidRPr="009D3372" w:rsidRDefault="00A10F62" w:rsidP="008A0415">
      <w:pPr>
        <w:pStyle w:val="Norma1"/>
        <w:widowControl/>
        <w:tabs>
          <w:tab w:val="left" w:pos="-1440"/>
          <w:tab w:val="left" w:pos="-720"/>
          <w:tab w:val="left" w:pos="0"/>
        </w:tabs>
        <w:suppressAutoHyphens/>
        <w:overflowPunct/>
        <w:autoSpaceDE/>
        <w:autoSpaceDN/>
        <w:adjustRightInd/>
        <w:textAlignment w:val="auto"/>
        <w:rPr>
          <w:rFonts w:cs="Arial"/>
        </w:rPr>
      </w:pPr>
    </w:p>
    <w:sectPr w:rsidR="00A10F62" w:rsidRPr="009D3372" w:rsidSect="00CA297A">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166FA" w14:textId="77777777" w:rsidR="00C2179D" w:rsidRDefault="00C2179D" w:rsidP="00EB43D8">
      <w:pPr>
        <w:pStyle w:val="Norma1"/>
      </w:pPr>
      <w:r>
        <w:separator/>
      </w:r>
    </w:p>
  </w:endnote>
  <w:endnote w:type="continuationSeparator" w:id="0">
    <w:p w14:paraId="263EF727" w14:textId="77777777" w:rsidR="00C2179D" w:rsidRDefault="00C2179D" w:rsidP="00EB43D8">
      <w:pPr>
        <w:pStyle w:val="Norm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1" w14:textId="77777777" w:rsidR="0074795D" w:rsidRDefault="0074795D"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0CED9" w14:textId="77777777" w:rsidR="00C2179D" w:rsidRDefault="00C2179D" w:rsidP="00EB43D8">
      <w:pPr>
        <w:pStyle w:val="Norma1"/>
      </w:pPr>
      <w:r>
        <w:separator/>
      </w:r>
    </w:p>
  </w:footnote>
  <w:footnote w:type="continuationSeparator" w:id="0">
    <w:p w14:paraId="58E0CE01" w14:textId="77777777" w:rsidR="00C2179D" w:rsidRDefault="00C2179D" w:rsidP="00EB43D8">
      <w:pPr>
        <w:pStyle w:val="Norma1"/>
      </w:pPr>
      <w:r>
        <w:continuationSeparator/>
      </w:r>
    </w:p>
  </w:footnote>
  <w:footnote w:id="1">
    <w:p w14:paraId="2430B4DB" w14:textId="77777777" w:rsidR="0074795D" w:rsidRDefault="0074795D" w:rsidP="00C007D3">
      <w:pPr>
        <w:pStyle w:val="FootnoteText"/>
      </w:pPr>
      <w:r>
        <w:rPr>
          <w:rStyle w:val="FootnoteReference"/>
        </w:rPr>
        <w:footnoteRef/>
      </w:r>
      <w:r>
        <w:t xml:space="preserve"> See: </w:t>
      </w:r>
      <w:hyperlink r:id="rId1" w:history="1">
        <w:r w:rsidRPr="00055290">
          <w:rPr>
            <w:rStyle w:val="Hyperlink"/>
          </w:rPr>
          <w:t>www.theccc.org.uk/publication/bioenergy-review/</w:t>
        </w:r>
      </w:hyperlink>
      <w:r>
        <w:t xml:space="preserve"> </w:t>
      </w:r>
    </w:p>
  </w:footnote>
  <w:footnote w:id="2">
    <w:p w14:paraId="7B970175" w14:textId="77777777" w:rsidR="0074795D" w:rsidRPr="005C73E0" w:rsidRDefault="0074795D" w:rsidP="00C007D3">
      <w:pPr>
        <w:pStyle w:val="NormalWeb"/>
        <w:spacing w:before="0" w:beforeAutospacing="0" w:after="0" w:afterAutospacing="0"/>
        <w:rPr>
          <w:rFonts w:asciiTheme="minorHAnsi" w:hAnsiTheme="minorHAnsi"/>
          <w:color w:val="000000"/>
          <w:sz w:val="20"/>
          <w:szCs w:val="20"/>
        </w:rPr>
      </w:pPr>
      <w:r w:rsidRPr="005C73E0">
        <w:rPr>
          <w:rStyle w:val="FootnoteReference"/>
          <w:rFonts w:asciiTheme="minorHAnsi" w:hAnsiTheme="minorHAnsi" w:cs="Arial"/>
          <w:sz w:val="20"/>
          <w:szCs w:val="20"/>
        </w:rPr>
        <w:footnoteRef/>
      </w:r>
      <w:r w:rsidRPr="005C73E0">
        <w:rPr>
          <w:rFonts w:asciiTheme="minorHAnsi" w:hAnsiTheme="minorHAnsi" w:cs="Arial"/>
          <w:sz w:val="20"/>
          <w:szCs w:val="20"/>
        </w:rPr>
        <w:t xml:space="preserve"> See</w:t>
      </w:r>
      <w:r w:rsidRPr="005C73E0">
        <w:rPr>
          <w:rFonts w:asciiTheme="minorHAnsi" w:hAnsiTheme="minorHAnsi"/>
          <w:sz w:val="20"/>
          <w:szCs w:val="20"/>
        </w:rPr>
        <w:t xml:space="preserve">: </w:t>
      </w:r>
      <w:hyperlink r:id="rId2" w:history="1">
        <w:r w:rsidRPr="005C73E0">
          <w:rPr>
            <w:rStyle w:val="Hyperlink"/>
            <w:rFonts w:asciiTheme="minorHAnsi" w:hAnsiTheme="minorHAnsi"/>
            <w:sz w:val="20"/>
            <w:szCs w:val="20"/>
          </w:rPr>
          <w:t>www.theccc.org.uk/archive/aws/1463%20CCC_Bio-TP3_AppropUse_6_FINALwithBkMks.pdf</w:t>
        </w:r>
      </w:hyperlink>
    </w:p>
  </w:footnote>
  <w:footnote w:id="3">
    <w:p w14:paraId="6B1FE5C7" w14:textId="1F8DF849" w:rsidR="0074795D" w:rsidRPr="005C73E0" w:rsidRDefault="0074795D" w:rsidP="00C007D3">
      <w:pPr>
        <w:pStyle w:val="NormalWeb"/>
        <w:spacing w:before="0" w:beforeAutospacing="0" w:after="0" w:afterAutospacing="0"/>
        <w:rPr>
          <w:rFonts w:ascii="Calibri" w:hAnsi="Calibri"/>
          <w:color w:val="000000"/>
          <w:sz w:val="22"/>
          <w:szCs w:val="22"/>
        </w:rPr>
      </w:pPr>
      <w:r w:rsidRPr="005C73E0">
        <w:rPr>
          <w:rStyle w:val="FootnoteReference"/>
          <w:rFonts w:asciiTheme="minorHAnsi" w:hAnsiTheme="minorHAnsi"/>
          <w:sz w:val="20"/>
          <w:szCs w:val="20"/>
        </w:rPr>
        <w:footnoteRef/>
      </w:r>
      <w:r w:rsidRPr="005C73E0">
        <w:rPr>
          <w:rFonts w:asciiTheme="minorHAnsi" w:hAnsiTheme="minorHAnsi"/>
          <w:sz w:val="20"/>
          <w:szCs w:val="20"/>
        </w:rPr>
        <w:t xml:space="preserve"> Poyry (2011) </w:t>
      </w:r>
      <w:r w:rsidRPr="005C73E0">
        <w:rPr>
          <w:rFonts w:asciiTheme="minorHAnsi" w:hAnsiTheme="minorHAnsi"/>
          <w:i/>
          <w:sz w:val="20"/>
          <w:szCs w:val="20"/>
        </w:rPr>
        <w:t>Alternative uses of biomass in decarbonising industry. December 2011.</w:t>
      </w:r>
      <w:r w:rsidRPr="005C73E0">
        <w:rPr>
          <w:rFonts w:asciiTheme="minorHAnsi" w:hAnsiTheme="minorHAnsi"/>
          <w:sz w:val="20"/>
          <w:szCs w:val="20"/>
        </w:rPr>
        <w:t xml:space="preserve"> See</w:t>
      </w:r>
      <w:r>
        <w:rPr>
          <w:rFonts w:asciiTheme="minorHAnsi" w:hAnsiTheme="minorHAnsi"/>
          <w:sz w:val="20"/>
          <w:szCs w:val="20"/>
        </w:rPr>
        <w:t xml:space="preserve"> </w:t>
      </w:r>
      <w:hyperlink r:id="rId3" w:history="1">
        <w:r w:rsidRPr="005C73E0">
          <w:rPr>
            <w:rStyle w:val="Hyperlink"/>
            <w:rFonts w:ascii="Calibri" w:hAnsi="Calibri"/>
            <w:sz w:val="20"/>
            <w:szCs w:val="20"/>
          </w:rPr>
          <w:t>www.theccc.org.uk/archive/aws/Poyry%20(2011)%20alternative%20uses%20of%20biomass%20in%20decarbonising%20industry.pdf</w:t>
        </w:r>
      </w:hyperlink>
    </w:p>
  </w:footnote>
  <w:footnote w:id="4">
    <w:p w14:paraId="24D8BE46" w14:textId="5062B34F" w:rsidR="0074795D" w:rsidRPr="00576B4E" w:rsidRDefault="0074795D" w:rsidP="00437E5B">
      <w:pPr>
        <w:pStyle w:val="FootnoteText"/>
        <w:rPr>
          <w:i/>
        </w:rPr>
      </w:pPr>
      <w:r>
        <w:rPr>
          <w:rStyle w:val="FootnoteReference"/>
        </w:rPr>
        <w:footnoteRef/>
      </w:r>
      <w:r>
        <w:t xml:space="preserve"> For more statistics on WIC in the UK, see: Structural Timber Association (2016) </w:t>
      </w:r>
      <w:r>
        <w:rPr>
          <w:i/>
        </w:rPr>
        <w:t>Annual survey of UK structural timber markets. Annual Report 2016</w:t>
      </w:r>
    </w:p>
  </w:footnote>
  <w:footnote w:id="5">
    <w:p w14:paraId="55279AC2" w14:textId="4FF64E7B" w:rsidR="0074795D" w:rsidRDefault="0074795D">
      <w:pPr>
        <w:pStyle w:val="FootnoteText"/>
      </w:pPr>
      <w:r>
        <w:rPr>
          <w:rStyle w:val="FootnoteReference"/>
        </w:rPr>
        <w:footnoteRef/>
      </w:r>
      <w:r>
        <w:t xml:space="preserve"> For an example of industry claims relating to the wider benefits of substituted products see the Brick Development Association’s response to the 2011 Poyry report ‘Alternative uses of biomass in decarbonising energy’. </w:t>
      </w:r>
      <w:hyperlink r:id="rId4" w:history="1">
        <w:r w:rsidRPr="0004214D">
          <w:rPr>
            <w:rStyle w:val="Hyperlink"/>
          </w:rPr>
          <w:t>https://www.theccc.org.uk/archive/aws/2012-04-04%20Poyry%20Report%20Review%20Letter%20-%20Re%20issued%2020-07-12.pdf</w:t>
        </w:r>
      </w:hyperlink>
      <w:r>
        <w:t xml:space="preserve"> </w:t>
      </w:r>
    </w:p>
  </w:footnote>
  <w:footnote w:id="6">
    <w:p w14:paraId="26D98F13" w14:textId="77777777" w:rsidR="0074795D" w:rsidRDefault="0074795D" w:rsidP="00373B01">
      <w:pPr>
        <w:pStyle w:val="FootnoteText"/>
      </w:pPr>
      <w:r>
        <w:rPr>
          <w:rStyle w:val="FootnoteReference"/>
        </w:rPr>
        <w:footnoteRef/>
      </w:r>
      <w:r>
        <w:t xml:space="preserve"> We will help develop assumptions on future scenarios for UK industrial </w:t>
      </w:r>
      <w:r w:rsidRPr="0057214F">
        <w:t>emissions and future share of imports.</w:t>
      </w:r>
    </w:p>
  </w:footnote>
  <w:footnote w:id="7">
    <w:p w14:paraId="41BF024C" w14:textId="77777777" w:rsidR="0074795D" w:rsidRPr="00491BDD" w:rsidRDefault="0074795D" w:rsidP="00C007D3">
      <w:pPr>
        <w:pStyle w:val="NormalWeb"/>
        <w:spacing w:before="0" w:beforeAutospacing="0" w:after="0" w:afterAutospacing="0"/>
        <w:rPr>
          <w:rFonts w:asciiTheme="minorHAnsi" w:hAnsiTheme="minorHAnsi"/>
          <w:color w:val="000000"/>
          <w:sz w:val="20"/>
          <w:szCs w:val="20"/>
        </w:rPr>
      </w:pPr>
      <w:r w:rsidRPr="005B690D">
        <w:rPr>
          <w:rStyle w:val="FootnoteReference"/>
          <w:rFonts w:asciiTheme="minorHAnsi" w:hAnsiTheme="minorHAnsi"/>
          <w:sz w:val="20"/>
          <w:szCs w:val="20"/>
        </w:rPr>
        <w:footnoteRef/>
      </w:r>
      <w:r w:rsidRPr="005B690D">
        <w:rPr>
          <w:rFonts w:asciiTheme="minorHAnsi" w:hAnsiTheme="minorHAnsi"/>
          <w:sz w:val="20"/>
          <w:szCs w:val="20"/>
        </w:rPr>
        <w:t xml:space="preserve"> BEIS (2016) </w:t>
      </w:r>
      <w:r w:rsidRPr="00FC71DA">
        <w:rPr>
          <w:rFonts w:asciiTheme="minorHAnsi" w:hAnsiTheme="minorHAnsi"/>
          <w:i/>
          <w:sz w:val="20"/>
          <w:szCs w:val="20"/>
        </w:rPr>
        <w:t>UK bioeconomy: Call for Evidence</w:t>
      </w:r>
      <w:r w:rsidRPr="005B690D">
        <w:rPr>
          <w:rFonts w:asciiTheme="minorHAnsi" w:hAnsiTheme="minorHAnsi"/>
          <w:sz w:val="20"/>
          <w:szCs w:val="20"/>
        </w:rPr>
        <w:t xml:space="preserve">. See </w:t>
      </w:r>
      <w:hyperlink r:id="rId5" w:history="1">
        <w:r w:rsidRPr="00055290">
          <w:rPr>
            <w:rStyle w:val="Hyperlink"/>
            <w:rFonts w:asciiTheme="minorHAnsi" w:hAnsiTheme="minorHAnsi"/>
            <w:sz w:val="20"/>
            <w:szCs w:val="20"/>
          </w:rPr>
          <w:t>www.gov.uk/government/consultations/uk-bioeconomy-call-for-evidence</w:t>
        </w:r>
      </w:hyperlink>
    </w:p>
  </w:footnote>
  <w:footnote w:id="8">
    <w:p w14:paraId="71F8C855" w14:textId="77777777" w:rsidR="0074795D" w:rsidRPr="00491BDD" w:rsidRDefault="0074795D" w:rsidP="00992ADD">
      <w:pPr>
        <w:pStyle w:val="FootnoteText"/>
      </w:pPr>
      <w:r>
        <w:rPr>
          <w:rStyle w:val="FootnoteReference"/>
        </w:rPr>
        <w:footnoteRef/>
      </w:r>
      <w:r>
        <w:t xml:space="preserve"> Capital Economics, TBR and E4Tech (2016) </w:t>
      </w:r>
      <w:r>
        <w:rPr>
          <w:i/>
        </w:rPr>
        <w:t>Evidencing the bioeconomy</w:t>
      </w:r>
      <w:r>
        <w:t xml:space="preserve">. See </w:t>
      </w:r>
      <w:hyperlink r:id="rId6" w:history="1">
        <w:r w:rsidRPr="00055290">
          <w:rPr>
            <w:rStyle w:val="Hyperlink"/>
          </w:rPr>
          <w:t>www.bbsrc.ac.uk/documents/1607-evidencing-the-bioeconomy-report</w:t>
        </w:r>
      </w:hyperlink>
      <w:r>
        <w:t xml:space="preserve"> </w:t>
      </w:r>
    </w:p>
  </w:footnote>
  <w:footnote w:id="9">
    <w:p w14:paraId="110AE14E" w14:textId="77777777" w:rsidR="0074795D" w:rsidRPr="003050EF" w:rsidRDefault="0074795D" w:rsidP="00224DAF">
      <w:pPr>
        <w:pStyle w:val="FootnoteText"/>
      </w:pPr>
      <w:r>
        <w:rPr>
          <w:rStyle w:val="FootnoteReference"/>
        </w:rPr>
        <w:footnoteRef/>
      </w:r>
      <w:r>
        <w:t xml:space="preserve"> Poyry (2011) </w:t>
      </w:r>
      <w:r>
        <w:rPr>
          <w:i/>
        </w:rPr>
        <w:t>Alternative uses of biomass in decarbonising industry: A Report to the Committee on Climate Change.</w:t>
      </w:r>
      <w:r>
        <w:t xml:space="preserve"> Available at: </w:t>
      </w:r>
      <w:hyperlink r:id="rId7" w:history="1">
        <w:r w:rsidRPr="004C66AC">
          <w:rPr>
            <w:rStyle w:val="Hyperlink"/>
          </w:rPr>
          <w:t>https://www.theccc.org.uk/publication/bioenergy-review/</w:t>
        </w:r>
      </w:hyperlink>
      <w:r>
        <w:t xml:space="preserve"> </w:t>
      </w:r>
    </w:p>
  </w:footnote>
  <w:footnote w:id="10">
    <w:p w14:paraId="507E01C3" w14:textId="758A6489" w:rsidR="0074795D" w:rsidRDefault="0074795D">
      <w:pPr>
        <w:pStyle w:val="FootnoteText"/>
      </w:pPr>
      <w:r>
        <w:rPr>
          <w:rStyle w:val="FootnoteReference"/>
        </w:rPr>
        <w:footnoteRef/>
      </w:r>
      <w:r>
        <w:t xml:space="preserve"> Specifically, the higher proportion of new buildings in Scotland which use wood as part of the construction.</w:t>
      </w:r>
    </w:p>
  </w:footnote>
  <w:footnote w:id="11">
    <w:p w14:paraId="1FE0F6E4" w14:textId="0E61FCF8" w:rsidR="0074795D" w:rsidRDefault="0074795D">
      <w:pPr>
        <w:pStyle w:val="FootnoteText"/>
      </w:pPr>
      <w:r>
        <w:rPr>
          <w:rStyle w:val="FootnoteReference"/>
        </w:rPr>
        <w:footnoteRef/>
      </w:r>
      <w:r>
        <w:t xml:space="preserve"> Please note that a single ‘deep-dive’ assessment is expected to cover a group of similar applications within the same broad sector, not simply one bio-based product substitution. For example we expect the deep-dive assessment of WIC to include (inter alia) consideration of multiple wood-based products such as Glue Laminated Timber, Cross Laminated Timber and cladding panels.</w:t>
      </w:r>
    </w:p>
  </w:footnote>
  <w:footnote w:id="12">
    <w:p w14:paraId="4529A04F" w14:textId="292905DE" w:rsidR="0074795D" w:rsidRDefault="0074795D">
      <w:pPr>
        <w:pStyle w:val="FootnoteText"/>
      </w:pPr>
      <w:r>
        <w:rPr>
          <w:rStyle w:val="FootnoteReference"/>
        </w:rPr>
        <w:footnoteRef/>
      </w:r>
      <w:r>
        <w:t xml:space="preserve"> The disposal option used for wood products at the end of their life can have large impacts on GHG emissions balances. See Forest Research (2014) </w:t>
      </w:r>
      <w:r w:rsidRPr="004B484D">
        <w:rPr>
          <w:rFonts w:asciiTheme="minorHAnsi" w:hAnsiTheme="minorHAnsi"/>
          <w:i/>
          <w:color w:val="000000"/>
        </w:rPr>
        <w:t>Carbon impacts of using biomass in bioenergy a</w:t>
      </w:r>
      <w:r>
        <w:rPr>
          <w:rFonts w:asciiTheme="minorHAnsi" w:hAnsiTheme="minorHAnsi"/>
          <w:i/>
          <w:color w:val="000000"/>
        </w:rPr>
        <w:t>nd other sectors: forests</w:t>
      </w:r>
    </w:p>
  </w:footnote>
  <w:footnote w:id="13">
    <w:p w14:paraId="6D2C7773" w14:textId="77777777" w:rsidR="0074795D" w:rsidRPr="004B484D" w:rsidRDefault="0074795D" w:rsidP="00FD5AD2">
      <w:pPr>
        <w:pStyle w:val="NormalWeb"/>
        <w:spacing w:before="0" w:beforeAutospacing="0" w:after="0" w:afterAutospacing="0"/>
        <w:rPr>
          <w:rFonts w:asciiTheme="minorHAnsi" w:hAnsiTheme="minorHAnsi"/>
          <w:color w:val="000000"/>
          <w:sz w:val="20"/>
          <w:szCs w:val="20"/>
        </w:rPr>
      </w:pPr>
      <w:r w:rsidRPr="004B484D">
        <w:rPr>
          <w:rStyle w:val="FootnoteReference"/>
          <w:rFonts w:asciiTheme="minorHAnsi" w:hAnsiTheme="minorHAnsi"/>
          <w:sz w:val="20"/>
          <w:szCs w:val="20"/>
        </w:rPr>
        <w:footnoteRef/>
      </w:r>
      <w:r w:rsidRPr="004B484D">
        <w:rPr>
          <w:rFonts w:asciiTheme="minorHAnsi" w:hAnsiTheme="minorHAnsi"/>
          <w:sz w:val="20"/>
          <w:szCs w:val="20"/>
        </w:rPr>
        <w:t xml:space="preserve"> See Robson et al (2014) </w:t>
      </w:r>
      <w:r w:rsidRPr="004B484D">
        <w:rPr>
          <w:rFonts w:asciiTheme="minorHAnsi" w:hAnsiTheme="minorHAnsi"/>
          <w:i/>
          <w:iCs/>
          <w:color w:val="000000"/>
          <w:sz w:val="20"/>
          <w:szCs w:val="20"/>
        </w:rPr>
        <w:t>Carbon sequestered in UK forest products and wood based panels in construction: helping to meet UK’s greenhouse gas emission reduction targets</w:t>
      </w:r>
    </w:p>
  </w:footnote>
  <w:footnote w:id="14">
    <w:p w14:paraId="4CA0A74E" w14:textId="77777777" w:rsidR="0074795D" w:rsidRDefault="0074795D" w:rsidP="0033434C">
      <w:pPr>
        <w:pStyle w:val="FootnoteText"/>
      </w:pPr>
      <w:r>
        <w:rPr>
          <w:rStyle w:val="FootnoteReference"/>
        </w:rPr>
        <w:footnoteRef/>
      </w:r>
      <w:r>
        <w:t xml:space="preserve"> See Forest Research (2014) </w:t>
      </w:r>
      <w:r w:rsidRPr="004B484D">
        <w:rPr>
          <w:rFonts w:asciiTheme="minorHAnsi" w:hAnsiTheme="minorHAnsi"/>
          <w:i/>
          <w:color w:val="000000"/>
        </w:rPr>
        <w:t>Carbon impacts of using biomass in bioenergy a</w:t>
      </w:r>
      <w:r>
        <w:rPr>
          <w:rFonts w:asciiTheme="minorHAnsi" w:hAnsiTheme="minorHAnsi"/>
          <w:i/>
          <w:color w:val="000000"/>
        </w:rPr>
        <w:t>nd other sectors: forests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74795D" w:rsidRDefault="0074795D" w:rsidP="005F738A">
    <w:pPr>
      <w:pStyle w:val="Header"/>
    </w:pPr>
    <w:r w:rsidRPr="0097210C">
      <w:rPr>
        <w:b/>
        <w:noProof/>
        <w:lang w:eastAsia="en-GB"/>
      </w:rPr>
      <w:drawing>
        <wp:inline distT="0" distB="0" distL="0" distR="0" wp14:anchorId="4AA5F1E7" wp14:editId="2519C171">
          <wp:extent cx="2674189" cy="1949569"/>
          <wp:effectExtent l="0" t="0" r="0" b="0"/>
          <wp:docPr id="1" name="Picture 1"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96453A"/>
    <w:multiLevelType w:val="multilevel"/>
    <w:tmpl w:val="0E10DA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D6635F3"/>
    <w:multiLevelType w:val="hybridMultilevel"/>
    <w:tmpl w:val="CE60E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863ED"/>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56E51"/>
    <w:multiLevelType w:val="hybridMultilevel"/>
    <w:tmpl w:val="65887636"/>
    <w:lvl w:ilvl="0" w:tplc="69DEC7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6B761A"/>
    <w:multiLevelType w:val="hybridMultilevel"/>
    <w:tmpl w:val="3D9C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D37BB"/>
    <w:multiLevelType w:val="hybridMultilevel"/>
    <w:tmpl w:val="19C8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10118"/>
    <w:multiLevelType w:val="hybridMultilevel"/>
    <w:tmpl w:val="0B180872"/>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8350F5"/>
    <w:multiLevelType w:val="hybridMultilevel"/>
    <w:tmpl w:val="95E8491A"/>
    <w:lvl w:ilvl="0" w:tplc="DBE8D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C4A9A"/>
    <w:multiLevelType w:val="hybridMultilevel"/>
    <w:tmpl w:val="5DFCE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306A4"/>
    <w:multiLevelType w:val="hybridMultilevel"/>
    <w:tmpl w:val="EBC807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11A0116"/>
    <w:multiLevelType w:val="hybridMultilevel"/>
    <w:tmpl w:val="968C14A8"/>
    <w:lvl w:ilvl="0" w:tplc="5D504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969AA"/>
    <w:multiLevelType w:val="hybridMultilevel"/>
    <w:tmpl w:val="3986177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31F03"/>
    <w:multiLevelType w:val="hybridMultilevel"/>
    <w:tmpl w:val="9102A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13F508D"/>
    <w:multiLevelType w:val="hybridMultilevel"/>
    <w:tmpl w:val="9B6E69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60A77"/>
    <w:multiLevelType w:val="hybridMultilevel"/>
    <w:tmpl w:val="0B180872"/>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C64AAB"/>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D6B52"/>
    <w:multiLevelType w:val="hybridMultilevel"/>
    <w:tmpl w:val="EBEA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66FB1"/>
    <w:multiLevelType w:val="hybridMultilevel"/>
    <w:tmpl w:val="672673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E3294C"/>
    <w:multiLevelType w:val="hybridMultilevel"/>
    <w:tmpl w:val="F71482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415615F"/>
    <w:multiLevelType w:val="hybridMultilevel"/>
    <w:tmpl w:val="AA5E5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CF179E"/>
    <w:multiLevelType w:val="hybridMultilevel"/>
    <w:tmpl w:val="8E2E0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BF7652"/>
    <w:multiLevelType w:val="hybridMultilevel"/>
    <w:tmpl w:val="968C14A8"/>
    <w:lvl w:ilvl="0" w:tplc="5D504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682535"/>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984A4D"/>
    <w:multiLevelType w:val="hybridMultilevel"/>
    <w:tmpl w:val="29180A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7444EA"/>
    <w:multiLevelType w:val="hybridMultilevel"/>
    <w:tmpl w:val="0B564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8C392F"/>
    <w:multiLevelType w:val="hybridMultilevel"/>
    <w:tmpl w:val="9D58E87E"/>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2F031B3"/>
    <w:multiLevelType w:val="hybridMultilevel"/>
    <w:tmpl w:val="B82E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3CCA"/>
    <w:multiLevelType w:val="hybridMultilevel"/>
    <w:tmpl w:val="A18E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54863"/>
    <w:multiLevelType w:val="hybridMultilevel"/>
    <w:tmpl w:val="3986177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AEF7684"/>
    <w:multiLevelType w:val="hybridMultilevel"/>
    <w:tmpl w:val="D6D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190050"/>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D11BF0"/>
    <w:multiLevelType w:val="hybridMultilevel"/>
    <w:tmpl w:val="FAE8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1"/>
  </w:num>
  <w:num w:numId="4">
    <w:abstractNumId w:val="3"/>
  </w:num>
  <w:num w:numId="5">
    <w:abstractNumId w:val="5"/>
  </w:num>
  <w:num w:numId="6">
    <w:abstractNumId w:val="18"/>
  </w:num>
  <w:num w:numId="7">
    <w:abstractNumId w:val="0"/>
  </w:num>
  <w:num w:numId="8">
    <w:abstractNumId w:val="27"/>
  </w:num>
  <w:num w:numId="9">
    <w:abstractNumId w:val="28"/>
  </w:num>
  <w:num w:numId="10">
    <w:abstractNumId w:val="23"/>
  </w:num>
  <w:num w:numId="11">
    <w:abstractNumId w:val="22"/>
  </w:num>
  <w:num w:numId="12">
    <w:abstractNumId w:val="33"/>
  </w:num>
  <w:num w:numId="13">
    <w:abstractNumId w:val="4"/>
  </w:num>
  <w:num w:numId="14">
    <w:abstractNumId w:val="11"/>
  </w:num>
  <w:num w:numId="15">
    <w:abstractNumId w:val="25"/>
  </w:num>
  <w:num w:numId="16">
    <w:abstractNumId w:val="29"/>
  </w:num>
  <w:num w:numId="17">
    <w:abstractNumId w:val="7"/>
  </w:num>
  <w:num w:numId="18">
    <w:abstractNumId w:val="16"/>
  </w:num>
  <w:num w:numId="19">
    <w:abstractNumId w:val="9"/>
  </w:num>
  <w:num w:numId="20">
    <w:abstractNumId w:val="2"/>
  </w:num>
  <w:num w:numId="21">
    <w:abstractNumId w:val="3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0"/>
  </w:num>
  <w:num w:numId="25">
    <w:abstractNumId w:val="12"/>
  </w:num>
  <w:num w:numId="26">
    <w:abstractNumId w:val="15"/>
  </w:num>
  <w:num w:numId="27">
    <w:abstractNumId w:val="34"/>
  </w:num>
  <w:num w:numId="28">
    <w:abstractNumId w:val="31"/>
  </w:num>
  <w:num w:numId="29">
    <w:abstractNumId w:val="8"/>
  </w:num>
  <w:num w:numId="30">
    <w:abstractNumId w:val="17"/>
  </w:num>
  <w:num w:numId="31">
    <w:abstractNumId w:val="1"/>
  </w:num>
  <w:num w:numId="32">
    <w:abstractNumId w:val="24"/>
  </w:num>
  <w:num w:numId="33">
    <w:abstractNumId w:val="30"/>
  </w:num>
  <w:num w:numId="34">
    <w:abstractNumId w:val="6"/>
  </w:num>
  <w:num w:numId="35">
    <w:abstractNumId w:val="13"/>
  </w:num>
  <w:num w:numId="36">
    <w:abstractNumId w:val="10"/>
  </w:num>
  <w:num w:numId="3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130"/>
    <w:rsid w:val="000036BE"/>
    <w:rsid w:val="00003C03"/>
    <w:rsid w:val="00004868"/>
    <w:rsid w:val="00004E3D"/>
    <w:rsid w:val="00006AF6"/>
    <w:rsid w:val="0000739E"/>
    <w:rsid w:val="000073D8"/>
    <w:rsid w:val="00011796"/>
    <w:rsid w:val="00011798"/>
    <w:rsid w:val="00013581"/>
    <w:rsid w:val="0001392C"/>
    <w:rsid w:val="00013995"/>
    <w:rsid w:val="00013C66"/>
    <w:rsid w:val="00014519"/>
    <w:rsid w:val="00014A0F"/>
    <w:rsid w:val="00014A40"/>
    <w:rsid w:val="00014D13"/>
    <w:rsid w:val="000153FE"/>
    <w:rsid w:val="000156A8"/>
    <w:rsid w:val="00015976"/>
    <w:rsid w:val="00015BB3"/>
    <w:rsid w:val="00015CF9"/>
    <w:rsid w:val="00015E25"/>
    <w:rsid w:val="0001616D"/>
    <w:rsid w:val="00016416"/>
    <w:rsid w:val="00016B75"/>
    <w:rsid w:val="00016EE1"/>
    <w:rsid w:val="000174B1"/>
    <w:rsid w:val="00017799"/>
    <w:rsid w:val="00017884"/>
    <w:rsid w:val="000209A6"/>
    <w:rsid w:val="00020AA1"/>
    <w:rsid w:val="000211AD"/>
    <w:rsid w:val="00021797"/>
    <w:rsid w:val="00022105"/>
    <w:rsid w:val="00023086"/>
    <w:rsid w:val="0002313F"/>
    <w:rsid w:val="000235D4"/>
    <w:rsid w:val="000238CE"/>
    <w:rsid w:val="00023E5D"/>
    <w:rsid w:val="00024573"/>
    <w:rsid w:val="000249BF"/>
    <w:rsid w:val="00025795"/>
    <w:rsid w:val="00025B72"/>
    <w:rsid w:val="000260AD"/>
    <w:rsid w:val="00026111"/>
    <w:rsid w:val="00026F2A"/>
    <w:rsid w:val="00030381"/>
    <w:rsid w:val="00030A13"/>
    <w:rsid w:val="00031104"/>
    <w:rsid w:val="00031ABF"/>
    <w:rsid w:val="00034DF2"/>
    <w:rsid w:val="00034DFB"/>
    <w:rsid w:val="000357F1"/>
    <w:rsid w:val="00035F9B"/>
    <w:rsid w:val="00036F81"/>
    <w:rsid w:val="000402C3"/>
    <w:rsid w:val="0004047B"/>
    <w:rsid w:val="00040977"/>
    <w:rsid w:val="00040BD3"/>
    <w:rsid w:val="00040D57"/>
    <w:rsid w:val="0004128F"/>
    <w:rsid w:val="00042622"/>
    <w:rsid w:val="000437BC"/>
    <w:rsid w:val="000442CA"/>
    <w:rsid w:val="00045F69"/>
    <w:rsid w:val="00046E46"/>
    <w:rsid w:val="000514E1"/>
    <w:rsid w:val="00051571"/>
    <w:rsid w:val="00052BF9"/>
    <w:rsid w:val="00053592"/>
    <w:rsid w:val="00053F76"/>
    <w:rsid w:val="00054C04"/>
    <w:rsid w:val="00054C78"/>
    <w:rsid w:val="00055B96"/>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6CD"/>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43E"/>
    <w:rsid w:val="00080502"/>
    <w:rsid w:val="000806CD"/>
    <w:rsid w:val="00080725"/>
    <w:rsid w:val="0008124C"/>
    <w:rsid w:val="00081EB9"/>
    <w:rsid w:val="000822D5"/>
    <w:rsid w:val="0008262D"/>
    <w:rsid w:val="00082E6D"/>
    <w:rsid w:val="00082F62"/>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264"/>
    <w:rsid w:val="00097813"/>
    <w:rsid w:val="000A2028"/>
    <w:rsid w:val="000A36AE"/>
    <w:rsid w:val="000A3759"/>
    <w:rsid w:val="000A3A7B"/>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305"/>
    <w:rsid w:val="000C157D"/>
    <w:rsid w:val="000C18D0"/>
    <w:rsid w:val="000C2110"/>
    <w:rsid w:val="000C29B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92C"/>
    <w:rsid w:val="000E1E58"/>
    <w:rsid w:val="000E2047"/>
    <w:rsid w:val="000E2347"/>
    <w:rsid w:val="000E2C6A"/>
    <w:rsid w:val="000E33B7"/>
    <w:rsid w:val="000E3DEA"/>
    <w:rsid w:val="000E4D0E"/>
    <w:rsid w:val="000E53DB"/>
    <w:rsid w:val="000E56BA"/>
    <w:rsid w:val="000E605A"/>
    <w:rsid w:val="000E60E6"/>
    <w:rsid w:val="000E657E"/>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9C2"/>
    <w:rsid w:val="00103E3B"/>
    <w:rsid w:val="00104197"/>
    <w:rsid w:val="001052DF"/>
    <w:rsid w:val="00105CAD"/>
    <w:rsid w:val="00106096"/>
    <w:rsid w:val="001060C6"/>
    <w:rsid w:val="0011055B"/>
    <w:rsid w:val="00111E58"/>
    <w:rsid w:val="00111EBB"/>
    <w:rsid w:val="00111FE9"/>
    <w:rsid w:val="001120A5"/>
    <w:rsid w:val="001122F1"/>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00C"/>
    <w:rsid w:val="00123880"/>
    <w:rsid w:val="00123F44"/>
    <w:rsid w:val="00124072"/>
    <w:rsid w:val="001253AE"/>
    <w:rsid w:val="001263B0"/>
    <w:rsid w:val="001266BA"/>
    <w:rsid w:val="00126888"/>
    <w:rsid w:val="0012785A"/>
    <w:rsid w:val="00127892"/>
    <w:rsid w:val="00130119"/>
    <w:rsid w:val="00130F60"/>
    <w:rsid w:val="001336CC"/>
    <w:rsid w:val="0013378E"/>
    <w:rsid w:val="00133BA4"/>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9FB"/>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6CC5"/>
    <w:rsid w:val="00176E0C"/>
    <w:rsid w:val="00177003"/>
    <w:rsid w:val="0018093D"/>
    <w:rsid w:val="00180A58"/>
    <w:rsid w:val="0018144F"/>
    <w:rsid w:val="00181796"/>
    <w:rsid w:val="00182087"/>
    <w:rsid w:val="00182296"/>
    <w:rsid w:val="001825DA"/>
    <w:rsid w:val="00183D41"/>
    <w:rsid w:val="00183E6B"/>
    <w:rsid w:val="00184496"/>
    <w:rsid w:val="001877C8"/>
    <w:rsid w:val="00187A2E"/>
    <w:rsid w:val="00187D0B"/>
    <w:rsid w:val="0019065C"/>
    <w:rsid w:val="001911B4"/>
    <w:rsid w:val="001914C9"/>
    <w:rsid w:val="00192A40"/>
    <w:rsid w:val="00192C0C"/>
    <w:rsid w:val="00192CDD"/>
    <w:rsid w:val="00193F8E"/>
    <w:rsid w:val="001946EB"/>
    <w:rsid w:val="0019786A"/>
    <w:rsid w:val="001A1F4F"/>
    <w:rsid w:val="001A1FA4"/>
    <w:rsid w:val="001A380A"/>
    <w:rsid w:val="001A4227"/>
    <w:rsid w:val="001A4BE7"/>
    <w:rsid w:val="001A5F6A"/>
    <w:rsid w:val="001A6304"/>
    <w:rsid w:val="001A6487"/>
    <w:rsid w:val="001A6585"/>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30BA"/>
    <w:rsid w:val="001D4DDF"/>
    <w:rsid w:val="001D5010"/>
    <w:rsid w:val="001D5D04"/>
    <w:rsid w:val="001D5D56"/>
    <w:rsid w:val="001D6493"/>
    <w:rsid w:val="001D7041"/>
    <w:rsid w:val="001E014D"/>
    <w:rsid w:val="001E0589"/>
    <w:rsid w:val="001E07A7"/>
    <w:rsid w:val="001E0B6F"/>
    <w:rsid w:val="001E15AD"/>
    <w:rsid w:val="001E3BA2"/>
    <w:rsid w:val="001E3D66"/>
    <w:rsid w:val="001E4BE7"/>
    <w:rsid w:val="001E52C2"/>
    <w:rsid w:val="001E5858"/>
    <w:rsid w:val="001E58A8"/>
    <w:rsid w:val="001E66BE"/>
    <w:rsid w:val="001E749C"/>
    <w:rsid w:val="001F085F"/>
    <w:rsid w:val="001F0E06"/>
    <w:rsid w:val="001F1F20"/>
    <w:rsid w:val="001F2F89"/>
    <w:rsid w:val="001F3CF9"/>
    <w:rsid w:val="001F4630"/>
    <w:rsid w:val="001F4DA0"/>
    <w:rsid w:val="001F4F20"/>
    <w:rsid w:val="001F644B"/>
    <w:rsid w:val="001F6463"/>
    <w:rsid w:val="001F75AB"/>
    <w:rsid w:val="001F7FAB"/>
    <w:rsid w:val="0020020F"/>
    <w:rsid w:val="0020047E"/>
    <w:rsid w:val="00200C5B"/>
    <w:rsid w:val="0020137A"/>
    <w:rsid w:val="00201D1D"/>
    <w:rsid w:val="00203272"/>
    <w:rsid w:val="00204E68"/>
    <w:rsid w:val="002061A0"/>
    <w:rsid w:val="00206939"/>
    <w:rsid w:val="0020695E"/>
    <w:rsid w:val="00206992"/>
    <w:rsid w:val="00206FE9"/>
    <w:rsid w:val="002073BA"/>
    <w:rsid w:val="002105E4"/>
    <w:rsid w:val="002109B5"/>
    <w:rsid w:val="00210D71"/>
    <w:rsid w:val="00211193"/>
    <w:rsid w:val="00211562"/>
    <w:rsid w:val="00212269"/>
    <w:rsid w:val="00212DA5"/>
    <w:rsid w:val="00213F1A"/>
    <w:rsid w:val="002152CC"/>
    <w:rsid w:val="0021679F"/>
    <w:rsid w:val="00216ACB"/>
    <w:rsid w:val="0021724C"/>
    <w:rsid w:val="002174A1"/>
    <w:rsid w:val="002203AF"/>
    <w:rsid w:val="00220792"/>
    <w:rsid w:val="002208AE"/>
    <w:rsid w:val="00220F36"/>
    <w:rsid w:val="0022106F"/>
    <w:rsid w:val="00221A0D"/>
    <w:rsid w:val="00221B09"/>
    <w:rsid w:val="00221F58"/>
    <w:rsid w:val="00222C48"/>
    <w:rsid w:val="00222DF8"/>
    <w:rsid w:val="002240C8"/>
    <w:rsid w:val="00224DAF"/>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72F"/>
    <w:rsid w:val="00263BCE"/>
    <w:rsid w:val="00265940"/>
    <w:rsid w:val="00266DFF"/>
    <w:rsid w:val="00267145"/>
    <w:rsid w:val="002673E0"/>
    <w:rsid w:val="00270012"/>
    <w:rsid w:val="0027038A"/>
    <w:rsid w:val="00271DED"/>
    <w:rsid w:val="00272626"/>
    <w:rsid w:val="00272E19"/>
    <w:rsid w:val="00273493"/>
    <w:rsid w:val="00273587"/>
    <w:rsid w:val="00273A3E"/>
    <w:rsid w:val="00273F4F"/>
    <w:rsid w:val="00274BE9"/>
    <w:rsid w:val="00275F70"/>
    <w:rsid w:val="00276C39"/>
    <w:rsid w:val="002776D2"/>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FA7"/>
    <w:rsid w:val="0029549D"/>
    <w:rsid w:val="00295C67"/>
    <w:rsid w:val="0029731C"/>
    <w:rsid w:val="00297DDA"/>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0B8"/>
    <w:rsid w:val="002C533F"/>
    <w:rsid w:val="002C53C0"/>
    <w:rsid w:val="002C54D9"/>
    <w:rsid w:val="002C566A"/>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6E5"/>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2F656C"/>
    <w:rsid w:val="00300BCD"/>
    <w:rsid w:val="00300E8D"/>
    <w:rsid w:val="00302045"/>
    <w:rsid w:val="003023AD"/>
    <w:rsid w:val="00302827"/>
    <w:rsid w:val="0030367D"/>
    <w:rsid w:val="003043AD"/>
    <w:rsid w:val="0030463B"/>
    <w:rsid w:val="003050EF"/>
    <w:rsid w:val="003075E1"/>
    <w:rsid w:val="00307924"/>
    <w:rsid w:val="003100B6"/>
    <w:rsid w:val="003110E9"/>
    <w:rsid w:val="00312155"/>
    <w:rsid w:val="0031436D"/>
    <w:rsid w:val="00314744"/>
    <w:rsid w:val="00320516"/>
    <w:rsid w:val="00320902"/>
    <w:rsid w:val="003221D6"/>
    <w:rsid w:val="003228D6"/>
    <w:rsid w:val="00322BEF"/>
    <w:rsid w:val="00322D80"/>
    <w:rsid w:val="003233EF"/>
    <w:rsid w:val="003236B5"/>
    <w:rsid w:val="0032387F"/>
    <w:rsid w:val="0032477C"/>
    <w:rsid w:val="00324C83"/>
    <w:rsid w:val="00324E6D"/>
    <w:rsid w:val="00324F71"/>
    <w:rsid w:val="003252EB"/>
    <w:rsid w:val="00325C18"/>
    <w:rsid w:val="00326CAC"/>
    <w:rsid w:val="00326D3A"/>
    <w:rsid w:val="003276C0"/>
    <w:rsid w:val="0032793E"/>
    <w:rsid w:val="00327C8C"/>
    <w:rsid w:val="00332155"/>
    <w:rsid w:val="00332962"/>
    <w:rsid w:val="0033434C"/>
    <w:rsid w:val="003344C0"/>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2265"/>
    <w:rsid w:val="00355955"/>
    <w:rsid w:val="003563F7"/>
    <w:rsid w:val="00357238"/>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3B01"/>
    <w:rsid w:val="003745E5"/>
    <w:rsid w:val="003747C9"/>
    <w:rsid w:val="00377705"/>
    <w:rsid w:val="00377DBD"/>
    <w:rsid w:val="00377E2E"/>
    <w:rsid w:val="0038006D"/>
    <w:rsid w:val="00380DAD"/>
    <w:rsid w:val="00380FE1"/>
    <w:rsid w:val="00381725"/>
    <w:rsid w:val="00382A62"/>
    <w:rsid w:val="00383B11"/>
    <w:rsid w:val="003840DA"/>
    <w:rsid w:val="00384532"/>
    <w:rsid w:val="003846E8"/>
    <w:rsid w:val="00386582"/>
    <w:rsid w:val="0038712C"/>
    <w:rsid w:val="003874FF"/>
    <w:rsid w:val="00387942"/>
    <w:rsid w:val="00387CC1"/>
    <w:rsid w:val="00390503"/>
    <w:rsid w:val="003911FA"/>
    <w:rsid w:val="00391C9C"/>
    <w:rsid w:val="00392A3E"/>
    <w:rsid w:val="00393117"/>
    <w:rsid w:val="00393D1B"/>
    <w:rsid w:val="00396844"/>
    <w:rsid w:val="00396C1F"/>
    <w:rsid w:val="003976BC"/>
    <w:rsid w:val="00397841"/>
    <w:rsid w:val="00397D8B"/>
    <w:rsid w:val="003A1EC8"/>
    <w:rsid w:val="003A20B1"/>
    <w:rsid w:val="003A2171"/>
    <w:rsid w:val="003A3424"/>
    <w:rsid w:val="003A38CB"/>
    <w:rsid w:val="003A461D"/>
    <w:rsid w:val="003A649D"/>
    <w:rsid w:val="003A66CE"/>
    <w:rsid w:val="003A6C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3F7E"/>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0D6A"/>
    <w:rsid w:val="003E10B2"/>
    <w:rsid w:val="003E1157"/>
    <w:rsid w:val="003E1579"/>
    <w:rsid w:val="003E3803"/>
    <w:rsid w:val="003E482D"/>
    <w:rsid w:val="003E546D"/>
    <w:rsid w:val="003E5C19"/>
    <w:rsid w:val="003E6534"/>
    <w:rsid w:val="003E6A7A"/>
    <w:rsid w:val="003F0792"/>
    <w:rsid w:val="003F0A2B"/>
    <w:rsid w:val="003F1149"/>
    <w:rsid w:val="003F13D6"/>
    <w:rsid w:val="003F2503"/>
    <w:rsid w:val="003F2838"/>
    <w:rsid w:val="003F3E01"/>
    <w:rsid w:val="003F3EAB"/>
    <w:rsid w:val="003F40F7"/>
    <w:rsid w:val="003F4D30"/>
    <w:rsid w:val="003F6218"/>
    <w:rsid w:val="003F69C9"/>
    <w:rsid w:val="003F7B05"/>
    <w:rsid w:val="003F7DF5"/>
    <w:rsid w:val="00400003"/>
    <w:rsid w:val="00400861"/>
    <w:rsid w:val="00400CBF"/>
    <w:rsid w:val="004013BF"/>
    <w:rsid w:val="0040149D"/>
    <w:rsid w:val="00401BCC"/>
    <w:rsid w:val="00401ED6"/>
    <w:rsid w:val="00404E19"/>
    <w:rsid w:val="00404E82"/>
    <w:rsid w:val="00405192"/>
    <w:rsid w:val="00405547"/>
    <w:rsid w:val="00405AC5"/>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C98"/>
    <w:rsid w:val="00432353"/>
    <w:rsid w:val="00432CCE"/>
    <w:rsid w:val="00432EDF"/>
    <w:rsid w:val="004335BC"/>
    <w:rsid w:val="004339BE"/>
    <w:rsid w:val="00435DF7"/>
    <w:rsid w:val="004363E1"/>
    <w:rsid w:val="0043663E"/>
    <w:rsid w:val="0043725A"/>
    <w:rsid w:val="00437572"/>
    <w:rsid w:val="00437E5B"/>
    <w:rsid w:val="00437F3E"/>
    <w:rsid w:val="00440E2A"/>
    <w:rsid w:val="00441D8B"/>
    <w:rsid w:val="00443073"/>
    <w:rsid w:val="00443DE6"/>
    <w:rsid w:val="00443FDA"/>
    <w:rsid w:val="00444762"/>
    <w:rsid w:val="00444878"/>
    <w:rsid w:val="00445952"/>
    <w:rsid w:val="00445CF1"/>
    <w:rsid w:val="00446D95"/>
    <w:rsid w:val="00447420"/>
    <w:rsid w:val="00447792"/>
    <w:rsid w:val="00451282"/>
    <w:rsid w:val="004520FF"/>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4EBF"/>
    <w:rsid w:val="00475747"/>
    <w:rsid w:val="0047579B"/>
    <w:rsid w:val="0047620C"/>
    <w:rsid w:val="0047638E"/>
    <w:rsid w:val="00477171"/>
    <w:rsid w:val="00477BE5"/>
    <w:rsid w:val="004804AF"/>
    <w:rsid w:val="0048051F"/>
    <w:rsid w:val="00480D1F"/>
    <w:rsid w:val="00480D80"/>
    <w:rsid w:val="00481B58"/>
    <w:rsid w:val="00481DE5"/>
    <w:rsid w:val="004827B8"/>
    <w:rsid w:val="00482EEE"/>
    <w:rsid w:val="004841E6"/>
    <w:rsid w:val="00484B4E"/>
    <w:rsid w:val="004850A0"/>
    <w:rsid w:val="004856BA"/>
    <w:rsid w:val="00485BB3"/>
    <w:rsid w:val="004861B6"/>
    <w:rsid w:val="004864F0"/>
    <w:rsid w:val="00487199"/>
    <w:rsid w:val="00490156"/>
    <w:rsid w:val="00490FCF"/>
    <w:rsid w:val="00492A89"/>
    <w:rsid w:val="00492ED8"/>
    <w:rsid w:val="004931CB"/>
    <w:rsid w:val="00494DF0"/>
    <w:rsid w:val="00495061"/>
    <w:rsid w:val="00495246"/>
    <w:rsid w:val="00495AA1"/>
    <w:rsid w:val="00496C13"/>
    <w:rsid w:val="004977B0"/>
    <w:rsid w:val="00497C45"/>
    <w:rsid w:val="00497E26"/>
    <w:rsid w:val="00497E9B"/>
    <w:rsid w:val="004A2B75"/>
    <w:rsid w:val="004A4B3D"/>
    <w:rsid w:val="004A4CDB"/>
    <w:rsid w:val="004A5774"/>
    <w:rsid w:val="004A5C1C"/>
    <w:rsid w:val="004B0C5B"/>
    <w:rsid w:val="004B11F8"/>
    <w:rsid w:val="004B1235"/>
    <w:rsid w:val="004B2057"/>
    <w:rsid w:val="004B2BB0"/>
    <w:rsid w:val="004B3AD5"/>
    <w:rsid w:val="004B40EE"/>
    <w:rsid w:val="004B484D"/>
    <w:rsid w:val="004B5652"/>
    <w:rsid w:val="004B5CDC"/>
    <w:rsid w:val="004B602B"/>
    <w:rsid w:val="004B7B6A"/>
    <w:rsid w:val="004C0ADD"/>
    <w:rsid w:val="004C1130"/>
    <w:rsid w:val="004C2190"/>
    <w:rsid w:val="004C21A4"/>
    <w:rsid w:val="004C2D78"/>
    <w:rsid w:val="004C3DCC"/>
    <w:rsid w:val="004C401B"/>
    <w:rsid w:val="004C50A6"/>
    <w:rsid w:val="004C5366"/>
    <w:rsid w:val="004C5B9F"/>
    <w:rsid w:val="004C5BF7"/>
    <w:rsid w:val="004C663B"/>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E4E"/>
    <w:rsid w:val="004E5962"/>
    <w:rsid w:val="004E6365"/>
    <w:rsid w:val="004E65D9"/>
    <w:rsid w:val="004E7928"/>
    <w:rsid w:val="004E7982"/>
    <w:rsid w:val="004E7AFD"/>
    <w:rsid w:val="004F061F"/>
    <w:rsid w:val="004F0634"/>
    <w:rsid w:val="004F10BF"/>
    <w:rsid w:val="004F1892"/>
    <w:rsid w:val="004F1A44"/>
    <w:rsid w:val="004F2653"/>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3F"/>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0B58"/>
    <w:rsid w:val="00532695"/>
    <w:rsid w:val="00532E19"/>
    <w:rsid w:val="005337F5"/>
    <w:rsid w:val="00534C58"/>
    <w:rsid w:val="00535038"/>
    <w:rsid w:val="005350F8"/>
    <w:rsid w:val="00535ABD"/>
    <w:rsid w:val="00535F0A"/>
    <w:rsid w:val="0053611B"/>
    <w:rsid w:val="00537405"/>
    <w:rsid w:val="00537E6C"/>
    <w:rsid w:val="005401AA"/>
    <w:rsid w:val="00540685"/>
    <w:rsid w:val="0054142B"/>
    <w:rsid w:val="0054198D"/>
    <w:rsid w:val="00543055"/>
    <w:rsid w:val="00543356"/>
    <w:rsid w:val="00543EE0"/>
    <w:rsid w:val="00544686"/>
    <w:rsid w:val="00544774"/>
    <w:rsid w:val="0054591C"/>
    <w:rsid w:val="00545E0E"/>
    <w:rsid w:val="00546BDC"/>
    <w:rsid w:val="00547CBF"/>
    <w:rsid w:val="00547EB4"/>
    <w:rsid w:val="00550203"/>
    <w:rsid w:val="00550B6E"/>
    <w:rsid w:val="00554FE6"/>
    <w:rsid w:val="005553CF"/>
    <w:rsid w:val="0055732C"/>
    <w:rsid w:val="005576DF"/>
    <w:rsid w:val="00560AAB"/>
    <w:rsid w:val="0056237D"/>
    <w:rsid w:val="00562C95"/>
    <w:rsid w:val="00562F93"/>
    <w:rsid w:val="005644AF"/>
    <w:rsid w:val="005665DD"/>
    <w:rsid w:val="00567328"/>
    <w:rsid w:val="00570BF6"/>
    <w:rsid w:val="00570C67"/>
    <w:rsid w:val="0057214F"/>
    <w:rsid w:val="0057260A"/>
    <w:rsid w:val="00574A2F"/>
    <w:rsid w:val="00574B0F"/>
    <w:rsid w:val="00575370"/>
    <w:rsid w:val="00575A45"/>
    <w:rsid w:val="00575D92"/>
    <w:rsid w:val="00575F56"/>
    <w:rsid w:val="005764AA"/>
    <w:rsid w:val="005769DA"/>
    <w:rsid w:val="00576AE6"/>
    <w:rsid w:val="00576B4E"/>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4D8"/>
    <w:rsid w:val="005A2AE4"/>
    <w:rsid w:val="005A3364"/>
    <w:rsid w:val="005A35E4"/>
    <w:rsid w:val="005A3776"/>
    <w:rsid w:val="005A3C4E"/>
    <w:rsid w:val="005A4D85"/>
    <w:rsid w:val="005A4E32"/>
    <w:rsid w:val="005A507B"/>
    <w:rsid w:val="005A5A9E"/>
    <w:rsid w:val="005A5AC8"/>
    <w:rsid w:val="005A5EC4"/>
    <w:rsid w:val="005A6137"/>
    <w:rsid w:val="005A701A"/>
    <w:rsid w:val="005A7FBC"/>
    <w:rsid w:val="005B076F"/>
    <w:rsid w:val="005B08D6"/>
    <w:rsid w:val="005B2155"/>
    <w:rsid w:val="005B2393"/>
    <w:rsid w:val="005B31F2"/>
    <w:rsid w:val="005B34B2"/>
    <w:rsid w:val="005B3608"/>
    <w:rsid w:val="005B386D"/>
    <w:rsid w:val="005B3E3A"/>
    <w:rsid w:val="005B46A3"/>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D3A"/>
    <w:rsid w:val="005D2FBB"/>
    <w:rsid w:val="005D439A"/>
    <w:rsid w:val="005D46B6"/>
    <w:rsid w:val="005D47B0"/>
    <w:rsid w:val="005D5089"/>
    <w:rsid w:val="005D57DB"/>
    <w:rsid w:val="005D6059"/>
    <w:rsid w:val="005D74E3"/>
    <w:rsid w:val="005E146F"/>
    <w:rsid w:val="005E1AA2"/>
    <w:rsid w:val="005E1D7F"/>
    <w:rsid w:val="005E2414"/>
    <w:rsid w:val="005E3549"/>
    <w:rsid w:val="005E3BB2"/>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093E"/>
    <w:rsid w:val="006013E3"/>
    <w:rsid w:val="00602659"/>
    <w:rsid w:val="00602CDD"/>
    <w:rsid w:val="00603A52"/>
    <w:rsid w:val="006042F1"/>
    <w:rsid w:val="00604988"/>
    <w:rsid w:val="00604FBA"/>
    <w:rsid w:val="006052A3"/>
    <w:rsid w:val="0060534F"/>
    <w:rsid w:val="00605E6E"/>
    <w:rsid w:val="00606326"/>
    <w:rsid w:val="00606B5B"/>
    <w:rsid w:val="00610A39"/>
    <w:rsid w:val="0061213E"/>
    <w:rsid w:val="00612B4B"/>
    <w:rsid w:val="00613095"/>
    <w:rsid w:val="006136EB"/>
    <w:rsid w:val="00613CCD"/>
    <w:rsid w:val="0061491B"/>
    <w:rsid w:val="00615E7C"/>
    <w:rsid w:val="006163E3"/>
    <w:rsid w:val="00616668"/>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49B9"/>
    <w:rsid w:val="0064554A"/>
    <w:rsid w:val="006459E7"/>
    <w:rsid w:val="00645A90"/>
    <w:rsid w:val="00645F57"/>
    <w:rsid w:val="00645F66"/>
    <w:rsid w:val="00646527"/>
    <w:rsid w:val="00646AF2"/>
    <w:rsid w:val="00646B89"/>
    <w:rsid w:val="00646BDE"/>
    <w:rsid w:val="00650287"/>
    <w:rsid w:val="006511BC"/>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004"/>
    <w:rsid w:val="00662990"/>
    <w:rsid w:val="00663F77"/>
    <w:rsid w:val="006648CA"/>
    <w:rsid w:val="00665049"/>
    <w:rsid w:val="0066506D"/>
    <w:rsid w:val="00665153"/>
    <w:rsid w:val="00665593"/>
    <w:rsid w:val="006660E1"/>
    <w:rsid w:val="00666133"/>
    <w:rsid w:val="00666381"/>
    <w:rsid w:val="00666D75"/>
    <w:rsid w:val="00667CDD"/>
    <w:rsid w:val="006700D3"/>
    <w:rsid w:val="00671D87"/>
    <w:rsid w:val="0067230A"/>
    <w:rsid w:val="00672A0F"/>
    <w:rsid w:val="00673C83"/>
    <w:rsid w:val="00674737"/>
    <w:rsid w:val="0067520E"/>
    <w:rsid w:val="00675CDC"/>
    <w:rsid w:val="006766CA"/>
    <w:rsid w:val="006775D4"/>
    <w:rsid w:val="00677816"/>
    <w:rsid w:val="006779F8"/>
    <w:rsid w:val="006803EF"/>
    <w:rsid w:val="00680D66"/>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4EAB"/>
    <w:rsid w:val="006A551A"/>
    <w:rsid w:val="006A5B86"/>
    <w:rsid w:val="006A5EB2"/>
    <w:rsid w:val="006A739E"/>
    <w:rsid w:val="006B18F4"/>
    <w:rsid w:val="006B1EE2"/>
    <w:rsid w:val="006B1EFC"/>
    <w:rsid w:val="006B4A3D"/>
    <w:rsid w:val="006B4A86"/>
    <w:rsid w:val="006B50F4"/>
    <w:rsid w:val="006B5381"/>
    <w:rsid w:val="006B649A"/>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4E23"/>
    <w:rsid w:val="006C63EF"/>
    <w:rsid w:val="006C6400"/>
    <w:rsid w:val="006C708E"/>
    <w:rsid w:val="006C7839"/>
    <w:rsid w:val="006D060A"/>
    <w:rsid w:val="006D09D2"/>
    <w:rsid w:val="006D1EB5"/>
    <w:rsid w:val="006D20B7"/>
    <w:rsid w:val="006D3848"/>
    <w:rsid w:val="006D3C4B"/>
    <w:rsid w:val="006D62F6"/>
    <w:rsid w:val="006D635B"/>
    <w:rsid w:val="006D645F"/>
    <w:rsid w:val="006D6807"/>
    <w:rsid w:val="006D758D"/>
    <w:rsid w:val="006D7E05"/>
    <w:rsid w:val="006E1379"/>
    <w:rsid w:val="006E31A8"/>
    <w:rsid w:val="006E44C1"/>
    <w:rsid w:val="006E49A8"/>
    <w:rsid w:val="006E5396"/>
    <w:rsid w:val="006E576B"/>
    <w:rsid w:val="006E5E48"/>
    <w:rsid w:val="006E686B"/>
    <w:rsid w:val="006E68B4"/>
    <w:rsid w:val="006E6F4C"/>
    <w:rsid w:val="006E77DF"/>
    <w:rsid w:val="006E7D4B"/>
    <w:rsid w:val="006E7E12"/>
    <w:rsid w:val="006F0FBC"/>
    <w:rsid w:val="006F1520"/>
    <w:rsid w:val="006F1DD1"/>
    <w:rsid w:val="006F2485"/>
    <w:rsid w:val="006F293F"/>
    <w:rsid w:val="006F2FBA"/>
    <w:rsid w:val="006F3B9D"/>
    <w:rsid w:val="006F3E50"/>
    <w:rsid w:val="006F4420"/>
    <w:rsid w:val="006F4A6B"/>
    <w:rsid w:val="006F53CD"/>
    <w:rsid w:val="006F5702"/>
    <w:rsid w:val="006F70A3"/>
    <w:rsid w:val="006F70B4"/>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81E"/>
    <w:rsid w:val="007179B4"/>
    <w:rsid w:val="00717C63"/>
    <w:rsid w:val="00717DE2"/>
    <w:rsid w:val="00720588"/>
    <w:rsid w:val="007206D3"/>
    <w:rsid w:val="00724754"/>
    <w:rsid w:val="00725527"/>
    <w:rsid w:val="007258A3"/>
    <w:rsid w:val="00727049"/>
    <w:rsid w:val="00730A46"/>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2B72"/>
    <w:rsid w:val="007432CD"/>
    <w:rsid w:val="00743649"/>
    <w:rsid w:val="00743A43"/>
    <w:rsid w:val="00743AF8"/>
    <w:rsid w:val="00744A16"/>
    <w:rsid w:val="00745159"/>
    <w:rsid w:val="00745A59"/>
    <w:rsid w:val="00745D6F"/>
    <w:rsid w:val="007462BE"/>
    <w:rsid w:val="007465EC"/>
    <w:rsid w:val="0074676D"/>
    <w:rsid w:val="0074737C"/>
    <w:rsid w:val="0074795D"/>
    <w:rsid w:val="00751B62"/>
    <w:rsid w:val="00752DCA"/>
    <w:rsid w:val="00753073"/>
    <w:rsid w:val="00754017"/>
    <w:rsid w:val="00754FAF"/>
    <w:rsid w:val="007550AC"/>
    <w:rsid w:val="00756AF7"/>
    <w:rsid w:val="00757761"/>
    <w:rsid w:val="00757B63"/>
    <w:rsid w:val="0076051C"/>
    <w:rsid w:val="0076184E"/>
    <w:rsid w:val="007618B0"/>
    <w:rsid w:val="00763F47"/>
    <w:rsid w:val="00764A61"/>
    <w:rsid w:val="00764F78"/>
    <w:rsid w:val="00765912"/>
    <w:rsid w:val="00766658"/>
    <w:rsid w:val="00766B47"/>
    <w:rsid w:val="00767424"/>
    <w:rsid w:val="007677D3"/>
    <w:rsid w:val="00767953"/>
    <w:rsid w:val="00767E9C"/>
    <w:rsid w:val="0077193C"/>
    <w:rsid w:val="00772912"/>
    <w:rsid w:val="007739A3"/>
    <w:rsid w:val="007744DF"/>
    <w:rsid w:val="007762E4"/>
    <w:rsid w:val="00776BDD"/>
    <w:rsid w:val="00777070"/>
    <w:rsid w:val="00777503"/>
    <w:rsid w:val="00777A99"/>
    <w:rsid w:val="00780375"/>
    <w:rsid w:val="0078042F"/>
    <w:rsid w:val="00781BF5"/>
    <w:rsid w:val="0078390D"/>
    <w:rsid w:val="00784217"/>
    <w:rsid w:val="00784241"/>
    <w:rsid w:val="00784CAA"/>
    <w:rsid w:val="0078754F"/>
    <w:rsid w:val="00787894"/>
    <w:rsid w:val="0079024F"/>
    <w:rsid w:val="007906FE"/>
    <w:rsid w:val="00790CE1"/>
    <w:rsid w:val="007918CA"/>
    <w:rsid w:val="0079191B"/>
    <w:rsid w:val="00791CD5"/>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B96"/>
    <w:rsid w:val="007B3C23"/>
    <w:rsid w:val="007B3DBA"/>
    <w:rsid w:val="007B6093"/>
    <w:rsid w:val="007B6157"/>
    <w:rsid w:val="007B63BF"/>
    <w:rsid w:val="007B6497"/>
    <w:rsid w:val="007B6560"/>
    <w:rsid w:val="007B668D"/>
    <w:rsid w:val="007B75F9"/>
    <w:rsid w:val="007B7651"/>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75A"/>
    <w:rsid w:val="007C3DE6"/>
    <w:rsid w:val="007C43D5"/>
    <w:rsid w:val="007C59AF"/>
    <w:rsid w:val="007C620D"/>
    <w:rsid w:val="007C661F"/>
    <w:rsid w:val="007C7DF0"/>
    <w:rsid w:val="007D0B26"/>
    <w:rsid w:val="007D0D99"/>
    <w:rsid w:val="007D1049"/>
    <w:rsid w:val="007D16D7"/>
    <w:rsid w:val="007D1A3E"/>
    <w:rsid w:val="007D28A7"/>
    <w:rsid w:val="007D3018"/>
    <w:rsid w:val="007D355B"/>
    <w:rsid w:val="007D382F"/>
    <w:rsid w:val="007D4E3C"/>
    <w:rsid w:val="007D5390"/>
    <w:rsid w:val="007D6D9F"/>
    <w:rsid w:val="007E0930"/>
    <w:rsid w:val="007E0FD2"/>
    <w:rsid w:val="007E14E4"/>
    <w:rsid w:val="007E18EF"/>
    <w:rsid w:val="007E1D13"/>
    <w:rsid w:val="007E1F6F"/>
    <w:rsid w:val="007E24B7"/>
    <w:rsid w:val="007E28C3"/>
    <w:rsid w:val="007E2A58"/>
    <w:rsid w:val="007E4738"/>
    <w:rsid w:val="007E5156"/>
    <w:rsid w:val="007E57CD"/>
    <w:rsid w:val="007E5BFF"/>
    <w:rsid w:val="007E6125"/>
    <w:rsid w:val="007E6D25"/>
    <w:rsid w:val="007E6F32"/>
    <w:rsid w:val="007E7DED"/>
    <w:rsid w:val="007F2BC0"/>
    <w:rsid w:val="007F324C"/>
    <w:rsid w:val="007F379D"/>
    <w:rsid w:val="007F49CB"/>
    <w:rsid w:val="007F5016"/>
    <w:rsid w:val="007F59C0"/>
    <w:rsid w:val="007F6ED8"/>
    <w:rsid w:val="007F77FF"/>
    <w:rsid w:val="00801649"/>
    <w:rsid w:val="00801A11"/>
    <w:rsid w:val="00801CCB"/>
    <w:rsid w:val="008022E1"/>
    <w:rsid w:val="00802C0A"/>
    <w:rsid w:val="00802D38"/>
    <w:rsid w:val="00802D74"/>
    <w:rsid w:val="00802F1B"/>
    <w:rsid w:val="008036AA"/>
    <w:rsid w:val="00804030"/>
    <w:rsid w:val="00804221"/>
    <w:rsid w:val="008049F8"/>
    <w:rsid w:val="00805063"/>
    <w:rsid w:val="008056CC"/>
    <w:rsid w:val="00805774"/>
    <w:rsid w:val="00805D90"/>
    <w:rsid w:val="0080618A"/>
    <w:rsid w:val="00807F17"/>
    <w:rsid w:val="00810EF4"/>
    <w:rsid w:val="0081175A"/>
    <w:rsid w:val="00812092"/>
    <w:rsid w:val="0081273E"/>
    <w:rsid w:val="00812DEF"/>
    <w:rsid w:val="00813282"/>
    <w:rsid w:val="008136B8"/>
    <w:rsid w:val="008139DB"/>
    <w:rsid w:val="00813DDE"/>
    <w:rsid w:val="008148D9"/>
    <w:rsid w:val="00814D65"/>
    <w:rsid w:val="00815F3C"/>
    <w:rsid w:val="00816199"/>
    <w:rsid w:val="00816371"/>
    <w:rsid w:val="0081659F"/>
    <w:rsid w:val="008210E8"/>
    <w:rsid w:val="00821AA4"/>
    <w:rsid w:val="00821ED1"/>
    <w:rsid w:val="00822007"/>
    <w:rsid w:val="00822428"/>
    <w:rsid w:val="00822D57"/>
    <w:rsid w:val="00823535"/>
    <w:rsid w:val="00823831"/>
    <w:rsid w:val="00823EAB"/>
    <w:rsid w:val="00825890"/>
    <w:rsid w:val="008261E0"/>
    <w:rsid w:val="008263B3"/>
    <w:rsid w:val="008300A3"/>
    <w:rsid w:val="008302CA"/>
    <w:rsid w:val="00830D42"/>
    <w:rsid w:val="00830EA4"/>
    <w:rsid w:val="00831DE0"/>
    <w:rsid w:val="00831FDC"/>
    <w:rsid w:val="00832B02"/>
    <w:rsid w:val="00832EDB"/>
    <w:rsid w:val="00833CDD"/>
    <w:rsid w:val="008345A4"/>
    <w:rsid w:val="00834DBD"/>
    <w:rsid w:val="008355FB"/>
    <w:rsid w:val="00835685"/>
    <w:rsid w:val="00835D0D"/>
    <w:rsid w:val="00835D18"/>
    <w:rsid w:val="00837CE6"/>
    <w:rsid w:val="00841AA1"/>
    <w:rsid w:val="00841B2E"/>
    <w:rsid w:val="00841DBC"/>
    <w:rsid w:val="008425F7"/>
    <w:rsid w:val="0084292C"/>
    <w:rsid w:val="00842A67"/>
    <w:rsid w:val="00843767"/>
    <w:rsid w:val="00843A65"/>
    <w:rsid w:val="00843F6D"/>
    <w:rsid w:val="0084400E"/>
    <w:rsid w:val="008443DA"/>
    <w:rsid w:val="0084523F"/>
    <w:rsid w:val="00845487"/>
    <w:rsid w:val="00846C09"/>
    <w:rsid w:val="00846DBC"/>
    <w:rsid w:val="00847937"/>
    <w:rsid w:val="00847D2C"/>
    <w:rsid w:val="00850490"/>
    <w:rsid w:val="00851447"/>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0FE0"/>
    <w:rsid w:val="00862B23"/>
    <w:rsid w:val="00863724"/>
    <w:rsid w:val="00863A52"/>
    <w:rsid w:val="00863D4F"/>
    <w:rsid w:val="00864B45"/>
    <w:rsid w:val="00864E69"/>
    <w:rsid w:val="00865B54"/>
    <w:rsid w:val="00865DD6"/>
    <w:rsid w:val="00866EC8"/>
    <w:rsid w:val="0087007A"/>
    <w:rsid w:val="008713F1"/>
    <w:rsid w:val="00871742"/>
    <w:rsid w:val="0087177D"/>
    <w:rsid w:val="008717A6"/>
    <w:rsid w:val="00872AB4"/>
    <w:rsid w:val="00874231"/>
    <w:rsid w:val="00874A97"/>
    <w:rsid w:val="00874D9D"/>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04E"/>
    <w:rsid w:val="0089693D"/>
    <w:rsid w:val="00896F55"/>
    <w:rsid w:val="008A0415"/>
    <w:rsid w:val="008A1DBD"/>
    <w:rsid w:val="008A1ECF"/>
    <w:rsid w:val="008A2A29"/>
    <w:rsid w:val="008A32F9"/>
    <w:rsid w:val="008A3437"/>
    <w:rsid w:val="008A4D38"/>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4A7A"/>
    <w:rsid w:val="008B5319"/>
    <w:rsid w:val="008B723C"/>
    <w:rsid w:val="008C1587"/>
    <w:rsid w:val="008C1E3C"/>
    <w:rsid w:val="008C3108"/>
    <w:rsid w:val="008C336D"/>
    <w:rsid w:val="008C4457"/>
    <w:rsid w:val="008C617E"/>
    <w:rsid w:val="008C6DA5"/>
    <w:rsid w:val="008C7574"/>
    <w:rsid w:val="008D043D"/>
    <w:rsid w:val="008D0DE7"/>
    <w:rsid w:val="008D1802"/>
    <w:rsid w:val="008D2D55"/>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33B"/>
    <w:rsid w:val="008F4BEB"/>
    <w:rsid w:val="008F5A18"/>
    <w:rsid w:val="008F5BCB"/>
    <w:rsid w:val="008F6ED2"/>
    <w:rsid w:val="008F70B2"/>
    <w:rsid w:val="008F7574"/>
    <w:rsid w:val="008F762D"/>
    <w:rsid w:val="008F7D73"/>
    <w:rsid w:val="008F7F61"/>
    <w:rsid w:val="009000B6"/>
    <w:rsid w:val="00900F4A"/>
    <w:rsid w:val="00901589"/>
    <w:rsid w:val="00901762"/>
    <w:rsid w:val="009022A6"/>
    <w:rsid w:val="00902B1C"/>
    <w:rsid w:val="00903631"/>
    <w:rsid w:val="009039D6"/>
    <w:rsid w:val="00903ADC"/>
    <w:rsid w:val="00904A50"/>
    <w:rsid w:val="00906C2C"/>
    <w:rsid w:val="009076F2"/>
    <w:rsid w:val="0090770B"/>
    <w:rsid w:val="009079E3"/>
    <w:rsid w:val="00907A18"/>
    <w:rsid w:val="00907B78"/>
    <w:rsid w:val="0091066B"/>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9F3"/>
    <w:rsid w:val="00924CEB"/>
    <w:rsid w:val="009251DE"/>
    <w:rsid w:val="00926A8C"/>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31A8"/>
    <w:rsid w:val="00944216"/>
    <w:rsid w:val="009443A3"/>
    <w:rsid w:val="00944EA8"/>
    <w:rsid w:val="00945C0C"/>
    <w:rsid w:val="00945CEE"/>
    <w:rsid w:val="00946FE3"/>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1B8B"/>
    <w:rsid w:val="0097210C"/>
    <w:rsid w:val="00973423"/>
    <w:rsid w:val="00973737"/>
    <w:rsid w:val="00973828"/>
    <w:rsid w:val="00973BFB"/>
    <w:rsid w:val="00974030"/>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6FC6"/>
    <w:rsid w:val="0098712B"/>
    <w:rsid w:val="009904B5"/>
    <w:rsid w:val="0099060E"/>
    <w:rsid w:val="009909D9"/>
    <w:rsid w:val="00991184"/>
    <w:rsid w:val="009928F6"/>
    <w:rsid w:val="00992ADD"/>
    <w:rsid w:val="00992CFA"/>
    <w:rsid w:val="009941E7"/>
    <w:rsid w:val="00994682"/>
    <w:rsid w:val="009947C0"/>
    <w:rsid w:val="00994849"/>
    <w:rsid w:val="0099499D"/>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189F"/>
    <w:rsid w:val="009C2990"/>
    <w:rsid w:val="009C3580"/>
    <w:rsid w:val="009C4157"/>
    <w:rsid w:val="009C42E1"/>
    <w:rsid w:val="009C6D1F"/>
    <w:rsid w:val="009C7F8E"/>
    <w:rsid w:val="009D05EE"/>
    <w:rsid w:val="009D163D"/>
    <w:rsid w:val="009D19B8"/>
    <w:rsid w:val="009D1EC8"/>
    <w:rsid w:val="009D3372"/>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2CA"/>
    <w:rsid w:val="009E7DE7"/>
    <w:rsid w:val="009E7EA2"/>
    <w:rsid w:val="009F066E"/>
    <w:rsid w:val="009F1FAA"/>
    <w:rsid w:val="009F3A45"/>
    <w:rsid w:val="009F53C3"/>
    <w:rsid w:val="009F5787"/>
    <w:rsid w:val="009F60BD"/>
    <w:rsid w:val="009F61F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7C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5D2"/>
    <w:rsid w:val="00A34E05"/>
    <w:rsid w:val="00A35329"/>
    <w:rsid w:val="00A360F9"/>
    <w:rsid w:val="00A374E1"/>
    <w:rsid w:val="00A404A0"/>
    <w:rsid w:val="00A40528"/>
    <w:rsid w:val="00A40545"/>
    <w:rsid w:val="00A407CB"/>
    <w:rsid w:val="00A409D2"/>
    <w:rsid w:val="00A41676"/>
    <w:rsid w:val="00A41803"/>
    <w:rsid w:val="00A41888"/>
    <w:rsid w:val="00A418A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1BBD"/>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76F15"/>
    <w:rsid w:val="00A81167"/>
    <w:rsid w:val="00A82C1A"/>
    <w:rsid w:val="00A83B45"/>
    <w:rsid w:val="00A84886"/>
    <w:rsid w:val="00A8498F"/>
    <w:rsid w:val="00A8521A"/>
    <w:rsid w:val="00A8532C"/>
    <w:rsid w:val="00A85BCE"/>
    <w:rsid w:val="00A867F4"/>
    <w:rsid w:val="00A87A20"/>
    <w:rsid w:val="00A903B4"/>
    <w:rsid w:val="00A924AF"/>
    <w:rsid w:val="00A93336"/>
    <w:rsid w:val="00A93844"/>
    <w:rsid w:val="00A9428F"/>
    <w:rsid w:val="00A94703"/>
    <w:rsid w:val="00A94823"/>
    <w:rsid w:val="00A9582B"/>
    <w:rsid w:val="00A959E2"/>
    <w:rsid w:val="00A9624B"/>
    <w:rsid w:val="00A96D32"/>
    <w:rsid w:val="00A96FF0"/>
    <w:rsid w:val="00A97B03"/>
    <w:rsid w:val="00AA04AA"/>
    <w:rsid w:val="00AA161E"/>
    <w:rsid w:val="00AA18C9"/>
    <w:rsid w:val="00AA2327"/>
    <w:rsid w:val="00AA2444"/>
    <w:rsid w:val="00AA24BE"/>
    <w:rsid w:val="00AA4521"/>
    <w:rsid w:val="00AA4951"/>
    <w:rsid w:val="00AA52C0"/>
    <w:rsid w:val="00AA5764"/>
    <w:rsid w:val="00AA61E6"/>
    <w:rsid w:val="00AA62E8"/>
    <w:rsid w:val="00AA6989"/>
    <w:rsid w:val="00AA6AF5"/>
    <w:rsid w:val="00AA7B14"/>
    <w:rsid w:val="00AB07E8"/>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032"/>
    <w:rsid w:val="00AC5F70"/>
    <w:rsid w:val="00AC651E"/>
    <w:rsid w:val="00AC7134"/>
    <w:rsid w:val="00AC7BBF"/>
    <w:rsid w:val="00AD0A20"/>
    <w:rsid w:val="00AD130E"/>
    <w:rsid w:val="00AD172A"/>
    <w:rsid w:val="00AD2444"/>
    <w:rsid w:val="00AD3824"/>
    <w:rsid w:val="00AD4822"/>
    <w:rsid w:val="00AD491A"/>
    <w:rsid w:val="00AD4A29"/>
    <w:rsid w:val="00AD5E7A"/>
    <w:rsid w:val="00AE11EF"/>
    <w:rsid w:val="00AE18A3"/>
    <w:rsid w:val="00AE3618"/>
    <w:rsid w:val="00AE3841"/>
    <w:rsid w:val="00AE3A63"/>
    <w:rsid w:val="00AE3B37"/>
    <w:rsid w:val="00AE3E25"/>
    <w:rsid w:val="00AE3F40"/>
    <w:rsid w:val="00AE4ACA"/>
    <w:rsid w:val="00AE4B88"/>
    <w:rsid w:val="00AE583B"/>
    <w:rsid w:val="00AE65D8"/>
    <w:rsid w:val="00AE76F5"/>
    <w:rsid w:val="00AE78E0"/>
    <w:rsid w:val="00AE795A"/>
    <w:rsid w:val="00AE7E54"/>
    <w:rsid w:val="00AF00F1"/>
    <w:rsid w:val="00AF0CCD"/>
    <w:rsid w:val="00AF0CDF"/>
    <w:rsid w:val="00AF1813"/>
    <w:rsid w:val="00AF29D4"/>
    <w:rsid w:val="00AF2DFB"/>
    <w:rsid w:val="00AF3517"/>
    <w:rsid w:val="00AF4B32"/>
    <w:rsid w:val="00AF4F9D"/>
    <w:rsid w:val="00AF50F7"/>
    <w:rsid w:val="00AF685A"/>
    <w:rsid w:val="00AF69CB"/>
    <w:rsid w:val="00AF7AD8"/>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4EE"/>
    <w:rsid w:val="00B10C8E"/>
    <w:rsid w:val="00B1139B"/>
    <w:rsid w:val="00B117EF"/>
    <w:rsid w:val="00B11C87"/>
    <w:rsid w:val="00B12058"/>
    <w:rsid w:val="00B130F4"/>
    <w:rsid w:val="00B14236"/>
    <w:rsid w:val="00B15DC4"/>
    <w:rsid w:val="00B1630E"/>
    <w:rsid w:val="00B16E13"/>
    <w:rsid w:val="00B1732B"/>
    <w:rsid w:val="00B17FCD"/>
    <w:rsid w:val="00B23510"/>
    <w:rsid w:val="00B2415A"/>
    <w:rsid w:val="00B258B1"/>
    <w:rsid w:val="00B25BED"/>
    <w:rsid w:val="00B2697D"/>
    <w:rsid w:val="00B30312"/>
    <w:rsid w:val="00B3080A"/>
    <w:rsid w:val="00B30DBC"/>
    <w:rsid w:val="00B3127F"/>
    <w:rsid w:val="00B31324"/>
    <w:rsid w:val="00B315E3"/>
    <w:rsid w:val="00B319A1"/>
    <w:rsid w:val="00B31A79"/>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22"/>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179"/>
    <w:rsid w:val="00B6589F"/>
    <w:rsid w:val="00B66DD1"/>
    <w:rsid w:val="00B67D80"/>
    <w:rsid w:val="00B70223"/>
    <w:rsid w:val="00B712F8"/>
    <w:rsid w:val="00B7246D"/>
    <w:rsid w:val="00B728E4"/>
    <w:rsid w:val="00B737A5"/>
    <w:rsid w:val="00B7440D"/>
    <w:rsid w:val="00B750D9"/>
    <w:rsid w:val="00B76829"/>
    <w:rsid w:val="00B76F16"/>
    <w:rsid w:val="00B77036"/>
    <w:rsid w:val="00B80BED"/>
    <w:rsid w:val="00B80F41"/>
    <w:rsid w:val="00B811AF"/>
    <w:rsid w:val="00B82ED4"/>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401"/>
    <w:rsid w:val="00BA070B"/>
    <w:rsid w:val="00BA0B4C"/>
    <w:rsid w:val="00BA1610"/>
    <w:rsid w:val="00BA242A"/>
    <w:rsid w:val="00BA3F46"/>
    <w:rsid w:val="00BA4288"/>
    <w:rsid w:val="00BA4851"/>
    <w:rsid w:val="00BA4BFF"/>
    <w:rsid w:val="00BA54B1"/>
    <w:rsid w:val="00BA5A38"/>
    <w:rsid w:val="00BA701E"/>
    <w:rsid w:val="00BA7138"/>
    <w:rsid w:val="00BA72B9"/>
    <w:rsid w:val="00BA7E86"/>
    <w:rsid w:val="00BB0D85"/>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6E"/>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36BF"/>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7D3"/>
    <w:rsid w:val="00C0212B"/>
    <w:rsid w:val="00C0230D"/>
    <w:rsid w:val="00C025A2"/>
    <w:rsid w:val="00C0278E"/>
    <w:rsid w:val="00C02B44"/>
    <w:rsid w:val="00C0321F"/>
    <w:rsid w:val="00C05380"/>
    <w:rsid w:val="00C054A2"/>
    <w:rsid w:val="00C05944"/>
    <w:rsid w:val="00C0608D"/>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17AF9"/>
    <w:rsid w:val="00C2070F"/>
    <w:rsid w:val="00C21642"/>
    <w:rsid w:val="00C2179D"/>
    <w:rsid w:val="00C225B5"/>
    <w:rsid w:val="00C23067"/>
    <w:rsid w:val="00C23AC5"/>
    <w:rsid w:val="00C23EA8"/>
    <w:rsid w:val="00C24342"/>
    <w:rsid w:val="00C243AD"/>
    <w:rsid w:val="00C24DEF"/>
    <w:rsid w:val="00C25FF9"/>
    <w:rsid w:val="00C265AE"/>
    <w:rsid w:val="00C271E3"/>
    <w:rsid w:val="00C27CAD"/>
    <w:rsid w:val="00C31417"/>
    <w:rsid w:val="00C325BC"/>
    <w:rsid w:val="00C33DAA"/>
    <w:rsid w:val="00C348BE"/>
    <w:rsid w:val="00C34C05"/>
    <w:rsid w:val="00C351B1"/>
    <w:rsid w:val="00C3568E"/>
    <w:rsid w:val="00C35C5E"/>
    <w:rsid w:val="00C36711"/>
    <w:rsid w:val="00C36870"/>
    <w:rsid w:val="00C3703E"/>
    <w:rsid w:val="00C376E4"/>
    <w:rsid w:val="00C41317"/>
    <w:rsid w:val="00C4141B"/>
    <w:rsid w:val="00C4360B"/>
    <w:rsid w:val="00C43AB5"/>
    <w:rsid w:val="00C44D67"/>
    <w:rsid w:val="00C45977"/>
    <w:rsid w:val="00C45B14"/>
    <w:rsid w:val="00C466B9"/>
    <w:rsid w:val="00C46AA7"/>
    <w:rsid w:val="00C47B8C"/>
    <w:rsid w:val="00C47E6C"/>
    <w:rsid w:val="00C50210"/>
    <w:rsid w:val="00C505C7"/>
    <w:rsid w:val="00C506FA"/>
    <w:rsid w:val="00C50A5D"/>
    <w:rsid w:val="00C51457"/>
    <w:rsid w:val="00C5187A"/>
    <w:rsid w:val="00C52742"/>
    <w:rsid w:val="00C53091"/>
    <w:rsid w:val="00C53C6B"/>
    <w:rsid w:val="00C5521E"/>
    <w:rsid w:val="00C557B4"/>
    <w:rsid w:val="00C56E6C"/>
    <w:rsid w:val="00C57864"/>
    <w:rsid w:val="00C57C71"/>
    <w:rsid w:val="00C6064F"/>
    <w:rsid w:val="00C60A59"/>
    <w:rsid w:val="00C60BF7"/>
    <w:rsid w:val="00C6136E"/>
    <w:rsid w:val="00C618FF"/>
    <w:rsid w:val="00C61FB0"/>
    <w:rsid w:val="00C61FB5"/>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3F4A"/>
    <w:rsid w:val="00C75751"/>
    <w:rsid w:val="00C75F12"/>
    <w:rsid w:val="00C768F6"/>
    <w:rsid w:val="00C77604"/>
    <w:rsid w:val="00C8035F"/>
    <w:rsid w:val="00C8164F"/>
    <w:rsid w:val="00C81B38"/>
    <w:rsid w:val="00C81E75"/>
    <w:rsid w:val="00C82462"/>
    <w:rsid w:val="00C8253F"/>
    <w:rsid w:val="00C82F6A"/>
    <w:rsid w:val="00C835CA"/>
    <w:rsid w:val="00C840CE"/>
    <w:rsid w:val="00C85071"/>
    <w:rsid w:val="00C859F6"/>
    <w:rsid w:val="00C85E40"/>
    <w:rsid w:val="00C86F29"/>
    <w:rsid w:val="00C87869"/>
    <w:rsid w:val="00C916C2"/>
    <w:rsid w:val="00C924E9"/>
    <w:rsid w:val="00C9269B"/>
    <w:rsid w:val="00C92893"/>
    <w:rsid w:val="00C92C33"/>
    <w:rsid w:val="00C93A30"/>
    <w:rsid w:val="00C93D5D"/>
    <w:rsid w:val="00C94BA7"/>
    <w:rsid w:val="00C97182"/>
    <w:rsid w:val="00CA02C7"/>
    <w:rsid w:val="00CA0371"/>
    <w:rsid w:val="00CA107F"/>
    <w:rsid w:val="00CA1E75"/>
    <w:rsid w:val="00CA1FBF"/>
    <w:rsid w:val="00CA23BC"/>
    <w:rsid w:val="00CA297A"/>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0D5E"/>
    <w:rsid w:val="00CC1F62"/>
    <w:rsid w:val="00CC2398"/>
    <w:rsid w:val="00CC4839"/>
    <w:rsid w:val="00CC4C8D"/>
    <w:rsid w:val="00CC51C7"/>
    <w:rsid w:val="00CC63A8"/>
    <w:rsid w:val="00CC6A36"/>
    <w:rsid w:val="00CC70D6"/>
    <w:rsid w:val="00CC7176"/>
    <w:rsid w:val="00CC769F"/>
    <w:rsid w:val="00CD022C"/>
    <w:rsid w:val="00CD0491"/>
    <w:rsid w:val="00CD09A7"/>
    <w:rsid w:val="00CD18DA"/>
    <w:rsid w:val="00CD227E"/>
    <w:rsid w:val="00CD2523"/>
    <w:rsid w:val="00CD2879"/>
    <w:rsid w:val="00CD2A97"/>
    <w:rsid w:val="00CD2A98"/>
    <w:rsid w:val="00CD331A"/>
    <w:rsid w:val="00CD33F1"/>
    <w:rsid w:val="00CD3471"/>
    <w:rsid w:val="00CD3789"/>
    <w:rsid w:val="00CD379E"/>
    <w:rsid w:val="00CD3B21"/>
    <w:rsid w:val="00CD3DDF"/>
    <w:rsid w:val="00CD4570"/>
    <w:rsid w:val="00CD4816"/>
    <w:rsid w:val="00CD64B1"/>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36C"/>
    <w:rsid w:val="00CF7A4A"/>
    <w:rsid w:val="00D0055E"/>
    <w:rsid w:val="00D00AB2"/>
    <w:rsid w:val="00D01DBB"/>
    <w:rsid w:val="00D040DD"/>
    <w:rsid w:val="00D05A56"/>
    <w:rsid w:val="00D061A3"/>
    <w:rsid w:val="00D071A1"/>
    <w:rsid w:val="00D07593"/>
    <w:rsid w:val="00D07CC0"/>
    <w:rsid w:val="00D1059B"/>
    <w:rsid w:val="00D1181D"/>
    <w:rsid w:val="00D12AB1"/>
    <w:rsid w:val="00D13EC9"/>
    <w:rsid w:val="00D14D94"/>
    <w:rsid w:val="00D15051"/>
    <w:rsid w:val="00D158F6"/>
    <w:rsid w:val="00D1643B"/>
    <w:rsid w:val="00D173F8"/>
    <w:rsid w:val="00D17E3E"/>
    <w:rsid w:val="00D20564"/>
    <w:rsid w:val="00D212EC"/>
    <w:rsid w:val="00D2153E"/>
    <w:rsid w:val="00D21638"/>
    <w:rsid w:val="00D22153"/>
    <w:rsid w:val="00D2284C"/>
    <w:rsid w:val="00D22A63"/>
    <w:rsid w:val="00D22ACF"/>
    <w:rsid w:val="00D22E6E"/>
    <w:rsid w:val="00D23008"/>
    <w:rsid w:val="00D234D9"/>
    <w:rsid w:val="00D241F7"/>
    <w:rsid w:val="00D24551"/>
    <w:rsid w:val="00D24764"/>
    <w:rsid w:val="00D24B13"/>
    <w:rsid w:val="00D24E9A"/>
    <w:rsid w:val="00D2532A"/>
    <w:rsid w:val="00D25F8E"/>
    <w:rsid w:val="00D27230"/>
    <w:rsid w:val="00D30716"/>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1DFD"/>
    <w:rsid w:val="00D421AC"/>
    <w:rsid w:val="00D4230D"/>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6B5"/>
    <w:rsid w:val="00D67F23"/>
    <w:rsid w:val="00D70E67"/>
    <w:rsid w:val="00D71BCB"/>
    <w:rsid w:val="00D71C5C"/>
    <w:rsid w:val="00D72839"/>
    <w:rsid w:val="00D73FD0"/>
    <w:rsid w:val="00D74E01"/>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3A38"/>
    <w:rsid w:val="00D9412C"/>
    <w:rsid w:val="00D94E1C"/>
    <w:rsid w:val="00D9508C"/>
    <w:rsid w:val="00D95762"/>
    <w:rsid w:val="00D95FCB"/>
    <w:rsid w:val="00D979FA"/>
    <w:rsid w:val="00D97B77"/>
    <w:rsid w:val="00D97FAC"/>
    <w:rsid w:val="00DA0A3B"/>
    <w:rsid w:val="00DA0DA7"/>
    <w:rsid w:val="00DA181B"/>
    <w:rsid w:val="00DA1C13"/>
    <w:rsid w:val="00DA1E84"/>
    <w:rsid w:val="00DA206D"/>
    <w:rsid w:val="00DA2B8E"/>
    <w:rsid w:val="00DA435C"/>
    <w:rsid w:val="00DA4B76"/>
    <w:rsid w:val="00DA4E3A"/>
    <w:rsid w:val="00DA5926"/>
    <w:rsid w:val="00DA5B53"/>
    <w:rsid w:val="00DA6293"/>
    <w:rsid w:val="00DA62DF"/>
    <w:rsid w:val="00DA6F07"/>
    <w:rsid w:val="00DB00F1"/>
    <w:rsid w:val="00DB021C"/>
    <w:rsid w:val="00DB0459"/>
    <w:rsid w:val="00DB0A34"/>
    <w:rsid w:val="00DB0B00"/>
    <w:rsid w:val="00DB0C58"/>
    <w:rsid w:val="00DB1594"/>
    <w:rsid w:val="00DB23C2"/>
    <w:rsid w:val="00DB32E7"/>
    <w:rsid w:val="00DB33F9"/>
    <w:rsid w:val="00DB383C"/>
    <w:rsid w:val="00DB4247"/>
    <w:rsid w:val="00DB4273"/>
    <w:rsid w:val="00DB48D8"/>
    <w:rsid w:val="00DB5688"/>
    <w:rsid w:val="00DB5E77"/>
    <w:rsid w:val="00DB637B"/>
    <w:rsid w:val="00DC06A8"/>
    <w:rsid w:val="00DC0761"/>
    <w:rsid w:val="00DC0A34"/>
    <w:rsid w:val="00DC2211"/>
    <w:rsid w:val="00DC2F56"/>
    <w:rsid w:val="00DC33F1"/>
    <w:rsid w:val="00DC39C6"/>
    <w:rsid w:val="00DC49C2"/>
    <w:rsid w:val="00DC5902"/>
    <w:rsid w:val="00DC6C9B"/>
    <w:rsid w:val="00DC6CFB"/>
    <w:rsid w:val="00DC6E13"/>
    <w:rsid w:val="00DC7D19"/>
    <w:rsid w:val="00DD15F0"/>
    <w:rsid w:val="00DD34B0"/>
    <w:rsid w:val="00DD3909"/>
    <w:rsid w:val="00DD4BFA"/>
    <w:rsid w:val="00DD5078"/>
    <w:rsid w:val="00DD521A"/>
    <w:rsid w:val="00DD5AF5"/>
    <w:rsid w:val="00DD645B"/>
    <w:rsid w:val="00DD667C"/>
    <w:rsid w:val="00DD6D5F"/>
    <w:rsid w:val="00DD6DC9"/>
    <w:rsid w:val="00DD6F29"/>
    <w:rsid w:val="00DD7ADA"/>
    <w:rsid w:val="00DE0E41"/>
    <w:rsid w:val="00DE1038"/>
    <w:rsid w:val="00DE2FF0"/>
    <w:rsid w:val="00DE43C3"/>
    <w:rsid w:val="00DE4B85"/>
    <w:rsid w:val="00DE4FB5"/>
    <w:rsid w:val="00DE5E70"/>
    <w:rsid w:val="00DE62AF"/>
    <w:rsid w:val="00DE6D37"/>
    <w:rsid w:val="00DE6F10"/>
    <w:rsid w:val="00DE76AF"/>
    <w:rsid w:val="00DE7E18"/>
    <w:rsid w:val="00DF235E"/>
    <w:rsid w:val="00DF2365"/>
    <w:rsid w:val="00DF2877"/>
    <w:rsid w:val="00DF4220"/>
    <w:rsid w:val="00DF43B7"/>
    <w:rsid w:val="00DF56F7"/>
    <w:rsid w:val="00DF581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8BF"/>
    <w:rsid w:val="00E06E13"/>
    <w:rsid w:val="00E06EBD"/>
    <w:rsid w:val="00E06F69"/>
    <w:rsid w:val="00E070AD"/>
    <w:rsid w:val="00E077F3"/>
    <w:rsid w:val="00E106A8"/>
    <w:rsid w:val="00E1096C"/>
    <w:rsid w:val="00E11679"/>
    <w:rsid w:val="00E12228"/>
    <w:rsid w:val="00E12389"/>
    <w:rsid w:val="00E12519"/>
    <w:rsid w:val="00E1279C"/>
    <w:rsid w:val="00E12BF2"/>
    <w:rsid w:val="00E134F8"/>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5E6"/>
    <w:rsid w:val="00E266FD"/>
    <w:rsid w:val="00E30486"/>
    <w:rsid w:val="00E30A04"/>
    <w:rsid w:val="00E30D25"/>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D86"/>
    <w:rsid w:val="00E45B6D"/>
    <w:rsid w:val="00E4650D"/>
    <w:rsid w:val="00E46E5A"/>
    <w:rsid w:val="00E504DE"/>
    <w:rsid w:val="00E50B2E"/>
    <w:rsid w:val="00E5130E"/>
    <w:rsid w:val="00E52210"/>
    <w:rsid w:val="00E5222E"/>
    <w:rsid w:val="00E52A04"/>
    <w:rsid w:val="00E53204"/>
    <w:rsid w:val="00E5496C"/>
    <w:rsid w:val="00E55A47"/>
    <w:rsid w:val="00E569D9"/>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5F74"/>
    <w:rsid w:val="00E76199"/>
    <w:rsid w:val="00E76DF5"/>
    <w:rsid w:val="00E81277"/>
    <w:rsid w:val="00E8150F"/>
    <w:rsid w:val="00E819AB"/>
    <w:rsid w:val="00E82DFC"/>
    <w:rsid w:val="00E8386C"/>
    <w:rsid w:val="00E83AE9"/>
    <w:rsid w:val="00E84003"/>
    <w:rsid w:val="00E84FAE"/>
    <w:rsid w:val="00E85ED1"/>
    <w:rsid w:val="00E86447"/>
    <w:rsid w:val="00E865E6"/>
    <w:rsid w:val="00E86C52"/>
    <w:rsid w:val="00E87446"/>
    <w:rsid w:val="00E87562"/>
    <w:rsid w:val="00E87C86"/>
    <w:rsid w:val="00E90E34"/>
    <w:rsid w:val="00E91262"/>
    <w:rsid w:val="00E91346"/>
    <w:rsid w:val="00E91FB7"/>
    <w:rsid w:val="00E9212F"/>
    <w:rsid w:val="00E9243B"/>
    <w:rsid w:val="00E927D1"/>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1B4A"/>
    <w:rsid w:val="00EC257A"/>
    <w:rsid w:val="00EC2A78"/>
    <w:rsid w:val="00EC33D1"/>
    <w:rsid w:val="00EC4647"/>
    <w:rsid w:val="00EC4E4A"/>
    <w:rsid w:val="00EC4E98"/>
    <w:rsid w:val="00EC5632"/>
    <w:rsid w:val="00EC58A5"/>
    <w:rsid w:val="00EC5BA6"/>
    <w:rsid w:val="00EC5C8B"/>
    <w:rsid w:val="00EC6075"/>
    <w:rsid w:val="00EC60AC"/>
    <w:rsid w:val="00EC6127"/>
    <w:rsid w:val="00EC6542"/>
    <w:rsid w:val="00EC67F2"/>
    <w:rsid w:val="00EC69CB"/>
    <w:rsid w:val="00EC71A6"/>
    <w:rsid w:val="00ED02D2"/>
    <w:rsid w:val="00ED2412"/>
    <w:rsid w:val="00ED25AF"/>
    <w:rsid w:val="00ED296A"/>
    <w:rsid w:val="00ED301E"/>
    <w:rsid w:val="00ED314A"/>
    <w:rsid w:val="00ED3221"/>
    <w:rsid w:val="00ED502D"/>
    <w:rsid w:val="00ED56BC"/>
    <w:rsid w:val="00ED66AB"/>
    <w:rsid w:val="00ED66F9"/>
    <w:rsid w:val="00ED69EC"/>
    <w:rsid w:val="00ED6A63"/>
    <w:rsid w:val="00ED7375"/>
    <w:rsid w:val="00ED7CA4"/>
    <w:rsid w:val="00EE0067"/>
    <w:rsid w:val="00EE03D5"/>
    <w:rsid w:val="00EE0500"/>
    <w:rsid w:val="00EE088D"/>
    <w:rsid w:val="00EE1BFC"/>
    <w:rsid w:val="00EE1EA3"/>
    <w:rsid w:val="00EE2734"/>
    <w:rsid w:val="00EE3653"/>
    <w:rsid w:val="00EE3F23"/>
    <w:rsid w:val="00EE4463"/>
    <w:rsid w:val="00EE50B0"/>
    <w:rsid w:val="00EE54E8"/>
    <w:rsid w:val="00EE5E2D"/>
    <w:rsid w:val="00EE6927"/>
    <w:rsid w:val="00EE76B3"/>
    <w:rsid w:val="00EF0CD5"/>
    <w:rsid w:val="00EF197F"/>
    <w:rsid w:val="00EF21A0"/>
    <w:rsid w:val="00EF39A2"/>
    <w:rsid w:val="00EF39E6"/>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408"/>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125"/>
    <w:rsid w:val="00F243F9"/>
    <w:rsid w:val="00F24A72"/>
    <w:rsid w:val="00F26C79"/>
    <w:rsid w:val="00F310D0"/>
    <w:rsid w:val="00F31DB0"/>
    <w:rsid w:val="00F32F3C"/>
    <w:rsid w:val="00F333CB"/>
    <w:rsid w:val="00F334F9"/>
    <w:rsid w:val="00F33EFD"/>
    <w:rsid w:val="00F3423F"/>
    <w:rsid w:val="00F346A4"/>
    <w:rsid w:val="00F34858"/>
    <w:rsid w:val="00F35163"/>
    <w:rsid w:val="00F353D7"/>
    <w:rsid w:val="00F35C36"/>
    <w:rsid w:val="00F36E90"/>
    <w:rsid w:val="00F36EDF"/>
    <w:rsid w:val="00F3791D"/>
    <w:rsid w:val="00F37E3E"/>
    <w:rsid w:val="00F403BC"/>
    <w:rsid w:val="00F42089"/>
    <w:rsid w:val="00F420F5"/>
    <w:rsid w:val="00F437AC"/>
    <w:rsid w:val="00F45B75"/>
    <w:rsid w:val="00F45ED8"/>
    <w:rsid w:val="00F46080"/>
    <w:rsid w:val="00F46C82"/>
    <w:rsid w:val="00F46DEA"/>
    <w:rsid w:val="00F46EEE"/>
    <w:rsid w:val="00F47DBA"/>
    <w:rsid w:val="00F507E2"/>
    <w:rsid w:val="00F51100"/>
    <w:rsid w:val="00F51779"/>
    <w:rsid w:val="00F52CF7"/>
    <w:rsid w:val="00F5386B"/>
    <w:rsid w:val="00F53D63"/>
    <w:rsid w:val="00F53EA8"/>
    <w:rsid w:val="00F54E3C"/>
    <w:rsid w:val="00F54E4E"/>
    <w:rsid w:val="00F5568F"/>
    <w:rsid w:val="00F55863"/>
    <w:rsid w:val="00F5651A"/>
    <w:rsid w:val="00F56D4D"/>
    <w:rsid w:val="00F5782B"/>
    <w:rsid w:val="00F60C49"/>
    <w:rsid w:val="00F61608"/>
    <w:rsid w:val="00F616E1"/>
    <w:rsid w:val="00F628B4"/>
    <w:rsid w:val="00F632EC"/>
    <w:rsid w:val="00F6349F"/>
    <w:rsid w:val="00F63D95"/>
    <w:rsid w:val="00F64861"/>
    <w:rsid w:val="00F65962"/>
    <w:rsid w:val="00F65D1E"/>
    <w:rsid w:val="00F668C6"/>
    <w:rsid w:val="00F66A19"/>
    <w:rsid w:val="00F6706D"/>
    <w:rsid w:val="00F6724D"/>
    <w:rsid w:val="00F70522"/>
    <w:rsid w:val="00F70739"/>
    <w:rsid w:val="00F707FD"/>
    <w:rsid w:val="00F7182F"/>
    <w:rsid w:val="00F71AE1"/>
    <w:rsid w:val="00F71F05"/>
    <w:rsid w:val="00F720B1"/>
    <w:rsid w:val="00F736F4"/>
    <w:rsid w:val="00F74DCD"/>
    <w:rsid w:val="00F74FAB"/>
    <w:rsid w:val="00F7555B"/>
    <w:rsid w:val="00F75D1A"/>
    <w:rsid w:val="00F76F8B"/>
    <w:rsid w:val="00F8064F"/>
    <w:rsid w:val="00F80A85"/>
    <w:rsid w:val="00F81BC1"/>
    <w:rsid w:val="00F82931"/>
    <w:rsid w:val="00F82AA1"/>
    <w:rsid w:val="00F847F5"/>
    <w:rsid w:val="00F84A01"/>
    <w:rsid w:val="00F84E65"/>
    <w:rsid w:val="00F85874"/>
    <w:rsid w:val="00F858B7"/>
    <w:rsid w:val="00F85B28"/>
    <w:rsid w:val="00F925E3"/>
    <w:rsid w:val="00F93FBC"/>
    <w:rsid w:val="00F96338"/>
    <w:rsid w:val="00F968E7"/>
    <w:rsid w:val="00F96D98"/>
    <w:rsid w:val="00F9743A"/>
    <w:rsid w:val="00FA021B"/>
    <w:rsid w:val="00FA073F"/>
    <w:rsid w:val="00FA0AF2"/>
    <w:rsid w:val="00FA0EC1"/>
    <w:rsid w:val="00FA0FFB"/>
    <w:rsid w:val="00FA1646"/>
    <w:rsid w:val="00FA20B1"/>
    <w:rsid w:val="00FA3702"/>
    <w:rsid w:val="00FA3851"/>
    <w:rsid w:val="00FA42D0"/>
    <w:rsid w:val="00FA4BF8"/>
    <w:rsid w:val="00FA5212"/>
    <w:rsid w:val="00FA586F"/>
    <w:rsid w:val="00FA64CC"/>
    <w:rsid w:val="00FA6A45"/>
    <w:rsid w:val="00FA702B"/>
    <w:rsid w:val="00FA75BA"/>
    <w:rsid w:val="00FA7728"/>
    <w:rsid w:val="00FB0A29"/>
    <w:rsid w:val="00FB0B46"/>
    <w:rsid w:val="00FB21B1"/>
    <w:rsid w:val="00FB267F"/>
    <w:rsid w:val="00FB3DCF"/>
    <w:rsid w:val="00FB545B"/>
    <w:rsid w:val="00FB55B7"/>
    <w:rsid w:val="00FB5B69"/>
    <w:rsid w:val="00FB5F4A"/>
    <w:rsid w:val="00FB641F"/>
    <w:rsid w:val="00FB68DD"/>
    <w:rsid w:val="00FB6E93"/>
    <w:rsid w:val="00FB7910"/>
    <w:rsid w:val="00FC1D41"/>
    <w:rsid w:val="00FC3E1F"/>
    <w:rsid w:val="00FC467D"/>
    <w:rsid w:val="00FC5BB2"/>
    <w:rsid w:val="00FC7582"/>
    <w:rsid w:val="00FD1471"/>
    <w:rsid w:val="00FD170D"/>
    <w:rsid w:val="00FD280F"/>
    <w:rsid w:val="00FD2A89"/>
    <w:rsid w:val="00FD2F38"/>
    <w:rsid w:val="00FD3050"/>
    <w:rsid w:val="00FD46C8"/>
    <w:rsid w:val="00FD4833"/>
    <w:rsid w:val="00FD56C2"/>
    <w:rsid w:val="00FD5AD2"/>
    <w:rsid w:val="00FD6E10"/>
    <w:rsid w:val="00FE0B21"/>
    <w:rsid w:val="00FE1227"/>
    <w:rsid w:val="00FE1477"/>
    <w:rsid w:val="00FE1B9F"/>
    <w:rsid w:val="00FE2305"/>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6E3D"/>
    <w:rsid w:val="00FF7471"/>
    <w:rsid w:val="00FF79C6"/>
    <w:rsid w:val="00FF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CF0AD5D5-DCD0-44B0-B034-D3E8AA3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1"/>
    <w:next w:val="Norma1"/>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1"/>
    <w:next w:val="Norma1"/>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1"/>
    <w:next w:val="Norma1"/>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1"/>
    <w:next w:val="Norma1"/>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1"/>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1">
    <w:name w:val="NormalTable1"/>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1"/>
    <w:rsid w:val="00DC49C2"/>
    <w:pPr>
      <w:spacing w:after="240"/>
    </w:pPr>
  </w:style>
  <w:style w:type="character" w:styleId="Hyperlink">
    <w:name w:val="Hyperlink"/>
    <w:rsid w:val="00DC49C2"/>
    <w:rPr>
      <w:color w:val="0000FF"/>
      <w:u w:val="single"/>
    </w:rPr>
  </w:style>
  <w:style w:type="paragraph" w:customStyle="1" w:styleId="BaloonText">
    <w:name w:val="Baloon Text"/>
    <w:basedOn w:val="Norma1"/>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1"/>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1"/>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1"/>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1"/>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1"/>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1"/>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1"/>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1"/>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1"/>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1"/>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1"/>
    <w:next w:val="Norma1"/>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1"/>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1">
    <w:name w:val="Baloon Text1"/>
    <w:basedOn w:val="Norma"/>
    <w:link w:val="BaloonTextChar1"/>
    <w:uiPriority w:val="99"/>
    <w:semiHidden/>
    <w:unhideWhenUsed/>
    <w:rsid w:val="0011747B"/>
    <w:rPr>
      <w:rFonts w:ascii="Tahoma" w:hAnsi="Tahoma" w:cs="Tahoma"/>
      <w:sz w:val="16"/>
      <w:szCs w:val="16"/>
    </w:rPr>
  </w:style>
  <w:style w:type="character" w:customStyle="1" w:styleId="BaloonTextChar1">
    <w:name w:val="Baloon Text Char1"/>
    <w:basedOn w:val="DefaultParagraphFont"/>
    <w:link w:val="BaloonText1"/>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9D3372"/>
    <w:pPr>
      <w:jc w:val="both"/>
    </w:pPr>
    <w:rPr>
      <w:rFonts w:ascii="Verdana" w:eastAsia="Times New Roman" w:hAnsi="Verdana"/>
      <w:lang w:eastAsia="en-US"/>
    </w:rPr>
  </w:style>
  <w:style w:type="character" w:customStyle="1" w:styleId="BodyTextChar">
    <w:name w:val="Body Text Char"/>
    <w:basedOn w:val="DefaultParagraphFont"/>
    <w:link w:val="BodyText"/>
    <w:rsid w:val="009D3372"/>
    <w:rPr>
      <w:rFonts w:ascii="Verdana" w:eastAsia="Times New Roman" w:hAnsi="Verdana"/>
      <w:lang w:eastAsia="en-US"/>
    </w:rPr>
  </w:style>
  <w:style w:type="paragraph" w:styleId="Title">
    <w:name w:val="Title"/>
    <w:basedOn w:val="Normal"/>
    <w:next w:val="Normal"/>
    <w:link w:val="TitleChar"/>
    <w:uiPriority w:val="10"/>
    <w:qFormat/>
    <w:rsid w:val="009D3372"/>
    <w:pPr>
      <w:widowControl w:val="0"/>
      <w:spacing w:after="120"/>
    </w:pPr>
    <w:rPr>
      <w:rFonts w:ascii="Arial" w:eastAsia="Times New Roman" w:hAnsi="Arial"/>
      <w:kern w:val="28"/>
      <w:sz w:val="40"/>
      <w:szCs w:val="52"/>
      <w:lang w:eastAsia="en-US"/>
    </w:rPr>
  </w:style>
  <w:style w:type="character" w:customStyle="1" w:styleId="TitleChar">
    <w:name w:val="Title Char"/>
    <w:basedOn w:val="DefaultParagraphFont"/>
    <w:link w:val="Title"/>
    <w:uiPriority w:val="10"/>
    <w:rsid w:val="009D3372"/>
    <w:rPr>
      <w:rFonts w:ascii="Arial" w:eastAsia="Times New Roman" w:hAnsi="Arial"/>
      <w:kern w:val="28"/>
      <w:sz w:val="40"/>
      <w:szCs w:val="52"/>
      <w:lang w:eastAsia="en-US"/>
    </w:rPr>
  </w:style>
  <w:style w:type="paragraph" w:styleId="TOC4">
    <w:name w:val="toc 4"/>
    <w:basedOn w:val="Normal"/>
    <w:next w:val="Normal"/>
    <w:autoRedefine/>
    <w:uiPriority w:val="39"/>
    <w:unhideWhenUsed/>
    <w:rsid w:val="00B315E3"/>
    <w:pPr>
      <w:spacing w:after="100"/>
      <w:ind w:left="600"/>
    </w:pPr>
  </w:style>
  <w:style w:type="paragraph" w:styleId="Caption">
    <w:name w:val="caption"/>
    <w:basedOn w:val="Normal"/>
    <w:next w:val="Normal"/>
    <w:uiPriority w:val="35"/>
    <w:unhideWhenUsed/>
    <w:qFormat/>
    <w:rsid w:val="00CA297A"/>
    <w:pPr>
      <w:spacing w:after="200"/>
    </w:pPr>
    <w:rPr>
      <w:b/>
      <w:bCs/>
      <w:color w:val="4F81BD" w:themeColor="accent1"/>
      <w:sz w:val="18"/>
      <w:szCs w:val="18"/>
    </w:rPr>
  </w:style>
  <w:style w:type="paragraph" w:styleId="NormalWeb">
    <w:name w:val="Normal (Web)"/>
    <w:basedOn w:val="Normal"/>
    <w:uiPriority w:val="99"/>
    <w:unhideWhenUsed/>
    <w:rsid w:val="004B484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419">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3410368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03007">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31619762">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6200078">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61195650">
      <w:bodyDiv w:val="1"/>
      <w:marLeft w:val="0"/>
      <w:marRight w:val="0"/>
      <w:marTop w:val="0"/>
      <w:marBottom w:val="0"/>
      <w:divBdr>
        <w:top w:val="none" w:sz="0" w:space="0" w:color="auto"/>
        <w:left w:val="none" w:sz="0" w:space="0" w:color="auto"/>
        <w:bottom w:val="none" w:sz="0" w:space="0" w:color="auto"/>
        <w:right w:val="none" w:sz="0" w:space="0" w:color="auto"/>
      </w:divBdr>
    </w:div>
    <w:div w:id="1324434945">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73188848">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4825301">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repor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theccc.org.uk/archive/aws/Poyry%20(2011)%20alternative%20uses%20of%20biomass%20in%20decarbonising%20industry.pdf" TargetMode="External"/><Relationship Id="rId7" Type="http://schemas.openxmlformats.org/officeDocument/2006/relationships/hyperlink" Target="https://www.theccc.org.uk/publication/bioenergy-review/" TargetMode="External"/><Relationship Id="rId2" Type="http://schemas.openxmlformats.org/officeDocument/2006/relationships/hyperlink" Target="http://www.theccc.org.uk/archive/aws/1463%20CCC_Bio-TP3_AppropUse_6_FINALwithBkMks.pdf" TargetMode="External"/><Relationship Id="rId1" Type="http://schemas.openxmlformats.org/officeDocument/2006/relationships/hyperlink" Target="http://www.theccc.org.uk/publication/bioenergy-review/" TargetMode="External"/><Relationship Id="rId6" Type="http://schemas.openxmlformats.org/officeDocument/2006/relationships/hyperlink" Target="http://www.bbsrc.ac.uk/documents/1607-evidencing-the-bioeconomy-report" TargetMode="External"/><Relationship Id="rId5" Type="http://schemas.openxmlformats.org/officeDocument/2006/relationships/hyperlink" Target="http://www.gov.uk/government/consultations/uk-bioeconomy-call-for-evidence" TargetMode="External"/><Relationship Id="rId4" Type="http://schemas.openxmlformats.org/officeDocument/2006/relationships/hyperlink" Target="https://www.theccc.org.uk/archive/aws/2012-04-04%20Poyry%20Report%20Review%20Letter%20-%20Re%20issued%2020-07-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F696C-6F3B-4E16-B6BA-F71741E2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6054</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cp:lastModifiedBy>
  <cp:revision>3</cp:revision>
  <cp:lastPrinted>2016-02-25T10:18:00Z</cp:lastPrinted>
  <dcterms:created xsi:type="dcterms:W3CDTF">2017-12-15T12:48:00Z</dcterms:created>
  <dcterms:modified xsi:type="dcterms:W3CDTF">2017-12-15T13:00:00Z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