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543BCD" w14:textId="4B208093" w:rsidR="00BB1C7C" w:rsidRPr="00FD07CA" w:rsidRDefault="00FD07CA" w:rsidP="00FD07CA">
      <w:pPr>
        <w:jc w:val="center"/>
        <w:rPr>
          <w:sz w:val="28"/>
          <w:szCs w:val="28"/>
        </w:rPr>
      </w:pPr>
      <w:r w:rsidRPr="00FD07CA">
        <w:rPr>
          <w:sz w:val="28"/>
          <w:szCs w:val="28"/>
        </w:rPr>
        <w:t>Clarifications to Bidder’s Questions:</w:t>
      </w:r>
    </w:p>
    <w:p w14:paraId="206E7583" w14:textId="68AAD501" w:rsidR="00FD07CA" w:rsidRPr="00E55056" w:rsidRDefault="006E1728" w:rsidP="0085573B">
      <w:pPr>
        <w:jc w:val="center"/>
        <w:rPr>
          <w:sz w:val="28"/>
          <w:szCs w:val="28"/>
          <w:u w:val="single"/>
        </w:rPr>
      </w:pPr>
      <w:r w:rsidRPr="006E1728">
        <w:rPr>
          <w:sz w:val="28"/>
          <w:szCs w:val="28"/>
          <w:u w:val="single"/>
        </w:rPr>
        <w:t>Statistician to investigate scale and drivers of shellfish mortality in The Wash</w:t>
      </w:r>
    </w:p>
    <w:tbl>
      <w:tblPr>
        <w:tblStyle w:val="TableGrid"/>
        <w:tblW w:w="14659" w:type="dxa"/>
        <w:tblInd w:w="-489" w:type="dxa"/>
        <w:tblLook w:val="04A0" w:firstRow="1" w:lastRow="0" w:firstColumn="1" w:lastColumn="0" w:noHBand="0" w:noVBand="1"/>
      </w:tblPr>
      <w:tblGrid>
        <w:gridCol w:w="464"/>
        <w:gridCol w:w="3989"/>
        <w:gridCol w:w="10206"/>
      </w:tblGrid>
      <w:tr w:rsidR="008B2720" w14:paraId="56086904" w14:textId="77777777" w:rsidTr="008B2720">
        <w:tc>
          <w:tcPr>
            <w:tcW w:w="464" w:type="dxa"/>
          </w:tcPr>
          <w:p w14:paraId="7FA2D508" w14:textId="0FA64861" w:rsidR="00E55056" w:rsidRPr="006026CA" w:rsidRDefault="00E55056" w:rsidP="00FD07CA">
            <w:pPr>
              <w:rPr>
                <w:sz w:val="24"/>
                <w:szCs w:val="24"/>
              </w:rPr>
            </w:pPr>
            <w:r w:rsidRPr="006026CA">
              <w:rPr>
                <w:sz w:val="24"/>
                <w:szCs w:val="24"/>
              </w:rPr>
              <w:t>1</w:t>
            </w:r>
            <w:r w:rsidR="008957C9">
              <w:rPr>
                <w:sz w:val="24"/>
                <w:szCs w:val="24"/>
              </w:rPr>
              <w:t>a</w:t>
            </w:r>
          </w:p>
        </w:tc>
        <w:tc>
          <w:tcPr>
            <w:tcW w:w="3989" w:type="dxa"/>
          </w:tcPr>
          <w:p w14:paraId="52098253" w14:textId="77777777" w:rsidR="00435825" w:rsidRPr="00435825" w:rsidRDefault="00435825" w:rsidP="00435825">
            <w:pPr>
              <w:rPr>
                <w:sz w:val="24"/>
                <w:szCs w:val="24"/>
              </w:rPr>
            </w:pPr>
            <w:r w:rsidRPr="00435825">
              <w:rPr>
                <w:sz w:val="24"/>
                <w:szCs w:val="24"/>
              </w:rPr>
              <w:t xml:space="preserve">Could you provide details on the current state of the data, specifically: </w:t>
            </w:r>
          </w:p>
          <w:p w14:paraId="75C75A23" w14:textId="77777777" w:rsidR="00435825" w:rsidRDefault="00435825" w:rsidP="00435825">
            <w:pPr>
              <w:rPr>
                <w:sz w:val="24"/>
                <w:szCs w:val="24"/>
              </w:rPr>
            </w:pPr>
          </w:p>
          <w:p w14:paraId="24D38E57" w14:textId="156F9C2E" w:rsidR="00E55056" w:rsidRPr="006026CA" w:rsidRDefault="00435825" w:rsidP="00435825">
            <w:pPr>
              <w:rPr>
                <w:sz w:val="24"/>
                <w:szCs w:val="24"/>
              </w:rPr>
            </w:pPr>
            <w:r w:rsidRPr="00435825">
              <w:rPr>
                <w:sz w:val="24"/>
                <w:szCs w:val="24"/>
              </w:rPr>
              <w:t>Has the data undergone any initial checks for inconsistencies or errors that would inform the scope of our data cleaning tasks?</w:t>
            </w:r>
          </w:p>
        </w:tc>
        <w:tc>
          <w:tcPr>
            <w:tcW w:w="10206" w:type="dxa"/>
          </w:tcPr>
          <w:p w14:paraId="630871F3" w14:textId="2E1B89A2" w:rsidR="00E55056" w:rsidRPr="006026CA" w:rsidRDefault="00A550EC" w:rsidP="003D0E0D">
            <w:pPr>
              <w:rPr>
                <w:sz w:val="24"/>
                <w:szCs w:val="24"/>
              </w:rPr>
            </w:pPr>
            <w:r w:rsidRPr="00A550EC">
              <w:rPr>
                <w:sz w:val="24"/>
                <w:szCs w:val="24"/>
              </w:rPr>
              <w:t>Some data has been checked and some has not. The largest dataset (cockle stock data) has been checked for errors, quality assured, and processed (though raw data is still available). Most other datasets consist of raw data that has not been fully checked, e.g. environmental data collected by Environmental Health Officers [EHO], in-situ hydrological sondes, laboratory analysis of contaminants in sediment and water.</w:t>
            </w:r>
          </w:p>
        </w:tc>
      </w:tr>
      <w:tr w:rsidR="008B2720" w14:paraId="0497EA4B" w14:textId="77777777" w:rsidTr="008B2720">
        <w:tc>
          <w:tcPr>
            <w:tcW w:w="464" w:type="dxa"/>
          </w:tcPr>
          <w:p w14:paraId="16D212D7" w14:textId="5C12D764" w:rsidR="00435825" w:rsidRPr="006026CA" w:rsidRDefault="00435825" w:rsidP="00FD07CA">
            <w:pPr>
              <w:rPr>
                <w:sz w:val="24"/>
                <w:szCs w:val="24"/>
              </w:rPr>
            </w:pPr>
            <w:r>
              <w:rPr>
                <w:sz w:val="24"/>
                <w:szCs w:val="24"/>
              </w:rPr>
              <w:t>1b</w:t>
            </w:r>
          </w:p>
        </w:tc>
        <w:tc>
          <w:tcPr>
            <w:tcW w:w="3989" w:type="dxa"/>
          </w:tcPr>
          <w:p w14:paraId="5A168883" w14:textId="77777777" w:rsidR="00A550EC" w:rsidRPr="00A550EC" w:rsidRDefault="00A550EC" w:rsidP="00A550EC">
            <w:pPr>
              <w:rPr>
                <w:sz w:val="24"/>
                <w:szCs w:val="24"/>
              </w:rPr>
            </w:pPr>
            <w:r w:rsidRPr="00A550EC">
              <w:rPr>
                <w:sz w:val="24"/>
                <w:szCs w:val="24"/>
                <w:lang w:val="en-US"/>
              </w:rPr>
              <w:t>Are there any known data quality issues that we should anticipate addressing? </w:t>
            </w:r>
            <w:r w:rsidRPr="00A550EC">
              <w:rPr>
                <w:sz w:val="24"/>
                <w:szCs w:val="24"/>
              </w:rPr>
              <w:t> </w:t>
            </w:r>
          </w:p>
          <w:p w14:paraId="142982FF" w14:textId="77777777" w:rsidR="00435825" w:rsidRPr="00435825" w:rsidRDefault="00435825" w:rsidP="00435825">
            <w:pPr>
              <w:rPr>
                <w:sz w:val="24"/>
                <w:szCs w:val="24"/>
              </w:rPr>
            </w:pPr>
          </w:p>
        </w:tc>
        <w:tc>
          <w:tcPr>
            <w:tcW w:w="10206" w:type="dxa"/>
          </w:tcPr>
          <w:p w14:paraId="17932FA7" w14:textId="71741C8A" w:rsidR="00435825" w:rsidRPr="00CB6EC4" w:rsidRDefault="00896598" w:rsidP="003D0E0D">
            <w:pPr>
              <w:rPr>
                <w:sz w:val="24"/>
                <w:szCs w:val="24"/>
              </w:rPr>
            </w:pPr>
            <w:r w:rsidRPr="00896598">
              <w:rPr>
                <w:sz w:val="24"/>
                <w:szCs w:val="24"/>
              </w:rPr>
              <w:t>There are gaps in the environmental and hydrological parameters data, spatially and temporally (i.e. temperature, pH, salinity, turbidity). Part of this contract will be addressing this; for example, we are aware of opportunities to supplement this data using data collected by other government projects or using existing modelled hydrological data.</w:t>
            </w:r>
          </w:p>
        </w:tc>
      </w:tr>
      <w:tr w:rsidR="008B2720" w14:paraId="37C75BB1" w14:textId="77777777" w:rsidTr="008B2720">
        <w:tc>
          <w:tcPr>
            <w:tcW w:w="464" w:type="dxa"/>
          </w:tcPr>
          <w:p w14:paraId="28F0D25A" w14:textId="76156998" w:rsidR="00896598" w:rsidRDefault="00896598" w:rsidP="00FD07CA">
            <w:pPr>
              <w:rPr>
                <w:sz w:val="24"/>
                <w:szCs w:val="24"/>
              </w:rPr>
            </w:pPr>
            <w:r>
              <w:rPr>
                <w:sz w:val="24"/>
                <w:szCs w:val="24"/>
              </w:rPr>
              <w:t>2</w:t>
            </w:r>
          </w:p>
        </w:tc>
        <w:tc>
          <w:tcPr>
            <w:tcW w:w="3989" w:type="dxa"/>
          </w:tcPr>
          <w:p w14:paraId="39C2A1BC" w14:textId="2D4AC86A" w:rsidR="00896598" w:rsidRPr="00A550EC" w:rsidRDefault="00896598" w:rsidP="00A550EC">
            <w:pPr>
              <w:rPr>
                <w:sz w:val="24"/>
                <w:szCs w:val="24"/>
                <w:lang w:val="en-US"/>
              </w:rPr>
            </w:pPr>
            <w:r w:rsidRPr="00896598">
              <w:rPr>
                <w:sz w:val="24"/>
                <w:szCs w:val="24"/>
                <w:lang w:val="en-US"/>
              </w:rPr>
              <w:t>Would you prefer a focus on statistical models that evaluate the relative importance of predictors (e.g., environmental factors, population density) for understanding causal relationships, or is accurate prediction of cockle mortality using machine learning methods the main objective?</w:t>
            </w:r>
          </w:p>
        </w:tc>
        <w:tc>
          <w:tcPr>
            <w:tcW w:w="10206" w:type="dxa"/>
          </w:tcPr>
          <w:p w14:paraId="7AC3775E" w14:textId="5A0F1229" w:rsidR="00896598" w:rsidRPr="00896598" w:rsidRDefault="0054032E" w:rsidP="003D0E0D">
            <w:pPr>
              <w:rPr>
                <w:sz w:val="24"/>
                <w:szCs w:val="24"/>
              </w:rPr>
            </w:pPr>
            <w:r w:rsidRPr="0054032E">
              <w:rPr>
                <w:sz w:val="24"/>
                <w:szCs w:val="24"/>
              </w:rPr>
              <w:t xml:space="preserve">The focus should be on evaluating the relative importance of predictors (e.g. environmental factors, population density) for understanding causal relationships. </w:t>
            </w:r>
            <w:proofErr w:type="gramStart"/>
            <w:r w:rsidRPr="0054032E">
              <w:rPr>
                <w:sz w:val="24"/>
                <w:szCs w:val="24"/>
              </w:rPr>
              <w:t>In order to</w:t>
            </w:r>
            <w:proofErr w:type="gramEnd"/>
            <w:r w:rsidRPr="0054032E">
              <w:rPr>
                <w:sz w:val="24"/>
                <w:szCs w:val="24"/>
              </w:rPr>
              <w:t xml:space="preserve"> do this, we will need to understand the scale of the cockle mortality, but accurately predicting future mortalities is not the aim of this work.</w:t>
            </w:r>
          </w:p>
        </w:tc>
      </w:tr>
      <w:tr w:rsidR="008B2720" w14:paraId="01BB5211" w14:textId="77777777" w:rsidTr="008B2720">
        <w:tc>
          <w:tcPr>
            <w:tcW w:w="464" w:type="dxa"/>
          </w:tcPr>
          <w:p w14:paraId="04762B3D" w14:textId="0A48107A" w:rsidR="0054032E" w:rsidRDefault="0054032E" w:rsidP="00FD07CA">
            <w:pPr>
              <w:rPr>
                <w:sz w:val="24"/>
                <w:szCs w:val="24"/>
              </w:rPr>
            </w:pPr>
            <w:r>
              <w:rPr>
                <w:sz w:val="24"/>
                <w:szCs w:val="24"/>
              </w:rPr>
              <w:t>3</w:t>
            </w:r>
          </w:p>
        </w:tc>
        <w:tc>
          <w:tcPr>
            <w:tcW w:w="3989" w:type="dxa"/>
          </w:tcPr>
          <w:p w14:paraId="4465634E" w14:textId="182FF899" w:rsidR="0054032E" w:rsidRPr="00896598" w:rsidRDefault="0054032E" w:rsidP="00A550EC">
            <w:pPr>
              <w:rPr>
                <w:sz w:val="24"/>
                <w:szCs w:val="24"/>
                <w:lang w:val="en-US"/>
              </w:rPr>
            </w:pPr>
            <w:r w:rsidRPr="0054032E">
              <w:rPr>
                <w:sz w:val="24"/>
                <w:szCs w:val="24"/>
                <w:lang w:val="en-US"/>
              </w:rPr>
              <w:t>Is there a standard method for integrating fisher reports and photographs with official mortality assessments?</w:t>
            </w:r>
            <w:r w:rsidRPr="0054032E">
              <w:rPr>
                <w:sz w:val="24"/>
                <w:szCs w:val="24"/>
              </w:rPr>
              <w:t> </w:t>
            </w:r>
          </w:p>
        </w:tc>
        <w:tc>
          <w:tcPr>
            <w:tcW w:w="10206" w:type="dxa"/>
          </w:tcPr>
          <w:p w14:paraId="009F7E42" w14:textId="635C8B88" w:rsidR="0054032E" w:rsidRPr="0054032E" w:rsidRDefault="0054032E" w:rsidP="003D0E0D">
            <w:pPr>
              <w:rPr>
                <w:sz w:val="24"/>
                <w:szCs w:val="24"/>
              </w:rPr>
            </w:pPr>
            <w:r w:rsidRPr="0054032E">
              <w:rPr>
                <w:sz w:val="24"/>
                <w:szCs w:val="24"/>
              </w:rPr>
              <w:t xml:space="preserve">This has not been done before and there is no standard method. However, to date, no fisher reports have </w:t>
            </w:r>
            <w:proofErr w:type="gramStart"/>
            <w:r w:rsidRPr="0054032E">
              <w:rPr>
                <w:sz w:val="24"/>
                <w:szCs w:val="24"/>
              </w:rPr>
              <w:t>actually been</w:t>
            </w:r>
            <w:proofErr w:type="gramEnd"/>
            <w:r w:rsidRPr="0054032E">
              <w:rPr>
                <w:sz w:val="24"/>
                <w:szCs w:val="24"/>
              </w:rPr>
              <w:t xml:space="preserve"> received. It is more likely that reports from Eastern IFCA will inform this – EIFCA can advise in which areas ‘atypical’ mortality has been observed, and which areas have suffered density-dependent ‘ridging out’ this year.</w:t>
            </w:r>
          </w:p>
        </w:tc>
      </w:tr>
      <w:tr w:rsidR="008B2720" w14:paraId="1B0D7E15" w14:textId="77777777" w:rsidTr="008B2720">
        <w:tc>
          <w:tcPr>
            <w:tcW w:w="464" w:type="dxa"/>
          </w:tcPr>
          <w:p w14:paraId="088CDDE3" w14:textId="6FAAB67B" w:rsidR="0054032E" w:rsidRDefault="0054032E" w:rsidP="00FD07CA">
            <w:pPr>
              <w:rPr>
                <w:sz w:val="24"/>
                <w:szCs w:val="24"/>
              </w:rPr>
            </w:pPr>
            <w:r>
              <w:rPr>
                <w:sz w:val="24"/>
                <w:szCs w:val="24"/>
              </w:rPr>
              <w:t>4</w:t>
            </w:r>
          </w:p>
        </w:tc>
        <w:tc>
          <w:tcPr>
            <w:tcW w:w="3989" w:type="dxa"/>
          </w:tcPr>
          <w:p w14:paraId="1F290045" w14:textId="66F834F8" w:rsidR="0054032E" w:rsidRPr="003C0DF2" w:rsidRDefault="003C0DF2" w:rsidP="00A550EC">
            <w:pPr>
              <w:rPr>
                <w:sz w:val="24"/>
                <w:szCs w:val="24"/>
              </w:rPr>
            </w:pPr>
            <w:r w:rsidRPr="003C0DF2">
              <w:rPr>
                <w:sz w:val="24"/>
                <w:szCs w:val="24"/>
                <w:lang w:val="en-US"/>
              </w:rPr>
              <w:t xml:space="preserve">Will fisheries landings </w:t>
            </w:r>
            <w:proofErr w:type="gramStart"/>
            <w:r w:rsidRPr="003C0DF2">
              <w:rPr>
                <w:sz w:val="24"/>
                <w:szCs w:val="24"/>
                <w:lang w:val="en-US"/>
              </w:rPr>
              <w:t>reports</w:t>
            </w:r>
            <w:proofErr w:type="gramEnd"/>
            <w:r w:rsidRPr="003C0DF2">
              <w:rPr>
                <w:sz w:val="24"/>
                <w:szCs w:val="24"/>
                <w:lang w:val="en-US"/>
              </w:rPr>
              <w:t xml:space="preserve"> and bird density data be provided to support the analysis of cockle mortality?</w:t>
            </w:r>
            <w:r w:rsidRPr="003C0DF2">
              <w:rPr>
                <w:sz w:val="24"/>
                <w:szCs w:val="24"/>
              </w:rPr>
              <w:t> </w:t>
            </w:r>
          </w:p>
        </w:tc>
        <w:tc>
          <w:tcPr>
            <w:tcW w:w="10206" w:type="dxa"/>
          </w:tcPr>
          <w:p w14:paraId="02FC1064" w14:textId="1C9799BE" w:rsidR="0054032E" w:rsidRPr="0054032E" w:rsidRDefault="003C0DF2" w:rsidP="003D0E0D">
            <w:pPr>
              <w:rPr>
                <w:sz w:val="24"/>
                <w:szCs w:val="24"/>
              </w:rPr>
            </w:pPr>
            <w:r w:rsidRPr="003C0DF2">
              <w:rPr>
                <w:sz w:val="24"/>
                <w:szCs w:val="24"/>
              </w:rPr>
              <w:t>This data will be provided.</w:t>
            </w:r>
          </w:p>
        </w:tc>
      </w:tr>
      <w:tr w:rsidR="008B2720" w14:paraId="3254AFB6" w14:textId="77777777" w:rsidTr="008B2720">
        <w:tc>
          <w:tcPr>
            <w:tcW w:w="464" w:type="dxa"/>
          </w:tcPr>
          <w:p w14:paraId="738FC628" w14:textId="75E59EF3" w:rsidR="003C0DF2" w:rsidRDefault="003C0DF2" w:rsidP="00FD07CA">
            <w:pPr>
              <w:rPr>
                <w:sz w:val="24"/>
                <w:szCs w:val="24"/>
              </w:rPr>
            </w:pPr>
            <w:r>
              <w:rPr>
                <w:sz w:val="24"/>
                <w:szCs w:val="24"/>
              </w:rPr>
              <w:lastRenderedPageBreak/>
              <w:t>5</w:t>
            </w:r>
          </w:p>
        </w:tc>
        <w:tc>
          <w:tcPr>
            <w:tcW w:w="3989" w:type="dxa"/>
          </w:tcPr>
          <w:p w14:paraId="6DB1EA7C" w14:textId="19494F16" w:rsidR="003C0DF2" w:rsidRPr="003C0DF2" w:rsidRDefault="00B50BA0" w:rsidP="00A550EC">
            <w:pPr>
              <w:rPr>
                <w:sz w:val="24"/>
                <w:szCs w:val="24"/>
                <w:lang w:val="en-US"/>
              </w:rPr>
            </w:pPr>
            <w:proofErr w:type="gramStart"/>
            <w:r w:rsidRPr="00B50BA0">
              <w:rPr>
                <w:sz w:val="24"/>
                <w:szCs w:val="24"/>
                <w:lang w:val="en-US"/>
              </w:rPr>
              <w:t>For the purpose of</w:t>
            </w:r>
            <w:proofErr w:type="gramEnd"/>
            <w:r w:rsidRPr="00B50BA0">
              <w:rPr>
                <w:sz w:val="24"/>
                <w:szCs w:val="24"/>
                <w:lang w:val="en-US"/>
              </w:rPr>
              <w:t xml:space="preserve"> consulting on relevant predictors of cockle mortality, have specific contacts already been established within Natural England, EIFCA, </w:t>
            </w:r>
            <w:proofErr w:type="spellStart"/>
            <w:r w:rsidRPr="00B50BA0">
              <w:rPr>
                <w:sz w:val="24"/>
                <w:szCs w:val="24"/>
                <w:lang w:val="en-US"/>
              </w:rPr>
              <w:t>Cefas</w:t>
            </w:r>
            <w:proofErr w:type="spellEnd"/>
            <w:r w:rsidRPr="00B50BA0">
              <w:rPr>
                <w:sz w:val="24"/>
                <w:szCs w:val="24"/>
                <w:lang w:val="en-US"/>
              </w:rPr>
              <w:t>, and the Environment Agency, or will we be responsible for initiating these connections?</w:t>
            </w:r>
          </w:p>
        </w:tc>
        <w:tc>
          <w:tcPr>
            <w:tcW w:w="10206" w:type="dxa"/>
          </w:tcPr>
          <w:p w14:paraId="5D7D7DEC" w14:textId="581AAA3C" w:rsidR="003C0DF2" w:rsidRPr="003C0DF2" w:rsidRDefault="00B50BA0" w:rsidP="003D0E0D">
            <w:pPr>
              <w:rPr>
                <w:sz w:val="24"/>
                <w:szCs w:val="24"/>
              </w:rPr>
            </w:pPr>
            <w:r w:rsidRPr="00B50BA0">
              <w:rPr>
                <w:sz w:val="24"/>
                <w:szCs w:val="24"/>
              </w:rPr>
              <w:t>Those contacts are already established and currently working on this project.</w:t>
            </w:r>
          </w:p>
        </w:tc>
      </w:tr>
      <w:tr w:rsidR="008B2720" w14:paraId="36E8C6B2" w14:textId="77777777" w:rsidTr="008B2720">
        <w:tc>
          <w:tcPr>
            <w:tcW w:w="464" w:type="dxa"/>
          </w:tcPr>
          <w:p w14:paraId="40A8B841" w14:textId="2C6EB8B0" w:rsidR="003C5C27" w:rsidRDefault="008E10C3" w:rsidP="00FD07CA">
            <w:pPr>
              <w:rPr>
                <w:sz w:val="24"/>
                <w:szCs w:val="24"/>
              </w:rPr>
            </w:pPr>
            <w:r>
              <w:rPr>
                <w:sz w:val="24"/>
                <w:szCs w:val="24"/>
              </w:rPr>
              <w:t>6</w:t>
            </w:r>
          </w:p>
        </w:tc>
        <w:tc>
          <w:tcPr>
            <w:tcW w:w="3989" w:type="dxa"/>
          </w:tcPr>
          <w:p w14:paraId="23B17BF8" w14:textId="6B776D4C" w:rsidR="003C5C27" w:rsidRPr="00B50BA0" w:rsidRDefault="0035521C" w:rsidP="00A550EC">
            <w:pPr>
              <w:rPr>
                <w:sz w:val="24"/>
                <w:szCs w:val="24"/>
                <w:lang w:val="en-US"/>
              </w:rPr>
            </w:pPr>
            <w:r w:rsidRPr="0035521C">
              <w:rPr>
                <w:sz w:val="24"/>
                <w:szCs w:val="24"/>
                <w:lang w:val="en-US"/>
              </w:rPr>
              <w:t xml:space="preserve">What is the date of final delivery? On p17 of the RFQ, as attached, it says the 21st of March, whereas p2 refers to the 31st of March for the final date of delivery.  </w:t>
            </w:r>
          </w:p>
        </w:tc>
        <w:tc>
          <w:tcPr>
            <w:tcW w:w="10206" w:type="dxa"/>
          </w:tcPr>
          <w:p w14:paraId="6AED9136" w14:textId="6C494685" w:rsidR="003C5C27" w:rsidRPr="00B50BA0" w:rsidRDefault="0035521C" w:rsidP="003D0E0D">
            <w:pPr>
              <w:rPr>
                <w:sz w:val="24"/>
                <w:szCs w:val="24"/>
              </w:rPr>
            </w:pPr>
            <w:r w:rsidRPr="0035521C">
              <w:rPr>
                <w:sz w:val="24"/>
                <w:szCs w:val="24"/>
                <w:lang w:val="en-US"/>
              </w:rPr>
              <w:t>31</w:t>
            </w:r>
            <w:r w:rsidRPr="0035521C">
              <w:rPr>
                <w:sz w:val="24"/>
                <w:szCs w:val="24"/>
                <w:vertAlign w:val="superscript"/>
                <w:lang w:val="en-US"/>
              </w:rPr>
              <w:t>st</w:t>
            </w:r>
            <w:r w:rsidRPr="0035521C">
              <w:rPr>
                <w:sz w:val="24"/>
                <w:szCs w:val="24"/>
                <w:lang w:val="en-US"/>
              </w:rPr>
              <w:t xml:space="preserve"> March is the absolute deadline for delivery. 21</w:t>
            </w:r>
            <w:r w:rsidRPr="0035521C">
              <w:rPr>
                <w:sz w:val="24"/>
                <w:szCs w:val="24"/>
                <w:vertAlign w:val="superscript"/>
                <w:lang w:val="en-US"/>
              </w:rPr>
              <w:t>st</w:t>
            </w:r>
            <w:r w:rsidRPr="0035521C">
              <w:rPr>
                <w:sz w:val="24"/>
                <w:szCs w:val="24"/>
                <w:lang w:val="en-US"/>
              </w:rPr>
              <w:t xml:space="preserve"> March is the deadline given for the final report to be completed, to allow contingency time for unexpected delays or final edits that may be required. </w:t>
            </w:r>
            <w:r w:rsidRPr="0035521C">
              <w:rPr>
                <w:sz w:val="24"/>
                <w:szCs w:val="24"/>
              </w:rPr>
              <w:t> </w:t>
            </w:r>
          </w:p>
        </w:tc>
      </w:tr>
      <w:tr w:rsidR="008B2720" w14:paraId="0F4FE395" w14:textId="77777777" w:rsidTr="008B2720">
        <w:tc>
          <w:tcPr>
            <w:tcW w:w="464" w:type="dxa"/>
          </w:tcPr>
          <w:p w14:paraId="7482845D" w14:textId="2EB009D6" w:rsidR="003C5C27" w:rsidRDefault="008E10C3" w:rsidP="00FD07CA">
            <w:pPr>
              <w:rPr>
                <w:sz w:val="24"/>
                <w:szCs w:val="24"/>
              </w:rPr>
            </w:pPr>
            <w:r>
              <w:rPr>
                <w:sz w:val="24"/>
                <w:szCs w:val="24"/>
              </w:rPr>
              <w:t>7</w:t>
            </w:r>
          </w:p>
        </w:tc>
        <w:tc>
          <w:tcPr>
            <w:tcW w:w="3989" w:type="dxa"/>
          </w:tcPr>
          <w:p w14:paraId="4E1CEC14" w14:textId="5C0A2D4F" w:rsidR="003C5C27" w:rsidRPr="00B50BA0" w:rsidRDefault="009A5E65" w:rsidP="00A550EC">
            <w:pPr>
              <w:rPr>
                <w:sz w:val="24"/>
                <w:szCs w:val="24"/>
                <w:lang w:val="en-US"/>
              </w:rPr>
            </w:pPr>
            <w:r w:rsidRPr="009A5E65">
              <w:rPr>
                <w:sz w:val="24"/>
                <w:szCs w:val="24"/>
                <w:lang w:val="en-US"/>
              </w:rPr>
              <w:t xml:space="preserve">There are lots of references to a Statistician – are you only looking for one scientist to work on this? This might not be possible for our team due to their availability. Could you please explain your requirements further as to how many scientists we can have working on this?  </w:t>
            </w:r>
          </w:p>
        </w:tc>
        <w:tc>
          <w:tcPr>
            <w:tcW w:w="10206" w:type="dxa"/>
          </w:tcPr>
          <w:p w14:paraId="4699A4B1" w14:textId="02B93764" w:rsidR="003C5C27" w:rsidRPr="00B50BA0" w:rsidRDefault="009A5E65" w:rsidP="003D0E0D">
            <w:pPr>
              <w:rPr>
                <w:sz w:val="24"/>
                <w:szCs w:val="24"/>
              </w:rPr>
            </w:pPr>
            <w:r w:rsidRPr="009A5E65">
              <w:rPr>
                <w:sz w:val="24"/>
                <w:szCs w:val="24"/>
                <w:lang w:val="en-US"/>
              </w:rPr>
              <w:t>The work can be delivered by a team.</w:t>
            </w:r>
            <w:r w:rsidRPr="009A5E65">
              <w:rPr>
                <w:sz w:val="24"/>
                <w:szCs w:val="24"/>
              </w:rPr>
              <w:t> </w:t>
            </w:r>
          </w:p>
        </w:tc>
      </w:tr>
      <w:tr w:rsidR="008B2720" w14:paraId="514E085A" w14:textId="77777777" w:rsidTr="008B2720">
        <w:tc>
          <w:tcPr>
            <w:tcW w:w="464" w:type="dxa"/>
          </w:tcPr>
          <w:p w14:paraId="097B2F8B" w14:textId="32761EAD" w:rsidR="003C5C27" w:rsidRDefault="008E10C3" w:rsidP="00FD07CA">
            <w:pPr>
              <w:rPr>
                <w:sz w:val="24"/>
                <w:szCs w:val="24"/>
              </w:rPr>
            </w:pPr>
            <w:r>
              <w:rPr>
                <w:sz w:val="24"/>
                <w:szCs w:val="24"/>
              </w:rPr>
              <w:t>8</w:t>
            </w:r>
          </w:p>
        </w:tc>
        <w:tc>
          <w:tcPr>
            <w:tcW w:w="3989" w:type="dxa"/>
          </w:tcPr>
          <w:p w14:paraId="55DBA802" w14:textId="67AAAD09" w:rsidR="003C5C27" w:rsidRPr="00B50BA0" w:rsidRDefault="009A5E65" w:rsidP="009A5E65">
            <w:pPr>
              <w:tabs>
                <w:tab w:val="left" w:pos="1365"/>
              </w:tabs>
              <w:rPr>
                <w:sz w:val="24"/>
                <w:szCs w:val="24"/>
                <w:lang w:val="en-US"/>
              </w:rPr>
            </w:pPr>
            <w:r w:rsidRPr="009A5E65">
              <w:rPr>
                <w:sz w:val="24"/>
                <w:szCs w:val="24"/>
                <w:lang w:val="en-US"/>
              </w:rPr>
              <w:t>Is there a preferred method for calculating mortality, or one used in previous studies? If so, could you please share those studies?</w:t>
            </w:r>
            <w:r>
              <w:rPr>
                <w:sz w:val="24"/>
                <w:szCs w:val="24"/>
                <w:lang w:val="en-US"/>
              </w:rPr>
              <w:tab/>
            </w:r>
          </w:p>
        </w:tc>
        <w:tc>
          <w:tcPr>
            <w:tcW w:w="10206" w:type="dxa"/>
          </w:tcPr>
          <w:p w14:paraId="66C93DA0" w14:textId="00001BC2" w:rsidR="003C5C27" w:rsidRPr="00B50BA0" w:rsidRDefault="008B2720" w:rsidP="003D0E0D">
            <w:pPr>
              <w:rPr>
                <w:sz w:val="24"/>
                <w:szCs w:val="24"/>
              </w:rPr>
            </w:pPr>
            <w:r w:rsidRPr="008B2720">
              <w:rPr>
                <w:sz w:val="24"/>
                <w:szCs w:val="24"/>
                <w:lang w:val="en-US"/>
              </w:rPr>
              <w:t>There is not a preferred method based on previous published studies. However, Eastern IFCA do have methods that they have used internally over the years to calculate mortality. The most appropriate method can be decided by the supplier, informed by discussions with partners.</w:t>
            </w:r>
            <w:r w:rsidRPr="008B2720">
              <w:rPr>
                <w:sz w:val="24"/>
                <w:szCs w:val="24"/>
              </w:rPr>
              <w:t> </w:t>
            </w:r>
          </w:p>
        </w:tc>
      </w:tr>
      <w:tr w:rsidR="008B2720" w14:paraId="41426D7A" w14:textId="77777777" w:rsidTr="008B2720">
        <w:tc>
          <w:tcPr>
            <w:tcW w:w="464" w:type="dxa"/>
          </w:tcPr>
          <w:p w14:paraId="326F3E88" w14:textId="788394B5" w:rsidR="008E10C3" w:rsidRDefault="008E10C3" w:rsidP="00FD07CA">
            <w:pPr>
              <w:rPr>
                <w:sz w:val="24"/>
                <w:szCs w:val="24"/>
              </w:rPr>
            </w:pPr>
            <w:r>
              <w:rPr>
                <w:sz w:val="24"/>
                <w:szCs w:val="24"/>
              </w:rPr>
              <w:t>9</w:t>
            </w:r>
          </w:p>
        </w:tc>
        <w:tc>
          <w:tcPr>
            <w:tcW w:w="3989" w:type="dxa"/>
          </w:tcPr>
          <w:p w14:paraId="70BEA944" w14:textId="212703A1" w:rsidR="008E10C3" w:rsidRPr="00B50BA0" w:rsidRDefault="008B2720" w:rsidP="00A550EC">
            <w:pPr>
              <w:rPr>
                <w:sz w:val="24"/>
                <w:szCs w:val="24"/>
                <w:lang w:val="en-US"/>
              </w:rPr>
            </w:pPr>
            <w:r w:rsidRPr="008B2720">
              <w:rPr>
                <w:sz w:val="24"/>
                <w:szCs w:val="24"/>
                <w:lang w:val="en-US"/>
              </w:rPr>
              <w:t xml:space="preserve">Could you provide more information on EIFCA's Bird Food Model (BFM), including its data inputs, methodology, assumptions, and </w:t>
            </w:r>
            <w:r w:rsidRPr="008B2720">
              <w:rPr>
                <w:sz w:val="24"/>
                <w:szCs w:val="24"/>
                <w:lang w:val="en-US"/>
              </w:rPr>
              <w:lastRenderedPageBreak/>
              <w:t>approach to calculating Total Allowable Catch for shellfisheries?</w:t>
            </w:r>
          </w:p>
        </w:tc>
        <w:tc>
          <w:tcPr>
            <w:tcW w:w="10206" w:type="dxa"/>
          </w:tcPr>
          <w:p w14:paraId="33BF4584" w14:textId="77777777" w:rsidR="008B2720" w:rsidRPr="008B2720" w:rsidRDefault="008B2720" w:rsidP="008B2720">
            <w:pPr>
              <w:rPr>
                <w:sz w:val="24"/>
                <w:szCs w:val="24"/>
              </w:rPr>
            </w:pPr>
            <w:r w:rsidRPr="008B2720">
              <w:rPr>
                <w:sz w:val="24"/>
                <w:szCs w:val="24"/>
              </w:rPr>
              <w:lastRenderedPageBreak/>
              <w:t xml:space="preserve">The bird food model is described in detail here:  </w:t>
            </w:r>
          </w:p>
          <w:p w14:paraId="4BDA9951" w14:textId="77777777" w:rsidR="008B2720" w:rsidRPr="008B2720" w:rsidRDefault="008B2720" w:rsidP="008B2720">
            <w:pPr>
              <w:rPr>
                <w:sz w:val="24"/>
                <w:szCs w:val="24"/>
              </w:rPr>
            </w:pPr>
            <w:r w:rsidRPr="008B2720">
              <w:rPr>
                <w:sz w:val="24"/>
                <w:szCs w:val="24"/>
              </w:rPr>
              <w:t xml:space="preserve"> </w:t>
            </w:r>
          </w:p>
          <w:p w14:paraId="1C389364" w14:textId="1084E509" w:rsidR="008B2720" w:rsidRPr="008B2720" w:rsidRDefault="008B2720" w:rsidP="008B2720">
            <w:pPr>
              <w:rPr>
                <w:sz w:val="24"/>
                <w:szCs w:val="24"/>
              </w:rPr>
            </w:pPr>
            <w:r w:rsidRPr="008B2720">
              <w:rPr>
                <w:sz w:val="24"/>
                <w:szCs w:val="24"/>
              </w:rPr>
              <w:t xml:space="preserve">Stillman, R.A., West, A.D., Goss-Custard, J.D., </w:t>
            </w:r>
            <w:proofErr w:type="spellStart"/>
            <w:r w:rsidRPr="008B2720">
              <w:rPr>
                <w:sz w:val="24"/>
                <w:szCs w:val="24"/>
              </w:rPr>
              <w:t>Caldow</w:t>
            </w:r>
            <w:proofErr w:type="spellEnd"/>
            <w:r w:rsidRPr="008B2720">
              <w:rPr>
                <w:sz w:val="24"/>
                <w:szCs w:val="24"/>
              </w:rPr>
              <w:t xml:space="preserve">, R.W.G., Mcgrorty, S., Durell, S.E.A.L.V.D., Yates, M.G., Atkinson, P.W., Clark, N.A., Bell, M.C., Dare, P.J. and Mander, M. (2003), An individual behaviour-based model can predict shorebird mortality using routinely collected shellfishery data. </w:t>
            </w:r>
            <w:r w:rsidRPr="008B2720">
              <w:rPr>
                <w:sz w:val="24"/>
                <w:szCs w:val="24"/>
              </w:rPr>
              <w:lastRenderedPageBreak/>
              <w:t xml:space="preserve">Journal of Applied Ecology, 40: 1090-1101. </w:t>
            </w:r>
            <w:hyperlink r:id="rId5" w:history="1">
              <w:r w:rsidRPr="00E23D74">
                <w:rPr>
                  <w:rStyle w:val="Hyperlink"/>
                  <w:sz w:val="24"/>
                  <w:szCs w:val="24"/>
                </w:rPr>
                <w:t>https://doi.org/10.1111/j.1365-2664.2003.00853.x</w:t>
              </w:r>
            </w:hyperlink>
            <w:r>
              <w:rPr>
                <w:sz w:val="24"/>
                <w:szCs w:val="24"/>
              </w:rPr>
              <w:t xml:space="preserve"> </w:t>
            </w:r>
            <w:r w:rsidRPr="008B2720">
              <w:rPr>
                <w:sz w:val="24"/>
                <w:szCs w:val="24"/>
              </w:rPr>
              <w:t xml:space="preserve">Available at: </w:t>
            </w:r>
            <w:hyperlink r:id="rId6" w:history="1">
              <w:r w:rsidRPr="00E23D74">
                <w:rPr>
                  <w:rStyle w:val="Hyperlink"/>
                  <w:sz w:val="24"/>
                  <w:szCs w:val="24"/>
                </w:rPr>
                <w:t>https://besjournals.onlinelibrary.wiley.com/doi/full/10.1111/j.1365-2664.2003.00853.x</w:t>
              </w:r>
            </w:hyperlink>
            <w:r>
              <w:rPr>
                <w:sz w:val="24"/>
                <w:szCs w:val="24"/>
              </w:rPr>
              <w:t xml:space="preserve"> </w:t>
            </w:r>
            <w:r w:rsidRPr="008B2720">
              <w:rPr>
                <w:sz w:val="24"/>
                <w:szCs w:val="24"/>
              </w:rPr>
              <w:t xml:space="preserve">  </w:t>
            </w:r>
          </w:p>
          <w:p w14:paraId="417B2A6F" w14:textId="77777777" w:rsidR="008B2720" w:rsidRPr="008B2720" w:rsidRDefault="008B2720" w:rsidP="008B2720">
            <w:pPr>
              <w:rPr>
                <w:sz w:val="24"/>
                <w:szCs w:val="24"/>
              </w:rPr>
            </w:pPr>
            <w:r w:rsidRPr="008B2720">
              <w:rPr>
                <w:sz w:val="24"/>
                <w:szCs w:val="24"/>
              </w:rPr>
              <w:t xml:space="preserve"> </w:t>
            </w:r>
          </w:p>
          <w:p w14:paraId="2D17CCA0" w14:textId="77777777" w:rsidR="008B2720" w:rsidRPr="008B2720" w:rsidRDefault="008B2720" w:rsidP="008B2720">
            <w:pPr>
              <w:rPr>
                <w:sz w:val="24"/>
                <w:szCs w:val="24"/>
              </w:rPr>
            </w:pPr>
            <w:r w:rsidRPr="008B2720">
              <w:rPr>
                <w:sz w:val="24"/>
                <w:szCs w:val="24"/>
              </w:rPr>
              <w:t xml:space="preserve">A report was commissioned by Natural England in 2021 to assess whether this approach was still fit for purpose – this is an internal report but can be shared with the successful supplier if required.  </w:t>
            </w:r>
          </w:p>
          <w:p w14:paraId="0511E9F9" w14:textId="77777777" w:rsidR="008B2720" w:rsidRPr="008B2720" w:rsidRDefault="008B2720" w:rsidP="008B2720">
            <w:pPr>
              <w:rPr>
                <w:sz w:val="24"/>
                <w:szCs w:val="24"/>
              </w:rPr>
            </w:pPr>
            <w:r w:rsidRPr="008B2720">
              <w:rPr>
                <w:sz w:val="24"/>
                <w:szCs w:val="24"/>
              </w:rPr>
              <w:t xml:space="preserve"> </w:t>
            </w:r>
          </w:p>
          <w:p w14:paraId="1B49B2C0" w14:textId="77777777" w:rsidR="008B2720" w:rsidRPr="008B2720" w:rsidRDefault="008B2720" w:rsidP="008B2720">
            <w:pPr>
              <w:rPr>
                <w:sz w:val="24"/>
                <w:szCs w:val="24"/>
              </w:rPr>
            </w:pPr>
            <w:r w:rsidRPr="008B2720">
              <w:rPr>
                <w:sz w:val="24"/>
                <w:szCs w:val="24"/>
              </w:rPr>
              <w:t xml:space="preserve">The method for calculating Total Allowable Catch &amp; the inclusion of the Bird Food Model is described in Eastern IFCA’s cockle fishery management plan:  </w:t>
            </w:r>
          </w:p>
          <w:p w14:paraId="755B398D" w14:textId="299A3783" w:rsidR="008B2720" w:rsidRPr="008B2720" w:rsidRDefault="008B2720" w:rsidP="008B2720">
            <w:pPr>
              <w:rPr>
                <w:sz w:val="24"/>
                <w:szCs w:val="24"/>
              </w:rPr>
            </w:pPr>
            <w:hyperlink r:id="rId7" w:history="1">
              <w:r w:rsidRPr="00E23D74">
                <w:rPr>
                  <w:rStyle w:val="Hyperlink"/>
                  <w:sz w:val="24"/>
                  <w:szCs w:val="24"/>
                </w:rPr>
                <w:t>https://www.eastern-ifca.gov.uk/wp-content/uploads/2021/03/2019_07_WFO_cockle_fishery_management_plan1.5_Final.pdf</w:t>
              </w:r>
            </w:hyperlink>
            <w:r>
              <w:rPr>
                <w:sz w:val="24"/>
                <w:szCs w:val="24"/>
              </w:rPr>
              <w:t xml:space="preserve"> </w:t>
            </w:r>
            <w:r w:rsidRPr="008B2720">
              <w:rPr>
                <w:sz w:val="24"/>
                <w:szCs w:val="24"/>
              </w:rPr>
              <w:t xml:space="preserve">  </w:t>
            </w:r>
          </w:p>
          <w:p w14:paraId="47BBD334" w14:textId="77777777" w:rsidR="008B2720" w:rsidRPr="008B2720" w:rsidRDefault="008B2720" w:rsidP="008B2720">
            <w:pPr>
              <w:rPr>
                <w:sz w:val="24"/>
                <w:szCs w:val="24"/>
              </w:rPr>
            </w:pPr>
            <w:r w:rsidRPr="008B2720">
              <w:rPr>
                <w:sz w:val="24"/>
                <w:szCs w:val="24"/>
              </w:rPr>
              <w:t xml:space="preserve"> </w:t>
            </w:r>
          </w:p>
          <w:p w14:paraId="0BA24AD6" w14:textId="77777777" w:rsidR="008B2720" w:rsidRPr="008B2720" w:rsidRDefault="008B2720" w:rsidP="008B2720">
            <w:pPr>
              <w:rPr>
                <w:sz w:val="24"/>
                <w:szCs w:val="24"/>
              </w:rPr>
            </w:pPr>
            <w:r w:rsidRPr="008B2720">
              <w:rPr>
                <w:sz w:val="24"/>
                <w:szCs w:val="24"/>
              </w:rPr>
              <w:t xml:space="preserve">Please note that there was a change in 2023 on calculation of TAC, the update is published here:  </w:t>
            </w:r>
          </w:p>
          <w:p w14:paraId="5D7088F1" w14:textId="18B4659D" w:rsidR="008E10C3" w:rsidRPr="00B50BA0" w:rsidRDefault="008B2720" w:rsidP="008B2720">
            <w:pPr>
              <w:rPr>
                <w:sz w:val="24"/>
                <w:szCs w:val="24"/>
              </w:rPr>
            </w:pPr>
            <w:hyperlink r:id="rId8" w:history="1">
              <w:r w:rsidRPr="00E23D74">
                <w:rPr>
                  <w:rStyle w:val="Hyperlink"/>
                  <w:sz w:val="24"/>
                  <w:szCs w:val="24"/>
                </w:rPr>
                <w:t>https://www.eastern-ifca.gov.uk/wp-content/uploads/2023/06/2023_06_02_Review_of_Cockle_TAC_online_version.pdf</w:t>
              </w:r>
            </w:hyperlink>
            <w:r>
              <w:rPr>
                <w:sz w:val="24"/>
                <w:szCs w:val="24"/>
              </w:rPr>
              <w:t xml:space="preserve"> </w:t>
            </w:r>
            <w:r w:rsidRPr="008B2720">
              <w:rPr>
                <w:sz w:val="24"/>
                <w:szCs w:val="24"/>
              </w:rPr>
              <w:t xml:space="preserve">  </w:t>
            </w:r>
          </w:p>
        </w:tc>
      </w:tr>
    </w:tbl>
    <w:p w14:paraId="4989ADEA" w14:textId="77777777" w:rsidR="00956707" w:rsidRDefault="00956707" w:rsidP="00FD07CA"/>
    <w:sectPr w:rsidR="00956707" w:rsidSect="008B2720">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BD65297"/>
    <w:multiLevelType w:val="multilevel"/>
    <w:tmpl w:val="4C48D192"/>
    <w:lvl w:ilvl="0">
      <w:start w:val="2"/>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 w15:restartNumberingAfterBreak="0">
    <w:nsid w:val="7E6E0DFE"/>
    <w:multiLevelType w:val="multilevel"/>
    <w:tmpl w:val="FFFFFFFF"/>
    <w:lvl w:ilvl="0">
      <w:start w:val="1"/>
      <w:numFmt w:val="decimal"/>
      <w:lvlText w:val="%1."/>
      <w:lvlJc w:val="left"/>
      <w:pPr>
        <w:tabs>
          <w:tab w:val="num" w:pos="785"/>
        </w:tabs>
        <w:ind w:left="785"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16cid:durableId="152011910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93709404">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7CA"/>
    <w:rsid w:val="00072210"/>
    <w:rsid w:val="000A622F"/>
    <w:rsid w:val="001302EF"/>
    <w:rsid w:val="00336E2E"/>
    <w:rsid w:val="0035521C"/>
    <w:rsid w:val="00361333"/>
    <w:rsid w:val="003918FC"/>
    <w:rsid w:val="003C0DF2"/>
    <w:rsid w:val="003C5C27"/>
    <w:rsid w:val="003D0E0D"/>
    <w:rsid w:val="003E30E8"/>
    <w:rsid w:val="0041092D"/>
    <w:rsid w:val="00435825"/>
    <w:rsid w:val="0054032E"/>
    <w:rsid w:val="006026CA"/>
    <w:rsid w:val="0066183F"/>
    <w:rsid w:val="00690FBA"/>
    <w:rsid w:val="006A6AE2"/>
    <w:rsid w:val="006D1817"/>
    <w:rsid w:val="006E1728"/>
    <w:rsid w:val="007156BB"/>
    <w:rsid w:val="0085573B"/>
    <w:rsid w:val="008957C9"/>
    <w:rsid w:val="00896598"/>
    <w:rsid w:val="008B2720"/>
    <w:rsid w:val="008D06C5"/>
    <w:rsid w:val="008E10C3"/>
    <w:rsid w:val="00956707"/>
    <w:rsid w:val="009A5E65"/>
    <w:rsid w:val="00A550EC"/>
    <w:rsid w:val="00B50BA0"/>
    <w:rsid w:val="00B96015"/>
    <w:rsid w:val="00BB1C7C"/>
    <w:rsid w:val="00BF17D6"/>
    <w:rsid w:val="00CB6EC4"/>
    <w:rsid w:val="00D22702"/>
    <w:rsid w:val="00D45763"/>
    <w:rsid w:val="00E55056"/>
    <w:rsid w:val="00E9515D"/>
    <w:rsid w:val="00FC3BBE"/>
    <w:rsid w:val="00FD07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6B8C8"/>
  <w15:chartTrackingRefBased/>
  <w15:docId w15:val="{9E960BBC-6387-4C42-9AE4-6F157BBC6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550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B2720"/>
    <w:rPr>
      <w:color w:val="0563C1" w:themeColor="hyperlink"/>
      <w:u w:val="single"/>
    </w:rPr>
  </w:style>
  <w:style w:type="character" w:styleId="UnresolvedMention">
    <w:name w:val="Unresolved Mention"/>
    <w:basedOn w:val="DefaultParagraphFont"/>
    <w:uiPriority w:val="99"/>
    <w:semiHidden/>
    <w:unhideWhenUsed/>
    <w:rsid w:val="008B27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7944239">
      <w:bodyDiv w:val="1"/>
      <w:marLeft w:val="0"/>
      <w:marRight w:val="0"/>
      <w:marTop w:val="0"/>
      <w:marBottom w:val="0"/>
      <w:divBdr>
        <w:top w:val="none" w:sz="0" w:space="0" w:color="auto"/>
        <w:left w:val="none" w:sz="0" w:space="0" w:color="auto"/>
        <w:bottom w:val="none" w:sz="0" w:space="0" w:color="auto"/>
        <w:right w:val="none" w:sz="0" w:space="0" w:color="auto"/>
      </w:divBdr>
    </w:div>
    <w:div w:id="222328022">
      <w:bodyDiv w:val="1"/>
      <w:marLeft w:val="0"/>
      <w:marRight w:val="0"/>
      <w:marTop w:val="0"/>
      <w:marBottom w:val="0"/>
      <w:divBdr>
        <w:top w:val="none" w:sz="0" w:space="0" w:color="auto"/>
        <w:left w:val="none" w:sz="0" w:space="0" w:color="auto"/>
        <w:bottom w:val="none" w:sz="0" w:space="0" w:color="auto"/>
        <w:right w:val="none" w:sz="0" w:space="0" w:color="auto"/>
      </w:divBdr>
    </w:div>
    <w:div w:id="266888555">
      <w:bodyDiv w:val="1"/>
      <w:marLeft w:val="0"/>
      <w:marRight w:val="0"/>
      <w:marTop w:val="0"/>
      <w:marBottom w:val="0"/>
      <w:divBdr>
        <w:top w:val="none" w:sz="0" w:space="0" w:color="auto"/>
        <w:left w:val="none" w:sz="0" w:space="0" w:color="auto"/>
        <w:bottom w:val="none" w:sz="0" w:space="0" w:color="auto"/>
        <w:right w:val="none" w:sz="0" w:space="0" w:color="auto"/>
      </w:divBdr>
    </w:div>
    <w:div w:id="450712962">
      <w:bodyDiv w:val="1"/>
      <w:marLeft w:val="0"/>
      <w:marRight w:val="0"/>
      <w:marTop w:val="0"/>
      <w:marBottom w:val="0"/>
      <w:divBdr>
        <w:top w:val="none" w:sz="0" w:space="0" w:color="auto"/>
        <w:left w:val="none" w:sz="0" w:space="0" w:color="auto"/>
        <w:bottom w:val="none" w:sz="0" w:space="0" w:color="auto"/>
        <w:right w:val="none" w:sz="0" w:space="0" w:color="auto"/>
      </w:divBdr>
    </w:div>
    <w:div w:id="453065072">
      <w:bodyDiv w:val="1"/>
      <w:marLeft w:val="0"/>
      <w:marRight w:val="0"/>
      <w:marTop w:val="0"/>
      <w:marBottom w:val="0"/>
      <w:divBdr>
        <w:top w:val="none" w:sz="0" w:space="0" w:color="auto"/>
        <w:left w:val="none" w:sz="0" w:space="0" w:color="auto"/>
        <w:bottom w:val="none" w:sz="0" w:space="0" w:color="auto"/>
        <w:right w:val="none" w:sz="0" w:space="0" w:color="auto"/>
      </w:divBdr>
    </w:div>
    <w:div w:id="505823760">
      <w:bodyDiv w:val="1"/>
      <w:marLeft w:val="0"/>
      <w:marRight w:val="0"/>
      <w:marTop w:val="0"/>
      <w:marBottom w:val="0"/>
      <w:divBdr>
        <w:top w:val="none" w:sz="0" w:space="0" w:color="auto"/>
        <w:left w:val="none" w:sz="0" w:space="0" w:color="auto"/>
        <w:bottom w:val="none" w:sz="0" w:space="0" w:color="auto"/>
        <w:right w:val="none" w:sz="0" w:space="0" w:color="auto"/>
      </w:divBdr>
    </w:div>
    <w:div w:id="599801689">
      <w:bodyDiv w:val="1"/>
      <w:marLeft w:val="0"/>
      <w:marRight w:val="0"/>
      <w:marTop w:val="0"/>
      <w:marBottom w:val="0"/>
      <w:divBdr>
        <w:top w:val="none" w:sz="0" w:space="0" w:color="auto"/>
        <w:left w:val="none" w:sz="0" w:space="0" w:color="auto"/>
        <w:bottom w:val="none" w:sz="0" w:space="0" w:color="auto"/>
        <w:right w:val="none" w:sz="0" w:space="0" w:color="auto"/>
      </w:divBdr>
    </w:div>
    <w:div w:id="1099636843">
      <w:bodyDiv w:val="1"/>
      <w:marLeft w:val="0"/>
      <w:marRight w:val="0"/>
      <w:marTop w:val="0"/>
      <w:marBottom w:val="0"/>
      <w:divBdr>
        <w:top w:val="none" w:sz="0" w:space="0" w:color="auto"/>
        <w:left w:val="none" w:sz="0" w:space="0" w:color="auto"/>
        <w:bottom w:val="none" w:sz="0" w:space="0" w:color="auto"/>
        <w:right w:val="none" w:sz="0" w:space="0" w:color="auto"/>
      </w:divBdr>
    </w:div>
    <w:div w:id="1125660413">
      <w:bodyDiv w:val="1"/>
      <w:marLeft w:val="0"/>
      <w:marRight w:val="0"/>
      <w:marTop w:val="0"/>
      <w:marBottom w:val="0"/>
      <w:divBdr>
        <w:top w:val="none" w:sz="0" w:space="0" w:color="auto"/>
        <w:left w:val="none" w:sz="0" w:space="0" w:color="auto"/>
        <w:bottom w:val="none" w:sz="0" w:space="0" w:color="auto"/>
        <w:right w:val="none" w:sz="0" w:space="0" w:color="auto"/>
      </w:divBdr>
    </w:div>
    <w:div w:id="1194608508">
      <w:bodyDiv w:val="1"/>
      <w:marLeft w:val="0"/>
      <w:marRight w:val="0"/>
      <w:marTop w:val="0"/>
      <w:marBottom w:val="0"/>
      <w:divBdr>
        <w:top w:val="none" w:sz="0" w:space="0" w:color="auto"/>
        <w:left w:val="none" w:sz="0" w:space="0" w:color="auto"/>
        <w:bottom w:val="none" w:sz="0" w:space="0" w:color="auto"/>
        <w:right w:val="none" w:sz="0" w:space="0" w:color="auto"/>
      </w:divBdr>
    </w:div>
    <w:div w:id="1310670527">
      <w:bodyDiv w:val="1"/>
      <w:marLeft w:val="0"/>
      <w:marRight w:val="0"/>
      <w:marTop w:val="0"/>
      <w:marBottom w:val="0"/>
      <w:divBdr>
        <w:top w:val="none" w:sz="0" w:space="0" w:color="auto"/>
        <w:left w:val="none" w:sz="0" w:space="0" w:color="auto"/>
        <w:bottom w:val="none" w:sz="0" w:space="0" w:color="auto"/>
        <w:right w:val="none" w:sz="0" w:space="0" w:color="auto"/>
      </w:divBdr>
    </w:div>
    <w:div w:id="1343825978">
      <w:bodyDiv w:val="1"/>
      <w:marLeft w:val="0"/>
      <w:marRight w:val="0"/>
      <w:marTop w:val="0"/>
      <w:marBottom w:val="0"/>
      <w:divBdr>
        <w:top w:val="none" w:sz="0" w:space="0" w:color="auto"/>
        <w:left w:val="none" w:sz="0" w:space="0" w:color="auto"/>
        <w:bottom w:val="none" w:sz="0" w:space="0" w:color="auto"/>
        <w:right w:val="none" w:sz="0" w:space="0" w:color="auto"/>
      </w:divBdr>
    </w:div>
    <w:div w:id="1377924978">
      <w:bodyDiv w:val="1"/>
      <w:marLeft w:val="0"/>
      <w:marRight w:val="0"/>
      <w:marTop w:val="0"/>
      <w:marBottom w:val="0"/>
      <w:divBdr>
        <w:top w:val="none" w:sz="0" w:space="0" w:color="auto"/>
        <w:left w:val="none" w:sz="0" w:space="0" w:color="auto"/>
        <w:bottom w:val="none" w:sz="0" w:space="0" w:color="auto"/>
        <w:right w:val="none" w:sz="0" w:space="0" w:color="auto"/>
      </w:divBdr>
    </w:div>
    <w:div w:id="1546213250">
      <w:bodyDiv w:val="1"/>
      <w:marLeft w:val="0"/>
      <w:marRight w:val="0"/>
      <w:marTop w:val="0"/>
      <w:marBottom w:val="0"/>
      <w:divBdr>
        <w:top w:val="none" w:sz="0" w:space="0" w:color="auto"/>
        <w:left w:val="none" w:sz="0" w:space="0" w:color="auto"/>
        <w:bottom w:val="none" w:sz="0" w:space="0" w:color="auto"/>
        <w:right w:val="none" w:sz="0" w:space="0" w:color="auto"/>
      </w:divBdr>
    </w:div>
    <w:div w:id="1586644931">
      <w:bodyDiv w:val="1"/>
      <w:marLeft w:val="0"/>
      <w:marRight w:val="0"/>
      <w:marTop w:val="0"/>
      <w:marBottom w:val="0"/>
      <w:divBdr>
        <w:top w:val="none" w:sz="0" w:space="0" w:color="auto"/>
        <w:left w:val="none" w:sz="0" w:space="0" w:color="auto"/>
        <w:bottom w:val="none" w:sz="0" w:space="0" w:color="auto"/>
        <w:right w:val="none" w:sz="0" w:space="0" w:color="auto"/>
      </w:divBdr>
    </w:div>
    <w:div w:id="1741051320">
      <w:bodyDiv w:val="1"/>
      <w:marLeft w:val="0"/>
      <w:marRight w:val="0"/>
      <w:marTop w:val="0"/>
      <w:marBottom w:val="0"/>
      <w:divBdr>
        <w:top w:val="none" w:sz="0" w:space="0" w:color="auto"/>
        <w:left w:val="none" w:sz="0" w:space="0" w:color="auto"/>
        <w:bottom w:val="none" w:sz="0" w:space="0" w:color="auto"/>
        <w:right w:val="none" w:sz="0" w:space="0" w:color="auto"/>
      </w:divBdr>
    </w:div>
    <w:div w:id="1908998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astern-ifca.gov.uk/wp-content/uploads/2023/06/2023_06_02_Review_of_Cockle_TAC_online_version.pdf" TargetMode="External"/><Relationship Id="rId3" Type="http://schemas.openxmlformats.org/officeDocument/2006/relationships/settings" Target="settings.xml"/><Relationship Id="rId7" Type="http://schemas.openxmlformats.org/officeDocument/2006/relationships/hyperlink" Target="https://www.eastern-ifca.gov.uk/wp-content/uploads/2021/03/2019_07_WFO_cockle_fishery_management_plan1.5_Final.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esjournals.onlinelibrary.wiley.com/doi/full/10.1111/j.1365-2664.2003.00853.x" TargetMode="External"/><Relationship Id="rId5" Type="http://schemas.openxmlformats.org/officeDocument/2006/relationships/hyperlink" Target="https://doi.org/10.1111/j.1365-2664.2003.00853.x"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3</Pages>
  <Words>847</Words>
  <Characters>4834</Characters>
  <Application>Microsoft Office Word</Application>
  <DocSecurity>0</DocSecurity>
  <Lines>40</Lines>
  <Paragraphs>11</Paragraphs>
  <ScaleCrop>false</ScaleCrop>
  <Company/>
  <LinksUpToDate>false</LinksUpToDate>
  <CharactersWithSpaces>5670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Hughes, Jessica</dc:creator>
  <cp:keywords/>
  <dc:description/>
  <cp:lastModifiedBy>Hughes, Jessica</cp:lastModifiedBy>
  <cp:revision>16</cp:revision>
  <dcterms:created xsi:type="dcterms:W3CDTF">2024-11-07T15:13:00Z</dcterms:created>
  <dcterms:modified xsi:type="dcterms:W3CDTF">2024-11-13T11:58:00Z</dcterms:modified>
</cp:coreProperties>
</file>