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widowControl w:val="1"/>
        <w:pBdr>
          <w:top w:space="0" w:sz="0" w:val="nil"/>
          <w:left w:space="0" w:sz="0" w:val="nil"/>
          <w:bottom w:space="0" w:sz="0" w:val="nil"/>
          <w:right w:space="0" w:sz="0" w:val="nil"/>
          <w:between w:space="0" w:sz="0" w:val="nil"/>
        </w:pBdr>
        <w:shd w:fill="auto" w:val="clear"/>
        <w:tabs>
          <w:tab w:val="left" w:pos="5715"/>
        </w:tabs>
        <w:spacing w:after="240" w:before="0" w:line="240" w:lineRule="auto"/>
        <w:ind w:left="0" w:right="0" w:firstLine="0"/>
        <w:jc w:val="left"/>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Call-Off Schedule 1 (Transparency Reports)</w:t>
      </w:r>
    </w:p>
    <w:p w:rsidR="00000000" w:rsidDel="00000000" w:rsidP="00000000" w:rsidRDefault="00000000" w:rsidRPr="00000000" w14:paraId="00000002">
      <w:pPr>
        <w:spacing w:after="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w:t>
        <w:tab/>
        <w:t xml:space="preserve">The Supplier recognises that the Buyer is subject to PPN 01/17 (Updates to </w:t>
      </w:r>
    </w:p>
    <w:p w:rsidR="00000000" w:rsidDel="00000000" w:rsidP="00000000" w:rsidRDefault="00000000" w:rsidRPr="00000000" w14:paraId="00000003">
      <w:pPr>
        <w:spacing w:after="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transparency principles v1.1 (</w:t>
      </w:r>
      <w:hyperlink r:id="rId7">
        <w:r w:rsidDel="00000000" w:rsidR="00000000" w:rsidRPr="00000000">
          <w:rPr>
            <w:rFonts w:ascii="Arial" w:cs="Arial" w:eastAsia="Arial" w:hAnsi="Arial"/>
            <w:color w:val="0000ff"/>
            <w:sz w:val="24"/>
            <w:szCs w:val="24"/>
            <w:u w:val="single"/>
            <w:rtl w:val="0"/>
          </w:rPr>
          <w:t xml:space="preserve">https://www.gov.uk/government/publications/procurement-policy-note-0117-update-to-transparency-principles</w:t>
        </w:r>
      </w:hyperlink>
      <w:r w:rsidDel="00000000" w:rsidR="00000000" w:rsidRPr="00000000">
        <w:rPr>
          <w:rFonts w:ascii="Arial" w:cs="Arial" w:eastAsia="Arial" w:hAnsi="Arial"/>
          <w:color w:val="000000"/>
          <w:sz w:val="24"/>
          <w:szCs w:val="24"/>
          <w:rtl w:val="0"/>
        </w:rPr>
        <w:t xml:space="preserve">). The Supplier shall comply with the provisions of this Schedule in order to assist the Buyer with its compliance with its obligations under that PPN.</w:t>
      </w:r>
    </w:p>
    <w:p w:rsidR="00000000" w:rsidDel="00000000" w:rsidP="00000000" w:rsidRDefault="00000000" w:rsidRPr="00000000" w14:paraId="00000004">
      <w:pPr>
        <w:spacing w:after="0" w:lineRule="auto"/>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5">
      <w:pPr>
        <w:spacing w:after="0" w:lineRule="auto"/>
        <w:ind w:left="3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w:t>
        <w:tab/>
        <w:tab/>
        <w:t xml:space="preserve">Without prejudice to the Supplier's reporting requirements set out in the </w:t>
      </w:r>
    </w:p>
    <w:p w:rsidR="00000000" w:rsidDel="00000000" w:rsidP="00000000" w:rsidRDefault="00000000" w:rsidRPr="00000000" w14:paraId="00000006">
      <w:pPr>
        <w:spacing w:after="0" w:lineRule="auto"/>
        <w:ind w:left="1080"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Framework Contract, within three (3) Months of the Start Date the Supplier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7">
      <w:pPr>
        <w:spacing w:after="0" w:lineRule="auto"/>
        <w:ind w:left="108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submit to the Buyer for Approval (such Approval not to be unreasonably </w:t>
      </w:r>
    </w:p>
    <w:p w:rsidR="00000000" w:rsidDel="00000000" w:rsidP="00000000" w:rsidRDefault="00000000" w:rsidRPr="00000000" w14:paraId="00000008">
      <w:pPr>
        <w:spacing w:after="0" w:lineRule="auto"/>
        <w:ind w:left="108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withheld or delayed) draft Transparency Reports consistent with the content </w:t>
      </w:r>
    </w:p>
    <w:p w:rsidR="00000000" w:rsidDel="00000000" w:rsidP="00000000" w:rsidRDefault="00000000" w:rsidRPr="00000000" w14:paraId="00000009">
      <w:pPr>
        <w:spacing w:after="0" w:lineRule="auto"/>
        <w:ind w:left="108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requirements and format set out in the Annex of this Schedule.</w:t>
      </w:r>
    </w:p>
    <w:p w:rsidR="00000000" w:rsidDel="00000000" w:rsidP="00000000" w:rsidRDefault="00000000" w:rsidRPr="00000000" w14:paraId="0000000A">
      <w:pPr>
        <w:spacing w:after="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B">
      <w:pPr>
        <w:spacing w:after="0" w:lineRule="auto"/>
        <w:ind w:left="3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 </w:t>
        <w:tab/>
        <w:t xml:space="preserve">If the Buyer rejects any proposed Transparency Report submitted by the </w:t>
      </w:r>
    </w:p>
    <w:p w:rsidR="00000000" w:rsidDel="00000000" w:rsidP="00000000" w:rsidRDefault="00000000" w:rsidRPr="00000000" w14:paraId="0000000C">
      <w:pPr>
        <w:spacing w:after="0" w:lineRule="auto"/>
        <w:ind w:left="7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rsidR="00000000" w:rsidDel="00000000" w:rsidP="00000000" w:rsidRDefault="00000000" w:rsidRPr="00000000" w14:paraId="0000000D">
      <w:pPr>
        <w:spacing w:after="0" w:lineRule="auto"/>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E">
      <w:pPr>
        <w:spacing w:after="0" w:lineRule="auto"/>
        <w:ind w:left="3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 </w:t>
        <w:tab/>
        <w:t xml:space="preserve">The Supplier shall provide accurate and up-to-date versions of each </w:t>
      </w:r>
    </w:p>
    <w:p w:rsidR="00000000" w:rsidDel="00000000" w:rsidP="00000000" w:rsidRDefault="00000000" w:rsidRPr="00000000" w14:paraId="0000000F">
      <w:pPr>
        <w:spacing w:after="0" w:lineRule="auto"/>
        <w:ind w:left="1080"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Transparency Report to the Buyer at the frequency referred to in the Annex of</w:t>
      </w:r>
      <w:r w:rsidDel="00000000" w:rsidR="00000000" w:rsidRPr="00000000">
        <w:rPr>
          <w:rtl w:val="0"/>
        </w:rPr>
      </w:r>
    </w:p>
    <w:p w:rsidR="00000000" w:rsidDel="00000000" w:rsidP="00000000" w:rsidRDefault="00000000" w:rsidRPr="00000000" w14:paraId="00000010">
      <w:pPr>
        <w:spacing w:after="0" w:lineRule="auto"/>
        <w:ind w:left="108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Schedule.</w:t>
      </w:r>
    </w:p>
    <w:p w:rsidR="00000000" w:rsidDel="00000000" w:rsidP="00000000" w:rsidRDefault="00000000" w:rsidRPr="00000000" w14:paraId="00000011">
      <w:pPr>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2">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3">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Annex A: List of Transparency Reports</w:t>
      </w:r>
    </w:p>
    <w:tbl>
      <w:tblPr>
        <w:tblStyle w:val="Table1"/>
        <w:tblW w:w="899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3"/>
        <w:gridCol w:w="1553"/>
        <w:gridCol w:w="2248"/>
        <w:gridCol w:w="2248"/>
        <w:tblGridChange w:id="0">
          <w:tblGrid>
            <w:gridCol w:w="2943"/>
            <w:gridCol w:w="1553"/>
            <w:gridCol w:w="2248"/>
            <w:gridCol w:w="2248"/>
          </w:tblGrid>
        </w:tblGridChange>
      </w:tblGrid>
      <w:tr>
        <w:trPr>
          <w:trHeight w:val="123"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Title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Content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Format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Frequency </w:t>
            </w:r>
            <w:r w:rsidDel="00000000" w:rsidR="00000000" w:rsidRPr="00000000">
              <w:rPr>
                <w:rtl w:val="0"/>
              </w:rPr>
            </w:r>
          </w:p>
        </w:tc>
      </w:tr>
      <w:tr>
        <w:trPr>
          <w:trHeight w:val="21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tabs>
                <w:tab w:val="left" w:pos="3380"/>
              </w:tabs>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[Performance]</w:t>
            </w:r>
            <w:r w:rsidDel="00000000" w:rsidR="00000000" w:rsidRPr="00000000">
              <w:rPr>
                <w:rFonts w:ascii="Arial" w:cs="Arial" w:eastAsia="Arial" w:hAnsi="Arial"/>
                <w:color w:val="000000"/>
                <w:sz w:val="24"/>
                <w:szCs w:val="24"/>
                <w:rtl w:val="0"/>
              </w:rPr>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1B">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trHeight w:val="1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Contract Charges]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22">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trHeight w:val="1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[Key Subcontractors]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29">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trHeight w:val="1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[Technical]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30">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trHeight w:val="21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[Performance 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37">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bl>
    <w:bookmarkStart w:colFirst="0" w:colLast="0" w:name="bookmark=id.gjdgxs" w:id="0"/>
    <w:bookmarkEnd w:id="0"/>
    <w:p w:rsidR="00000000" w:rsidDel="00000000" w:rsidP="00000000" w:rsidRDefault="00000000" w:rsidRPr="00000000" w14:paraId="0000003C">
      <w:pPr>
        <w:tabs>
          <w:tab w:val="left" w:pos="1251"/>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tabs>
          <w:tab w:val="left" w:pos="1251"/>
        </w:tabs>
        <w:rPr>
          <w:rFonts w:ascii="Arial" w:cs="Arial" w:eastAsia="Arial" w:hAnsi="Arial"/>
          <w:sz w:val="24"/>
          <w:szCs w:val="24"/>
        </w:rPr>
        <w:sectPr>
          <w:headerReference r:id="rId8" w:type="default"/>
          <w:headerReference r:id="rId9" w:type="first"/>
          <w:footerReference r:id="rId10" w:type="default"/>
          <w:footerReference r:id="rId11" w:type="first"/>
          <w:pgSz w:h="16838" w:w="11906"/>
          <w:pgMar w:bottom="1440" w:top="1440" w:left="1440" w:right="1440" w:header="709" w:footer="709"/>
          <w:pgNumType w:start="1"/>
          <w:cols w:equalWidth="0"/>
        </w:sectPr>
      </w:pPr>
      <w:bookmarkStart w:colFirst="0" w:colLast="0" w:name="_heading=h.30j0zll" w:id="1"/>
      <w:bookmarkEnd w:id="1"/>
      <w:r w:rsidDel="00000000" w:rsidR="00000000" w:rsidRPr="00000000">
        <w:rPr>
          <w:rtl w:val="0"/>
        </w:rPr>
      </w:r>
    </w:p>
    <w:p w:rsidR="00000000" w:rsidDel="00000000" w:rsidP="00000000" w:rsidRDefault="00000000" w:rsidRPr="00000000" w14:paraId="0000003E">
      <w:pPr>
        <w:tabs>
          <w:tab w:val="left" w:pos="1251"/>
        </w:tabs>
        <w:rPr>
          <w:rFonts w:ascii="Arial" w:cs="Arial" w:eastAsia="Arial" w:hAnsi="Arial"/>
          <w:sz w:val="24"/>
          <w:szCs w:val="24"/>
        </w:rPr>
      </w:pPr>
      <w:r w:rsidDel="00000000" w:rsidR="00000000" w:rsidRPr="00000000">
        <w:rPr>
          <w:rtl w:val="0"/>
        </w:rPr>
      </w:r>
    </w:p>
    <w:sectPr>
      <w:type w:val="nextPage"/>
      <w:pgSz w:h="16838" w:w="11906"/>
      <w:pgMar w:bottom="1440" w:top="1440" w:left="1440" w:right="1440" w:header="709" w:footer="709"/>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tabs>
        <w:tab w:val="center" w:pos="4513"/>
        <w:tab w:val="right"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49">
    <w:pPr>
      <w:tabs>
        <w:tab w:val="center" w:pos="4513"/>
        <w:tab w:val="right"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v3.0</w:t>
      <w:tab/>
      <w:tab/>
      <w:tab/>
      <w:tab/>
      <w:tab/>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tabs>
        <w:tab w:val="center" w:pos="4513"/>
        <w:tab w:val="right"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4D">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RM6074</w:t>
      <w:tab/>
      <w:t xml:space="preserve">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spacing w:after="0" w:lineRule="auto"/>
      <w:rPr>
        <w:rFonts w:ascii="Arial" w:cs="Arial" w:eastAsia="Arial" w:hAnsi="Arial"/>
        <w:color w:val="a6a6a6"/>
        <w:sz w:val="20"/>
        <w:szCs w:val="20"/>
      </w:rPr>
    </w:pPr>
    <w:r w:rsidDel="00000000" w:rsidR="00000000" w:rsidRPr="00000000">
      <w:rPr>
        <w:rFonts w:ascii="Arial" w:cs="Arial" w:eastAsia="Arial" w:hAnsi="Arial"/>
        <w:sz w:val="20"/>
        <w:szCs w:val="20"/>
        <w:rtl w:val="0"/>
      </w:rPr>
      <w:tab/>
    </w:r>
    <w:r w:rsidDel="00000000" w:rsidR="00000000" w:rsidRPr="00000000">
      <w:rPr>
        <w:rFonts w:ascii="Arial" w:cs="Arial" w:eastAsia="Arial" w:hAnsi="Arial"/>
        <w:color w:val="a6a6a6"/>
        <w:sz w:val="20"/>
        <w:szCs w:val="20"/>
        <w:rtl w:val="0"/>
      </w:rPr>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 (Transparency Reports)</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Call-Off Schedule 1 (Transparency Reports)</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2020</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TSOLScheduleAnnexName" w:customStyle="1">
    <w:name w:val="TSOL Schedule Annex Name"/>
    <w:qFormat w:val="1"/>
    <w:pPr>
      <w:spacing w:after="240" w:line="240" w:lineRule="auto"/>
      <w:jc w:val="center"/>
      <w:outlineLvl w:val="1"/>
    </w:pPr>
    <w:rPr>
      <w:rFonts w:ascii="Calibri" w:cs="Arial" w:eastAsia="STZhongsong" w:hAnsi="Calibri"/>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Normal1" w:customStyle="1">
    <w:name w:val="Normal1"/>
    <w:pPr>
      <w:widowControl w:val="0"/>
      <w:spacing w:after="80" w:line="240" w:lineRule="auto"/>
    </w:pPr>
    <w:rPr>
      <w:rFonts w:ascii="Calibri" w:cs="Calibri" w:eastAsia="Calibri" w:hAnsi="Calibri"/>
      <w:color w:val="000000"/>
    </w:rPr>
  </w:style>
  <w:style w:type="table" w:styleId="TableGrid">
    <w:name w:val="Table Grid"/>
    <w:basedOn w:val="TableNormal"/>
    <w:uiPriority w:val="59"/>
    <w:pPr>
      <w:spacing w:after="0" w:line="240" w:lineRule="auto"/>
    </w:pPr>
    <w:rPr>
      <w:rFonts w:ascii="Calibri" w:cs="Times New Roman" w:eastAsia="Calibri" w:hAnsi="Calibri"/>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GPSL2Numbered" w:customStyle="1">
    <w:name w:val="GPS L2 Numbered"/>
    <w:basedOn w:val="Normal"/>
    <w:link w:val="GPSL2NumberedChar"/>
    <w:qFormat w:val="1"/>
    <w:pPr>
      <w:tabs>
        <w:tab w:val="left" w:pos="709"/>
        <w:tab w:val="left" w:pos="1134"/>
      </w:tabs>
      <w:adjustRightInd w:val="0"/>
      <w:spacing w:after="120" w:before="120" w:line="240" w:lineRule="auto"/>
      <w:jc w:val="both"/>
    </w:pPr>
    <w:rPr>
      <w:rFonts w:ascii="Calibri" w:cs="Arial" w:eastAsia="Times New Roman" w:hAnsi="Calibri"/>
      <w:lang w:eastAsia="zh-CN"/>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Revision">
    <w:name w:val="Revision"/>
    <w:hidden w:val="1"/>
    <w:uiPriority w:val="99"/>
    <w:semiHidden w:val="1"/>
    <w:rsid w:val="00F42B75"/>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procurement-policy-note-0117-update-to-transparency-principles"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IykEk+Gtj85Y0l00Qin6e11tkg==">AMUW2mWfsOIM2I+0OkTe4x9n56u9j+PcEQDNV5Ptb5LxkatHCgZwye7nr8THbiN61KOSZ3ZdzZQ7dbGs7tnDKQ/SMUuuI8qJxBcEf1Nwg85o3YV2GpXMzJt+GegGFlKfWpCGLPQrIBW1LtJ3AOO194nQNOfgJf5chQ==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2020-03-26T08:04:00Z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