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D0" w:rsidRPr="00FC5AC6" w:rsidRDefault="002C64D0" w:rsidP="00516E99">
      <w:pPr>
        <w:pStyle w:val="Heading1"/>
      </w:pPr>
      <w:bookmarkStart w:id="0" w:name="_Toc343591381"/>
      <w:bookmarkStart w:id="1" w:name="_GoBack"/>
      <w:bookmarkEnd w:id="1"/>
      <w:r w:rsidRPr="00FC5AC6">
        <w:t>SCHEDULE 2 – THE SERVICES</w:t>
      </w:r>
      <w:bookmarkEnd w:id="0"/>
    </w:p>
    <w:p w:rsidR="002C64D0" w:rsidRPr="006E67E3" w:rsidRDefault="002C64D0" w:rsidP="002C64D0">
      <w:pPr>
        <w:spacing w:after="0"/>
        <w:jc w:val="center"/>
        <w:rPr>
          <w:rFonts w:ascii="Arial" w:hAnsi="Arial" w:cs="Arial"/>
          <w:b/>
        </w:rPr>
      </w:pPr>
    </w:p>
    <w:p w:rsidR="002C64D0" w:rsidRPr="006E67E3" w:rsidRDefault="002C64D0" w:rsidP="002C64D0">
      <w:pPr>
        <w:pStyle w:val="ListParagraph"/>
        <w:numPr>
          <w:ilvl w:val="0"/>
          <w:numId w:val="1"/>
        </w:numPr>
        <w:ind w:left="0" w:firstLine="0"/>
        <w:contextualSpacing/>
        <w:jc w:val="center"/>
        <w:outlineLvl w:val="1"/>
        <w:rPr>
          <w:rFonts w:ascii="Arial" w:hAnsi="Arial" w:cs="Arial"/>
          <w:b/>
        </w:rPr>
      </w:pPr>
      <w:bookmarkStart w:id="2" w:name="_Toc343591382"/>
      <w:r w:rsidRPr="006E67E3">
        <w:rPr>
          <w:rFonts w:ascii="Arial" w:hAnsi="Arial" w:cs="Arial"/>
          <w:b/>
        </w:rPr>
        <w:t>Service Specifications</w:t>
      </w:r>
      <w:bookmarkEnd w:id="2"/>
    </w:p>
    <w:p w:rsidR="00FC6A4C" w:rsidRDefault="00FC6A4C" w:rsidP="002C64D0">
      <w:pPr>
        <w:shd w:val="clear" w:color="auto" w:fill="FFFFFF"/>
        <w:spacing w:after="0"/>
        <w:jc w:val="both"/>
        <w:rPr>
          <w:rFonts w:ascii="Arial" w:hAnsi="Arial" w:cs="Arial"/>
          <w:sz w:val="20"/>
        </w:rPr>
      </w:pPr>
    </w:p>
    <w:p w:rsidR="002C64D0" w:rsidRPr="00516E99" w:rsidRDefault="00FC6A4C" w:rsidP="00516E99">
      <w:pPr>
        <w:shd w:val="clear" w:color="auto" w:fill="FFFFFF"/>
        <w:spacing w:after="0"/>
        <w:ind w:right="-472"/>
        <w:rPr>
          <w:rFonts w:ascii="Arial" w:hAnsi="Arial" w:cs="Arial"/>
          <w:b/>
          <w:sz w:val="22"/>
          <w:szCs w:val="22"/>
        </w:rPr>
      </w:pPr>
      <w:r w:rsidRPr="00516E99">
        <w:rPr>
          <w:rFonts w:ascii="Arial" w:hAnsi="Arial" w:cs="Arial"/>
          <w:sz w:val="22"/>
          <w:szCs w:val="22"/>
        </w:rPr>
        <w:t xml:space="preserve">* </w:t>
      </w:r>
      <w:r w:rsidRPr="00516E99">
        <w:rPr>
          <w:rFonts w:ascii="Arial" w:hAnsi="Arial" w:cs="Arial"/>
          <w:b/>
          <w:sz w:val="22"/>
          <w:szCs w:val="22"/>
        </w:rPr>
        <w:t>It shall be noted that this is a ‘Draft’ Service Specification without prejudice to the final draft.</w:t>
      </w:r>
    </w:p>
    <w:p w:rsidR="002C64D0" w:rsidRPr="00516E99" w:rsidRDefault="002C64D0" w:rsidP="002C64D0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444"/>
      </w:tblGrid>
      <w:tr w:rsidR="002C64D0" w:rsidRPr="00296DE0" w:rsidTr="00834A00">
        <w:tc>
          <w:tcPr>
            <w:tcW w:w="2970" w:type="dxa"/>
            <w:shd w:val="clear" w:color="auto" w:fill="595959"/>
            <w:vAlign w:val="center"/>
          </w:tcPr>
          <w:p w:rsidR="002C64D0" w:rsidRPr="00296DE0" w:rsidRDefault="002C64D0" w:rsidP="00834A00">
            <w:pPr>
              <w:spacing w:after="0"/>
              <w:rPr>
                <w:rFonts w:ascii="Arial" w:hAnsi="Arial" w:cs="Arial"/>
                <w:b/>
                <w:color w:val="F79646"/>
              </w:rPr>
            </w:pPr>
            <w:r w:rsidRPr="00296DE0">
              <w:rPr>
                <w:rFonts w:ascii="Arial" w:hAnsi="Arial" w:cs="Arial"/>
                <w:b/>
                <w:color w:val="F79646"/>
              </w:rPr>
              <w:t>Service Specification No.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FC6A4C" w:rsidRPr="00BF089F" w:rsidRDefault="005C2923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BF089F">
              <w:rPr>
                <w:rFonts w:ascii="Arial" w:hAnsi="Arial" w:cs="Arial"/>
                <w:b/>
                <w:sz w:val="20"/>
              </w:rPr>
              <w:t xml:space="preserve"> </w:t>
            </w:r>
            <w:r w:rsidR="009363B7">
              <w:rPr>
                <w:rFonts w:ascii="Arial" w:hAnsi="Arial" w:cs="Arial"/>
                <w:b/>
                <w:sz w:val="20"/>
              </w:rPr>
              <w:t>V0;</w:t>
            </w:r>
            <w:r w:rsidR="00FC6A4C">
              <w:rPr>
                <w:rFonts w:ascii="Arial" w:hAnsi="Arial" w:cs="Arial"/>
                <w:b/>
                <w:sz w:val="20"/>
              </w:rPr>
              <w:t>14 0</w:t>
            </w:r>
            <w:r w:rsidR="009E7D59">
              <w:rPr>
                <w:rFonts w:ascii="Arial" w:hAnsi="Arial" w:cs="Arial"/>
                <w:b/>
                <w:sz w:val="20"/>
              </w:rPr>
              <w:t>4</w:t>
            </w:r>
            <w:r w:rsidR="00FC6A4C">
              <w:rPr>
                <w:rFonts w:ascii="Arial" w:hAnsi="Arial" w:cs="Arial"/>
                <w:b/>
                <w:sz w:val="20"/>
              </w:rPr>
              <w:t>.07.2019</w:t>
            </w:r>
          </w:p>
        </w:tc>
      </w:tr>
      <w:tr w:rsidR="002C64D0" w:rsidRPr="00296DE0" w:rsidTr="00834A00">
        <w:tc>
          <w:tcPr>
            <w:tcW w:w="2970" w:type="dxa"/>
            <w:shd w:val="clear" w:color="auto" w:fill="595959"/>
            <w:vAlign w:val="center"/>
          </w:tcPr>
          <w:p w:rsidR="002C64D0" w:rsidRPr="00296DE0" w:rsidRDefault="002C64D0" w:rsidP="00834A00">
            <w:pPr>
              <w:spacing w:after="0"/>
              <w:rPr>
                <w:rFonts w:ascii="Arial" w:hAnsi="Arial" w:cs="Arial"/>
                <w:b/>
                <w:color w:val="F79646"/>
              </w:rPr>
            </w:pPr>
            <w:r w:rsidRPr="00296DE0">
              <w:rPr>
                <w:rFonts w:ascii="Arial" w:hAnsi="Arial" w:cs="Arial"/>
                <w:b/>
                <w:color w:val="F79646"/>
              </w:rPr>
              <w:t>Service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7251A7" w:rsidRPr="00296DE0" w:rsidRDefault="005162B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Assisted Conception Service</w:t>
            </w:r>
          </w:p>
        </w:tc>
      </w:tr>
      <w:tr w:rsidR="002C64D0" w:rsidRPr="00296DE0" w:rsidTr="00834A00">
        <w:tc>
          <w:tcPr>
            <w:tcW w:w="2970" w:type="dxa"/>
            <w:shd w:val="clear" w:color="auto" w:fill="595959"/>
            <w:vAlign w:val="center"/>
          </w:tcPr>
          <w:p w:rsidR="002C64D0" w:rsidRPr="00296DE0" w:rsidRDefault="002C64D0" w:rsidP="00834A00">
            <w:pPr>
              <w:spacing w:after="0"/>
              <w:rPr>
                <w:rFonts w:ascii="Arial" w:hAnsi="Arial" w:cs="Arial"/>
                <w:b/>
                <w:color w:val="F79646"/>
              </w:rPr>
            </w:pPr>
            <w:r w:rsidRPr="00296DE0">
              <w:rPr>
                <w:rFonts w:ascii="Arial" w:hAnsi="Arial" w:cs="Arial"/>
                <w:b/>
                <w:color w:val="F79646"/>
              </w:rPr>
              <w:t>Commissioner Lead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272D9F" w:rsidRDefault="006A2E3E" w:rsidP="00834A0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Rebecca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Johnson, </w:t>
            </w:r>
            <w:r w:rsidR="00204D4E">
              <w:rPr>
                <w:rFonts w:ascii="Arial" w:hAnsi="Arial" w:cs="Arial"/>
                <w:sz w:val="20"/>
              </w:rPr>
              <w:t xml:space="preserve"> Walsall</w:t>
            </w:r>
            <w:proofErr w:type="gramEnd"/>
            <w:r w:rsidR="00204D4E">
              <w:rPr>
                <w:rFonts w:ascii="Arial" w:hAnsi="Arial" w:cs="Arial"/>
                <w:sz w:val="20"/>
              </w:rPr>
              <w:t xml:space="preserve"> CCG</w:t>
            </w:r>
            <w:r>
              <w:rPr>
                <w:rFonts w:ascii="Arial" w:hAnsi="Arial" w:cs="Arial"/>
                <w:sz w:val="20"/>
              </w:rPr>
              <w:t xml:space="preserve"> (lead)</w:t>
            </w:r>
          </w:p>
          <w:p w:rsidR="006A2E3E" w:rsidRDefault="006A2E3E" w:rsidP="00834A0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Jacqui Morgan, Wolverhampton CCG</w:t>
            </w:r>
          </w:p>
          <w:p w:rsidR="00204D4E" w:rsidRDefault="006A2E3E" w:rsidP="00834A0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Mark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Curran, </w:t>
            </w:r>
            <w:r w:rsidR="00204D4E">
              <w:rPr>
                <w:rFonts w:ascii="Arial" w:hAnsi="Arial" w:cs="Arial"/>
                <w:sz w:val="20"/>
              </w:rPr>
              <w:t xml:space="preserve"> Dudley</w:t>
            </w:r>
            <w:proofErr w:type="gramEnd"/>
            <w:r w:rsidR="00204D4E">
              <w:rPr>
                <w:rFonts w:ascii="Arial" w:hAnsi="Arial" w:cs="Arial"/>
                <w:sz w:val="20"/>
              </w:rPr>
              <w:t xml:space="preserve"> CCG</w:t>
            </w:r>
          </w:p>
          <w:p w:rsidR="00204D4E" w:rsidRDefault="006A2E3E" w:rsidP="00834A0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Derek Hunter</w:t>
            </w:r>
            <w:r w:rsidR="00204D4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204D4E">
              <w:rPr>
                <w:rFonts w:ascii="Arial" w:hAnsi="Arial" w:cs="Arial"/>
                <w:sz w:val="20"/>
              </w:rPr>
              <w:t>Sandwell</w:t>
            </w:r>
            <w:proofErr w:type="spellEnd"/>
            <w:r w:rsidR="00204D4E">
              <w:rPr>
                <w:rFonts w:ascii="Arial" w:hAnsi="Arial" w:cs="Arial"/>
                <w:sz w:val="20"/>
              </w:rPr>
              <w:t xml:space="preserve"> and West Birmingham CCG</w:t>
            </w:r>
          </w:p>
          <w:p w:rsidR="00204D4E" w:rsidRPr="00296DE0" w:rsidRDefault="006A2E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Nurgis Shafiq</w:t>
            </w:r>
            <w:r w:rsidR="00204D4E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NHS </w:t>
            </w:r>
            <w:r w:rsidR="00204D4E">
              <w:rPr>
                <w:rFonts w:ascii="Arial" w:hAnsi="Arial" w:cs="Arial"/>
                <w:sz w:val="20"/>
              </w:rPr>
              <w:t xml:space="preserve">Birmingham </w:t>
            </w:r>
            <w:r>
              <w:rPr>
                <w:rFonts w:ascii="Arial" w:hAnsi="Arial" w:cs="Arial"/>
                <w:sz w:val="20"/>
              </w:rPr>
              <w:t xml:space="preserve">and Solihull </w:t>
            </w:r>
            <w:r w:rsidR="00204D4E">
              <w:rPr>
                <w:rFonts w:ascii="Arial" w:hAnsi="Arial" w:cs="Arial"/>
                <w:sz w:val="20"/>
              </w:rPr>
              <w:t>CCG</w:t>
            </w:r>
          </w:p>
        </w:tc>
      </w:tr>
      <w:tr w:rsidR="002C64D0" w:rsidRPr="00296DE0" w:rsidTr="00834A00">
        <w:tc>
          <w:tcPr>
            <w:tcW w:w="2970" w:type="dxa"/>
            <w:shd w:val="clear" w:color="auto" w:fill="595959"/>
            <w:vAlign w:val="center"/>
          </w:tcPr>
          <w:p w:rsidR="002C64D0" w:rsidRPr="00296DE0" w:rsidRDefault="002C64D0" w:rsidP="00834A00">
            <w:pPr>
              <w:spacing w:after="0"/>
              <w:rPr>
                <w:rFonts w:ascii="Arial" w:hAnsi="Arial" w:cs="Arial"/>
                <w:b/>
                <w:color w:val="F79646"/>
              </w:rPr>
            </w:pPr>
            <w:r w:rsidRPr="00296DE0">
              <w:rPr>
                <w:rFonts w:ascii="Arial" w:hAnsi="Arial" w:cs="Arial"/>
                <w:b/>
                <w:color w:val="F79646"/>
              </w:rPr>
              <w:t>Provider Lead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2C64D0" w:rsidRPr="00296DE0" w:rsidRDefault="00204D4E" w:rsidP="00834A0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</w:tr>
      <w:tr w:rsidR="002C64D0" w:rsidRPr="00296DE0" w:rsidTr="00834A00">
        <w:tc>
          <w:tcPr>
            <w:tcW w:w="2970" w:type="dxa"/>
            <w:shd w:val="clear" w:color="auto" w:fill="595959"/>
            <w:vAlign w:val="center"/>
          </w:tcPr>
          <w:p w:rsidR="002C64D0" w:rsidRPr="00296DE0" w:rsidRDefault="002C64D0" w:rsidP="00834A00">
            <w:pPr>
              <w:spacing w:after="0"/>
              <w:rPr>
                <w:rFonts w:ascii="Arial" w:hAnsi="Arial" w:cs="Arial"/>
                <w:b/>
                <w:color w:val="F79646"/>
              </w:rPr>
            </w:pPr>
            <w:r w:rsidRPr="00296DE0">
              <w:rPr>
                <w:rFonts w:ascii="Arial" w:hAnsi="Arial" w:cs="Arial"/>
                <w:b/>
                <w:color w:val="F79646"/>
              </w:rPr>
              <w:t>Period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2C64D0" w:rsidRPr="00296DE0" w:rsidRDefault="006918F5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July 2020</w:t>
            </w:r>
          </w:p>
        </w:tc>
      </w:tr>
      <w:tr w:rsidR="002C64D0" w:rsidRPr="00296DE0" w:rsidTr="00834A00">
        <w:tc>
          <w:tcPr>
            <w:tcW w:w="2970" w:type="dxa"/>
            <w:shd w:val="clear" w:color="auto" w:fill="595959"/>
            <w:vAlign w:val="center"/>
          </w:tcPr>
          <w:p w:rsidR="002C64D0" w:rsidRPr="00296DE0" w:rsidRDefault="002C64D0" w:rsidP="00834A00">
            <w:pPr>
              <w:spacing w:after="0"/>
              <w:rPr>
                <w:rFonts w:ascii="Arial" w:hAnsi="Arial" w:cs="Arial"/>
                <w:b/>
                <w:color w:val="F79646"/>
              </w:rPr>
            </w:pPr>
            <w:r w:rsidRPr="00296DE0">
              <w:rPr>
                <w:rFonts w:ascii="Arial" w:hAnsi="Arial" w:cs="Arial"/>
                <w:b/>
                <w:color w:val="F79646"/>
              </w:rPr>
              <w:t>Date of Review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2C64D0" w:rsidRPr="00296DE0" w:rsidRDefault="0015079C" w:rsidP="00834A0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Annual</w:t>
            </w:r>
          </w:p>
        </w:tc>
      </w:tr>
    </w:tbl>
    <w:p w:rsidR="002C64D0" w:rsidRPr="00E436D2" w:rsidRDefault="002C64D0" w:rsidP="002C64D0">
      <w:pPr>
        <w:spacing w:after="0"/>
        <w:jc w:val="center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2C64D0" w:rsidRPr="00296DE0" w:rsidTr="0015079C">
        <w:tc>
          <w:tcPr>
            <w:tcW w:w="8414" w:type="dxa"/>
            <w:shd w:val="clear" w:color="auto" w:fill="595959"/>
          </w:tcPr>
          <w:p w:rsidR="002C64D0" w:rsidRPr="0084766F" w:rsidRDefault="002C64D0" w:rsidP="0084766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43" w:hanging="743"/>
              <w:rPr>
                <w:rFonts w:ascii="Arial" w:hAnsi="Arial" w:cs="Arial"/>
                <w:b/>
                <w:color w:val="F79646"/>
              </w:rPr>
            </w:pPr>
            <w:r w:rsidRPr="0084766F">
              <w:rPr>
                <w:rFonts w:ascii="Arial" w:hAnsi="Arial" w:cs="Arial"/>
                <w:b/>
                <w:color w:val="F79646"/>
              </w:rPr>
              <w:t>Population Needs</w:t>
            </w:r>
          </w:p>
        </w:tc>
      </w:tr>
      <w:tr w:rsidR="002C64D0" w:rsidRPr="00296DE0" w:rsidTr="0015079C">
        <w:tc>
          <w:tcPr>
            <w:tcW w:w="8414" w:type="dxa"/>
            <w:shd w:val="clear" w:color="auto" w:fill="auto"/>
          </w:tcPr>
          <w:p w:rsidR="002C64D0" w:rsidRPr="00296DE0" w:rsidRDefault="002C64D0" w:rsidP="0015079C">
            <w:pPr>
              <w:spacing w:after="0"/>
              <w:ind w:left="360"/>
              <w:rPr>
                <w:rFonts w:ascii="Arial" w:hAnsi="Arial" w:cs="Arial"/>
                <w:color w:val="009966"/>
                <w:sz w:val="20"/>
              </w:rPr>
            </w:pPr>
            <w:r w:rsidRPr="00296DE0">
              <w:rPr>
                <w:rFonts w:ascii="Arial" w:hAnsi="Arial" w:cs="Arial"/>
                <w:color w:val="009966"/>
                <w:sz w:val="20"/>
              </w:rPr>
              <w:tab/>
            </w:r>
          </w:p>
          <w:p w:rsidR="00E665B0" w:rsidRDefault="00E665B0" w:rsidP="00E665B0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ab/>
            </w:r>
            <w:r w:rsidRPr="00E665B0">
              <w:rPr>
                <w:rFonts w:ascii="Arial" w:hAnsi="Arial" w:cs="Arial"/>
                <w:b/>
                <w:color w:val="009966"/>
                <w:sz w:val="20"/>
              </w:rPr>
              <w:t>N</w:t>
            </w:r>
            <w:r w:rsidR="002C64D0" w:rsidRPr="00E665B0">
              <w:rPr>
                <w:rFonts w:ascii="Arial" w:hAnsi="Arial" w:cs="Arial"/>
                <w:b/>
                <w:color w:val="009966"/>
                <w:sz w:val="20"/>
              </w:rPr>
              <w:t>ational/local context and evidence base</w:t>
            </w:r>
          </w:p>
          <w:p w:rsidR="00E665B0" w:rsidRDefault="00E665B0" w:rsidP="00E665B0">
            <w:pPr>
              <w:pStyle w:val="ListParagraph"/>
              <w:ind w:left="360"/>
              <w:rPr>
                <w:rFonts w:ascii="Arial" w:hAnsi="Arial" w:cs="Arial"/>
                <w:b/>
                <w:color w:val="009966"/>
                <w:sz w:val="20"/>
              </w:rPr>
            </w:pPr>
          </w:p>
          <w:p w:rsidR="0015079C" w:rsidRPr="00E665B0" w:rsidRDefault="0015079C" w:rsidP="00DD2B63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hAnsi="Arial" w:cs="Arial"/>
                <w:b/>
                <w:color w:val="009966"/>
                <w:sz w:val="20"/>
              </w:rPr>
            </w:pP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It is estimated that infertility affects 1 in 7 heterosexual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in the UK. Since the NICE guideline on fertility published in 2004</w:t>
            </w:r>
            <w:r w:rsidR="004E3F52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there has been a small increase in the prevalence of fertility problems, and a greater proportion of people now seeking help for such problems.</w:t>
            </w:r>
            <w:r w:rsidR="004E3F52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The main causes of infertility in the UK are:</w:t>
            </w:r>
          </w:p>
          <w:p w:rsidR="0015079C" w:rsidRPr="004E3F52" w:rsidRDefault="0084766F" w:rsidP="0084766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U</w:t>
            </w:r>
            <w:r w:rsidR="0015079C"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nexplained infertility (no identified male or female cause) (25%)</w:t>
            </w:r>
          </w:p>
          <w:p w:rsidR="0015079C" w:rsidRPr="004E3F52" w:rsidRDefault="0084766F" w:rsidP="0084766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O</w:t>
            </w:r>
            <w:r w:rsidR="0015079C"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vulatory disorders (25%)</w:t>
            </w:r>
          </w:p>
          <w:p w:rsidR="0015079C" w:rsidRPr="004E3F52" w:rsidRDefault="0084766F" w:rsidP="0084766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</w:t>
            </w:r>
            <w:r w:rsidR="0015079C"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ubal damage (20%)</w:t>
            </w:r>
          </w:p>
          <w:p w:rsidR="0015079C" w:rsidRPr="004E3F52" w:rsidRDefault="0084766F" w:rsidP="0084766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F</w:t>
            </w:r>
            <w:r w:rsidR="0015079C"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actors in the male causing infertility (30%)</w:t>
            </w:r>
          </w:p>
          <w:p w:rsidR="0015079C" w:rsidRPr="004E3F52" w:rsidRDefault="0084766F" w:rsidP="0084766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U</w:t>
            </w:r>
            <w:r w:rsidR="0015079C"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terine or peritoneal disorders (10%)</w:t>
            </w:r>
          </w:p>
          <w:p w:rsidR="004E3F52" w:rsidRPr="004E3F52" w:rsidRDefault="004E3F52" w:rsidP="004E3F52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E665B0" w:rsidRDefault="0015079C" w:rsidP="00DD2B63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Given the range of causes of fertility problems, the provision of appropriate investigations is</w:t>
            </w:r>
            <w:r w:rsidR="004E3F52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critical. These investigations include semen analysis; assessment of ovulation, tubal damage</w:t>
            </w:r>
            <w:r w:rsidR="004E3F52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and uterine abnormalities; and screening for infections such as </w:t>
            </w:r>
            <w:r w:rsidRPr="00E665B0">
              <w:rPr>
                <w:rFonts w:ascii="Arial" w:eastAsiaTheme="minorHAnsi" w:hAnsi="Arial" w:cs="Arial"/>
                <w:i/>
                <w:iCs/>
                <w:color w:val="282828"/>
                <w:sz w:val="22"/>
                <w:szCs w:val="22"/>
                <w:lang w:eastAsia="en-US"/>
              </w:rPr>
              <w:t xml:space="preserve">Chlamydia trachomatis 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and</w:t>
            </w:r>
            <w:r w:rsidR="004E3F52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272D9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susceptibility to rubella, for example.</w:t>
            </w:r>
          </w:p>
          <w:p w:rsidR="00E665B0" w:rsidRDefault="00E665B0" w:rsidP="00E665B0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15079C" w:rsidRPr="00E665B0" w:rsidRDefault="0015079C" w:rsidP="00DD2B63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Once a diagnosis has been established, treatment falls into 3 main types:</w:t>
            </w:r>
          </w:p>
          <w:p w:rsidR="0015079C" w:rsidRPr="004E3F52" w:rsidRDefault="004E3F52" w:rsidP="008476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M</w:t>
            </w:r>
            <w:r w:rsidR="0015079C"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edical treatment to restore fertility (for example, the use of drugs for ovulation induction)</w:t>
            </w:r>
          </w:p>
          <w:p w:rsidR="004E3F52" w:rsidRPr="004E3F52" w:rsidRDefault="004E3F52" w:rsidP="008476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</w:t>
            </w:r>
            <w:r w:rsidR="0015079C"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urgical treatment to restore fertility (for example, laparoscopy for ablation of endometriosis)</w:t>
            </w:r>
          </w:p>
          <w:p w:rsidR="002C64D0" w:rsidRPr="004E3F52" w:rsidRDefault="004E3F52" w:rsidP="008476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Assisted</w:t>
            </w:r>
            <w:r w:rsidR="0015079C"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reproduction techniques (ART) – any treatment that deals with means of conception</w:t>
            </w:r>
            <w:r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15079C" w:rsidRPr="004E3F5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other than vaginal intercourse. It frequently involves the handling of gametes or embryos.</w:t>
            </w:r>
          </w:p>
          <w:p w:rsidR="004E3F52" w:rsidRPr="004E3F52" w:rsidRDefault="004E3F52" w:rsidP="004E3F5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009966"/>
                <w:szCs w:val="22"/>
              </w:rPr>
            </w:pPr>
          </w:p>
          <w:p w:rsidR="001D2DE7" w:rsidRPr="001D2DE7" w:rsidRDefault="00A47FCA" w:rsidP="00DD2B63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378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Locally, Clinical Commissioning Groups are responsible for commissioning fertility investigations and infertility treatments for its population. The 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lastRenderedPageBreak/>
              <w:t>Commissioner</w:t>
            </w:r>
            <w:r w:rsidR="00D6263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s of this service </w:t>
            </w:r>
            <w:r w:rsidR="0038764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[the commissioner] </w:t>
            </w:r>
            <w:r w:rsidR="00D6263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have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developed and adopted commissioning polic</w:t>
            </w:r>
            <w:r w:rsidR="00D6263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ies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for Assisted Conception Services to ensure that the availability of services is fair, clear and explicit and that eligible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are in the optimum condition for conception.  </w:t>
            </w:r>
          </w:p>
          <w:p w:rsidR="00A47FCA" w:rsidRPr="00516E99" w:rsidRDefault="00D62636" w:rsidP="00DD2B63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378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The relevant responsible commissioner will be identified for all patients and s</w:t>
            </w:r>
            <w:r w:rsidR="00A47FCA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ervices will be provided in adherence to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the relevant</w:t>
            </w:r>
            <w:r w:rsidR="00A47FCA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polic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y. T</w:t>
            </w:r>
            <w:r w:rsidR="00A47FCA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he recommendations for appropriate clinical management developed by the National Institute for Health and Clinical Excellence (NICE)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A47FCA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 implemented as appropriate. </w:t>
            </w:r>
          </w:p>
          <w:p w:rsidR="00AC3493" w:rsidRPr="00516E99" w:rsidRDefault="00AC3493" w:rsidP="00516E99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282828"/>
                <w:sz w:val="20"/>
                <w:szCs w:val="20"/>
                <w:lang w:eastAsia="en-US"/>
              </w:rPr>
            </w:pPr>
          </w:p>
          <w:p w:rsidR="00AC3493" w:rsidRPr="00516E99" w:rsidRDefault="00AC3493" w:rsidP="00516E99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9966"/>
                <w:sz w:val="20"/>
                <w:szCs w:val="20"/>
              </w:rPr>
            </w:pPr>
            <w:r w:rsidRPr="00516E99">
              <w:rPr>
                <w:rFonts w:ascii="Arial" w:hAnsi="Arial" w:cs="Arial"/>
                <w:b/>
                <w:color w:val="009966"/>
                <w:sz w:val="20"/>
                <w:szCs w:val="20"/>
              </w:rPr>
              <w:t xml:space="preserve">      Ev</w:t>
            </w:r>
            <w:r w:rsidR="00632C30" w:rsidRPr="00516E99">
              <w:rPr>
                <w:rFonts w:ascii="Arial" w:hAnsi="Arial" w:cs="Arial"/>
                <w:b/>
                <w:color w:val="009966"/>
                <w:sz w:val="20"/>
                <w:szCs w:val="20"/>
              </w:rPr>
              <w:t>idence</w:t>
            </w:r>
            <w:r w:rsidRPr="00516E99">
              <w:rPr>
                <w:rFonts w:ascii="Arial" w:hAnsi="Arial" w:cs="Arial"/>
                <w:b/>
                <w:color w:val="009966"/>
                <w:sz w:val="20"/>
                <w:szCs w:val="20"/>
              </w:rPr>
              <w:t xml:space="preserve"> base</w:t>
            </w:r>
          </w:p>
          <w:p w:rsidR="00AC3493" w:rsidRPr="00516E99" w:rsidRDefault="00AC3493" w:rsidP="00516E9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9966"/>
                <w:sz w:val="22"/>
                <w:szCs w:val="22"/>
              </w:rPr>
            </w:pPr>
          </w:p>
          <w:p w:rsidR="00632C30" w:rsidRPr="00516E99" w:rsidRDefault="00AC3493" w:rsidP="00516E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9966"/>
                <w:sz w:val="22"/>
                <w:szCs w:val="22"/>
                <w:lang w:val="en-GB" w:eastAsia="en-GB"/>
              </w:rPr>
              <w:t xml:space="preserve">            </w:t>
            </w:r>
            <w:r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Human </w:t>
            </w:r>
            <w:proofErr w:type="spellStart"/>
            <w:r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>Fertilisation</w:t>
            </w:r>
            <w:proofErr w:type="spellEnd"/>
            <w:r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Embryology Act, 1990</w:t>
            </w:r>
            <w:r w:rsidR="00DD2B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B77A28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</w:t>
            </w:r>
          </w:p>
          <w:p w:rsidR="00DD2B63" w:rsidRDefault="00DD2B63" w:rsidP="00516E99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    </w:t>
            </w: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NICE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Clinical </w:t>
            </w: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Guideline 156 ‘Assessment and treatment for people with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</w:t>
            </w: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</w:p>
          <w:p w:rsidR="00DD2B63" w:rsidRDefault="00DD2B63" w:rsidP="00516E9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    </w:t>
            </w: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fertility problems’</w:t>
            </w:r>
            <w:r w:rsidR="005162B4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February 2013</w:t>
            </w:r>
          </w:p>
          <w:p w:rsidR="00B77A28" w:rsidRPr="00516E99" w:rsidRDefault="00DD2B63" w:rsidP="00516E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</w:t>
            </w:r>
            <w:r w:rsidR="00B77A28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>Care Standards Act, 2000</w:t>
            </w:r>
          </w:p>
          <w:p w:rsidR="00AC3493" w:rsidRPr="00516E99" w:rsidRDefault="00AC3493" w:rsidP="00516E9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9966"/>
                <w:sz w:val="22"/>
                <w:szCs w:val="22"/>
              </w:rPr>
            </w:pPr>
          </w:p>
        </w:tc>
      </w:tr>
      <w:tr w:rsidR="002C64D0" w:rsidRPr="00296DE0" w:rsidTr="0015079C">
        <w:tc>
          <w:tcPr>
            <w:tcW w:w="8414" w:type="dxa"/>
            <w:shd w:val="clear" w:color="auto" w:fill="595959"/>
          </w:tcPr>
          <w:p w:rsidR="00E665B0" w:rsidRPr="00E665B0" w:rsidRDefault="00E665B0" w:rsidP="00E665B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color w:val="F79646"/>
              </w:rPr>
            </w:pPr>
            <w:r>
              <w:rPr>
                <w:rFonts w:ascii="Arial" w:hAnsi="Arial" w:cs="Arial"/>
                <w:b/>
                <w:color w:val="F79646"/>
              </w:rPr>
              <w:lastRenderedPageBreak/>
              <w:tab/>
            </w:r>
            <w:r w:rsidR="002C64D0" w:rsidRPr="0084766F">
              <w:rPr>
                <w:rFonts w:ascii="Arial" w:hAnsi="Arial" w:cs="Arial"/>
                <w:b/>
                <w:color w:val="F79646"/>
              </w:rPr>
              <w:t>Outcomes</w:t>
            </w:r>
          </w:p>
        </w:tc>
      </w:tr>
      <w:tr w:rsidR="002C64D0" w:rsidRPr="00296DE0" w:rsidTr="0015079C">
        <w:tc>
          <w:tcPr>
            <w:tcW w:w="8414" w:type="dxa"/>
            <w:shd w:val="clear" w:color="auto" w:fill="FFFFFF"/>
          </w:tcPr>
          <w:p w:rsidR="002C64D0" w:rsidRPr="00296DE0" w:rsidRDefault="002C64D0" w:rsidP="0015079C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</w:p>
          <w:p w:rsidR="00E665B0" w:rsidRDefault="00E665B0" w:rsidP="00E665B0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</w:rPr>
              <w:tab/>
            </w:r>
            <w:r w:rsidR="002C64D0" w:rsidRPr="00E665B0">
              <w:rPr>
                <w:rFonts w:ascii="Arial" w:hAnsi="Arial" w:cs="Arial"/>
                <w:b/>
                <w:color w:val="00B050"/>
                <w:sz w:val="20"/>
              </w:rPr>
              <w:t>NHS Outcomes Framework Domains &amp; Indicators</w:t>
            </w:r>
          </w:p>
          <w:p w:rsidR="00E665B0" w:rsidRDefault="00E665B0" w:rsidP="00E665B0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color w:val="00B050"/>
                <w:sz w:val="20"/>
              </w:rPr>
            </w:pPr>
          </w:p>
          <w:p w:rsidR="004E3F52" w:rsidRPr="00E665B0" w:rsidRDefault="004E3F52" w:rsidP="00CB513B">
            <w:pPr>
              <w:pStyle w:val="ListParagraph"/>
              <w:numPr>
                <w:ilvl w:val="2"/>
                <w:numId w:val="13"/>
              </w:numPr>
              <w:spacing w:line="276" w:lineRule="auto"/>
              <w:ind w:hanging="236"/>
              <w:rPr>
                <w:rFonts w:ascii="Arial" w:hAnsi="Arial" w:cs="Arial"/>
                <w:b/>
                <w:color w:val="00B050"/>
                <w:sz w:val="20"/>
              </w:rPr>
            </w:pP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This service</w:t>
            </w:r>
            <w:r w:rsidR="001E766D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shall</w:t>
            </w: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support the achievement of Domain(s) 2, 3, 4 and 5.</w:t>
            </w:r>
          </w:p>
          <w:p w:rsidR="004E3F52" w:rsidRPr="00296DE0" w:rsidRDefault="004E3F52" w:rsidP="0015079C">
            <w:pPr>
              <w:spacing w:after="0" w:line="276" w:lineRule="auto"/>
              <w:rPr>
                <w:rFonts w:ascii="Arial" w:hAnsi="Arial" w:cs="Arial"/>
                <w:b/>
                <w:color w:val="00B050"/>
                <w:sz w:val="20"/>
              </w:rPr>
            </w:pPr>
          </w:p>
          <w:tbl>
            <w:tblPr>
              <w:tblW w:w="0" w:type="auto"/>
              <w:tblInd w:w="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5528"/>
              <w:gridCol w:w="641"/>
            </w:tblGrid>
            <w:tr w:rsidR="002C64D0" w:rsidRPr="00296DE0" w:rsidTr="0015079C">
              <w:tc>
                <w:tcPr>
                  <w:tcW w:w="1276" w:type="dxa"/>
                  <w:shd w:val="clear" w:color="auto" w:fill="auto"/>
                </w:tcPr>
                <w:p w:rsidR="002C64D0" w:rsidRPr="00296DE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</w:pPr>
                  <w:r w:rsidRPr="00296DE0"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  <w:t>Domain 1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:rsidR="002C64D0" w:rsidRPr="00785C0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  <w:r w:rsidRPr="00785C00"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  <w:t>Preventing people from dying prematurely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:rsidR="002C64D0" w:rsidRPr="00785C0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</w:p>
              </w:tc>
            </w:tr>
            <w:tr w:rsidR="002C64D0" w:rsidRPr="00296DE0" w:rsidTr="0015079C">
              <w:tc>
                <w:tcPr>
                  <w:tcW w:w="1276" w:type="dxa"/>
                  <w:shd w:val="clear" w:color="auto" w:fill="auto"/>
                </w:tcPr>
                <w:p w:rsidR="002C64D0" w:rsidRPr="00296DE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</w:pPr>
                  <w:r w:rsidRPr="00296DE0"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  <w:t>Domain 2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:rsidR="002C64D0" w:rsidRPr="00785C0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  <w:r w:rsidRPr="00785C00"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  <w:t>Enhancing quality of life for people with long-term conditions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:rsidR="002C64D0" w:rsidRPr="00785C00" w:rsidRDefault="00785C0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  <w:r w:rsidRPr="00785C00"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  <w:sym w:font="Wingdings" w:char="F0FC"/>
                  </w:r>
                </w:p>
              </w:tc>
            </w:tr>
            <w:tr w:rsidR="002C64D0" w:rsidRPr="00296DE0" w:rsidTr="0015079C">
              <w:tc>
                <w:tcPr>
                  <w:tcW w:w="1276" w:type="dxa"/>
                  <w:shd w:val="clear" w:color="auto" w:fill="auto"/>
                </w:tcPr>
                <w:p w:rsidR="002C64D0" w:rsidRPr="00296DE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</w:pPr>
                  <w:r w:rsidRPr="00296DE0"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  <w:t>Domain 3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:rsidR="002C64D0" w:rsidRPr="00785C0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  <w:r w:rsidRPr="00785C00"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  <w:t>Helping people to recover from episodes of ill-health or following injury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:rsidR="002C64D0" w:rsidRPr="00785C00" w:rsidRDefault="00785C0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  <w:r w:rsidRPr="00785C00"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  <w:sym w:font="Wingdings" w:char="F0FC"/>
                  </w:r>
                </w:p>
              </w:tc>
            </w:tr>
            <w:tr w:rsidR="002C64D0" w:rsidRPr="00296DE0" w:rsidTr="0015079C">
              <w:tc>
                <w:tcPr>
                  <w:tcW w:w="1276" w:type="dxa"/>
                  <w:shd w:val="clear" w:color="auto" w:fill="auto"/>
                </w:tcPr>
                <w:p w:rsidR="002C64D0" w:rsidRPr="00296DE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</w:pPr>
                  <w:r w:rsidRPr="00296DE0"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  <w:t>Domain 4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:rsidR="002C64D0" w:rsidRPr="00785C0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  <w:r w:rsidRPr="00785C00"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  <w:t>Ensuring people have a positive experience of care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:rsidR="002C64D0" w:rsidRPr="00785C00" w:rsidRDefault="00785C0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  <w:r w:rsidRPr="00785C00"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  <w:sym w:font="Wingdings" w:char="F0FC"/>
                  </w:r>
                </w:p>
              </w:tc>
            </w:tr>
            <w:tr w:rsidR="002C64D0" w:rsidRPr="00296DE0" w:rsidTr="0015079C">
              <w:tc>
                <w:tcPr>
                  <w:tcW w:w="1276" w:type="dxa"/>
                  <w:shd w:val="clear" w:color="auto" w:fill="auto"/>
                </w:tcPr>
                <w:p w:rsidR="002C64D0" w:rsidRPr="00296DE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</w:pPr>
                  <w:r w:rsidRPr="00296DE0">
                    <w:rPr>
                      <w:rFonts w:ascii="Arial" w:eastAsia="Times New Roman" w:hAnsi="Arial" w:cs="Arial"/>
                      <w:b/>
                      <w:color w:val="00B050"/>
                      <w:sz w:val="20"/>
                      <w:lang w:eastAsia="en-GB"/>
                    </w:rPr>
                    <w:t>Domain 5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:rsidR="002C64D0" w:rsidRPr="00785C00" w:rsidRDefault="002C64D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  <w:r w:rsidRPr="00785C00"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  <w:t>Treating and caring for people in safe environment and protecting them from avoidable harm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:rsidR="002C64D0" w:rsidRPr="00785C00" w:rsidRDefault="00785C00" w:rsidP="0015079C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</w:pPr>
                  <w:r w:rsidRPr="00785C00">
                    <w:rPr>
                      <w:rFonts w:ascii="Arial" w:eastAsia="Times New Roman" w:hAnsi="Arial" w:cs="Arial"/>
                      <w:color w:val="000000" w:themeColor="text1"/>
                      <w:sz w:val="20"/>
                      <w:lang w:eastAsia="en-GB"/>
                    </w:rPr>
                    <w:sym w:font="Wingdings" w:char="F0FC"/>
                  </w:r>
                </w:p>
              </w:tc>
            </w:tr>
          </w:tbl>
          <w:p w:rsidR="002C64D0" w:rsidRPr="00296DE0" w:rsidRDefault="002C64D0" w:rsidP="0015079C">
            <w:pPr>
              <w:spacing w:after="0" w:line="276" w:lineRule="auto"/>
              <w:rPr>
                <w:rFonts w:ascii="Arial" w:hAnsi="Arial" w:cs="Arial"/>
                <w:b/>
                <w:color w:val="00B050"/>
                <w:sz w:val="20"/>
              </w:rPr>
            </w:pPr>
          </w:p>
          <w:p w:rsidR="002C64D0" w:rsidRPr="00E665B0" w:rsidRDefault="00993D7B" w:rsidP="00E665B0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</w:rPr>
              <w:tab/>
            </w:r>
            <w:r w:rsidR="002C64D0" w:rsidRPr="00E665B0">
              <w:rPr>
                <w:rFonts w:ascii="Arial" w:hAnsi="Arial" w:cs="Arial"/>
                <w:b/>
                <w:color w:val="00B050"/>
                <w:sz w:val="20"/>
              </w:rPr>
              <w:t>Local defined outcomes</w:t>
            </w:r>
          </w:p>
          <w:p w:rsidR="002C64D0" w:rsidRDefault="002C64D0" w:rsidP="0015079C">
            <w:pPr>
              <w:spacing w:after="0" w:line="276" w:lineRule="auto"/>
              <w:rPr>
                <w:rFonts w:ascii="Arial" w:hAnsi="Arial" w:cs="Arial"/>
                <w:b/>
                <w:color w:val="F79646"/>
                <w:sz w:val="20"/>
              </w:rPr>
            </w:pPr>
          </w:p>
          <w:p w:rsidR="0084766F" w:rsidRPr="00E665B0" w:rsidRDefault="00A47FCA" w:rsidP="00CB513B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The</w:t>
            </w:r>
            <w:r w:rsidR="0084766F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service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84766F" w:rsidRPr="00E665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:</w:t>
            </w:r>
          </w:p>
          <w:p w:rsidR="004E3F52" w:rsidRPr="0084766F" w:rsidRDefault="0084766F" w:rsidP="008476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U</w:t>
            </w:r>
            <w:r w:rsidR="00A47FCA" w:rsidRPr="0084766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ndertake high quality, effective clinical inves</w:t>
            </w:r>
            <w:r w:rsidRPr="0084766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tigations to determine fertility/ sub-fertility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and cause</w:t>
            </w:r>
            <w:r w:rsidRPr="0084766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</w:p>
          <w:p w:rsidR="0084766F" w:rsidRPr="0084766F" w:rsidRDefault="0084766F" w:rsidP="008476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</w:t>
            </w:r>
            <w:r w:rsidRPr="0084766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reat sub-fertility where possible.</w:t>
            </w:r>
          </w:p>
          <w:p w:rsidR="0084766F" w:rsidRPr="0084766F" w:rsidRDefault="0084766F" w:rsidP="008476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Where assisted conception is indicated, a</w:t>
            </w:r>
            <w:r w:rsidRPr="0084766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dvise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84766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wishing to achieve a pregnancy of the most effective treatment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</w:p>
          <w:p w:rsidR="0084766F" w:rsidRPr="007E7113" w:rsidRDefault="0084766F" w:rsidP="008476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</w:t>
            </w:r>
            <w:r w:rsidRPr="0084766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ncrease the clinical </w:t>
            </w:r>
            <w:r w:rsidRPr="007E711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pregnancy rate </w:t>
            </w:r>
            <w:r w:rsidR="00387642" w:rsidRPr="007E711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year on year, </w:t>
            </w:r>
            <w:r w:rsidRPr="007E711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of those </w:t>
            </w:r>
            <w:r w:rsidR="00B863B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Patients</w:t>
            </w:r>
            <w:r w:rsidR="005162B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7E711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wishing to have a child. </w:t>
            </w:r>
          </w:p>
          <w:p w:rsidR="0084766F" w:rsidRPr="00516E99" w:rsidRDefault="0084766F" w:rsidP="008476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7E711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Increase the live birth rate </w:t>
            </w:r>
            <w:r w:rsidR="00387642" w:rsidRPr="007E711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year on year, </w:t>
            </w:r>
            <w:r w:rsidRPr="007E711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of those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84766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wishing to have a child. </w:t>
            </w:r>
          </w:p>
          <w:p w:rsidR="00FC6A4C" w:rsidRPr="00516E99" w:rsidRDefault="00B2445E" w:rsidP="00516E9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26" w:hanging="258"/>
              <w:rPr>
                <w:rFonts w:ascii="Arial" w:eastAsiaTheme="minorHAnsi" w:hAnsi="Arial" w:cs="Arial"/>
                <w:color w:val="000000" w:themeColor="text1"/>
                <w:szCs w:val="22"/>
                <w:lang w:eastAsia="en-US"/>
              </w:rPr>
            </w:pPr>
            <w:r w:rsidRPr="00516E9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Success rates </w:t>
            </w:r>
            <w:r w:rsidR="008E2AD0" w:rsidRPr="00516E9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shall</w:t>
            </w:r>
            <w:r w:rsidRPr="00516E9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be expected to align with c</w:t>
            </w:r>
            <w:r w:rsidR="00FC6A4C" w:rsidRPr="00516E9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urrent HFEA – national averages</w:t>
            </w:r>
            <w:r w:rsidR="005162B4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5162B4" w:rsidRDefault="005162B4" w:rsidP="00516E99">
            <w:pPr>
              <w:pStyle w:val="ListParagrap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C64D0" w:rsidRPr="00516E99" w:rsidRDefault="00B2445E" w:rsidP="00516E99">
            <w:pPr>
              <w:pStyle w:val="ListParagraph"/>
              <w:rPr>
                <w:b/>
                <w:color w:val="F79646"/>
                <w:sz w:val="20"/>
              </w:rPr>
            </w:pPr>
            <w:r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>In 2016, I</w:t>
            </w:r>
            <w:r w:rsidR="008E2AD0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>ntrauterine Insemination (I</w:t>
            </w:r>
            <w:r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>UI</w:t>
            </w:r>
            <w:r w:rsidR="008E2AD0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birth rate per treatment cycle was 12%.</w:t>
            </w:r>
            <w:r w:rsidR="00BE7F79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rates of successful treatment cycles reduce for patients with increasing age and the birth rates across all age groups have remained </w:t>
            </w:r>
            <w:r w:rsidRPr="00516E99">
              <w:rPr>
                <w:rFonts w:ascii="Arial" w:hAnsi="Arial" w:cs="Arial"/>
                <w:sz w:val="22"/>
                <w:szCs w:val="22"/>
              </w:rPr>
              <w:t xml:space="preserve">broadly stable over time. The highest birth rates were in patients under 38 years of age (14% for under 35s, and 12% for patients aged 35–37). </w:t>
            </w:r>
            <w:r w:rsidR="00BE7F79" w:rsidRPr="00516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6E99">
              <w:rPr>
                <w:rFonts w:ascii="Arial" w:hAnsi="Arial" w:cs="Arial"/>
                <w:sz w:val="22"/>
                <w:szCs w:val="22"/>
              </w:rPr>
              <w:t>The rates of successful treatments reduce for patients over 42 years of age.</w:t>
            </w:r>
          </w:p>
        </w:tc>
      </w:tr>
      <w:tr w:rsidR="002C64D0" w:rsidRPr="00296DE0" w:rsidTr="0015079C">
        <w:tc>
          <w:tcPr>
            <w:tcW w:w="8414" w:type="dxa"/>
            <w:shd w:val="clear" w:color="auto" w:fill="595959"/>
          </w:tcPr>
          <w:p w:rsidR="002C64D0" w:rsidRPr="0084766F" w:rsidRDefault="00E665B0" w:rsidP="00E665B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color w:val="F79646"/>
              </w:rPr>
            </w:pPr>
            <w:r>
              <w:rPr>
                <w:rFonts w:ascii="Arial" w:hAnsi="Arial" w:cs="Arial"/>
                <w:b/>
                <w:color w:val="F79646"/>
              </w:rPr>
              <w:lastRenderedPageBreak/>
              <w:tab/>
            </w:r>
            <w:r w:rsidR="002C64D0" w:rsidRPr="0084766F">
              <w:rPr>
                <w:rFonts w:ascii="Arial" w:hAnsi="Arial" w:cs="Arial"/>
                <w:b/>
                <w:color w:val="F79646"/>
              </w:rPr>
              <w:t>Scope</w:t>
            </w:r>
          </w:p>
        </w:tc>
      </w:tr>
      <w:tr w:rsidR="002C64D0" w:rsidRPr="00296DE0" w:rsidTr="0015079C">
        <w:tc>
          <w:tcPr>
            <w:tcW w:w="8414" w:type="dxa"/>
            <w:shd w:val="clear" w:color="auto" w:fill="auto"/>
          </w:tcPr>
          <w:p w:rsidR="0084766F" w:rsidRPr="00E665B0" w:rsidRDefault="00E665B0" w:rsidP="00E665B0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ab/>
            </w:r>
            <w:r w:rsidR="002C64D0" w:rsidRPr="00E665B0">
              <w:rPr>
                <w:rFonts w:ascii="Arial" w:hAnsi="Arial" w:cs="Arial"/>
                <w:b/>
                <w:color w:val="009966"/>
                <w:sz w:val="20"/>
              </w:rPr>
              <w:t>Aims and objectives of service</w:t>
            </w:r>
          </w:p>
          <w:p w:rsidR="0084766F" w:rsidRDefault="0084766F" w:rsidP="0084766F">
            <w:pPr>
              <w:spacing w:after="0"/>
              <w:rPr>
                <w:rFonts w:ascii="Arial" w:hAnsi="Arial" w:cs="Arial"/>
                <w:b/>
                <w:color w:val="009966"/>
                <w:sz w:val="20"/>
              </w:rPr>
            </w:pPr>
          </w:p>
          <w:p w:rsidR="00993D7B" w:rsidRPr="00516E99" w:rsidRDefault="00993D7B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aim of the service is to increase the pregnancy and subsequent live birth rate for those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wishing to have a child</w:t>
            </w:r>
            <w:r w:rsidR="003A4E8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who meet the criteria to access licensed treatment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. </w:t>
            </w:r>
          </w:p>
          <w:p w:rsidR="0014211C" w:rsidRPr="009E32B3" w:rsidRDefault="0014211C" w:rsidP="00516E99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3A4E8C" w:rsidRPr="00516E99" w:rsidRDefault="00993D7B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The objectives of t</w:t>
            </w:r>
            <w:r w:rsidR="009E32B3" w:rsidRPr="009E32B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he service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are</w:t>
            </w:r>
            <w:r w:rsidR="003A4E8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:</w:t>
            </w:r>
            <w:r w:rsidR="003A4E8C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</w:t>
            </w:r>
          </w:p>
          <w:p w:rsidR="003A4E8C" w:rsidRPr="00516E99" w:rsidRDefault="00D45045" w:rsidP="00516E9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</w:t>
            </w:r>
            <w:r w:rsidR="00993D7B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o</w:t>
            </w:r>
            <w:r w:rsidR="009E32B3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investigate all cases of suspected </w:t>
            </w:r>
            <w:r w:rsidR="00993D7B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sub/</w:t>
            </w:r>
            <w:r w:rsidR="009E32B3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infertility and undertake</w:t>
            </w:r>
            <w:r w:rsidR="003A4E8C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9E32B3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treatment</w:t>
            </w:r>
            <w:r w:rsidR="00993D7B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</w:t>
            </w:r>
            <w:r w:rsidR="009E32B3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993D7B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as </w:t>
            </w:r>
            <w:r w:rsidR="009E32B3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appropriate for the individual</w:t>
            </w:r>
            <w:r w:rsidR="00993D7B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to restore fertility</w:t>
            </w:r>
            <w:r w:rsidR="009E32B3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  <w:r w:rsidR="00993D7B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3A4E8C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</w:p>
          <w:p w:rsidR="002C64D0" w:rsidRPr="00516E99" w:rsidRDefault="00993D7B" w:rsidP="00516E9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Where assisted conception is indicated, the service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provide a high quality, effective service to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in line with local commissioning policy for assisted conception services</w:t>
            </w:r>
            <w:r w:rsidR="00785C00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and HFEA Guidelines</w:t>
            </w:r>
            <w:r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. </w:t>
            </w:r>
          </w:p>
          <w:p w:rsidR="00B715EA" w:rsidRPr="00516E99" w:rsidRDefault="00B715EA" w:rsidP="00516E9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Provider shall work in line with </w:t>
            </w:r>
            <w:r w:rsidR="00FF70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CCG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FF70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policies.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</w:p>
          <w:p w:rsidR="00052DBE" w:rsidRPr="00052DBE" w:rsidRDefault="00052DBE" w:rsidP="00052DBE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A367B7" w:rsidRDefault="00052DBE">
            <w:pPr>
              <w:pStyle w:val="ListParagraph"/>
              <w:numPr>
                <w:ilvl w:val="1"/>
                <w:numId w:val="13"/>
              </w:numPr>
              <w:ind w:left="743" w:hanging="743"/>
              <w:rPr>
                <w:rFonts w:ascii="Arial" w:hAnsi="Arial" w:cs="Arial"/>
                <w:b/>
                <w:color w:val="009966"/>
                <w:sz w:val="20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>Service</w:t>
            </w:r>
            <w:r w:rsidR="00A367B7">
              <w:rPr>
                <w:rFonts w:ascii="Arial" w:hAnsi="Arial" w:cs="Arial"/>
                <w:b/>
                <w:color w:val="009966"/>
                <w:sz w:val="20"/>
              </w:rPr>
              <w:t xml:space="preserve"> description / care pathway</w:t>
            </w:r>
          </w:p>
          <w:p w:rsidR="00CD5F9C" w:rsidRDefault="00CD5F9C" w:rsidP="00516E99">
            <w:pPr>
              <w:spacing w:after="0"/>
              <w:rPr>
                <w:rFonts w:ascii="Arial" w:hAnsi="Arial" w:cs="Arial"/>
                <w:b/>
                <w:color w:val="009966"/>
                <w:sz w:val="20"/>
              </w:rPr>
            </w:pPr>
          </w:p>
          <w:p w:rsidR="00A367B7" w:rsidRPr="00516E99" w:rsidRDefault="00A367B7" w:rsidP="00516E9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 xml:space="preserve">             </w:t>
            </w:r>
            <w:r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Assisted Conception Service components are detailed below.       </w:t>
            </w:r>
          </w:p>
          <w:p w:rsidR="00052DBE" w:rsidRDefault="00CB513B" w:rsidP="00516E99">
            <w:pPr>
              <w:spacing w:after="0"/>
              <w:ind w:left="768" w:hanging="76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367B7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Patient pathways </w:t>
            </w:r>
            <w:r w:rsidR="008E2AD0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>shall</w:t>
            </w:r>
            <w:r w:rsidR="001E766D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differ depending on </w:t>
            </w:r>
            <w:r w:rsidR="00A367B7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>individual clinical needs and    diagnosis.</w:t>
            </w:r>
            <w:r w:rsidR="00E75EF2" w:rsidRPr="00516E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CB513B" w:rsidRPr="00516E99" w:rsidRDefault="00CB513B" w:rsidP="00516E99">
            <w:pPr>
              <w:spacing w:after="0"/>
              <w:ind w:left="768" w:hanging="76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111AB" w:rsidRDefault="002111AB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have appropriate professional registration (including HFEA) and be a member of an appropriate professional body.</w:t>
            </w:r>
          </w:p>
          <w:p w:rsidR="00387642" w:rsidRDefault="00387642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adhere to NHS Standards of Quality</w:t>
            </w:r>
            <w:r w:rsidR="000B0AE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be registered w</w:t>
            </w:r>
            <w:r w:rsidR="000B0AE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ith the Care Quality Commission and has a Duty of Candour. </w:t>
            </w:r>
          </w:p>
          <w:p w:rsidR="00387642" w:rsidRPr="00272D9F" w:rsidRDefault="00387642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 w:rsidRPr="00272D9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Pr="00272D9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ensure that the service is fully equip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ped</w:t>
            </w:r>
            <w:r w:rsidRPr="00272D9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and appropriately staffed to deliver this specification.</w:t>
            </w:r>
          </w:p>
          <w:p w:rsidR="002111AB" w:rsidRPr="00272D9F" w:rsidRDefault="002111AB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undertake continued professional development and ensure competency in advancing technologies; attending appropriate education and training programmes.</w:t>
            </w:r>
          </w:p>
          <w:p w:rsidR="00387642" w:rsidRPr="000C2F63" w:rsidRDefault="00387642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 w:rsidRPr="000C2F6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commissioner is committed to safeguarding children and adults. 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Pr="000C2F6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work in accordance with the organisational and local Safeguarding Board policies and procedures</w:t>
            </w:r>
            <w:r w:rsidR="00D1717D" w:rsidRPr="000C2F6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of the lead commissioner</w:t>
            </w:r>
            <w:r w:rsidRPr="000C2F6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</w:p>
          <w:p w:rsidR="00387642" w:rsidRPr="00052DBE" w:rsidRDefault="00387642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All members of staff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undertake </w:t>
            </w:r>
            <w:r w:rsidRPr="00052DB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Discl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osure and Barring Service checks and this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 updated every 3 years. </w:t>
            </w:r>
          </w:p>
          <w:p w:rsidR="002111AB" w:rsidRPr="001D2DE7" w:rsidRDefault="002111AB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ensure that relationships are development and maintained with NHS clinicians to ensure consistency and quality of care is maintained. </w:t>
            </w:r>
          </w:p>
          <w:p w:rsidR="006D413A" w:rsidRPr="006D413A" w:rsidRDefault="00272D9F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operate robust </w:t>
            </w:r>
            <w:r w:rsidR="006D413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policies and procedures to ensure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confidentiality, </w:t>
            </w:r>
            <w:r w:rsidR="002111AB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adhere to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</w:t>
            </w:r>
            <w:r w:rsidR="002111AB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Data Protection Act</w:t>
            </w:r>
            <w:r w:rsidR="002111AB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</w:t>
            </w:r>
            <w:r w:rsidR="006D413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the NHS Constitution and Equality</w:t>
            </w:r>
            <w:r w:rsidR="002111AB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Act</w:t>
            </w:r>
            <w:r w:rsidR="006D413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2010</w:t>
            </w:r>
            <w:r w:rsidR="002111AB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undertake Equality and Diversity training</w:t>
            </w:r>
            <w:r w:rsidR="002111AB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and comply with the Information Governance Toolkit</w:t>
            </w:r>
            <w:r w:rsidR="0039455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(ISO20001)</w:t>
            </w:r>
            <w:r w:rsid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</w:p>
          <w:p w:rsidR="002111AB" w:rsidRPr="009A7F1A" w:rsidRDefault="002111AB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Principle components of Clinical Governance are:</w:t>
            </w:r>
          </w:p>
          <w:p w:rsidR="002111AB" w:rsidRDefault="002111AB" w:rsidP="002111AB">
            <w:pPr>
              <w:pStyle w:val="ListParagraph"/>
              <w:numPr>
                <w:ilvl w:val="4"/>
                <w:numId w:val="13"/>
              </w:numPr>
              <w:autoSpaceDE w:val="0"/>
              <w:autoSpaceDN w:val="0"/>
              <w:adjustRightInd w:val="0"/>
              <w:ind w:hanging="337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Safety; monitor risk, incidents and near misses</w:t>
            </w:r>
          </w:p>
          <w:p w:rsidR="002111AB" w:rsidRDefault="002111AB" w:rsidP="002111AB">
            <w:pPr>
              <w:pStyle w:val="ListParagraph"/>
              <w:numPr>
                <w:ilvl w:val="4"/>
                <w:numId w:val="13"/>
              </w:numPr>
              <w:autoSpaceDE w:val="0"/>
              <w:autoSpaceDN w:val="0"/>
              <w:adjustRightInd w:val="0"/>
              <w:ind w:hanging="337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Clinical and Cost Effectiveness</w:t>
            </w:r>
          </w:p>
          <w:p w:rsidR="002111AB" w:rsidRDefault="002111AB" w:rsidP="002111AB">
            <w:pPr>
              <w:pStyle w:val="ListParagraph"/>
              <w:numPr>
                <w:ilvl w:val="4"/>
                <w:numId w:val="13"/>
              </w:numPr>
              <w:autoSpaceDE w:val="0"/>
              <w:autoSpaceDN w:val="0"/>
              <w:adjustRightInd w:val="0"/>
              <w:ind w:hanging="337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Information Governance</w:t>
            </w:r>
          </w:p>
          <w:p w:rsidR="002111AB" w:rsidRDefault="002111AB" w:rsidP="002111AB">
            <w:pPr>
              <w:pStyle w:val="ListParagraph"/>
              <w:numPr>
                <w:ilvl w:val="4"/>
                <w:numId w:val="13"/>
              </w:numPr>
              <w:autoSpaceDE w:val="0"/>
              <w:autoSpaceDN w:val="0"/>
              <w:adjustRightInd w:val="0"/>
              <w:ind w:hanging="337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 Focus; Dignity and Respect</w:t>
            </w:r>
          </w:p>
          <w:p w:rsidR="002111AB" w:rsidRDefault="002111AB" w:rsidP="002111AB">
            <w:pPr>
              <w:pStyle w:val="ListParagraph"/>
              <w:numPr>
                <w:ilvl w:val="4"/>
                <w:numId w:val="13"/>
              </w:numPr>
              <w:autoSpaceDE w:val="0"/>
              <w:autoSpaceDN w:val="0"/>
              <w:adjustRightInd w:val="0"/>
              <w:ind w:hanging="337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Accessible and Responsive Care</w:t>
            </w:r>
          </w:p>
          <w:p w:rsidR="002111AB" w:rsidRPr="00224D3C" w:rsidRDefault="002111AB" w:rsidP="002111AB">
            <w:pPr>
              <w:pStyle w:val="ListParagraph"/>
              <w:numPr>
                <w:ilvl w:val="4"/>
                <w:numId w:val="13"/>
              </w:numPr>
              <w:autoSpaceDE w:val="0"/>
              <w:autoSpaceDN w:val="0"/>
              <w:adjustRightInd w:val="0"/>
              <w:ind w:hanging="337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Suitable Environment</w:t>
            </w:r>
          </w:p>
          <w:p w:rsidR="00A367B7" w:rsidRPr="00516E99" w:rsidRDefault="007E7113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adhere to Commissioning Policy regarding </w:t>
            </w:r>
            <w:r w:rsidR="000C2F63"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</w:t>
            </w:r>
            <w:r w:rsidR="00316018"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isk and </w:t>
            </w:r>
            <w:r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</w:t>
            </w:r>
            <w:r w:rsidR="00316018"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afety </w:t>
            </w:r>
            <w:r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M</w:t>
            </w:r>
            <w:r w:rsidR="00316018"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anagement</w:t>
            </w:r>
            <w:r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S</w:t>
            </w:r>
            <w:r w:rsidR="000C2F63"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erious </w:t>
            </w:r>
            <w:r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</w:t>
            </w:r>
            <w:r w:rsidR="000C2F63"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ncident </w:t>
            </w:r>
            <w:r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</w:t>
            </w:r>
            <w:r w:rsidR="000C2F63"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eporting</w:t>
            </w:r>
            <w:r w:rsidRPr="007E711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and Management of Complaints.</w:t>
            </w:r>
          </w:p>
          <w:p w:rsidR="002111AB" w:rsidRDefault="002111AB" w:rsidP="0015079C">
            <w:pPr>
              <w:spacing w:after="0"/>
              <w:rPr>
                <w:rFonts w:ascii="Arial" w:hAnsi="Arial" w:cs="Arial"/>
                <w:color w:val="009966"/>
                <w:sz w:val="20"/>
              </w:rPr>
            </w:pPr>
          </w:p>
          <w:p w:rsidR="008B739A" w:rsidRPr="009A7F1A" w:rsidRDefault="009A7F1A" w:rsidP="009A7F1A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 w:rsidRPr="009A7F1A">
              <w:rPr>
                <w:rFonts w:ascii="Arial" w:hAnsi="Arial" w:cs="Arial"/>
                <w:b/>
                <w:color w:val="009966"/>
                <w:sz w:val="20"/>
              </w:rPr>
              <w:lastRenderedPageBreak/>
              <w:tab/>
            </w:r>
            <w:r w:rsidR="008B739A" w:rsidRPr="009A7F1A">
              <w:rPr>
                <w:rFonts w:ascii="Arial" w:hAnsi="Arial" w:cs="Arial"/>
                <w:b/>
                <w:color w:val="009966"/>
                <w:sz w:val="20"/>
              </w:rPr>
              <w:t>Primary Care Advice</w:t>
            </w:r>
          </w:p>
          <w:p w:rsidR="008B739A" w:rsidRDefault="008B739A" w:rsidP="008B739A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282828"/>
                <w:szCs w:val="22"/>
                <w:lang w:eastAsia="en-US"/>
              </w:rPr>
            </w:pPr>
          </w:p>
          <w:p w:rsidR="00B10EE0" w:rsidRPr="00B10EE0" w:rsidRDefault="009B077C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Initial advice will be provided by</w:t>
            </w:r>
            <w:r w:rsidR="008B739A" w:rsidRP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general practice regarding the optimum conditions for conception; lifestyle advice, timing of sexual intercourse, etc. After </w:t>
            </w:r>
            <w:r w:rsidR="00FF70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one</w:t>
            </w:r>
            <w:r w:rsidR="008B739A" w:rsidRP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year of trying to conceive</w:t>
            </w:r>
            <w:r w:rsidR="00FF70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patients for Walsall, Wolverhampton, Sandwell and West Birmingham</w:t>
            </w:r>
            <w:r w:rsidR="00BB44ED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</w:t>
            </w:r>
            <w:r w:rsidR="00FF70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Birmingham and Solihull CCG</w:t>
            </w:r>
            <w:r w:rsidR="00BB44ED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</w:t>
            </w:r>
            <w:r w:rsidR="00FF70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will be </w:t>
            </w:r>
            <w:proofErr w:type="gramStart"/>
            <w:r w:rsidR="008B739A" w:rsidRP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referr</w:t>
            </w:r>
            <w:r w:rsidR="00FF70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ed </w:t>
            </w:r>
            <w:r w:rsidR="008B739A" w:rsidRP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by</w:t>
            </w:r>
            <w:proofErr w:type="gramEnd"/>
            <w:r w:rsidR="008B739A" w:rsidRP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the GP </w:t>
            </w:r>
            <w:r w:rsidR="00660143" w:rsidRP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to a Tier 2 Provider </w:t>
            </w:r>
            <w:r w:rsidR="008B739A" w:rsidRP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for fertility investigation.</w:t>
            </w:r>
            <w:r w:rsidR="00FF70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For Dudley patients the qualifying period is two years.</w:t>
            </w:r>
            <w:r w:rsidR="008B739A" w:rsidRP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</w:p>
          <w:p w:rsidR="00B10EE0" w:rsidRPr="00641077" w:rsidRDefault="00B10EE0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 w:rsidRPr="0064107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The Provider will support Primary Care</w:t>
            </w:r>
            <w:r w:rsidR="009A7F1A" w:rsidRPr="0064107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practitioners</w:t>
            </w:r>
            <w:r w:rsidRPr="0064107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providing advice and guidance where required. </w:t>
            </w:r>
          </w:p>
          <w:p w:rsidR="008B739A" w:rsidRPr="008B739A" w:rsidRDefault="008B739A" w:rsidP="008B739A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993D7B" w:rsidRPr="009A7F1A" w:rsidRDefault="009A7F1A" w:rsidP="009A7F1A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 w:rsidRPr="009A7F1A">
              <w:rPr>
                <w:rFonts w:ascii="Arial" w:hAnsi="Arial" w:cs="Arial"/>
                <w:b/>
                <w:color w:val="009966"/>
                <w:sz w:val="20"/>
              </w:rPr>
              <w:tab/>
            </w:r>
            <w:r w:rsidR="00B94E37" w:rsidRPr="009A7F1A">
              <w:rPr>
                <w:rFonts w:ascii="Arial" w:hAnsi="Arial" w:cs="Arial"/>
                <w:b/>
                <w:color w:val="009966"/>
                <w:sz w:val="20"/>
              </w:rPr>
              <w:t xml:space="preserve">Secondary </w:t>
            </w:r>
            <w:r w:rsidR="00993D7B" w:rsidRPr="009A7F1A">
              <w:rPr>
                <w:rFonts w:ascii="Arial" w:hAnsi="Arial" w:cs="Arial"/>
                <w:b/>
                <w:color w:val="009966"/>
                <w:sz w:val="20"/>
              </w:rPr>
              <w:t xml:space="preserve">Fertility </w:t>
            </w:r>
            <w:r w:rsidR="008B739A" w:rsidRPr="009A7F1A">
              <w:rPr>
                <w:rFonts w:ascii="Arial" w:hAnsi="Arial" w:cs="Arial"/>
                <w:b/>
                <w:color w:val="009966"/>
                <w:sz w:val="20"/>
              </w:rPr>
              <w:t>Service</w:t>
            </w:r>
            <w:r w:rsidR="00B94E37" w:rsidRPr="009A7F1A">
              <w:rPr>
                <w:rFonts w:ascii="Arial" w:hAnsi="Arial" w:cs="Arial"/>
                <w:b/>
                <w:color w:val="009966"/>
                <w:sz w:val="20"/>
              </w:rPr>
              <w:t xml:space="preserve"> (Tier 2)</w:t>
            </w:r>
          </w:p>
          <w:p w:rsidR="00993D7B" w:rsidRDefault="00993D7B" w:rsidP="00993D7B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8B739A" w:rsidRDefault="00B863B2" w:rsidP="0014211C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Patients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7251A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 offered a choice of Provider</w:t>
            </w:r>
            <w:r w:rsidR="008B739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for fertility investigation and subsequent treatment. Patient Choice enables a choice of provider across all </w:t>
            </w:r>
            <w:r w:rsidR="0066014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Acute/General </w:t>
            </w:r>
            <w:r w:rsidR="008B739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NHS Hospitals and the </w:t>
            </w:r>
            <w:r w:rsidR="0066014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Tier 3 </w:t>
            </w:r>
            <w:r w:rsidR="009B077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Assisted Conception Service </w:t>
            </w:r>
            <w:r w:rsidR="008B739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Provider</w:t>
            </w:r>
            <w:r w:rsidR="004479F4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</w:p>
          <w:p w:rsidR="00757E20" w:rsidRDefault="00660143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</w:t>
            </w:r>
            <w:r w:rsidR="00B26E5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he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Tier 2 </w:t>
            </w:r>
            <w:r w:rsidR="00B26E5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B26E5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757E2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offer lifestyle advice to the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="00757E2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for example weight management, smoking status, etc, to ensure the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="00757E2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are in the optimum condition for conception.  </w:t>
            </w:r>
          </w:p>
          <w:p w:rsidR="00993D7B" w:rsidRDefault="00757E20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U</w:t>
            </w:r>
            <w:r w:rsidR="00B26E5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ndertake fertility investigations to identify sub/infertility and the cause of sub infertility. This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B26E5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include all necessary tests, investigations and consultations</w:t>
            </w:r>
            <w:r w:rsidR="00426B8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*</w:t>
            </w:r>
            <w:r w:rsidR="00B26E5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. </w:t>
            </w:r>
            <w:r w:rsidR="004479F4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B94E3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Examples include but are not limited to:</w:t>
            </w:r>
          </w:p>
          <w:p w:rsidR="00B94E37" w:rsidRDefault="00B94E37" w:rsidP="00B94E3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Infection screen (Including Hepatitis B)</w:t>
            </w:r>
          </w:p>
          <w:p w:rsidR="00B94E37" w:rsidRDefault="00B94E37" w:rsidP="00B94E3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Hormone screen</w:t>
            </w:r>
          </w:p>
          <w:p w:rsidR="00B94E37" w:rsidRDefault="00B94E37" w:rsidP="00B94E3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Ultrasound scan</w:t>
            </w:r>
          </w:p>
          <w:p w:rsidR="00B94E37" w:rsidRDefault="00B94E37" w:rsidP="00B94E3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Seminal fluid analysis (male)</w:t>
            </w:r>
          </w:p>
          <w:p w:rsidR="00B94E37" w:rsidRPr="00B94E37" w:rsidRDefault="00B94E37" w:rsidP="00B94E3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Tubal patency</w:t>
            </w:r>
          </w:p>
          <w:p w:rsidR="004479F4" w:rsidRDefault="00426B87" w:rsidP="00516E9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Genetic testing/investigations</w:t>
            </w:r>
            <w:r w:rsidR="00A15408"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</w:t>
            </w:r>
            <w:r w:rsid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m</w:t>
            </w:r>
            <w:r w:rsidR="004479F4"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ilitary services and specialist urology </w:t>
            </w:r>
            <w:r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are</w:t>
            </w:r>
            <w:r w:rsidR="004479F4"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specialist services and</w:t>
            </w:r>
            <w:r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referrals from these areas are </w:t>
            </w:r>
            <w:r w:rsidR="00A15408"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</w:t>
            </w:r>
            <w:r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responsibility of Specialised Commissioning Services</w:t>
            </w:r>
            <w:r w:rsidR="004479F4"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in terms of </w:t>
            </w:r>
            <w:proofErr w:type="gramStart"/>
            <w:r w:rsidR="004479F4"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funding</w:t>
            </w:r>
            <w:r w:rsid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and</w:t>
            </w:r>
            <w:proofErr w:type="gramEnd"/>
            <w:r w:rsid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are excluded from this specification</w:t>
            </w:r>
            <w:r w:rsidR="004479F4" w:rsidRP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. </w:t>
            </w:r>
            <w:r w:rsidR="004479F4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It is expected that the Provider shall identify where the funding source comes from</w:t>
            </w:r>
            <w:r w:rsid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for Patients treatment.</w:t>
            </w:r>
          </w:p>
          <w:p w:rsidR="007251A7" w:rsidRDefault="007251A7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Undertake clinical treatment to restore fertility where appropriate</w:t>
            </w:r>
            <w:r w:rsid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</w:t>
            </w:r>
            <w:r w:rsidR="0064107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for example </w:t>
            </w:r>
            <w:r w:rsidR="009A16E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prescribing </w:t>
            </w:r>
            <w:r w:rsidR="0064107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medication where appropriate</w:t>
            </w:r>
            <w:r w:rsidR="009A16E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removing cysts from women suffering from Polycystic Ovary syndrome and treating </w:t>
            </w:r>
            <w:r w:rsidR="000C3740" w:rsidRPr="00641077">
              <w:rPr>
                <w:rFonts w:ascii="Arial" w:hAnsi="Arial" w:cs="Arial"/>
                <w:sz w:val="22"/>
                <w:szCs w:val="22"/>
              </w:rPr>
              <w:t>Varicoceles</w:t>
            </w:r>
            <w:r w:rsidR="009A16E7">
              <w:rPr>
                <w:rFonts w:ascii="Arial" w:hAnsi="Arial" w:cs="Arial"/>
                <w:sz w:val="22"/>
                <w:szCs w:val="22"/>
              </w:rPr>
              <w:t xml:space="preserve"> in males</w:t>
            </w:r>
            <w:r w:rsidR="0064107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</w:p>
          <w:p w:rsidR="00660143" w:rsidRDefault="00660143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Where fertility cannot be restored, the Tier 2 Provider will assess </w:t>
            </w:r>
            <w:proofErr w:type="gramStart"/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</w:t>
            </w:r>
            <w:r w:rsidR="0058588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’s</w:t>
            </w:r>
            <w:proofErr w:type="gramEnd"/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eligibility for assisted conception services, in line with</w:t>
            </w:r>
            <w:r w:rsid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the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58588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relevant CCGs</w:t>
            </w:r>
            <w:r w:rsidR="00A1540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’</w:t>
            </w:r>
            <w:r w:rsidR="0058588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commissioning policy.</w:t>
            </w:r>
          </w:p>
          <w:p w:rsidR="00660143" w:rsidRDefault="00660143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Eligible patients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 referred to the Tier 3 Provider for assisted conception services.</w:t>
            </w:r>
          </w:p>
          <w:p w:rsidR="00B26E59" w:rsidRPr="00993D7B" w:rsidRDefault="00B26E59" w:rsidP="00B26E59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993D7B" w:rsidRDefault="009A7F1A" w:rsidP="009A7F1A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 w:rsidRPr="009A7F1A">
              <w:rPr>
                <w:rFonts w:ascii="Arial" w:hAnsi="Arial" w:cs="Arial"/>
                <w:b/>
                <w:color w:val="009966"/>
                <w:sz w:val="20"/>
              </w:rPr>
              <w:tab/>
            </w:r>
            <w:r w:rsidR="00B94E37" w:rsidRPr="009A7F1A">
              <w:rPr>
                <w:rFonts w:ascii="Arial" w:hAnsi="Arial" w:cs="Arial"/>
                <w:b/>
                <w:color w:val="009966"/>
                <w:sz w:val="20"/>
              </w:rPr>
              <w:t xml:space="preserve">Specialist </w:t>
            </w:r>
            <w:r w:rsidR="00993D7B" w:rsidRPr="009A7F1A">
              <w:rPr>
                <w:rFonts w:ascii="Arial" w:hAnsi="Arial" w:cs="Arial"/>
                <w:b/>
                <w:color w:val="009966"/>
                <w:sz w:val="20"/>
              </w:rPr>
              <w:t>Assisted Conception</w:t>
            </w:r>
            <w:r w:rsidR="008B739A" w:rsidRPr="009A7F1A">
              <w:rPr>
                <w:rFonts w:ascii="Arial" w:hAnsi="Arial" w:cs="Arial"/>
                <w:b/>
                <w:color w:val="009966"/>
                <w:sz w:val="20"/>
              </w:rPr>
              <w:t xml:space="preserve"> Service</w:t>
            </w:r>
            <w:r w:rsidR="00B94E37" w:rsidRPr="009A7F1A">
              <w:rPr>
                <w:rFonts w:ascii="Arial" w:hAnsi="Arial" w:cs="Arial"/>
                <w:b/>
                <w:color w:val="009966"/>
                <w:sz w:val="20"/>
              </w:rPr>
              <w:t xml:space="preserve"> (Tier 3)</w:t>
            </w:r>
          </w:p>
          <w:p w:rsidR="00B06CBC" w:rsidRPr="009A7F1A" w:rsidRDefault="00B06CBC" w:rsidP="009A7F1A">
            <w:pPr>
              <w:pStyle w:val="ListParagraph"/>
              <w:ind w:left="360"/>
              <w:rPr>
                <w:rFonts w:ascii="Arial" w:hAnsi="Arial" w:cs="Arial"/>
                <w:b/>
                <w:color w:val="009966"/>
                <w:sz w:val="20"/>
              </w:rPr>
            </w:pPr>
          </w:p>
          <w:p w:rsidR="007F6215" w:rsidRPr="00272D9F" w:rsidRDefault="001D2DE7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Should more than one Provider be awarded a contract as part of this tender exercise,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="00D4504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will </w:t>
            </w:r>
            <w:r w:rsidR="007F6215" w:rsidRPr="00272D9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be offered a choice of Provider for specialis</w:t>
            </w:r>
            <w:r w:rsidR="004222D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 assisted conception services</w:t>
            </w:r>
            <w:r w:rsidR="00D4504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. </w:t>
            </w:r>
            <w:r w:rsidR="004222D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</w:p>
          <w:p w:rsidR="009A7F1A" w:rsidRDefault="00660143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B06CB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Tier 3 Provider will assess the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</w:t>
            </w:r>
            <w:r w:rsidRPr="00B06CB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</w:t>
            </w:r>
            <w:r w:rsidR="009E7D5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’</w:t>
            </w:r>
            <w:r w:rsidRPr="00B06CB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eligibility for assisted conception services, in line with local commissioning</w:t>
            </w:r>
            <w:r w:rsidR="00D7352D" w:rsidRPr="00B06CB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policy, and the clinical appropriateness of assisted conception services</w:t>
            </w:r>
            <w:r w:rsidR="00D4504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  <w:r w:rsidR="00D7352D" w:rsidRPr="00B06CB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</w:p>
          <w:p w:rsidR="009A7F1A" w:rsidRDefault="009B077C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Where appropriate, u</w:t>
            </w:r>
            <w:r w:rsidR="00660143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ndertake pre-treatment work up to include all necessary tests and investigations</w:t>
            </w:r>
            <w:r w:rsidR="009E7D5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</w:t>
            </w:r>
            <w:r w:rsidR="00660143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prior to</w:t>
            </w:r>
            <w:r w:rsidR="009E7D5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</w:t>
            </w:r>
            <w:r w:rsidR="00660143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and during treatment.</w:t>
            </w:r>
          </w:p>
          <w:p w:rsidR="009A7F1A" w:rsidRDefault="00660143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lastRenderedPageBreak/>
              <w:t xml:space="preserve">A treatment unit will include </w:t>
            </w:r>
            <w:r w:rsidR="00DC46E2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management, 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assessment, counselling, monitoring</w:t>
            </w:r>
            <w:r w:rsidR="00426DCC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HFEA fee(s)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clinical </w:t>
            </w:r>
            <w:r w:rsidR="00672BBA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and embryological procedures including all drugs required, to prepare for and complete the cycle</w:t>
            </w:r>
            <w:r w:rsidR="00426B8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and the cryopreservation and storage of resultant embryos for a period of 12 months.</w:t>
            </w:r>
            <w:r w:rsidR="00D4504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Refer to the relevant Commissioner policy.</w:t>
            </w:r>
            <w:r w:rsidR="00426B8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</w:p>
          <w:p w:rsidR="009A7F1A" w:rsidRDefault="00426DCC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Providers will use the most clinically and cost effective drugs available, all drug costs will be met by the Provider and </w:t>
            </w:r>
            <w:r w:rsidR="00426B8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will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not be prescribed by the GP. </w:t>
            </w:r>
          </w:p>
          <w:p w:rsidR="009A7F1A" w:rsidRDefault="003628C4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Where patients received Secondary Fertility Services with the Specialist Assisted Conception Service Provider, the management </w:t>
            </w:r>
            <w:r w:rsidR="001467D4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requirements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will be significantly reduced</w:t>
            </w:r>
            <w:r w:rsidR="001D2DE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and this will</w:t>
            </w:r>
            <w:r w:rsidR="00E2360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1D2DE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be reflected in the costs.</w:t>
            </w:r>
          </w:p>
          <w:p w:rsidR="009A7F1A" w:rsidRPr="00D96E51" w:rsidRDefault="00672BBA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D96E51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Treatment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Pr="00D96E51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 offered in line with local commissioning</w:t>
            </w:r>
            <w:r w:rsidR="003628C4" w:rsidRPr="00D96E51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polic</w:t>
            </w:r>
            <w:r w:rsidR="001467D4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ies</w:t>
            </w:r>
            <w:r w:rsidR="003628C4" w:rsidRPr="00D96E51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particularly in relation to the number of cycles commissioned per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="003628C4" w:rsidRPr="00D96E51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. </w:t>
            </w:r>
          </w:p>
          <w:p w:rsidR="009A7F1A" w:rsidRPr="00C942DE" w:rsidRDefault="00426DCC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All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86774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to </w:t>
            </w:r>
            <w:r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be provided with </w:t>
            </w:r>
            <w:r w:rsidR="002A7101"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appropriate </w:t>
            </w:r>
            <w:r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 information</w:t>
            </w:r>
            <w:r w:rsidR="002A7101"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in a suitable format,</w:t>
            </w:r>
            <w:r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outlining the service, treatment pathway, advice and support and</w:t>
            </w:r>
            <w:r w:rsid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links to HFEA patient resources. </w:t>
            </w:r>
          </w:p>
          <w:p w:rsidR="00C942DE" w:rsidRPr="00C942DE" w:rsidRDefault="00C942DE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All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have their first consultation and assessment within four weeks.</w:t>
            </w:r>
          </w:p>
          <w:p w:rsidR="009A7F1A" w:rsidRPr="00C942DE" w:rsidRDefault="00176874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All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receive</w:t>
            </w:r>
            <w:r w:rsid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 second consultation within four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weeks of the first consultation, </w:t>
            </w:r>
            <w:proofErr w:type="gramStart"/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in order to</w:t>
            </w:r>
            <w:proofErr w:type="gramEnd"/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agree the Individual Treatment Plan. The Provider will identify and agree the most appropriate treatment plan for the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considering the results of clinical investigations and in full collaboration with the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. </w:t>
            </w:r>
          </w:p>
          <w:p w:rsidR="00C942DE" w:rsidRDefault="00C942DE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Treatment will commence as early as possible and when most clinically appropriate, timings to be agreed in full collaboration with the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. </w:t>
            </w:r>
          </w:p>
          <w:p w:rsidR="009A7F1A" w:rsidRDefault="009A7F1A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Providers will use the best available embryo screening techniques </w:t>
            </w:r>
            <w:r w:rsid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and remain well informed of all new technologies. </w:t>
            </w:r>
          </w:p>
          <w:p w:rsidR="009A7F1A" w:rsidRDefault="00176874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Upon being selected for treatment, full consent will be obtained in line with HFEA and the planned treatment schedule will commence.</w:t>
            </w:r>
          </w:p>
          <w:p w:rsidR="009A7F1A" w:rsidRDefault="00B863B2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="0014211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176874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will have a named nurse and doctor to support them throughout their treatment cycle.</w:t>
            </w:r>
            <w:r w:rsid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Every effort will be made to accommodate continuity whilst preventing any delay in treatment. </w:t>
            </w:r>
          </w:p>
          <w:p w:rsidR="009A7F1A" w:rsidRDefault="00426DCC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 24/7</w:t>
            </w:r>
            <w:r w:rsidR="00176874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on-call service will be provided by senior clinical and embryological staff for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="00176874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</w:p>
          <w:p w:rsidR="009A7F1A" w:rsidRDefault="00176874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Counselling will be offered to all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before, during and after the treatment cycle.</w:t>
            </w:r>
          </w:p>
          <w:p w:rsidR="009A7F1A" w:rsidRDefault="00176874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Lifestyle advice</w:t>
            </w:r>
            <w:r w:rsidR="00877CD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will be given to all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throughout their journey.</w:t>
            </w:r>
          </w:p>
          <w:p w:rsidR="009A7F1A" w:rsidRDefault="00176874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Post treatment evaluation surveys and HFEA evaluation forms will be provided to all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following each treatment cycle. </w:t>
            </w:r>
          </w:p>
          <w:p w:rsidR="009A7F1A" w:rsidRDefault="009A7F1A" w:rsidP="009A7F1A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9A7F1A" w:rsidRPr="009A7F1A" w:rsidRDefault="009A7F1A" w:rsidP="004852DC">
            <w:pPr>
              <w:pStyle w:val="ListParagraph"/>
              <w:numPr>
                <w:ilvl w:val="2"/>
                <w:numId w:val="13"/>
              </w:numPr>
              <w:ind w:hanging="378"/>
              <w:rPr>
                <w:rFonts w:ascii="Arial" w:hAnsi="Arial" w:cs="Arial"/>
                <w:b/>
                <w:color w:val="009966"/>
                <w:sz w:val="20"/>
              </w:rPr>
            </w:pPr>
            <w:r w:rsidRPr="009A7F1A">
              <w:rPr>
                <w:rFonts w:ascii="Arial" w:hAnsi="Arial" w:cs="Arial"/>
                <w:b/>
                <w:color w:val="009966"/>
                <w:sz w:val="20"/>
              </w:rPr>
              <w:t>Provision of Donor Gametes, Cryopreservation and Storage</w:t>
            </w:r>
          </w:p>
          <w:p w:rsidR="009A7F1A" w:rsidRPr="009A7F1A" w:rsidRDefault="009A7F1A" w:rsidP="009A7F1A">
            <w:pPr>
              <w:pStyle w:val="ListParagraph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7B26CD" w:rsidRPr="00123D5E" w:rsidRDefault="00C942DE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123D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The Provider </w:t>
            </w:r>
            <w:r w:rsidR="008E2AD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shall</w:t>
            </w:r>
            <w:r w:rsidRPr="00123D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offer </w:t>
            </w:r>
            <w:r w:rsidR="007B26CD" w:rsidRPr="00123D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fertility </w:t>
            </w:r>
            <w:r w:rsidRPr="00123D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preservation services prior to NHS treatment likely to cause sub/infertility; to include gamete retrieval, cryopreservation and storage</w:t>
            </w:r>
            <w:r w:rsidR="007B26CD" w:rsidRPr="00123D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for </w:t>
            </w:r>
            <w:r w:rsidR="007B26CD" w:rsidRPr="00426B8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 months only</w:t>
            </w:r>
            <w:r w:rsidR="007B26CD" w:rsidRPr="00123D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Continued cryopreservation and storage within HFEA guidelines, will be available at the patient’s own expense. </w:t>
            </w:r>
            <w:r w:rsidR="0053345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For aspects over and above this refer to the relevant CCG’s IFT team. </w:t>
            </w:r>
          </w:p>
          <w:p w:rsidR="009A7F1A" w:rsidRDefault="007F6215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Embryos: </w:t>
            </w:r>
            <w:r w:rsidR="009C28C1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Following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assisted conception </w:t>
            </w:r>
            <w:r w:rsidR="009C28C1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treatment, the cryopreservation and storage of surplus embryo’s included within this specification for 12 months only. Continued cryopreservation and storage within HFEA guidelines,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9C28C1" w:rsidRPr="009A7F1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 available at the patient’s own expense. </w:t>
            </w:r>
          </w:p>
          <w:p w:rsidR="009A7F1A" w:rsidRPr="00C942DE" w:rsidRDefault="007F6215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Eggs: </w:t>
            </w:r>
            <w:r w:rsidR="00B10EE0"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Where clinically indicated, Donor Eggs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B10EE0" w:rsidRP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 available within this specification.</w:t>
            </w:r>
            <w:r w:rsidR="00C942D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C168AB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Refer to</w:t>
            </w:r>
            <w:r w:rsidR="00E5056F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the C</w:t>
            </w:r>
            <w:r w:rsidR="00C168AB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ommissioner policy.</w:t>
            </w:r>
          </w:p>
          <w:p w:rsidR="009A7F1A" w:rsidRPr="007F6215" w:rsidRDefault="007F6215" w:rsidP="005162B4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Sperm: </w:t>
            </w:r>
            <w:r w:rsidR="00B10EE0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Where clinically indicated, Donor Sperm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B10EE0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 available within this specification.</w:t>
            </w:r>
            <w:r w:rsidR="00C942DE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122281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Following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assisted conception treatment</w:t>
            </w:r>
            <w:r w:rsidR="00122281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if the male par</w:t>
            </w:r>
            <w:r w:rsidR="009C28C1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tner is at risk of becoming </w:t>
            </w:r>
            <w:proofErr w:type="spellStart"/>
            <w:r w:rsidR="009C28C1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azoospermic</w:t>
            </w:r>
            <w:proofErr w:type="spellEnd"/>
            <w:r w:rsidR="009C28C1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9C28C1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where possible, cryopreserve and store available sperm to avoid the need for surgical sperm </w:t>
            </w:r>
            <w:r w:rsidR="009C28C1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lastRenderedPageBreak/>
              <w:t xml:space="preserve">recovery in the future. The cryopreservation and storage of surplus sperm is included within this specification for 12 months only. </w:t>
            </w:r>
            <w:r w:rsidR="004245B7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 w:rsidR="009C28C1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Continued cryopreservation and storage within HFEA </w:t>
            </w:r>
            <w:r w:rsidR="004245B7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guidelines, will</w:t>
            </w:r>
            <w:r w:rsidR="009C28C1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be available at the patient’s own expense.</w:t>
            </w:r>
          </w:p>
          <w:p w:rsidR="00052DBE" w:rsidRPr="00052DBE" w:rsidRDefault="00052DBE" w:rsidP="00052DBE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F00FBB" w:rsidRDefault="00E665B0" w:rsidP="00CF3446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ab/>
            </w:r>
            <w:r w:rsidR="00C942DE">
              <w:rPr>
                <w:rFonts w:ascii="Arial" w:hAnsi="Arial" w:cs="Arial"/>
                <w:b/>
                <w:color w:val="009966"/>
                <w:sz w:val="20"/>
              </w:rPr>
              <w:t>Historical</w:t>
            </w:r>
            <w:r w:rsidR="00F00FBB">
              <w:rPr>
                <w:rFonts w:ascii="Arial" w:hAnsi="Arial" w:cs="Arial"/>
                <w:b/>
                <w:color w:val="009966"/>
                <w:sz w:val="20"/>
              </w:rPr>
              <w:t xml:space="preserve"> Modelling</w:t>
            </w:r>
          </w:p>
          <w:p w:rsidR="00F00FBB" w:rsidRDefault="00F00FBB" w:rsidP="00F00FBB">
            <w:pPr>
              <w:pStyle w:val="ListParagraph"/>
              <w:ind w:left="360"/>
              <w:rPr>
                <w:rFonts w:ascii="Arial" w:hAnsi="Arial" w:cs="Arial"/>
                <w:b/>
                <w:color w:val="009966"/>
                <w:sz w:val="20"/>
              </w:rPr>
            </w:pPr>
          </w:p>
          <w:p w:rsidR="00C942DE" w:rsidRPr="007F6215" w:rsidRDefault="00C942DE" w:rsidP="005162B4">
            <w:pPr>
              <w:pStyle w:val="ListParagraph"/>
              <w:numPr>
                <w:ilvl w:val="2"/>
                <w:numId w:val="13"/>
              </w:numPr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Providers will be expected to forecast future demand and provide assurance </w:t>
            </w:r>
            <w:r w:rsidR="0068567F" w:rsidRPr="007F621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that the service is able to effectively manage future demand. </w:t>
            </w:r>
          </w:p>
          <w:p w:rsidR="00F00FBB" w:rsidRDefault="00F00FBB" w:rsidP="00F00FBB">
            <w:pPr>
              <w:pStyle w:val="ListParagraph"/>
              <w:rPr>
                <w:rFonts w:ascii="Arial" w:hAnsi="Arial" w:cs="Arial"/>
                <w:b/>
                <w:color w:val="009966"/>
                <w:sz w:val="20"/>
              </w:rPr>
            </w:pPr>
          </w:p>
          <w:p w:rsidR="00CF3446" w:rsidRDefault="00F00FBB" w:rsidP="00CF3446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ab/>
            </w:r>
            <w:r w:rsidR="002C64D0" w:rsidRPr="00E665B0">
              <w:rPr>
                <w:rFonts w:ascii="Arial" w:hAnsi="Arial" w:cs="Arial"/>
                <w:b/>
                <w:color w:val="009966"/>
                <w:sz w:val="20"/>
              </w:rPr>
              <w:t>Population covered</w:t>
            </w:r>
          </w:p>
          <w:p w:rsidR="00CF3446" w:rsidRDefault="00CF3446" w:rsidP="00CF3446">
            <w:pPr>
              <w:pStyle w:val="ListParagraph"/>
              <w:ind w:left="360"/>
              <w:rPr>
                <w:rFonts w:ascii="Arial" w:hAnsi="Arial" w:cs="Arial"/>
                <w:b/>
                <w:color w:val="009966"/>
                <w:sz w:val="20"/>
              </w:rPr>
            </w:pPr>
          </w:p>
          <w:p w:rsidR="00672BBA" w:rsidRPr="00CF3446" w:rsidRDefault="00CF3446" w:rsidP="005162B4">
            <w:pPr>
              <w:pStyle w:val="ListParagraph"/>
              <w:numPr>
                <w:ilvl w:val="2"/>
                <w:numId w:val="13"/>
              </w:numPr>
              <w:ind w:hanging="236"/>
              <w:rPr>
                <w:rFonts w:ascii="Arial" w:hAnsi="Arial" w:cs="Arial"/>
                <w:b/>
                <w:color w:val="009966"/>
                <w:sz w:val="20"/>
              </w:rPr>
            </w:pPr>
            <w:r w:rsidRPr="00CF344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The Provider will supply services to responsible patients</w:t>
            </w:r>
            <w:r w:rsidR="003A4E8C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registered with a GP </w:t>
            </w:r>
            <w:r w:rsidRPr="00CF344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of the following Commission</w:t>
            </w:r>
            <w:r w:rsidR="003412DA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ers</w:t>
            </w:r>
            <w:r w:rsidRPr="00CF344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:</w:t>
            </w:r>
          </w:p>
          <w:p w:rsidR="00CF3446" w:rsidRPr="00CF3446" w:rsidRDefault="00CF3446" w:rsidP="00CF34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F3446">
              <w:rPr>
                <w:rFonts w:ascii="Arial" w:hAnsi="Arial" w:cs="Arial"/>
                <w:sz w:val="22"/>
              </w:rPr>
              <w:t>Wolverhampton CCG</w:t>
            </w:r>
          </w:p>
          <w:p w:rsidR="00CF3446" w:rsidRPr="00CF3446" w:rsidRDefault="00CF3446" w:rsidP="00CF34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F3446">
              <w:rPr>
                <w:rFonts w:ascii="Arial" w:hAnsi="Arial" w:cs="Arial"/>
                <w:sz w:val="22"/>
              </w:rPr>
              <w:t>Walsall CCG</w:t>
            </w:r>
          </w:p>
          <w:p w:rsidR="00CF3446" w:rsidRPr="00CF3446" w:rsidRDefault="00CF3446" w:rsidP="00CF34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F3446">
              <w:rPr>
                <w:rFonts w:ascii="Arial" w:hAnsi="Arial" w:cs="Arial"/>
                <w:sz w:val="22"/>
              </w:rPr>
              <w:t>Sandwell and West Birmingham CCG</w:t>
            </w:r>
          </w:p>
          <w:p w:rsidR="007F6215" w:rsidRPr="0068567F" w:rsidRDefault="00D1717D" w:rsidP="007F621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Birmingham </w:t>
            </w:r>
            <w:r w:rsidR="00A452F5">
              <w:rPr>
                <w:rFonts w:ascii="Arial" w:hAnsi="Arial" w:cs="Arial"/>
                <w:sz w:val="22"/>
              </w:rPr>
              <w:t xml:space="preserve">and </w:t>
            </w:r>
            <w:proofErr w:type="gramStart"/>
            <w:r w:rsidR="00A452F5">
              <w:rPr>
                <w:rFonts w:ascii="Arial" w:hAnsi="Arial" w:cs="Arial"/>
                <w:sz w:val="22"/>
              </w:rPr>
              <w:t xml:space="preserve">Solihull </w:t>
            </w:r>
            <w:r w:rsidR="007F6215">
              <w:rPr>
                <w:rFonts w:ascii="Arial" w:hAnsi="Arial" w:cs="Arial"/>
                <w:sz w:val="22"/>
              </w:rPr>
              <w:t xml:space="preserve"> CCG</w:t>
            </w:r>
            <w:proofErr w:type="gramEnd"/>
          </w:p>
          <w:p w:rsidR="00CF3446" w:rsidRPr="00272D9F" w:rsidRDefault="00CF3446" w:rsidP="00CF34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272D9F">
              <w:rPr>
                <w:rFonts w:ascii="Arial" w:hAnsi="Arial" w:cs="Arial"/>
                <w:sz w:val="22"/>
              </w:rPr>
              <w:t>Dudley CCG</w:t>
            </w:r>
          </w:p>
          <w:p w:rsidR="00CB1FF6" w:rsidRPr="0068567F" w:rsidRDefault="00CB1FF6" w:rsidP="005162B4">
            <w:pPr>
              <w:pStyle w:val="ListParagraph"/>
              <w:numPr>
                <w:ilvl w:val="2"/>
                <w:numId w:val="13"/>
              </w:numPr>
              <w:ind w:hanging="23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Activity will be accounted for directly with the responsible commissioner (CCG).</w:t>
            </w:r>
          </w:p>
          <w:p w:rsidR="009942D5" w:rsidRPr="00516E99" w:rsidRDefault="0068567F" w:rsidP="00516E99">
            <w:pPr>
              <w:pStyle w:val="ListParagraph"/>
              <w:numPr>
                <w:ilvl w:val="2"/>
                <w:numId w:val="13"/>
              </w:numPr>
              <w:ind w:hanging="236"/>
              <w:rPr>
                <w:rFonts w:ascii="Arial" w:hAnsi="Arial" w:cs="Arial"/>
              </w:rPr>
            </w:pPr>
            <w:r w:rsidRPr="009942D5">
              <w:rPr>
                <w:rFonts w:ascii="Arial" w:hAnsi="Arial" w:cs="Arial"/>
                <w:sz w:val="22"/>
              </w:rPr>
              <w:t>Department of Health Guidance ‘Establishing the Responsible Commissioner’ will apply. The CCG responsible for a patient’s healthcare provision is the CCG that the Patient’s GP is registered with.</w:t>
            </w:r>
          </w:p>
          <w:p w:rsidR="00A71858" w:rsidRPr="00516E99" w:rsidRDefault="00375D9E" w:rsidP="00516E99">
            <w:pPr>
              <w:pStyle w:val="ListParagraph"/>
              <w:numPr>
                <w:ilvl w:val="2"/>
                <w:numId w:val="13"/>
              </w:numPr>
              <w:ind w:hanging="236"/>
              <w:rPr>
                <w:rFonts w:ascii="Arial" w:hAnsi="Arial" w:cs="Arial"/>
                <w:color w:val="009966"/>
                <w:sz w:val="20"/>
              </w:rPr>
            </w:pPr>
            <w:r w:rsidRPr="009942D5">
              <w:rPr>
                <w:rFonts w:ascii="Arial" w:hAnsi="Arial" w:cs="Arial"/>
                <w:sz w:val="22"/>
              </w:rPr>
              <w:t>National guidance regarding</w:t>
            </w:r>
            <w:r w:rsidR="009942D5" w:rsidRPr="009942D5">
              <w:rPr>
                <w:rFonts w:ascii="Arial" w:hAnsi="Arial" w:cs="Arial"/>
                <w:sz w:val="22"/>
              </w:rPr>
              <w:t xml:space="preserve"> military and specialist urology service</w:t>
            </w:r>
            <w:r w:rsidR="009942D5">
              <w:rPr>
                <w:rFonts w:ascii="Arial" w:hAnsi="Arial" w:cs="Arial"/>
                <w:sz w:val="22"/>
              </w:rPr>
              <w:t xml:space="preserve">s are the </w:t>
            </w:r>
            <w:r w:rsidR="009942D5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responsibility of Specialised Commissioning Services in terms of </w:t>
            </w:r>
            <w:proofErr w:type="gramStart"/>
            <w:r w:rsidR="009942D5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funding, and</w:t>
            </w:r>
            <w:proofErr w:type="gramEnd"/>
            <w:r w:rsidR="009942D5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are excluded from this specification.</w:t>
            </w:r>
          </w:p>
          <w:p w:rsidR="009942D5" w:rsidRPr="00296DE0" w:rsidRDefault="009942D5" w:rsidP="0015079C">
            <w:pPr>
              <w:spacing w:after="0"/>
              <w:rPr>
                <w:rFonts w:ascii="Arial" w:hAnsi="Arial" w:cs="Arial"/>
                <w:color w:val="009966"/>
                <w:sz w:val="20"/>
              </w:rPr>
            </w:pPr>
          </w:p>
          <w:p w:rsidR="00CB1FF6" w:rsidRDefault="00E665B0" w:rsidP="0015079C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ab/>
            </w:r>
            <w:r w:rsidR="002C64D0" w:rsidRPr="00E665B0">
              <w:rPr>
                <w:rFonts w:ascii="Arial" w:hAnsi="Arial" w:cs="Arial"/>
                <w:b/>
                <w:color w:val="009966"/>
                <w:sz w:val="20"/>
              </w:rPr>
              <w:t>Any acceptance and exclusion criteria and thresholds</w:t>
            </w:r>
          </w:p>
          <w:p w:rsidR="00CB1FF6" w:rsidRDefault="00CB1FF6" w:rsidP="00CB1FF6">
            <w:pPr>
              <w:pStyle w:val="ListParagraph"/>
              <w:ind w:left="360"/>
              <w:rPr>
                <w:rFonts w:ascii="Arial" w:hAnsi="Arial" w:cs="Arial"/>
                <w:b/>
                <w:color w:val="009966"/>
                <w:sz w:val="20"/>
              </w:rPr>
            </w:pPr>
          </w:p>
          <w:p w:rsidR="00CB1FF6" w:rsidRPr="00CE1429" w:rsidRDefault="00CB1FF6" w:rsidP="005162B4">
            <w:pPr>
              <w:pStyle w:val="ListParagraph"/>
              <w:numPr>
                <w:ilvl w:val="2"/>
                <w:numId w:val="13"/>
              </w:numPr>
              <w:ind w:hanging="236"/>
              <w:rPr>
                <w:rFonts w:ascii="Arial" w:hAnsi="Arial" w:cs="Arial"/>
                <w:b/>
                <w:color w:val="009966"/>
                <w:sz w:val="20"/>
              </w:rPr>
            </w:pPr>
            <w:r w:rsidRPr="00CE1429">
              <w:rPr>
                <w:rFonts w:ascii="Arial" w:hAnsi="Arial" w:cs="Arial"/>
                <w:b/>
                <w:color w:val="009966"/>
                <w:sz w:val="20"/>
              </w:rPr>
              <w:t>Referral Route</w:t>
            </w:r>
          </w:p>
          <w:p w:rsidR="00CB1FF6" w:rsidRDefault="00CB1FF6" w:rsidP="00CB1FF6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282828"/>
                <w:szCs w:val="22"/>
                <w:lang w:eastAsia="en-US"/>
              </w:rPr>
            </w:pPr>
          </w:p>
          <w:p w:rsidR="00CB1FF6" w:rsidRPr="00516E99" w:rsidRDefault="000E3CA9" w:rsidP="00516E99">
            <w:pPr>
              <w:autoSpaceDE w:val="0"/>
              <w:autoSpaceDN w:val="0"/>
              <w:adjustRightInd w:val="0"/>
              <w:ind w:left="768" w:hanging="709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   </w:t>
            </w:r>
            <w:r w:rsidR="00D6263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The Provider </w:t>
            </w:r>
            <w:r w:rsidR="009942D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 w:rsidR="00D6263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produce and make available to referring stakeholders</w:t>
            </w:r>
            <w:r w:rsidR="001D2DE7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</w:t>
            </w:r>
            <w:r w:rsidR="00D6263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</w:t>
            </w:r>
            <w:r w:rsidR="00D6263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comprehensive referral form enabling </w:t>
            </w:r>
            <w:r w:rsidR="001D2DE7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assessment of eligibility for treatment and prompt progression to consultation in line with the waiting times specified.</w:t>
            </w:r>
            <w:r w:rsidR="005162B4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</w:t>
            </w:r>
            <w:r w:rsidR="00CB1FF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Referral to the Secondary Fertility Service will be by GP.</w:t>
            </w:r>
            <w:r w:rsidR="009942D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For Dudley GPs shall arrange a referral to the Individual Funding Request (IFR) team for prior approval for acceptance against the eligibility criteria.</w:t>
            </w:r>
          </w:p>
          <w:p w:rsidR="00CB1FF6" w:rsidRPr="00516E99" w:rsidRDefault="000E3CA9" w:rsidP="00516E99">
            <w:pPr>
              <w:autoSpaceDE w:val="0"/>
              <w:autoSpaceDN w:val="0"/>
              <w:adjustRightInd w:val="0"/>
              <w:ind w:left="768" w:hanging="62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   </w:t>
            </w:r>
            <w:r w:rsidR="00CB1FF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Referral to the Specialist Assisted Conception Service will be by </w:t>
            </w:r>
            <w:proofErr w:type="spellStart"/>
            <w:r w:rsidR="00B06CBC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Obstetric</w:t>
            </w:r>
            <w:proofErr w:type="spellEnd"/>
            <w:r w:rsidR="00B06CBC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/</w:t>
            </w:r>
            <w:r w:rsidR="00586538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="00B06CBC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Gynaecology</w:t>
            </w:r>
            <w:proofErr w:type="spellEnd"/>
            <w:r w:rsidR="00B06CBC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Consultant</w:t>
            </w:r>
            <w:r w:rsidR="00CB1FF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</w:p>
          <w:p w:rsidR="00CB1FF6" w:rsidRPr="00CE1429" w:rsidRDefault="000E3CA9" w:rsidP="00A71858">
            <w:pPr>
              <w:pStyle w:val="ListParagraph"/>
              <w:numPr>
                <w:ilvl w:val="2"/>
                <w:numId w:val="13"/>
              </w:numPr>
              <w:ind w:hanging="236"/>
              <w:rPr>
                <w:rFonts w:ascii="Arial" w:hAnsi="Arial" w:cs="Arial"/>
                <w:b/>
                <w:color w:val="009966"/>
                <w:sz w:val="20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 xml:space="preserve"> </w:t>
            </w:r>
            <w:r w:rsidR="00CB1FF6" w:rsidRPr="00CE1429">
              <w:rPr>
                <w:rFonts w:ascii="Arial" w:hAnsi="Arial" w:cs="Arial"/>
                <w:b/>
                <w:color w:val="009966"/>
                <w:sz w:val="20"/>
              </w:rPr>
              <w:t>Acceptance</w:t>
            </w:r>
          </w:p>
          <w:p w:rsidR="00CB1FF6" w:rsidRDefault="00CB1FF6" w:rsidP="00CB1FF6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282828"/>
                <w:szCs w:val="22"/>
                <w:lang w:eastAsia="en-US"/>
              </w:rPr>
            </w:pPr>
          </w:p>
          <w:p w:rsidR="00CB1FF6" w:rsidRPr="00CB1FF6" w:rsidRDefault="00CB1FF6" w:rsidP="00516E99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CB1FF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 will be accepted by the Secondary Fertility Se</w:t>
            </w:r>
            <w:r w:rsidR="00D1717D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rvice where sub/ infertility is</w:t>
            </w:r>
            <w:r w:rsidRPr="00CB1FF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suspected.</w:t>
            </w:r>
          </w:p>
          <w:p w:rsidR="00CB1FF6" w:rsidRDefault="00CB1FF6" w:rsidP="00516E99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 w:rsidRPr="00CB1FF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Patients will be accepted by the Specialist Assisted Conception Service where the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</w:t>
            </w:r>
            <w:r w:rsidRPr="00CB1FF6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is assessed and deemed eligible agai</w:t>
            </w:r>
            <w:r w:rsidR="0069604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nst local commissioning policies</w:t>
            </w:r>
            <w:r w:rsidR="009125BE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or a prior approval process</w:t>
            </w:r>
            <w:r w:rsidR="00696045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</w:p>
          <w:p w:rsidR="00E27B82" w:rsidRPr="00CB1FF6" w:rsidRDefault="00E27B82" w:rsidP="00516E99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</w:p>
          <w:p w:rsidR="00CB1FF6" w:rsidRPr="00CE1429" w:rsidRDefault="00CB1FF6" w:rsidP="000E3CA9">
            <w:pPr>
              <w:pStyle w:val="ListParagraph"/>
              <w:numPr>
                <w:ilvl w:val="2"/>
                <w:numId w:val="13"/>
              </w:numPr>
              <w:ind w:hanging="236"/>
              <w:rPr>
                <w:rFonts w:ascii="Arial" w:hAnsi="Arial" w:cs="Arial"/>
                <w:b/>
                <w:color w:val="009966"/>
                <w:sz w:val="20"/>
              </w:rPr>
            </w:pPr>
            <w:r w:rsidRPr="00CE1429">
              <w:rPr>
                <w:rFonts w:ascii="Arial" w:hAnsi="Arial" w:cs="Arial"/>
                <w:b/>
                <w:color w:val="009966"/>
                <w:sz w:val="20"/>
              </w:rPr>
              <w:t>Exclusions</w:t>
            </w:r>
          </w:p>
          <w:p w:rsidR="00CB1FF6" w:rsidRDefault="00CB1FF6" w:rsidP="00CB1FF6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282828"/>
                <w:szCs w:val="22"/>
                <w:lang w:eastAsia="en-US"/>
              </w:rPr>
            </w:pPr>
          </w:p>
          <w:p w:rsidR="00CB1FF6" w:rsidRDefault="000E3CA9" w:rsidP="00516E99">
            <w:pPr>
              <w:autoSpaceDE w:val="0"/>
              <w:autoSpaceDN w:val="0"/>
              <w:adjustRightInd w:val="0"/>
              <w:ind w:left="768" w:hanging="709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lastRenderedPageBreak/>
              <w:t xml:space="preserve">           </w:t>
            </w:r>
            <w:r w:rsidR="00B863B2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="00CB1FF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will be excluded by the Specialist Assisted Conception Service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    </w:t>
            </w:r>
            <w:r w:rsidR="00CB1FF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where the eligibility criteria agreed within </w:t>
            </w:r>
            <w:r w:rsidR="009942D5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CCGs </w:t>
            </w:r>
            <w:r w:rsidR="00CB1FF6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local commissioning policy is not met. </w:t>
            </w:r>
          </w:p>
          <w:p w:rsidR="000E3CA9" w:rsidRDefault="000E3CA9" w:rsidP="00516E99">
            <w:pPr>
              <w:autoSpaceDE w:val="0"/>
              <w:autoSpaceDN w:val="0"/>
              <w:adjustRightInd w:val="0"/>
              <w:spacing w:after="0"/>
              <w:ind w:hanging="83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      </w:t>
            </w:r>
            <w:r w:rsidR="00B863B2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 w:rsidR="007B26CD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will be excluded by the Specialist Assisted Conception Service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      </w:t>
            </w:r>
          </w:p>
          <w:p w:rsidR="000E3CA9" w:rsidRDefault="000E3CA9" w:rsidP="00516E99">
            <w:pPr>
              <w:autoSpaceDE w:val="0"/>
              <w:autoSpaceDN w:val="0"/>
              <w:adjustRightInd w:val="0"/>
              <w:spacing w:after="0"/>
              <w:ind w:left="-83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      </w:t>
            </w:r>
            <w:r w:rsidR="007B26CD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where they are not the responsibility of the CCGs within this</w:t>
            </w:r>
            <w:r w:rsidR="00D1717D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specification; </w:t>
            </w:r>
          </w:p>
          <w:p w:rsidR="007B26CD" w:rsidRPr="00516E99" w:rsidRDefault="000E3CA9" w:rsidP="00516E99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            </w:t>
            </w:r>
            <w:r w:rsidR="00D1717D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</w:t>
            </w:r>
            <w:r w:rsidR="00A71858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  <w:r w:rsidR="00D1717D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e</w:t>
            </w:r>
            <w:r w:rsidR="00A71858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.</w:t>
            </w:r>
            <w:r w:rsidR="00D1717D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their</w:t>
            </w:r>
            <w:r w:rsidR="007B26CD"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GP is not registered with a CCG detailed within this specification. </w:t>
            </w:r>
          </w:p>
          <w:p w:rsidR="002C64D0" w:rsidRPr="00296DE0" w:rsidRDefault="002C64D0" w:rsidP="0015079C">
            <w:pPr>
              <w:spacing w:after="0"/>
              <w:rPr>
                <w:rFonts w:ascii="Arial" w:hAnsi="Arial" w:cs="Arial"/>
                <w:color w:val="009966"/>
                <w:sz w:val="20"/>
              </w:rPr>
            </w:pPr>
          </w:p>
          <w:p w:rsidR="002C64D0" w:rsidRPr="00E665B0" w:rsidRDefault="002C64D0" w:rsidP="0069762D">
            <w:pPr>
              <w:pStyle w:val="ListParagraph"/>
              <w:numPr>
                <w:ilvl w:val="1"/>
                <w:numId w:val="13"/>
              </w:numPr>
              <w:ind w:left="743" w:hanging="743"/>
              <w:rPr>
                <w:rFonts w:ascii="Arial" w:hAnsi="Arial" w:cs="Arial"/>
                <w:b/>
                <w:color w:val="009966"/>
                <w:sz w:val="20"/>
              </w:rPr>
            </w:pPr>
            <w:r w:rsidRPr="00E665B0">
              <w:rPr>
                <w:rFonts w:ascii="Arial" w:hAnsi="Arial" w:cs="Arial"/>
                <w:b/>
                <w:color w:val="009966"/>
                <w:sz w:val="20"/>
              </w:rPr>
              <w:t>Interdependence with other services/providers</w:t>
            </w:r>
          </w:p>
          <w:p w:rsidR="002C64D0" w:rsidRDefault="002C64D0" w:rsidP="0015079C">
            <w:pPr>
              <w:spacing w:after="0"/>
              <w:rPr>
                <w:rFonts w:ascii="Arial" w:hAnsi="Arial" w:cs="Arial"/>
                <w:color w:val="009966"/>
                <w:sz w:val="20"/>
              </w:rPr>
            </w:pPr>
          </w:p>
          <w:p w:rsidR="00297CB0" w:rsidRPr="00297CB0" w:rsidRDefault="00297CB0" w:rsidP="000E3CA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Primary Care General Practitioners</w:t>
            </w:r>
          </w:p>
          <w:p w:rsidR="00297CB0" w:rsidRPr="00297CB0" w:rsidRDefault="00297CB0" w:rsidP="000E3CA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Healthy Lifestyles Programmes; including weight management, smoking cessation, etc.</w:t>
            </w:r>
          </w:p>
          <w:p w:rsidR="00297CB0" w:rsidRPr="00297CB0" w:rsidRDefault="00297CB0" w:rsidP="000E3CA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Secondary Fertility Services</w:t>
            </w:r>
          </w:p>
          <w:p w:rsidR="002C64D0" w:rsidRPr="00296DE0" w:rsidRDefault="002C64D0" w:rsidP="001507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C64D0" w:rsidRPr="00296DE0" w:rsidTr="0015079C">
        <w:tc>
          <w:tcPr>
            <w:tcW w:w="8414" w:type="dxa"/>
            <w:shd w:val="clear" w:color="auto" w:fill="595959"/>
          </w:tcPr>
          <w:p w:rsidR="002C64D0" w:rsidRPr="0084766F" w:rsidRDefault="00E665B0" w:rsidP="00E665B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color w:val="F79646"/>
              </w:rPr>
            </w:pPr>
            <w:r>
              <w:rPr>
                <w:rFonts w:ascii="Arial" w:hAnsi="Arial" w:cs="Arial"/>
                <w:b/>
                <w:color w:val="F79646"/>
              </w:rPr>
              <w:lastRenderedPageBreak/>
              <w:tab/>
            </w:r>
            <w:r w:rsidR="002C64D0" w:rsidRPr="0084766F">
              <w:rPr>
                <w:rFonts w:ascii="Arial" w:hAnsi="Arial" w:cs="Arial"/>
                <w:b/>
                <w:color w:val="F79646"/>
              </w:rPr>
              <w:t>Applicable Service Standards</w:t>
            </w:r>
          </w:p>
        </w:tc>
      </w:tr>
      <w:tr w:rsidR="002C64D0" w:rsidRPr="00296DE0" w:rsidTr="0015079C">
        <w:tc>
          <w:tcPr>
            <w:tcW w:w="8414" w:type="dxa"/>
            <w:shd w:val="clear" w:color="auto" w:fill="auto"/>
          </w:tcPr>
          <w:p w:rsidR="002C64D0" w:rsidRPr="00296DE0" w:rsidRDefault="002C64D0" w:rsidP="0015079C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C64D0" w:rsidRPr="00E665B0" w:rsidRDefault="00E665B0" w:rsidP="00E665B0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ab/>
            </w:r>
            <w:r w:rsidR="002C64D0" w:rsidRPr="00E665B0">
              <w:rPr>
                <w:rFonts w:ascii="Arial" w:hAnsi="Arial" w:cs="Arial"/>
                <w:b/>
                <w:color w:val="009966"/>
                <w:sz w:val="20"/>
              </w:rPr>
              <w:t xml:space="preserve">Applicable </w:t>
            </w:r>
            <w:r w:rsidR="00123D5E">
              <w:rPr>
                <w:rFonts w:ascii="Arial" w:hAnsi="Arial" w:cs="Arial"/>
                <w:b/>
                <w:color w:val="009966"/>
                <w:sz w:val="20"/>
              </w:rPr>
              <w:t>standards</w:t>
            </w:r>
          </w:p>
          <w:p w:rsidR="002C64D0" w:rsidRDefault="002C64D0" w:rsidP="0015079C">
            <w:pPr>
              <w:spacing w:after="0"/>
              <w:rPr>
                <w:rFonts w:ascii="Arial" w:hAnsi="Arial" w:cs="Arial"/>
                <w:color w:val="009966"/>
                <w:sz w:val="20"/>
              </w:rPr>
            </w:pPr>
          </w:p>
          <w:p w:rsidR="00297CB0" w:rsidRDefault="00297CB0" w:rsidP="000E3CA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NICE </w:t>
            </w:r>
            <w:r w:rsidR="00AF4E0B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Clinical </w:t>
            </w: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Guideline 156 ‘Assessment and treatment for people with fertility problems’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, </w:t>
            </w:r>
            <w:r w:rsidRPr="00297CB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published February 2013</w:t>
            </w:r>
            <w:r w:rsidR="00AF4E0B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last updated September 2017</w:t>
            </w:r>
          </w:p>
          <w:p w:rsidR="00176874" w:rsidRDefault="00176874" w:rsidP="000E3CA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H</w:t>
            </w:r>
            <w:r w:rsidR="00AF4E0B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uman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F</w:t>
            </w:r>
            <w:r w:rsidR="00AF4E0B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ertilisation &amp; Embryology Authority</w:t>
            </w:r>
            <w:r w:rsidR="00DD2B63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Code of Practice; </w:t>
            </w:r>
            <w:hyperlink r:id="rId8" w:history="1">
              <w:r w:rsidRPr="00A6628C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eastAsia="en-US"/>
                </w:rPr>
                <w:t>http://www.hfea.gov.uk/code.html</w:t>
              </w:r>
            </w:hyperlink>
          </w:p>
          <w:p w:rsidR="00297CB0" w:rsidRPr="0068567F" w:rsidRDefault="00297CB0" w:rsidP="000E3CA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HFEA Regulations</w:t>
            </w:r>
            <w:r w:rsid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; </w:t>
            </w:r>
            <w:r w:rsidR="00AF4E0B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Commissioning guidance for fertility treatment; 2019, </w:t>
            </w:r>
            <w:r w:rsid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including strategies to reduce the number of multiple births follow</w:t>
            </w:r>
            <w:r w:rsidR="003628C4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ing assisted conception</w:t>
            </w:r>
            <w:r w:rsidR="00B10EE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.  </w:t>
            </w:r>
          </w:p>
          <w:p w:rsidR="0068567F" w:rsidRPr="00516E99" w:rsidRDefault="0068567F" w:rsidP="000E3CA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Department of Health Guidance ‘Establishing the Responsible Commissioner’.</w:t>
            </w:r>
          </w:p>
          <w:p w:rsidR="00867749" w:rsidRPr="00516E99" w:rsidRDefault="0086774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</w:pPr>
            <w:r w:rsidRPr="00516E99">
              <w:rPr>
                <w:rFonts w:ascii="Arial" w:hAnsi="Arial"/>
                <w:sz w:val="22"/>
                <w:szCs w:val="22"/>
              </w:rPr>
              <w:t>NHS guidance, including self-funding. https://www.nhs.uk/conditions/ivf/availability</w:t>
            </w:r>
          </w:p>
          <w:p w:rsidR="002C64D0" w:rsidRPr="00516E99" w:rsidRDefault="002C64D0" w:rsidP="0015079C">
            <w:pPr>
              <w:spacing w:after="0"/>
              <w:rPr>
                <w:rFonts w:ascii="Arial" w:hAnsi="Arial" w:cs="Arial"/>
                <w:color w:val="009966"/>
                <w:sz w:val="22"/>
                <w:szCs w:val="22"/>
              </w:rPr>
            </w:pPr>
          </w:p>
          <w:p w:rsidR="002C64D0" w:rsidRPr="00E665B0" w:rsidRDefault="00E665B0" w:rsidP="00E665B0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color w:val="009966"/>
                <w:sz w:val="20"/>
              </w:rPr>
            </w:pPr>
            <w:r>
              <w:rPr>
                <w:rFonts w:ascii="Arial" w:hAnsi="Arial" w:cs="Arial"/>
                <w:b/>
                <w:color w:val="009966"/>
                <w:sz w:val="20"/>
              </w:rPr>
              <w:tab/>
            </w:r>
            <w:r w:rsidR="002C64D0" w:rsidRPr="00E665B0">
              <w:rPr>
                <w:rFonts w:ascii="Arial" w:hAnsi="Arial" w:cs="Arial"/>
                <w:b/>
                <w:color w:val="009966"/>
                <w:sz w:val="20"/>
              </w:rPr>
              <w:t>Applicable local standards</w:t>
            </w:r>
          </w:p>
          <w:p w:rsidR="002C64D0" w:rsidRDefault="002C64D0" w:rsidP="0015079C">
            <w:pPr>
              <w:spacing w:after="0"/>
              <w:rPr>
                <w:rFonts w:ascii="Arial" w:hAnsi="Arial" w:cs="Arial"/>
                <w:color w:val="00B050"/>
                <w:sz w:val="20"/>
              </w:rPr>
            </w:pPr>
          </w:p>
          <w:p w:rsidR="00297CB0" w:rsidRPr="00516E99" w:rsidRDefault="00297CB0" w:rsidP="000E3CA9">
            <w:pPr>
              <w:pStyle w:val="ListParagraph"/>
              <w:numPr>
                <w:ilvl w:val="2"/>
                <w:numId w:val="13"/>
              </w:numPr>
              <w:autoSpaceDE w:val="0"/>
              <w:autoSpaceDN w:val="0"/>
              <w:adjustRightInd w:val="0"/>
              <w:ind w:hanging="236"/>
              <w:rPr>
                <w:rFonts w:ascii="Arial" w:eastAsiaTheme="minorHAnsi" w:hAnsi="Arial" w:cs="Arial"/>
                <w:color w:val="282828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Local Commissioning Policy; dependent upon the number of Commissioners collaborating on this contract there maybe more than one policy in operation. The Provider </w:t>
            </w:r>
            <w:r w:rsidR="008E2AD0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shall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assess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Patients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against the eligibility criteria set out in the appropriate policy for the </w:t>
            </w:r>
            <w:r w:rsidR="00B863B2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Patient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’s responsible commissioner. </w:t>
            </w:r>
          </w:p>
          <w:p w:rsidR="002C64D0" w:rsidRDefault="009363B7" w:rsidP="00516E99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16E99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In the event of prior approval</w:t>
            </w:r>
            <w:r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>, the Provider will receive a letter of approval.  However, if it becomes apparent the information provided is incorrect, or circumstances have changed, the Provider will contact the relevant CCG</w:t>
            </w:r>
            <w:r w:rsidR="00CE3A3D">
              <w:rPr>
                <w:rFonts w:ascii="Arial" w:eastAsiaTheme="minorHAnsi" w:hAnsi="Arial" w:cs="Arial"/>
                <w:color w:val="282828"/>
                <w:sz w:val="22"/>
                <w:szCs w:val="22"/>
                <w:lang w:eastAsia="en-US"/>
              </w:rPr>
              <w:t xml:space="preserve"> to ensure funding is withdrawn.</w:t>
            </w:r>
          </w:p>
          <w:p w:rsidR="00AB0BA8" w:rsidRPr="00296DE0" w:rsidRDefault="00AB0BA8" w:rsidP="001507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C64D0" w:rsidRPr="00296DE0" w:rsidTr="0015079C">
        <w:tc>
          <w:tcPr>
            <w:tcW w:w="8414" w:type="dxa"/>
            <w:shd w:val="clear" w:color="auto" w:fill="595959"/>
          </w:tcPr>
          <w:p w:rsidR="002C64D0" w:rsidRPr="0084766F" w:rsidRDefault="00BE4FF0" w:rsidP="00E665B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color w:val="F79646"/>
              </w:rPr>
            </w:pPr>
            <w:r>
              <w:br w:type="page"/>
            </w:r>
            <w:r w:rsidR="00E665B0">
              <w:rPr>
                <w:rFonts w:ascii="Arial" w:hAnsi="Arial" w:cs="Arial"/>
                <w:b/>
                <w:color w:val="F79646"/>
              </w:rPr>
              <w:tab/>
            </w:r>
            <w:r w:rsidR="002C64D0" w:rsidRPr="0084766F">
              <w:rPr>
                <w:rFonts w:ascii="Arial" w:hAnsi="Arial" w:cs="Arial"/>
                <w:b/>
                <w:color w:val="F79646"/>
              </w:rPr>
              <w:t>Applicable quality requirements and CQUIN goals</w:t>
            </w:r>
          </w:p>
        </w:tc>
      </w:tr>
      <w:tr w:rsidR="002C64D0" w:rsidRPr="00296DE0" w:rsidTr="0015079C">
        <w:tc>
          <w:tcPr>
            <w:tcW w:w="8414" w:type="dxa"/>
            <w:shd w:val="clear" w:color="auto" w:fill="auto"/>
          </w:tcPr>
          <w:p w:rsidR="002C64D0" w:rsidRPr="000E3CA9" w:rsidRDefault="002C64D0" w:rsidP="0015079C">
            <w:pPr>
              <w:spacing w:after="0"/>
              <w:rPr>
                <w:rFonts w:ascii="Arial" w:hAnsi="Arial" w:cs="Arial"/>
                <w:color w:val="009966"/>
                <w:sz w:val="20"/>
              </w:rPr>
            </w:pPr>
          </w:p>
          <w:p w:rsidR="00BE4FF0" w:rsidRPr="00426B87" w:rsidRDefault="002C64D0" w:rsidP="00BE4FF0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743" w:hanging="709"/>
              <w:rPr>
                <w:rFonts w:ascii="Arial" w:eastAsiaTheme="minorHAnsi" w:hAnsi="Arial" w:cs="Arial"/>
                <w:i/>
                <w:color w:val="282828"/>
                <w:sz w:val="22"/>
                <w:szCs w:val="22"/>
                <w:lang w:eastAsia="en-US"/>
              </w:rPr>
            </w:pPr>
            <w:r w:rsidRPr="00516E99">
              <w:rPr>
                <w:rFonts w:ascii="Arial" w:hAnsi="Arial" w:cs="Arial"/>
                <w:b/>
                <w:color w:val="00B050"/>
                <w:sz w:val="20"/>
                <w:szCs w:val="20"/>
              </w:rPr>
              <w:t>Applicable quality requirements (</w:t>
            </w:r>
            <w:r w:rsidR="00B10EE0" w:rsidRPr="00516E99">
              <w:rPr>
                <w:rFonts w:ascii="Arial" w:hAnsi="Arial" w:cs="Arial"/>
                <w:b/>
                <w:color w:val="00B050"/>
                <w:sz w:val="20"/>
                <w:szCs w:val="20"/>
              </w:rPr>
              <w:t>To be inserted into Contract</w:t>
            </w:r>
            <w:r w:rsidRPr="00516E99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Schedule 4</w:t>
            </w:r>
            <w:r w:rsidRPr="00426B87">
              <w:rPr>
                <w:rFonts w:ascii="Arial" w:hAnsi="Arial" w:cs="Arial"/>
                <w:b/>
                <w:color w:val="00B050"/>
                <w:sz w:val="20"/>
              </w:rPr>
              <w:t xml:space="preserve"> Parts A-D)</w:t>
            </w:r>
          </w:p>
          <w:p w:rsidR="00426B87" w:rsidRPr="00426B87" w:rsidRDefault="00426B87" w:rsidP="00426B87">
            <w:pPr>
              <w:pStyle w:val="ListParagraph"/>
              <w:autoSpaceDE w:val="0"/>
              <w:autoSpaceDN w:val="0"/>
              <w:adjustRightInd w:val="0"/>
              <w:ind w:left="743"/>
              <w:rPr>
                <w:rFonts w:ascii="Arial" w:eastAsiaTheme="minorHAnsi" w:hAnsi="Arial" w:cs="Arial"/>
                <w:i/>
                <w:color w:val="282828"/>
                <w:sz w:val="22"/>
                <w:szCs w:val="22"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9"/>
              <w:gridCol w:w="2551"/>
              <w:gridCol w:w="1229"/>
              <w:gridCol w:w="1890"/>
            </w:tblGrid>
            <w:tr w:rsidR="00463286" w:rsidTr="007C548C">
              <w:tc>
                <w:tcPr>
                  <w:tcW w:w="2439" w:type="dxa"/>
                  <w:tcBorders>
                    <w:bottom w:val="single" w:sz="4" w:space="0" w:color="auto"/>
                  </w:tcBorders>
                </w:tcPr>
                <w:p w:rsidR="00463286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lang w:eastAsia="en-GB"/>
                    </w:rPr>
                    <w:t>Quality measure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463286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lang w:eastAsia="en-GB"/>
                    </w:rPr>
                    <w:t>Indicator</w:t>
                  </w:r>
                </w:p>
              </w:tc>
              <w:tc>
                <w:tcPr>
                  <w:tcW w:w="1229" w:type="dxa"/>
                  <w:tcBorders>
                    <w:bottom w:val="single" w:sz="4" w:space="0" w:color="auto"/>
                  </w:tcBorders>
                </w:tcPr>
                <w:p w:rsidR="00463286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lang w:eastAsia="en-GB"/>
                    </w:rPr>
                    <w:t>Threshold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:rsidR="00463286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lang w:eastAsia="en-GB"/>
                    </w:rPr>
                    <w:t>Consequence</w:t>
                  </w:r>
                </w:p>
              </w:tc>
            </w:tr>
            <w:tr w:rsidR="00463286" w:rsidRPr="00700BE4" w:rsidTr="007C548C">
              <w:tc>
                <w:tcPr>
                  <w:tcW w:w="2439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463286" w:rsidRPr="00700BE4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  <w:t>Quality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463286" w:rsidRPr="00700BE4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  <w:tc>
                <w:tcPr>
                  <w:tcW w:w="1229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463286" w:rsidRPr="00700BE4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463286" w:rsidRPr="00700BE4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</w:tr>
            <w:tr w:rsidR="00463286" w:rsidTr="007C548C">
              <w:tc>
                <w:tcPr>
                  <w:tcW w:w="2439" w:type="dxa"/>
                  <w:shd w:val="clear" w:color="auto" w:fill="D9D9D9" w:themeFill="background1" w:themeFillShade="D9"/>
                </w:tcPr>
                <w:p w:rsidR="00463286" w:rsidRPr="00463286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i/>
                      <w:sz w:val="20"/>
                      <w:lang w:eastAsia="en-GB"/>
                    </w:rPr>
                  </w:pPr>
                  <w:r w:rsidRPr="00463286">
                    <w:rPr>
                      <w:rFonts w:ascii="Arial" w:eastAsia="Times New Roman" w:hAnsi="Arial" w:cs="Arial"/>
                      <w:i/>
                      <w:sz w:val="20"/>
                      <w:lang w:eastAsia="en-GB"/>
                    </w:rPr>
                    <w:t>Fertility Service: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:rsidR="00463286" w:rsidRPr="00CB6AC2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1229" w:type="dxa"/>
                  <w:shd w:val="clear" w:color="auto" w:fill="D9D9D9" w:themeFill="background1" w:themeFillShade="D9"/>
                </w:tcPr>
                <w:p w:rsidR="00463286" w:rsidRPr="00CB6AC2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</w:tcPr>
                <w:p w:rsidR="00463286" w:rsidRPr="00CB6AC2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</w:tr>
            <w:tr w:rsidR="003412DA" w:rsidTr="007C548C">
              <w:tc>
                <w:tcPr>
                  <w:tcW w:w="2439" w:type="dxa"/>
                </w:tcPr>
                <w:p w:rsidR="003412DA" w:rsidRDefault="003412DA" w:rsidP="00BE4FF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Fertility </w:t>
                  </w:r>
                  <w:r w:rsidR="00BE4FF0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status identified</w:t>
                  </w:r>
                </w:p>
              </w:tc>
              <w:tc>
                <w:tcPr>
                  <w:tcW w:w="2551" w:type="dxa"/>
                </w:tcPr>
                <w:p w:rsidR="003412DA" w:rsidRPr="00CB6AC2" w:rsidRDefault="007C548C" w:rsidP="007C548C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All patients referred for fertility concerns are investigated fully and</w:t>
                  </w:r>
                  <w:r w:rsidRPr="007C548C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 sub/ infertility</w:t>
                  </w: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, and cause,</w:t>
                  </w:r>
                  <w:r w:rsidRPr="007C548C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is identified</w:t>
                  </w:r>
                  <w:r w:rsidRPr="007C548C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.</w:t>
                  </w:r>
                </w:p>
              </w:tc>
              <w:tc>
                <w:tcPr>
                  <w:tcW w:w="1229" w:type="dxa"/>
                </w:tcPr>
                <w:p w:rsidR="003412DA" w:rsidRPr="00CB6AC2" w:rsidRDefault="00BE4FF0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100%</w:t>
                  </w:r>
                </w:p>
              </w:tc>
              <w:tc>
                <w:tcPr>
                  <w:tcW w:w="1890" w:type="dxa"/>
                </w:tcPr>
                <w:p w:rsidR="003412DA" w:rsidRPr="00CB6AC2" w:rsidRDefault="007C548C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463286" w:rsidTr="007C548C">
              <w:tc>
                <w:tcPr>
                  <w:tcW w:w="2439" w:type="dxa"/>
                </w:tcPr>
                <w:p w:rsidR="00463286" w:rsidRDefault="00463286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lastRenderedPageBreak/>
                    <w:t>Fertility restored</w:t>
                  </w:r>
                </w:p>
              </w:tc>
              <w:tc>
                <w:tcPr>
                  <w:tcW w:w="2551" w:type="dxa"/>
                </w:tcPr>
                <w:p w:rsidR="00463286" w:rsidRPr="00CB6AC2" w:rsidRDefault="007C548C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Where clinically possible, sub/ infertility is reversed and fertility restored. </w:t>
                  </w:r>
                </w:p>
              </w:tc>
              <w:tc>
                <w:tcPr>
                  <w:tcW w:w="1229" w:type="dxa"/>
                </w:tcPr>
                <w:p w:rsidR="00463286" w:rsidRPr="00CB6AC2" w:rsidRDefault="00BE4FF0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TBC</w:t>
                  </w:r>
                </w:p>
              </w:tc>
              <w:tc>
                <w:tcPr>
                  <w:tcW w:w="1890" w:type="dxa"/>
                </w:tcPr>
                <w:p w:rsidR="00463286" w:rsidRPr="00CB6AC2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  <w:tcBorders>
                    <w:bottom w:val="single" w:sz="4" w:space="0" w:color="auto"/>
                  </w:tcBorders>
                </w:tcPr>
                <w:p w:rsidR="0069762D" w:rsidRPr="00D04745" w:rsidRDefault="0069762D" w:rsidP="0069762D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6A6A4E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Healthcare Acquired Infection</w:t>
                  </w: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 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69762D" w:rsidRPr="00D04745" w:rsidRDefault="007C548C" w:rsidP="0069762D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Proportion of women contracting infections</w:t>
                  </w:r>
                </w:p>
              </w:tc>
              <w:tc>
                <w:tcPr>
                  <w:tcW w:w="1229" w:type="dxa"/>
                  <w:tcBorders>
                    <w:bottom w:val="single" w:sz="4" w:space="0" w:color="auto"/>
                  </w:tcBorders>
                </w:tcPr>
                <w:p w:rsidR="0069762D" w:rsidRPr="00D04745" w:rsidRDefault="0069762D" w:rsidP="0069762D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&lt;1%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:rsidR="0069762D" w:rsidRPr="00CB6AC2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  <w:shd w:val="clear" w:color="auto" w:fill="D9D9D9" w:themeFill="background1" w:themeFillShade="D9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i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i/>
                      <w:sz w:val="20"/>
                      <w:lang w:eastAsia="en-GB"/>
                    </w:rPr>
                    <w:t>Assisted Conception: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1229" w:type="dxa"/>
                  <w:shd w:val="clear" w:color="auto" w:fill="D9D9D9" w:themeFill="background1" w:themeFillShade="D9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</w:tcPr>
                <w:p w:rsidR="0069762D" w:rsidRPr="00922BFF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FF0000"/>
                      <w:sz w:val="20"/>
                      <w:lang w:eastAsia="en-GB"/>
                    </w:rPr>
                  </w:pP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Maximum waiting time for initial consultation</w:t>
                  </w:r>
                </w:p>
              </w:tc>
              <w:tc>
                <w:tcPr>
                  <w:tcW w:w="2551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4 weeks</w:t>
                  </w:r>
                  <w:r w:rsidR="007C548C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 from referral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100%</w:t>
                  </w:r>
                </w:p>
              </w:tc>
              <w:tc>
                <w:tcPr>
                  <w:tcW w:w="1890" w:type="dxa"/>
                </w:tcPr>
                <w:p w:rsidR="0069762D" w:rsidRPr="00922BFF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FF0000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Maximum waiting time for second </w:t>
                  </w:r>
                  <w:proofErr w:type="spellStart"/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consltation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4 weeks post initial consultation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100%</w:t>
                  </w:r>
                </w:p>
              </w:tc>
              <w:tc>
                <w:tcPr>
                  <w:tcW w:w="1890" w:type="dxa"/>
                </w:tcPr>
                <w:p w:rsidR="0069762D" w:rsidRPr="00922BFF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FF0000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Individual Management Plan agreed</w:t>
                  </w:r>
                </w:p>
              </w:tc>
              <w:tc>
                <w:tcPr>
                  <w:tcW w:w="2551" w:type="dxa"/>
                </w:tcPr>
                <w:p w:rsidR="0069762D" w:rsidRPr="00D04745" w:rsidRDefault="007C548C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All patients will have an agreed treatment and management plan. 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100%</w:t>
                  </w:r>
                </w:p>
              </w:tc>
              <w:tc>
                <w:tcPr>
                  <w:tcW w:w="1890" w:type="dxa"/>
                </w:tcPr>
                <w:p w:rsidR="0069762D" w:rsidRPr="00922BFF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FF0000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6A6A4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6A6A4E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Healthcare Acquired Infection</w:t>
                  </w: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 rate</w:t>
                  </w:r>
                </w:p>
              </w:tc>
              <w:tc>
                <w:tcPr>
                  <w:tcW w:w="2551" w:type="dxa"/>
                </w:tcPr>
                <w:p w:rsidR="0069762D" w:rsidRPr="00D04745" w:rsidRDefault="007C548C" w:rsidP="006A6A4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Proportion of women contracting infections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9762D" w:rsidP="006A6A4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&lt;1%</w:t>
                  </w:r>
                </w:p>
              </w:tc>
              <w:tc>
                <w:tcPr>
                  <w:tcW w:w="1890" w:type="dxa"/>
                </w:tcPr>
                <w:p w:rsidR="0069762D" w:rsidRPr="00922BFF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FF0000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rPr>
                <w:trHeight w:val="71"/>
              </w:trPr>
              <w:tc>
                <w:tcPr>
                  <w:tcW w:w="2439" w:type="dxa"/>
                </w:tcPr>
                <w:p w:rsidR="0069762D" w:rsidRPr="00D04745" w:rsidRDefault="0069762D" w:rsidP="00D96E5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Stimulation Rate</w:t>
                  </w:r>
                </w:p>
              </w:tc>
              <w:tc>
                <w:tcPr>
                  <w:tcW w:w="2551" w:type="dxa"/>
                </w:tcPr>
                <w:p w:rsidR="0069762D" w:rsidRPr="00D04745" w:rsidRDefault="00387DD1" w:rsidP="00387DD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Proportion of successful stimulation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259A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&gt;</w:t>
                  </w:r>
                  <w:r w:rsidR="0069762D"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95%</w:t>
                  </w:r>
                </w:p>
              </w:tc>
              <w:tc>
                <w:tcPr>
                  <w:tcW w:w="1890" w:type="dxa"/>
                </w:tcPr>
                <w:p w:rsidR="0069762D" w:rsidRPr="00922BFF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FF0000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D96E5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OHSS Rate</w:t>
                  </w:r>
                </w:p>
              </w:tc>
              <w:tc>
                <w:tcPr>
                  <w:tcW w:w="2551" w:type="dxa"/>
                </w:tcPr>
                <w:p w:rsidR="0069762D" w:rsidRPr="00D04745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Proportion of OHSS occurrence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&lt;1%</w:t>
                  </w:r>
                </w:p>
              </w:tc>
              <w:tc>
                <w:tcPr>
                  <w:tcW w:w="1890" w:type="dxa"/>
                </w:tcPr>
                <w:p w:rsidR="0069762D" w:rsidRPr="00922BFF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FF0000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D96E5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proofErr w:type="spellStart"/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Fertilisation</w:t>
                  </w:r>
                  <w:proofErr w:type="spellEnd"/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 Rate</w:t>
                  </w:r>
                </w:p>
              </w:tc>
              <w:tc>
                <w:tcPr>
                  <w:tcW w:w="2551" w:type="dxa"/>
                </w:tcPr>
                <w:p w:rsidR="0069762D" w:rsidRPr="00D04745" w:rsidRDefault="00387DD1" w:rsidP="00387DD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Proportion of successful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fertilisation</w:t>
                  </w:r>
                  <w:proofErr w:type="spellEnd"/>
                </w:p>
              </w:tc>
              <w:tc>
                <w:tcPr>
                  <w:tcW w:w="1229" w:type="dxa"/>
                </w:tcPr>
                <w:p w:rsidR="0069762D" w:rsidRPr="00D04745" w:rsidRDefault="006259A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&gt;</w:t>
                  </w:r>
                  <w:r w:rsidR="0069762D"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95%</w:t>
                  </w:r>
                </w:p>
              </w:tc>
              <w:tc>
                <w:tcPr>
                  <w:tcW w:w="1890" w:type="dxa"/>
                </w:tcPr>
                <w:p w:rsidR="0069762D" w:rsidRPr="00426B87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D96E5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Clinical pregnancy rate</w:t>
                  </w:r>
                </w:p>
              </w:tc>
              <w:tc>
                <w:tcPr>
                  <w:tcW w:w="2551" w:type="dxa"/>
                </w:tcPr>
                <w:p w:rsidR="0069762D" w:rsidRPr="00D04745" w:rsidRDefault="00387DD1" w:rsidP="00387DD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Proportion of successful clinical pregnancy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259A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&gt;</w:t>
                  </w:r>
                  <w:r w:rsidR="0069762D"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35%</w:t>
                  </w:r>
                </w:p>
              </w:tc>
              <w:tc>
                <w:tcPr>
                  <w:tcW w:w="1890" w:type="dxa"/>
                </w:tcPr>
                <w:p w:rsidR="0069762D" w:rsidRPr="00426B87" w:rsidRDefault="00426B87" w:rsidP="00426B87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426B87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Annual penalty of up to 1% of </w:t>
                  </w: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the </w:t>
                  </w:r>
                  <w:r w:rsidRPr="00426B87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 xml:space="preserve">total contract value. </w:t>
                  </w: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D96E5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Live birth rate</w:t>
                  </w:r>
                </w:p>
              </w:tc>
              <w:tc>
                <w:tcPr>
                  <w:tcW w:w="2551" w:type="dxa"/>
                </w:tcPr>
                <w:p w:rsidR="0069762D" w:rsidRPr="00D04745" w:rsidRDefault="00387DD1" w:rsidP="00387DD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Proportion of pregnant women resulting in a live birth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259A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&gt;</w:t>
                  </w:r>
                  <w:r w:rsidR="0069762D"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25%</w:t>
                  </w:r>
                </w:p>
              </w:tc>
              <w:tc>
                <w:tcPr>
                  <w:tcW w:w="1890" w:type="dxa"/>
                </w:tcPr>
                <w:p w:rsidR="006259AD" w:rsidRPr="00426B87" w:rsidRDefault="00426B87" w:rsidP="006259AD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D96E5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Singleton Pregnancy Rate</w:t>
                  </w:r>
                </w:p>
              </w:tc>
              <w:tc>
                <w:tcPr>
                  <w:tcW w:w="2551" w:type="dxa"/>
                </w:tcPr>
                <w:p w:rsidR="0069762D" w:rsidRPr="00D04745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Proportion of live births resulting in a single baby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259A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&gt;</w:t>
                  </w:r>
                  <w:r w:rsidR="0069762D"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80%</w:t>
                  </w:r>
                </w:p>
              </w:tc>
              <w:tc>
                <w:tcPr>
                  <w:tcW w:w="1890" w:type="dxa"/>
                </w:tcPr>
                <w:p w:rsidR="0069762D" w:rsidRPr="00922BFF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FF0000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Pr="00D04745" w:rsidRDefault="0069762D" w:rsidP="00D96E5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Unplanned transfers to acute providers</w:t>
                  </w:r>
                </w:p>
                <w:p w:rsidR="0069762D" w:rsidRPr="00D04745" w:rsidRDefault="0069762D" w:rsidP="00D96E51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2551" w:type="dxa"/>
                </w:tcPr>
                <w:p w:rsidR="0069762D" w:rsidRPr="00D04745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Proportion of unplanned transfers to acute providers.</w:t>
                  </w:r>
                </w:p>
              </w:tc>
              <w:tc>
                <w:tcPr>
                  <w:tcW w:w="1229" w:type="dxa"/>
                </w:tcPr>
                <w:p w:rsidR="0069762D" w:rsidRPr="00D04745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D04745"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&lt;5%</w:t>
                  </w:r>
                </w:p>
              </w:tc>
              <w:tc>
                <w:tcPr>
                  <w:tcW w:w="1890" w:type="dxa"/>
                </w:tcPr>
                <w:p w:rsidR="0069762D" w:rsidRPr="00922BFF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FF0000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RPr="00700BE4" w:rsidTr="007C548C">
              <w:tc>
                <w:tcPr>
                  <w:tcW w:w="2439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  <w:t>Service User Experience</w:t>
                  </w: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  <w:tc>
                <w:tcPr>
                  <w:tcW w:w="1229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  <w:tc>
                <w:tcPr>
                  <w:tcW w:w="1890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</w:tr>
            <w:tr w:rsidR="0069762D" w:rsidTr="007C548C">
              <w:tc>
                <w:tcPr>
                  <w:tcW w:w="2439" w:type="dxa"/>
                  <w:vAlign w:val="center"/>
                </w:tcPr>
                <w:p w:rsidR="0069762D" w:rsidRPr="003E7128" w:rsidRDefault="0069762D" w:rsidP="00B10EE0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3E7128">
                    <w:rPr>
                      <w:sz w:val="18"/>
                      <w:szCs w:val="18"/>
                    </w:rPr>
                    <w:t>Service User Experience</w:t>
                  </w:r>
                </w:p>
                <w:p w:rsidR="0069762D" w:rsidRPr="003E7128" w:rsidRDefault="0069762D" w:rsidP="00B10EE0">
                  <w:pPr>
                    <w:pStyle w:val="BodyText"/>
                    <w:numPr>
                      <w:ilvl w:val="0"/>
                      <w:numId w:val="22"/>
                    </w:numPr>
                    <w:rPr>
                      <w:bCs/>
                      <w:sz w:val="18"/>
                      <w:szCs w:val="18"/>
                    </w:rPr>
                  </w:pPr>
                  <w:r w:rsidRPr="003E7128">
                    <w:rPr>
                      <w:sz w:val="18"/>
                      <w:szCs w:val="18"/>
                    </w:rPr>
                    <w:t>Experience Improvement Plan</w:t>
                  </w:r>
                </w:p>
                <w:p w:rsidR="0069762D" w:rsidRPr="003E7128" w:rsidRDefault="0069762D" w:rsidP="00B10EE0">
                  <w:pPr>
                    <w:pStyle w:val="BodyText"/>
                    <w:numPr>
                      <w:ilvl w:val="0"/>
                      <w:numId w:val="22"/>
                    </w:numPr>
                    <w:rPr>
                      <w:bCs/>
                      <w:sz w:val="18"/>
                      <w:szCs w:val="18"/>
                    </w:rPr>
                  </w:pPr>
                  <w:r w:rsidRPr="003E7128">
                    <w:rPr>
                      <w:bCs/>
                      <w:sz w:val="18"/>
                      <w:szCs w:val="18"/>
                    </w:rPr>
                    <w:t>Reducing Inequalities</w:t>
                  </w:r>
                </w:p>
                <w:p w:rsidR="0069762D" w:rsidRPr="003E7128" w:rsidRDefault="0069762D" w:rsidP="00B10EE0">
                  <w:pPr>
                    <w:pStyle w:val="BodyText"/>
                    <w:numPr>
                      <w:ilvl w:val="0"/>
                      <w:numId w:val="22"/>
                    </w:numPr>
                    <w:rPr>
                      <w:bCs/>
                      <w:sz w:val="18"/>
                      <w:szCs w:val="18"/>
                    </w:rPr>
                  </w:pPr>
                  <w:r w:rsidRPr="003E7128">
                    <w:rPr>
                      <w:bCs/>
                      <w:sz w:val="18"/>
                      <w:szCs w:val="18"/>
                    </w:rPr>
                    <w:t>Reducing Barriers</w:t>
                  </w:r>
                </w:p>
                <w:p w:rsidR="0069762D" w:rsidRDefault="0069762D" w:rsidP="00B10EE0">
                  <w:pPr>
                    <w:pStyle w:val="BodyText"/>
                    <w:numPr>
                      <w:ilvl w:val="0"/>
                      <w:numId w:val="22"/>
                    </w:numPr>
                    <w:rPr>
                      <w:bCs/>
                      <w:sz w:val="18"/>
                      <w:szCs w:val="18"/>
                    </w:rPr>
                  </w:pPr>
                  <w:r w:rsidRPr="003E7128">
                    <w:rPr>
                      <w:bCs/>
                      <w:sz w:val="18"/>
                      <w:szCs w:val="18"/>
                    </w:rPr>
                    <w:t>Personalised Care Planning</w:t>
                  </w:r>
                </w:p>
                <w:p w:rsidR="0069762D" w:rsidRDefault="0069762D" w:rsidP="00B10EE0">
                  <w:pPr>
                    <w:pStyle w:val="BodyText"/>
                    <w:rPr>
                      <w:sz w:val="20"/>
                      <w:szCs w:val="20"/>
                      <w:lang w:eastAsia="en-GB"/>
                    </w:rPr>
                  </w:pPr>
                </w:p>
                <w:p w:rsidR="0069762D" w:rsidRDefault="0069762D" w:rsidP="00B10EE0">
                  <w:pPr>
                    <w:pStyle w:val="BodyTex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Survey and sample size to be agreed with Commissioner prior to distribution.</w:t>
                  </w:r>
                </w:p>
                <w:p w:rsidR="0069762D" w:rsidRPr="003E7128" w:rsidRDefault="0069762D" w:rsidP="00B10EE0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9762D" w:rsidRPr="003E7128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Six Monthly survey of service user experience to </w:t>
                  </w:r>
                  <w:r w:rsidRPr="003E7128"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include:</w:t>
                  </w:r>
                </w:p>
                <w:p w:rsidR="0069762D" w:rsidRPr="003E7128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 w:rsidRPr="003E7128"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>•</w:t>
                  </w:r>
                  <w:r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 xml:space="preserve"> 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accessibility/ proximity</w:t>
                  </w:r>
                </w:p>
                <w:p w:rsidR="0069762D" w:rsidRPr="003E7128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 w:rsidRPr="003E7128"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 xml:space="preserve">• 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information provision</w:t>
                  </w:r>
                </w:p>
                <w:p w:rsidR="0069762D" w:rsidRPr="003E7128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 w:rsidRPr="003E7128"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 xml:space="preserve">• 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professionalism of staff</w:t>
                  </w:r>
                </w:p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 w:rsidRPr="003E7128"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 xml:space="preserve">• </w:t>
                  </w:r>
                  <w:r w:rsidRPr="003E7128"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care and treatment </w:t>
                  </w:r>
                </w:p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 w:rsidRPr="003E7128"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 xml:space="preserve">• 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Timeliness of treatment</w:t>
                  </w:r>
                </w:p>
                <w:p w:rsidR="0069762D" w:rsidRPr="003E7128" w:rsidRDefault="0069762D" w:rsidP="00B10EE0">
                  <w:pPr>
                    <w:autoSpaceDE w:val="0"/>
                    <w:autoSpaceDN w:val="0"/>
                    <w:adjustRightInd w:val="0"/>
                    <w:rPr>
                      <w:bCs/>
                      <w:sz w:val="18"/>
                      <w:szCs w:val="18"/>
                    </w:rPr>
                  </w:pPr>
                  <w:r w:rsidRPr="003E7128"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 xml:space="preserve">• </w:t>
                  </w:r>
                  <w:r w:rsidRPr="003E7128"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overall service received</w:t>
                  </w:r>
                </w:p>
              </w:tc>
              <w:tc>
                <w:tcPr>
                  <w:tcW w:w="1229" w:type="dxa"/>
                  <w:vAlign w:val="center"/>
                </w:tcPr>
                <w:p w:rsidR="0069762D" w:rsidRDefault="0069762D" w:rsidP="00B10EE0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Response rate: 80% of sample</w:t>
                  </w:r>
                </w:p>
                <w:p w:rsidR="0069762D" w:rsidRDefault="0069762D" w:rsidP="00B10EE0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</w:p>
                <w:p w:rsidR="0069762D" w:rsidRPr="003E7128" w:rsidRDefault="0069762D" w:rsidP="00B10EE0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Overall satisfaction: &gt;90%</w:t>
                  </w:r>
                </w:p>
              </w:tc>
              <w:tc>
                <w:tcPr>
                  <w:tcW w:w="1890" w:type="dxa"/>
                </w:tcPr>
                <w:p w:rsidR="0069762D" w:rsidRPr="00CB6AC2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RPr="00700BE4" w:rsidTr="007C548C">
              <w:tc>
                <w:tcPr>
                  <w:tcW w:w="2439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  <w:t>Performance &amp; Productivity</w:t>
                  </w: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  <w:tc>
                <w:tcPr>
                  <w:tcW w:w="1229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  <w:tc>
                <w:tcPr>
                  <w:tcW w:w="1890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</w:tr>
            <w:tr w:rsidR="0069762D" w:rsidTr="007C548C">
              <w:tc>
                <w:tcPr>
                  <w:tcW w:w="2439" w:type="dxa"/>
                  <w:tcBorders>
                    <w:bottom w:val="single" w:sz="4" w:space="0" w:color="auto"/>
                  </w:tcBorders>
                </w:tcPr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 w:rsidRPr="003E7128"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Service demand 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data </w:t>
                  </w:r>
                  <w:r w:rsidRPr="003E7128"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are accurately monitored, reviewed and rep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orted to guide service planning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1229" w:type="dxa"/>
                  <w:tcBorders>
                    <w:bottom w:val="single" w:sz="4" w:space="0" w:color="auto"/>
                  </w:tcBorders>
                </w:tcPr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:rsidR="0069762D" w:rsidRPr="00CB6AC2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RPr="00700BE4" w:rsidTr="007C548C">
              <w:tc>
                <w:tcPr>
                  <w:tcW w:w="2439" w:type="dxa"/>
                  <w:shd w:val="clear" w:color="auto" w:fill="FFFFFF" w:themeFill="background1"/>
                </w:tcPr>
                <w:p w:rsidR="0069762D" w:rsidRDefault="00387DD1" w:rsidP="00856FF4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Serious Incident Reporting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:rsidR="0069762D" w:rsidRPr="003E7128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Serious incidents are </w:t>
                  </w:r>
                  <w:r w:rsidRPr="00AA3771"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investigated and 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reported in line with CCG policy</w:t>
                  </w:r>
                  <w:r w:rsidRPr="00AA3771"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. Subsequent action plans are agreed and 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progress reported.</w:t>
                  </w:r>
                </w:p>
              </w:tc>
              <w:tc>
                <w:tcPr>
                  <w:tcW w:w="1229" w:type="dxa"/>
                  <w:shd w:val="clear" w:color="auto" w:fill="FFFFFF" w:themeFill="background1"/>
                </w:tcPr>
                <w:p w:rsidR="0069762D" w:rsidRPr="00AA3771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100%</w:t>
                  </w:r>
                </w:p>
              </w:tc>
              <w:tc>
                <w:tcPr>
                  <w:tcW w:w="1890" w:type="dxa"/>
                  <w:shd w:val="clear" w:color="auto" w:fill="FFFFFF" w:themeFill="background1"/>
                </w:tcPr>
                <w:p w:rsidR="0069762D" w:rsidRPr="00700BE4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RPr="00700BE4" w:rsidTr="007C548C">
              <w:tc>
                <w:tcPr>
                  <w:tcW w:w="2439" w:type="dxa"/>
                  <w:shd w:val="clear" w:color="auto" w:fill="FFFFFF" w:themeFill="background1"/>
                </w:tcPr>
                <w:p w:rsidR="0069762D" w:rsidRPr="00AA3771" w:rsidRDefault="0069762D" w:rsidP="00EF42EC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lastRenderedPageBreak/>
                    <w:t>Comments, compliments and c</w:t>
                  </w:r>
                  <w:r w:rsidRPr="00AA3771"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omplaints are 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considered, </w:t>
                  </w:r>
                  <w:r w:rsidRPr="00AA3771"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 xml:space="preserve">investigated and responded to in a timely manner. Subsequent action plans are agreed and </w:t>
                  </w: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progress reported.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</w:pPr>
                  <w:r w:rsidRPr="003E7128"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>•</w:t>
                  </w:r>
                  <w:r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 xml:space="preserve"> Number of comments (by type)</w:t>
                  </w:r>
                </w:p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</w:pPr>
                  <w:r w:rsidRPr="003E7128"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>•</w:t>
                  </w:r>
                  <w:r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 xml:space="preserve"> Number of compliments (by type)</w:t>
                  </w:r>
                </w:p>
                <w:p w:rsidR="0069762D" w:rsidRPr="00AA3771" w:rsidRDefault="0069762D" w:rsidP="00EF42EC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 w:rsidRPr="003E7128"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>•</w:t>
                  </w:r>
                  <w:r>
                    <w:rPr>
                      <w:rFonts w:ascii="SymbolMT" w:hAnsi="SymbolMT" w:cs="SymbolMT"/>
                      <w:sz w:val="18"/>
                      <w:szCs w:val="18"/>
                      <w:lang w:eastAsia="en-GB"/>
                    </w:rPr>
                    <w:t xml:space="preserve"> Number of complaints (by reason)</w:t>
                  </w:r>
                </w:p>
              </w:tc>
              <w:tc>
                <w:tcPr>
                  <w:tcW w:w="1229" w:type="dxa"/>
                  <w:shd w:val="clear" w:color="auto" w:fill="FFFFFF" w:themeFill="background1"/>
                </w:tcPr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</w:p>
                <w:p w:rsidR="00387DD1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</w:p>
                <w:p w:rsidR="00387DD1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</w:p>
                <w:p w:rsidR="00387DD1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</w:p>
                <w:p w:rsidR="00387DD1" w:rsidRPr="00AA3771" w:rsidRDefault="00387DD1" w:rsidP="00387DD1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MT" w:hAnsi="ArialMT" w:cs="ArialMT"/>
                      <w:sz w:val="18"/>
                      <w:szCs w:val="18"/>
                      <w:lang w:eastAsia="en-GB"/>
                    </w:rPr>
                    <w:t>&lt;5%</w:t>
                  </w:r>
                </w:p>
              </w:tc>
              <w:tc>
                <w:tcPr>
                  <w:tcW w:w="1890" w:type="dxa"/>
                  <w:shd w:val="clear" w:color="auto" w:fill="FFFFFF" w:themeFill="background1"/>
                </w:tcPr>
                <w:p w:rsidR="0069762D" w:rsidRPr="00700BE4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</w:tc>
            </w:tr>
            <w:tr w:rsidR="0069762D" w:rsidRPr="00700BE4" w:rsidTr="007C548C">
              <w:tc>
                <w:tcPr>
                  <w:tcW w:w="2439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  <w:t>Reporting</w:t>
                  </w: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  <w:tc>
                <w:tcPr>
                  <w:tcW w:w="1229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  <w:tc>
                <w:tcPr>
                  <w:tcW w:w="1890" w:type="dxa"/>
                  <w:shd w:val="clear" w:color="auto" w:fill="BFBFBF" w:themeFill="background1" w:themeFillShade="BF"/>
                </w:tcPr>
                <w:p w:rsidR="0069762D" w:rsidRPr="00700BE4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/>
                      <w:i/>
                      <w:sz w:val="20"/>
                      <w:lang w:eastAsia="en-GB"/>
                    </w:rPr>
                  </w:pPr>
                </w:p>
              </w:tc>
            </w:tr>
            <w:tr w:rsidR="0069762D" w:rsidTr="007C548C">
              <w:tc>
                <w:tcPr>
                  <w:tcW w:w="2439" w:type="dxa"/>
                </w:tcPr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2551" w:type="dxa"/>
                </w:tcPr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Minimum data set to be recorded and reported.</w:t>
                  </w:r>
                </w:p>
              </w:tc>
              <w:tc>
                <w:tcPr>
                  <w:tcW w:w="1229" w:type="dxa"/>
                </w:tcPr>
                <w:p w:rsidR="0069762D" w:rsidRDefault="0069762D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100%</w:t>
                  </w:r>
                </w:p>
              </w:tc>
              <w:tc>
                <w:tcPr>
                  <w:tcW w:w="1890" w:type="dxa"/>
                </w:tcPr>
                <w:p w:rsidR="0069762D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n-GB"/>
                    </w:rPr>
                    <w:t>Subject to General Condition 9</w:t>
                  </w:r>
                </w:p>
                <w:p w:rsidR="00387DD1" w:rsidRPr="00CB6AC2" w:rsidRDefault="00387DD1" w:rsidP="00B10EE0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0"/>
                      <w:lang w:eastAsia="en-GB"/>
                    </w:rPr>
                  </w:pPr>
                </w:p>
              </w:tc>
            </w:tr>
          </w:tbl>
          <w:p w:rsidR="002C64D0" w:rsidRPr="00296DE0" w:rsidRDefault="002C64D0" w:rsidP="001507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C64D0" w:rsidRPr="00296DE0" w:rsidTr="0015079C">
        <w:tc>
          <w:tcPr>
            <w:tcW w:w="8414" w:type="dxa"/>
            <w:shd w:val="clear" w:color="auto" w:fill="595959"/>
          </w:tcPr>
          <w:p w:rsidR="002C64D0" w:rsidRPr="0084766F" w:rsidRDefault="00E665B0" w:rsidP="00E665B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color w:val="F79646"/>
              </w:rPr>
            </w:pPr>
            <w:r>
              <w:rPr>
                <w:rFonts w:ascii="Arial" w:hAnsi="Arial" w:cs="Arial"/>
                <w:b/>
                <w:color w:val="F79646"/>
              </w:rPr>
              <w:lastRenderedPageBreak/>
              <w:tab/>
            </w:r>
            <w:r w:rsidR="002C64D0" w:rsidRPr="0084766F">
              <w:rPr>
                <w:rFonts w:ascii="Arial" w:hAnsi="Arial" w:cs="Arial"/>
                <w:b/>
                <w:color w:val="F79646"/>
              </w:rPr>
              <w:t>Location of Provider Premises</w:t>
            </w:r>
          </w:p>
        </w:tc>
      </w:tr>
      <w:tr w:rsidR="002C64D0" w:rsidRPr="00296DE0" w:rsidTr="00426B87">
        <w:trPr>
          <w:trHeight w:val="539"/>
        </w:trPr>
        <w:tc>
          <w:tcPr>
            <w:tcW w:w="8414" w:type="dxa"/>
            <w:tcBorders>
              <w:bottom w:val="single" w:sz="4" w:space="0" w:color="auto"/>
            </w:tcBorders>
            <w:shd w:val="clear" w:color="auto" w:fill="auto"/>
          </w:tcPr>
          <w:p w:rsidR="002C64D0" w:rsidRPr="00296DE0" w:rsidRDefault="002C64D0" w:rsidP="0015079C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C64D0" w:rsidRPr="0069762D" w:rsidRDefault="002C64D0" w:rsidP="0015079C">
            <w:pPr>
              <w:spacing w:after="0"/>
              <w:rPr>
                <w:rFonts w:ascii="Arial" w:hAnsi="Arial" w:cs="Arial"/>
                <w:sz w:val="20"/>
              </w:rPr>
            </w:pPr>
            <w:r w:rsidRPr="0069762D">
              <w:rPr>
                <w:rFonts w:ascii="Arial" w:hAnsi="Arial" w:cs="Arial"/>
                <w:sz w:val="20"/>
              </w:rPr>
              <w:t>The Pro</w:t>
            </w:r>
            <w:r w:rsidR="0069762D">
              <w:rPr>
                <w:rFonts w:ascii="Arial" w:hAnsi="Arial" w:cs="Arial"/>
                <w:sz w:val="20"/>
              </w:rPr>
              <w:t>vider’s Premises are located at:</w:t>
            </w:r>
            <w:r w:rsidR="0069762D">
              <w:rPr>
                <w:rFonts w:ascii="Arial" w:hAnsi="Arial" w:cs="Arial"/>
                <w:sz w:val="20"/>
              </w:rPr>
              <w:tab/>
            </w:r>
            <w:r w:rsidR="00297CB0" w:rsidRPr="0069762D">
              <w:rPr>
                <w:rFonts w:ascii="Arial" w:hAnsi="Arial" w:cs="Arial"/>
                <w:sz w:val="20"/>
              </w:rPr>
              <w:t>TBC</w:t>
            </w:r>
          </w:p>
          <w:p w:rsidR="002C64D0" w:rsidRPr="00296DE0" w:rsidRDefault="002C64D0" w:rsidP="001507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C64D0" w:rsidRPr="00B10EE0" w:rsidTr="00B10EE0">
        <w:tc>
          <w:tcPr>
            <w:tcW w:w="8414" w:type="dxa"/>
            <w:shd w:val="clear" w:color="auto" w:fill="595959" w:themeFill="text1" w:themeFillTint="A6"/>
          </w:tcPr>
          <w:p w:rsidR="002C64D0" w:rsidRPr="00B10EE0" w:rsidRDefault="00E665B0" w:rsidP="00E665B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color w:val="F79646"/>
              </w:rPr>
            </w:pPr>
            <w:r w:rsidRPr="00B10EE0">
              <w:rPr>
                <w:rFonts w:ascii="Arial" w:hAnsi="Arial" w:cs="Arial"/>
                <w:b/>
                <w:color w:val="F79646"/>
              </w:rPr>
              <w:tab/>
            </w:r>
            <w:r w:rsidR="002C64D0" w:rsidRPr="00B10EE0">
              <w:rPr>
                <w:rFonts w:ascii="Arial" w:hAnsi="Arial" w:cs="Arial"/>
                <w:b/>
                <w:color w:val="F79646"/>
              </w:rPr>
              <w:t>Individual Service User Placement</w:t>
            </w:r>
          </w:p>
        </w:tc>
      </w:tr>
      <w:tr w:rsidR="002C64D0" w:rsidRPr="00296DE0" w:rsidTr="00426B87">
        <w:trPr>
          <w:trHeight w:val="511"/>
        </w:trPr>
        <w:tc>
          <w:tcPr>
            <w:tcW w:w="8414" w:type="dxa"/>
            <w:tcBorders>
              <w:bottom w:val="single" w:sz="4" w:space="0" w:color="auto"/>
            </w:tcBorders>
            <w:shd w:val="clear" w:color="auto" w:fill="auto"/>
          </w:tcPr>
          <w:p w:rsidR="002C64D0" w:rsidRPr="00296DE0" w:rsidRDefault="002C64D0" w:rsidP="0015079C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C64D0" w:rsidRPr="00296DE0" w:rsidRDefault="00297CB0" w:rsidP="0015079C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 Applicable.</w:t>
            </w:r>
          </w:p>
          <w:p w:rsidR="002C64D0" w:rsidRPr="00296DE0" w:rsidRDefault="002C64D0" w:rsidP="001507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10EE0" w:rsidRPr="00B10EE0" w:rsidTr="00B10EE0"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B10EE0" w:rsidRPr="00B10EE0" w:rsidRDefault="00B10EE0" w:rsidP="00B10EE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color w:val="F79646"/>
              </w:rPr>
            </w:pPr>
            <w:r>
              <w:rPr>
                <w:rFonts w:ascii="Arial" w:hAnsi="Arial" w:cs="Arial"/>
                <w:b/>
                <w:color w:val="F79646"/>
              </w:rPr>
              <w:tab/>
            </w:r>
            <w:r w:rsidRPr="00B10EE0">
              <w:rPr>
                <w:rFonts w:ascii="Arial" w:hAnsi="Arial" w:cs="Arial"/>
                <w:b/>
                <w:color w:val="F79646"/>
              </w:rPr>
              <w:t>Monitoring</w:t>
            </w:r>
          </w:p>
        </w:tc>
      </w:tr>
      <w:tr w:rsidR="00B10EE0" w:rsidRPr="0067693C" w:rsidTr="00B10EE0"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E0" w:rsidRDefault="00B10EE0" w:rsidP="00B10EE0">
            <w:pPr>
              <w:spacing w:after="0"/>
              <w:rPr>
                <w:rFonts w:ascii="Arial" w:hAnsi="Arial" w:cs="Arial"/>
                <w:sz w:val="20"/>
              </w:rPr>
            </w:pPr>
          </w:p>
          <w:tbl>
            <w:tblPr>
              <w:tblW w:w="68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03"/>
              <w:gridCol w:w="2268"/>
            </w:tblGrid>
            <w:tr w:rsidR="00B10EE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10EE0" w:rsidRPr="00E25111" w:rsidRDefault="00B10EE0" w:rsidP="00033494">
                  <w:pPr>
                    <w:pStyle w:val="BodyText"/>
                    <w:rPr>
                      <w:bCs/>
                      <w:i/>
                      <w:sz w:val="18"/>
                      <w:szCs w:val="18"/>
                    </w:rPr>
                  </w:pPr>
                  <w:r w:rsidRPr="00E25111">
                    <w:rPr>
                      <w:bCs/>
                      <w:i/>
                      <w:sz w:val="18"/>
                      <w:szCs w:val="18"/>
                    </w:rPr>
                    <w:t>Activity Performance Indicators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10EE0" w:rsidRPr="00E25111" w:rsidRDefault="00B10EE0" w:rsidP="00033494">
                  <w:pPr>
                    <w:pStyle w:val="BodyText"/>
                    <w:rPr>
                      <w:bCs/>
                      <w:i/>
                      <w:sz w:val="18"/>
                      <w:szCs w:val="18"/>
                    </w:rPr>
                  </w:pPr>
                  <w:r>
                    <w:rPr>
                      <w:bCs/>
                      <w:i/>
                      <w:sz w:val="18"/>
                      <w:szCs w:val="18"/>
                    </w:rPr>
                    <w:t>Reporting Frequency</w:t>
                  </w:r>
                  <w:r w:rsidRPr="00E25111">
                    <w:rPr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10EE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10EE0" w:rsidRPr="00E25111" w:rsidRDefault="00176874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No of new referrals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FB108E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BE4FF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No of patients waiting for treatment commencement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 w:rsidRPr="00373EA1"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BE4FF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E25111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No of patients commencing treatment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 w:rsidRPr="00373EA1"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033494" w:rsidRPr="000D010E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3494" w:rsidRPr="00176874" w:rsidRDefault="00033494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No of patients completing treatment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3494" w:rsidRPr="00373EA1" w:rsidRDefault="00033494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BE4FF0" w:rsidRPr="000D010E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176874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 w:rsidRPr="00176874">
                    <w:rPr>
                      <w:bCs/>
                      <w:sz w:val="18"/>
                      <w:szCs w:val="18"/>
                    </w:rPr>
                    <w:t>Fertilisation rate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 w:rsidRPr="00373EA1"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BE4FF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E25111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Clinical pregnancy rate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 w:rsidRPr="00373EA1"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BE4FF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Live birth rate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 w:rsidRPr="00373EA1"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BE4FF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Singleton pregnancy rate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 w:rsidRPr="00373EA1"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BE4FF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Multiple pregnancy rate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 w:rsidRPr="00373EA1"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BE4FF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OHSS incidence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E4FF0" w:rsidRPr="00BE4FF0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 w:rsidRPr="00373EA1">
                    <w:rPr>
                      <w:bCs/>
                      <w:sz w:val="18"/>
                      <w:szCs w:val="18"/>
                    </w:rPr>
                    <w:t>Monthly</w:t>
                  </w:r>
                </w:p>
              </w:tc>
            </w:tr>
            <w:tr w:rsidR="00176874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76874" w:rsidRDefault="00176874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Summary of post-treatment evaluations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76874" w:rsidRDefault="00BE4FF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Quarterly</w:t>
                  </w:r>
                </w:p>
              </w:tc>
            </w:tr>
            <w:tr w:rsidR="00B10EE0" w:rsidRPr="00E25111" w:rsidTr="00033494">
              <w:trPr>
                <w:trHeight w:val="360"/>
              </w:trPr>
              <w:tc>
                <w:tcPr>
                  <w:tcW w:w="46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10EE0" w:rsidRPr="00F3336C" w:rsidRDefault="00B10EE0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M</w:t>
                  </w:r>
                  <w:r w:rsidR="00F3336C">
                    <w:rPr>
                      <w:bCs/>
                      <w:sz w:val="18"/>
                      <w:szCs w:val="18"/>
                    </w:rPr>
                    <w:t>inimum data set</w:t>
                  </w:r>
                  <w:r w:rsidR="0014542D">
                    <w:rPr>
                      <w:bCs/>
                      <w:sz w:val="18"/>
                      <w:szCs w:val="18"/>
                    </w:rPr>
                    <w:t xml:space="preserve"> (Appendix 1)</w:t>
                  </w:r>
                </w:p>
              </w:tc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B10EE0" w:rsidRPr="00F56962" w:rsidRDefault="0014542D" w:rsidP="00033494">
                  <w:pPr>
                    <w:pStyle w:val="BodyTex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Monthly </w:t>
                  </w:r>
                </w:p>
              </w:tc>
            </w:tr>
          </w:tbl>
          <w:p w:rsidR="00B10EE0" w:rsidRPr="00B10EE0" w:rsidRDefault="00B10EE0" w:rsidP="00B10EE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C64D0" w:rsidRDefault="002C64D0" w:rsidP="002C64D0">
      <w:pPr>
        <w:spacing w:after="0"/>
        <w:rPr>
          <w:rFonts w:ascii="Arial" w:hAnsi="Arial" w:cs="Arial"/>
          <w:sz w:val="20"/>
        </w:rPr>
      </w:pPr>
    </w:p>
    <w:p w:rsidR="002C64D0" w:rsidRDefault="002C64D0" w:rsidP="002C64D0">
      <w:pPr>
        <w:spacing w:after="0"/>
        <w:rPr>
          <w:rFonts w:ascii="Arial" w:hAnsi="Arial" w:cs="Arial"/>
          <w:sz w:val="20"/>
        </w:rPr>
      </w:pPr>
    </w:p>
    <w:p w:rsidR="00F3336C" w:rsidRDefault="00F3336C">
      <w:pPr>
        <w:spacing w:line="276" w:lineRule="auto"/>
      </w:pPr>
      <w:r>
        <w:br w:type="page"/>
      </w:r>
    </w:p>
    <w:p w:rsidR="00CD5F9C" w:rsidRPr="00516E99" w:rsidRDefault="00E23602" w:rsidP="002C64D0">
      <w:pPr>
        <w:rPr>
          <w:rFonts w:ascii="Arial" w:hAnsi="Arial" w:cs="Arial"/>
        </w:rPr>
      </w:pPr>
      <w:r w:rsidRPr="00516E99">
        <w:rPr>
          <w:rFonts w:ascii="Arial" w:hAnsi="Arial" w:cs="Arial"/>
        </w:rPr>
        <w:lastRenderedPageBreak/>
        <w:t>Appendix One</w:t>
      </w:r>
      <w:r w:rsidR="00CD5F9C" w:rsidRPr="00516E99">
        <w:rPr>
          <w:rFonts w:ascii="Arial" w:hAnsi="Arial" w:cs="Arial"/>
        </w:rPr>
        <w:t xml:space="preserve"> - Assisted Conception Pathway</w:t>
      </w:r>
      <w:r w:rsidR="0018248C">
        <w:rPr>
          <w:rFonts w:ascii="Arial" w:hAnsi="Arial" w:cs="Arial"/>
        </w:rPr>
        <w:t xml:space="preserve"> </w:t>
      </w:r>
    </w:p>
    <w:bookmarkStart w:id="3" w:name="_MON_1623762112"/>
    <w:bookmarkEnd w:id="3"/>
    <w:p w:rsidR="00F3336C" w:rsidRDefault="001D5746" w:rsidP="002C64D0">
      <w:pPr>
        <w:sectPr w:rsidR="00F3336C" w:rsidSect="0031321F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object w:dxaOrig="1539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65pt" o:ole="">
            <v:imagedata r:id="rId10" o:title=""/>
          </v:shape>
          <o:OLEObject Type="Embed" ProgID="Word.Document.12" ShapeID="_x0000_i1025" DrawAspect="Icon" ObjectID="_1623824694" r:id="rId11">
            <o:FieldCodes>\s</o:FieldCodes>
          </o:OLEObject>
        </w:object>
      </w:r>
      <w:r w:rsidR="00CD5F9C">
        <w:br w:type="page"/>
      </w:r>
    </w:p>
    <w:p w:rsidR="0014542D" w:rsidRDefault="0014542D" w:rsidP="0014542D">
      <w:pPr>
        <w:pStyle w:val="BodyTex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Appendix </w:t>
      </w:r>
      <w:r w:rsidR="00CD5F9C">
        <w:rPr>
          <w:b/>
          <w:bCs/>
          <w:sz w:val="18"/>
          <w:szCs w:val="18"/>
        </w:rPr>
        <w:t>Two</w:t>
      </w:r>
    </w:p>
    <w:p w:rsidR="00033494" w:rsidRDefault="00033494" w:rsidP="00033494">
      <w:pPr>
        <w:pStyle w:val="BodyText"/>
        <w:rPr>
          <w:b/>
          <w:bCs/>
          <w:sz w:val="18"/>
          <w:szCs w:val="18"/>
        </w:rPr>
      </w:pPr>
      <w:r w:rsidRPr="0014542D">
        <w:rPr>
          <w:b/>
          <w:bCs/>
          <w:sz w:val="18"/>
          <w:szCs w:val="18"/>
        </w:rPr>
        <w:t>Minimum Data Set</w:t>
      </w:r>
    </w:p>
    <w:p w:rsidR="0014542D" w:rsidRPr="0014542D" w:rsidRDefault="0014542D" w:rsidP="0014542D">
      <w:pPr>
        <w:pStyle w:val="BodyText"/>
        <w:rPr>
          <w:b/>
          <w:bCs/>
          <w:sz w:val="18"/>
          <w:szCs w:val="18"/>
        </w:rPr>
      </w:pP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Unique identifier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Name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Address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DOB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NHS No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GP Name and Address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CCG Responsible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Gender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Age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Sexual Orientation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Race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Religion</w:t>
      </w:r>
    </w:p>
    <w:p w:rsidR="00F3336C" w:rsidRPr="0014542D" w:rsidRDefault="00F3336C" w:rsidP="0014542D">
      <w:pPr>
        <w:pStyle w:val="BodyText"/>
        <w:numPr>
          <w:ilvl w:val="0"/>
          <w:numId w:val="28"/>
        </w:numPr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Disability</w:t>
      </w:r>
    </w:p>
    <w:p w:rsidR="00F3336C" w:rsidRPr="0014542D" w:rsidRDefault="00F3336C" w:rsidP="0014542D">
      <w:pPr>
        <w:pStyle w:val="BodyText"/>
        <w:rPr>
          <w:bCs/>
          <w:sz w:val="18"/>
          <w:szCs w:val="18"/>
        </w:rPr>
      </w:pPr>
    </w:p>
    <w:p w:rsidR="0014542D" w:rsidRDefault="0014542D" w:rsidP="0014542D">
      <w:pPr>
        <w:pStyle w:val="BodyText"/>
        <w:rPr>
          <w:bCs/>
          <w:sz w:val="18"/>
          <w:szCs w:val="18"/>
        </w:rPr>
      </w:pPr>
      <w:r w:rsidRPr="0014542D">
        <w:rPr>
          <w:bCs/>
          <w:sz w:val="18"/>
          <w:szCs w:val="18"/>
        </w:rPr>
        <w:t>Example reporting template:</w:t>
      </w:r>
    </w:p>
    <w:p w:rsidR="0014542D" w:rsidRPr="0014542D" w:rsidRDefault="0014542D" w:rsidP="0014542D">
      <w:pPr>
        <w:pStyle w:val="BodyText"/>
        <w:rPr>
          <w:bCs/>
          <w:sz w:val="18"/>
          <w:szCs w:val="18"/>
        </w:rPr>
      </w:pPr>
    </w:p>
    <w:p w:rsidR="00F3336C" w:rsidRDefault="00F3336C" w:rsidP="002C64D0">
      <w:r w:rsidRPr="00F3336C">
        <w:rPr>
          <w:noProof/>
          <w:lang w:val="en-GB" w:eastAsia="en-GB"/>
        </w:rPr>
        <w:drawing>
          <wp:inline distT="0" distB="0" distL="0" distR="0" wp14:anchorId="151218BE" wp14:editId="724BFB33">
            <wp:extent cx="8863330" cy="115874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15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36C" w:rsidSect="00F333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488" w:rsidRDefault="00E27488" w:rsidP="00785C00">
      <w:pPr>
        <w:spacing w:after="0"/>
      </w:pPr>
      <w:r>
        <w:separator/>
      </w:r>
    </w:p>
  </w:endnote>
  <w:endnote w:type="continuationSeparator" w:id="0">
    <w:p w:rsidR="00E27488" w:rsidRDefault="00E27488" w:rsidP="00785C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3B2" w:rsidRPr="00785C00" w:rsidRDefault="00B863B2">
    <w:pPr>
      <w:pStyle w:val="Footer"/>
      <w:rPr>
        <w:rFonts w:ascii="Arial" w:hAnsi="Arial" w:cs="Arial"/>
      </w:rPr>
    </w:pPr>
    <w:r w:rsidRPr="00785C00">
      <w:rPr>
        <w:rFonts w:ascii="Arial" w:hAnsi="Arial" w:cs="Arial"/>
      </w:rPr>
      <w:t xml:space="preserve">Fertility </w:t>
    </w:r>
    <w:r>
      <w:rPr>
        <w:rFonts w:ascii="Arial" w:hAnsi="Arial" w:cs="Arial"/>
      </w:rPr>
      <w:t>Service/ Service Specification V0;14</w:t>
    </w:r>
    <w:r w:rsidRPr="00785C00">
      <w:rPr>
        <w:rFonts w:ascii="Arial" w:hAnsi="Arial" w:cs="Arial"/>
      </w:rPr>
      <w:tab/>
      <w:t xml:space="preserve">Page </w:t>
    </w:r>
    <w:r w:rsidRPr="00785C00">
      <w:rPr>
        <w:rFonts w:ascii="Arial" w:hAnsi="Arial" w:cs="Arial"/>
      </w:rPr>
      <w:fldChar w:fldCharType="begin"/>
    </w:r>
    <w:r w:rsidRPr="00785C00">
      <w:rPr>
        <w:rFonts w:ascii="Arial" w:hAnsi="Arial" w:cs="Arial"/>
      </w:rPr>
      <w:instrText xml:space="preserve"> PAGE  \* Arabic  \* MERGEFORMAT </w:instrText>
    </w:r>
    <w:r w:rsidRPr="00785C00">
      <w:rPr>
        <w:rFonts w:ascii="Arial" w:hAnsi="Arial" w:cs="Arial"/>
      </w:rPr>
      <w:fldChar w:fldCharType="separate"/>
    </w:r>
    <w:r w:rsidR="00C4034B">
      <w:rPr>
        <w:rFonts w:ascii="Arial" w:hAnsi="Arial" w:cs="Arial"/>
        <w:noProof/>
      </w:rPr>
      <w:t>8</w:t>
    </w:r>
    <w:r w:rsidRPr="00785C00">
      <w:rPr>
        <w:rFonts w:ascii="Arial" w:hAnsi="Arial" w:cs="Arial"/>
      </w:rPr>
      <w:fldChar w:fldCharType="end"/>
    </w:r>
    <w:r w:rsidRPr="00785C00">
      <w:rPr>
        <w:rFonts w:ascii="Arial" w:hAnsi="Arial" w:cs="Arial"/>
      </w:rPr>
      <w:t xml:space="preserve"> of </w:t>
    </w:r>
    <w:r w:rsidR="00E27488">
      <w:fldChar w:fldCharType="begin"/>
    </w:r>
    <w:r w:rsidR="00E27488">
      <w:instrText xml:space="preserve"> NUMPAGES  \* Arabic  \* MERGEFORMAT </w:instrText>
    </w:r>
    <w:r w:rsidR="00E27488">
      <w:fldChar w:fldCharType="separate"/>
    </w:r>
    <w:r w:rsidR="00C4034B" w:rsidRPr="00C4034B">
      <w:rPr>
        <w:rFonts w:ascii="Arial" w:hAnsi="Arial" w:cs="Arial"/>
        <w:noProof/>
      </w:rPr>
      <w:t>11</w:t>
    </w:r>
    <w:r w:rsidR="00E2748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488" w:rsidRDefault="00E27488" w:rsidP="00785C00">
      <w:pPr>
        <w:spacing w:after="0"/>
      </w:pPr>
      <w:r>
        <w:separator/>
      </w:r>
    </w:p>
  </w:footnote>
  <w:footnote w:type="continuationSeparator" w:id="0">
    <w:p w:rsidR="00E27488" w:rsidRDefault="00E27488" w:rsidP="00785C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709E"/>
    <w:multiLevelType w:val="multilevel"/>
    <w:tmpl w:val="E71A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57C5E"/>
    <w:multiLevelType w:val="hybridMultilevel"/>
    <w:tmpl w:val="D0640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C7CE0"/>
    <w:multiLevelType w:val="hybridMultilevel"/>
    <w:tmpl w:val="E62A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4458"/>
    <w:multiLevelType w:val="hybridMultilevel"/>
    <w:tmpl w:val="BC1624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4185"/>
    <w:multiLevelType w:val="hybridMultilevel"/>
    <w:tmpl w:val="A84CD6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3026E"/>
    <w:multiLevelType w:val="multilevel"/>
    <w:tmpl w:val="69BA9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8"/>
        <w:szCs w:val="18"/>
      </w:rPr>
    </w:lvl>
    <w:lvl w:ilvl="4">
      <w:start w:val="1"/>
      <w:numFmt w:val="bullet"/>
      <w:lvlText w:val="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425C6B"/>
    <w:multiLevelType w:val="hybridMultilevel"/>
    <w:tmpl w:val="89F6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1928"/>
    <w:multiLevelType w:val="hybridMultilevel"/>
    <w:tmpl w:val="A698A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25ADD"/>
    <w:multiLevelType w:val="multilevel"/>
    <w:tmpl w:val="E71A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A77EF"/>
    <w:multiLevelType w:val="multilevel"/>
    <w:tmpl w:val="D08E6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9E1116"/>
    <w:multiLevelType w:val="multilevel"/>
    <w:tmpl w:val="7554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2032A"/>
    <w:multiLevelType w:val="multilevel"/>
    <w:tmpl w:val="CF021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42093D"/>
    <w:multiLevelType w:val="multilevel"/>
    <w:tmpl w:val="0FE8B2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95597A"/>
    <w:multiLevelType w:val="multilevel"/>
    <w:tmpl w:val="E214A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B172FC"/>
    <w:multiLevelType w:val="multilevel"/>
    <w:tmpl w:val="29E23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31B23"/>
    <w:multiLevelType w:val="multilevel"/>
    <w:tmpl w:val="CF021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CD57E1"/>
    <w:multiLevelType w:val="hybridMultilevel"/>
    <w:tmpl w:val="5EA6968E"/>
    <w:lvl w:ilvl="0" w:tplc="DA826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993320"/>
    <w:multiLevelType w:val="multilevel"/>
    <w:tmpl w:val="3D544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007A4E"/>
    <w:multiLevelType w:val="hybridMultilevel"/>
    <w:tmpl w:val="9FBECECA"/>
    <w:lvl w:ilvl="0" w:tplc="3D78796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42018"/>
    <w:multiLevelType w:val="hybridMultilevel"/>
    <w:tmpl w:val="C1CC3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31637"/>
    <w:multiLevelType w:val="hybridMultilevel"/>
    <w:tmpl w:val="FDB83DE2"/>
    <w:lvl w:ilvl="0" w:tplc="DA826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93381"/>
    <w:multiLevelType w:val="multilevel"/>
    <w:tmpl w:val="CF021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9E14E7"/>
    <w:multiLevelType w:val="hybridMultilevel"/>
    <w:tmpl w:val="147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01BBD"/>
    <w:multiLevelType w:val="hybridMultilevel"/>
    <w:tmpl w:val="97984B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C13AA5"/>
    <w:multiLevelType w:val="hybridMultilevel"/>
    <w:tmpl w:val="1BA60480"/>
    <w:lvl w:ilvl="0" w:tplc="F2E6110E">
      <w:start w:val="1"/>
      <w:numFmt w:val="bullet"/>
      <w:lvlText w:val="-"/>
      <w:lvlJc w:val="left"/>
      <w:pPr>
        <w:ind w:left="360" w:hanging="360"/>
      </w:pPr>
      <w:rPr>
        <w:rFonts w:ascii="Syntax-Roman" w:eastAsia="Times New Roman" w:hAnsi="Syntax-Roman" w:cs="Syntax-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1E4787"/>
    <w:multiLevelType w:val="hybridMultilevel"/>
    <w:tmpl w:val="A6A8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F1E74"/>
    <w:multiLevelType w:val="hybridMultilevel"/>
    <w:tmpl w:val="F9D649EE"/>
    <w:lvl w:ilvl="0" w:tplc="DA826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33431"/>
    <w:multiLevelType w:val="multilevel"/>
    <w:tmpl w:val="D5B86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65496F"/>
    <w:multiLevelType w:val="hybridMultilevel"/>
    <w:tmpl w:val="E54E60FA"/>
    <w:lvl w:ilvl="0" w:tplc="DA826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8D133E"/>
    <w:multiLevelType w:val="hybridMultilevel"/>
    <w:tmpl w:val="D870D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7"/>
  </w:num>
  <w:num w:numId="4">
    <w:abstractNumId w:val="29"/>
  </w:num>
  <w:num w:numId="5">
    <w:abstractNumId w:val="25"/>
  </w:num>
  <w:num w:numId="6">
    <w:abstractNumId w:val="19"/>
  </w:num>
  <w:num w:numId="7">
    <w:abstractNumId w:val="2"/>
  </w:num>
  <w:num w:numId="8">
    <w:abstractNumId w:val="12"/>
  </w:num>
  <w:num w:numId="9">
    <w:abstractNumId w:val="26"/>
  </w:num>
  <w:num w:numId="10">
    <w:abstractNumId w:val="20"/>
  </w:num>
  <w:num w:numId="11">
    <w:abstractNumId w:val="28"/>
  </w:num>
  <w:num w:numId="12">
    <w:abstractNumId w:val="16"/>
  </w:num>
  <w:num w:numId="13">
    <w:abstractNumId w:val="5"/>
  </w:num>
  <w:num w:numId="14">
    <w:abstractNumId w:val="8"/>
  </w:num>
  <w:num w:numId="15">
    <w:abstractNumId w:val="0"/>
  </w:num>
  <w:num w:numId="16">
    <w:abstractNumId w:val="11"/>
  </w:num>
  <w:num w:numId="17">
    <w:abstractNumId w:val="21"/>
  </w:num>
  <w:num w:numId="18">
    <w:abstractNumId w:val="15"/>
  </w:num>
  <w:num w:numId="19">
    <w:abstractNumId w:val="1"/>
  </w:num>
  <w:num w:numId="20">
    <w:abstractNumId w:val="4"/>
  </w:num>
  <w:num w:numId="21">
    <w:abstractNumId w:val="14"/>
  </w:num>
  <w:num w:numId="22">
    <w:abstractNumId w:val="24"/>
  </w:num>
  <w:num w:numId="23">
    <w:abstractNumId w:val="9"/>
  </w:num>
  <w:num w:numId="24">
    <w:abstractNumId w:val="17"/>
  </w:num>
  <w:num w:numId="25">
    <w:abstractNumId w:val="22"/>
  </w:num>
  <w:num w:numId="26">
    <w:abstractNumId w:val="7"/>
  </w:num>
  <w:num w:numId="27">
    <w:abstractNumId w:val="6"/>
  </w:num>
  <w:num w:numId="28">
    <w:abstractNumId w:val="18"/>
  </w:num>
  <w:num w:numId="29">
    <w:abstractNumId w:val="1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D0"/>
    <w:rsid w:val="00033494"/>
    <w:rsid w:val="000366BD"/>
    <w:rsid w:val="00052DBE"/>
    <w:rsid w:val="00056425"/>
    <w:rsid w:val="0006778B"/>
    <w:rsid w:val="000B0AEE"/>
    <w:rsid w:val="000C2F63"/>
    <w:rsid w:val="000C3740"/>
    <w:rsid w:val="000D2316"/>
    <w:rsid w:val="000E3CA9"/>
    <w:rsid w:val="00106A1B"/>
    <w:rsid w:val="00122281"/>
    <w:rsid w:val="00123D5E"/>
    <w:rsid w:val="0014211C"/>
    <w:rsid w:val="0014542D"/>
    <w:rsid w:val="001467D4"/>
    <w:rsid w:val="0015079C"/>
    <w:rsid w:val="00171A59"/>
    <w:rsid w:val="00176874"/>
    <w:rsid w:val="0018248C"/>
    <w:rsid w:val="001D2DE7"/>
    <w:rsid w:val="001D5746"/>
    <w:rsid w:val="001E6B17"/>
    <w:rsid w:val="001E766D"/>
    <w:rsid w:val="001F06D0"/>
    <w:rsid w:val="001F09BD"/>
    <w:rsid w:val="00204D4E"/>
    <w:rsid w:val="002111AB"/>
    <w:rsid w:val="00224D3C"/>
    <w:rsid w:val="00251775"/>
    <w:rsid w:val="00267126"/>
    <w:rsid w:val="00272D9F"/>
    <w:rsid w:val="00274E87"/>
    <w:rsid w:val="00297CB0"/>
    <w:rsid w:val="002A019F"/>
    <w:rsid w:val="002A11B7"/>
    <w:rsid w:val="002A7101"/>
    <w:rsid w:val="002C5F5B"/>
    <w:rsid w:val="002C64D0"/>
    <w:rsid w:val="0031321F"/>
    <w:rsid w:val="00316018"/>
    <w:rsid w:val="003412DA"/>
    <w:rsid w:val="00343026"/>
    <w:rsid w:val="003628C4"/>
    <w:rsid w:val="00375D9E"/>
    <w:rsid w:val="00387642"/>
    <w:rsid w:val="00387DD1"/>
    <w:rsid w:val="0039455A"/>
    <w:rsid w:val="003A4E8C"/>
    <w:rsid w:val="003B0800"/>
    <w:rsid w:val="003E646A"/>
    <w:rsid w:val="003E6D6C"/>
    <w:rsid w:val="004222D6"/>
    <w:rsid w:val="004245B7"/>
    <w:rsid w:val="0042478B"/>
    <w:rsid w:val="00426B87"/>
    <w:rsid w:val="00426DCC"/>
    <w:rsid w:val="00442E61"/>
    <w:rsid w:val="004479F4"/>
    <w:rsid w:val="004608AA"/>
    <w:rsid w:val="00463286"/>
    <w:rsid w:val="004760D6"/>
    <w:rsid w:val="004852DC"/>
    <w:rsid w:val="00495280"/>
    <w:rsid w:val="004E3F52"/>
    <w:rsid w:val="005162B4"/>
    <w:rsid w:val="00516E99"/>
    <w:rsid w:val="0053345B"/>
    <w:rsid w:val="00544873"/>
    <w:rsid w:val="0057586D"/>
    <w:rsid w:val="00585888"/>
    <w:rsid w:val="00586538"/>
    <w:rsid w:val="005C2923"/>
    <w:rsid w:val="005D3C74"/>
    <w:rsid w:val="00611E12"/>
    <w:rsid w:val="006150A5"/>
    <w:rsid w:val="0062407B"/>
    <w:rsid w:val="006259AD"/>
    <w:rsid w:val="00632C30"/>
    <w:rsid w:val="00641077"/>
    <w:rsid w:val="00651875"/>
    <w:rsid w:val="00660143"/>
    <w:rsid w:val="00672BBA"/>
    <w:rsid w:val="0068567F"/>
    <w:rsid w:val="00690AB2"/>
    <w:rsid w:val="006918F5"/>
    <w:rsid w:val="00696045"/>
    <w:rsid w:val="0069762D"/>
    <w:rsid w:val="006A2E3E"/>
    <w:rsid w:val="006A6A4E"/>
    <w:rsid w:val="006C22EA"/>
    <w:rsid w:val="006D413A"/>
    <w:rsid w:val="006F2A3E"/>
    <w:rsid w:val="00702340"/>
    <w:rsid w:val="00722CC0"/>
    <w:rsid w:val="007251A7"/>
    <w:rsid w:val="0074497C"/>
    <w:rsid w:val="00757E20"/>
    <w:rsid w:val="007662FD"/>
    <w:rsid w:val="00785C00"/>
    <w:rsid w:val="00790D20"/>
    <w:rsid w:val="007B26CD"/>
    <w:rsid w:val="007C548C"/>
    <w:rsid w:val="007E7113"/>
    <w:rsid w:val="007F6215"/>
    <w:rsid w:val="00834A00"/>
    <w:rsid w:val="00845428"/>
    <w:rsid w:val="0084766F"/>
    <w:rsid w:val="00856FF4"/>
    <w:rsid w:val="00867749"/>
    <w:rsid w:val="00877CDC"/>
    <w:rsid w:val="00886664"/>
    <w:rsid w:val="008A0C24"/>
    <w:rsid w:val="008B739A"/>
    <w:rsid w:val="008E2AD0"/>
    <w:rsid w:val="008F0FC0"/>
    <w:rsid w:val="009009E1"/>
    <w:rsid w:val="0090613B"/>
    <w:rsid w:val="009125BE"/>
    <w:rsid w:val="0091389C"/>
    <w:rsid w:val="009360CB"/>
    <w:rsid w:val="009363B7"/>
    <w:rsid w:val="009514E8"/>
    <w:rsid w:val="00993D7B"/>
    <w:rsid w:val="009942D5"/>
    <w:rsid w:val="009A07DD"/>
    <w:rsid w:val="009A16E7"/>
    <w:rsid w:val="009A7F1A"/>
    <w:rsid w:val="009B077C"/>
    <w:rsid w:val="009C28C1"/>
    <w:rsid w:val="009D0CA1"/>
    <w:rsid w:val="009E32B3"/>
    <w:rsid w:val="009E7D59"/>
    <w:rsid w:val="009F0B0B"/>
    <w:rsid w:val="00A15408"/>
    <w:rsid w:val="00A23FD6"/>
    <w:rsid w:val="00A24812"/>
    <w:rsid w:val="00A367B7"/>
    <w:rsid w:val="00A452F5"/>
    <w:rsid w:val="00A47FCA"/>
    <w:rsid w:val="00A71858"/>
    <w:rsid w:val="00A82B63"/>
    <w:rsid w:val="00AB0BA8"/>
    <w:rsid w:val="00AC3493"/>
    <w:rsid w:val="00AD655C"/>
    <w:rsid w:val="00AF4E0B"/>
    <w:rsid w:val="00B01FC9"/>
    <w:rsid w:val="00B06CBC"/>
    <w:rsid w:val="00B10EE0"/>
    <w:rsid w:val="00B2445E"/>
    <w:rsid w:val="00B26E59"/>
    <w:rsid w:val="00B275D9"/>
    <w:rsid w:val="00B56E4A"/>
    <w:rsid w:val="00B715EA"/>
    <w:rsid w:val="00B77A28"/>
    <w:rsid w:val="00B863B2"/>
    <w:rsid w:val="00B94112"/>
    <w:rsid w:val="00B94E37"/>
    <w:rsid w:val="00BB44ED"/>
    <w:rsid w:val="00BE4FF0"/>
    <w:rsid w:val="00BE7F79"/>
    <w:rsid w:val="00BF089F"/>
    <w:rsid w:val="00C168AB"/>
    <w:rsid w:val="00C4034B"/>
    <w:rsid w:val="00C7522C"/>
    <w:rsid w:val="00C7723F"/>
    <w:rsid w:val="00C8588B"/>
    <w:rsid w:val="00C942DE"/>
    <w:rsid w:val="00CB1FF6"/>
    <w:rsid w:val="00CB513B"/>
    <w:rsid w:val="00CD5F9C"/>
    <w:rsid w:val="00CD6388"/>
    <w:rsid w:val="00CE1429"/>
    <w:rsid w:val="00CE3A3D"/>
    <w:rsid w:val="00CF3446"/>
    <w:rsid w:val="00D00737"/>
    <w:rsid w:val="00D04745"/>
    <w:rsid w:val="00D141CD"/>
    <w:rsid w:val="00D143CF"/>
    <w:rsid w:val="00D1717D"/>
    <w:rsid w:val="00D21CD3"/>
    <w:rsid w:val="00D45045"/>
    <w:rsid w:val="00D54F50"/>
    <w:rsid w:val="00D62636"/>
    <w:rsid w:val="00D7352D"/>
    <w:rsid w:val="00D94D3A"/>
    <w:rsid w:val="00D963C5"/>
    <w:rsid w:val="00D96E51"/>
    <w:rsid w:val="00DC46E2"/>
    <w:rsid w:val="00DD2B63"/>
    <w:rsid w:val="00E23602"/>
    <w:rsid w:val="00E27488"/>
    <w:rsid w:val="00E27B82"/>
    <w:rsid w:val="00E37C7B"/>
    <w:rsid w:val="00E5056F"/>
    <w:rsid w:val="00E5209E"/>
    <w:rsid w:val="00E64A37"/>
    <w:rsid w:val="00E665B0"/>
    <w:rsid w:val="00E75EF2"/>
    <w:rsid w:val="00EC5550"/>
    <w:rsid w:val="00EF1BF4"/>
    <w:rsid w:val="00EF42EC"/>
    <w:rsid w:val="00EF6BD8"/>
    <w:rsid w:val="00F00FBB"/>
    <w:rsid w:val="00F106BA"/>
    <w:rsid w:val="00F17938"/>
    <w:rsid w:val="00F33081"/>
    <w:rsid w:val="00F3336C"/>
    <w:rsid w:val="00F33ADB"/>
    <w:rsid w:val="00F443A0"/>
    <w:rsid w:val="00F4505C"/>
    <w:rsid w:val="00F86424"/>
    <w:rsid w:val="00FC6A4C"/>
    <w:rsid w:val="00FE49FE"/>
    <w:rsid w:val="00FF4DFC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4DECBB4-D77C-4BA1-8651-CC9E6739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4D0"/>
    <w:pPr>
      <w:spacing w:line="240" w:lineRule="auto"/>
    </w:pPr>
    <w:rPr>
      <w:rFonts w:ascii="Cambria" w:eastAsia="MS Mincho" w:hAnsi="Cambria" w:cs="Times New Roman"/>
      <w:sz w:val="24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4D0"/>
    <w:pPr>
      <w:spacing w:after="0" w:line="660" w:lineRule="exact"/>
      <w:outlineLvl w:val="0"/>
    </w:pPr>
    <w:rPr>
      <w:rFonts w:ascii="Arial" w:hAnsi="Arial" w:cs="Arial"/>
      <w:b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D0"/>
    <w:rPr>
      <w:rFonts w:ascii="Arial" w:eastAsia="MS Mincho" w:hAnsi="Arial" w:cs="Arial"/>
      <w:b/>
      <w:sz w:val="28"/>
      <w:szCs w:val="28"/>
    </w:rPr>
  </w:style>
  <w:style w:type="paragraph" w:styleId="ListParagraph">
    <w:name w:val="List Paragraph"/>
    <w:basedOn w:val="Normal"/>
    <w:qFormat/>
    <w:rsid w:val="002C64D0"/>
    <w:pPr>
      <w:spacing w:after="0"/>
      <w:ind w:left="720"/>
    </w:pPr>
    <w:rPr>
      <w:rFonts w:ascii="Times New Roman" w:eastAsia="Times New Roman" w:hAnsi="Times New Roman"/>
      <w:szCs w:val="24"/>
      <w:lang w:val="en-GB" w:eastAsia="en-GB"/>
    </w:rPr>
  </w:style>
  <w:style w:type="table" w:styleId="TableGrid">
    <w:name w:val="Table Grid"/>
    <w:basedOn w:val="TableNormal"/>
    <w:uiPriority w:val="59"/>
    <w:rsid w:val="00B1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10EE0"/>
    <w:pPr>
      <w:spacing w:after="0"/>
    </w:pPr>
    <w:rPr>
      <w:rFonts w:ascii="Arial" w:eastAsia="Times New Roman" w:hAnsi="Arial" w:cs="Arial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10EE0"/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10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EE0"/>
    <w:rPr>
      <w:rFonts w:asciiTheme="minorHAnsi" w:eastAsiaTheme="minorHAnsi" w:hAnsiTheme="minorHAnsi" w:cstheme="minorBidi"/>
      <w:sz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EE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E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E0"/>
    <w:rPr>
      <w:rFonts w:ascii="Tahoma" w:eastAsia="MS Mincho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3628C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768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C0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5C00"/>
    <w:rPr>
      <w:rFonts w:ascii="Cambria" w:eastAsia="MS Mincho" w:hAnsi="Cambria" w:cs="Times New Roman"/>
      <w:sz w:val="24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85C0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5C00"/>
    <w:rPr>
      <w:rFonts w:ascii="Cambria" w:eastAsia="MS Mincho" w:hAnsi="Cambria" w:cs="Times New Roman"/>
      <w:sz w:val="24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6E7"/>
    <w:rPr>
      <w:rFonts w:ascii="Cambria" w:eastAsia="MS Mincho" w:hAnsi="Cambria" w:cs="Times New Roman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6E7"/>
    <w:rPr>
      <w:rFonts w:ascii="Cambria" w:eastAsia="MS Mincho" w:hAnsi="Cambria" w:cs="Times New Roman"/>
      <w:b/>
      <w:bCs/>
      <w:sz w:val="20"/>
      <w:szCs w:val="20"/>
      <w:lang w:val="en-US" w:eastAsia="ja-JP"/>
    </w:rPr>
  </w:style>
  <w:style w:type="character" w:styleId="Emphasis">
    <w:name w:val="Emphasis"/>
    <w:basedOn w:val="DefaultParagraphFont"/>
    <w:uiPriority w:val="20"/>
    <w:qFormat/>
    <w:rsid w:val="007F6215"/>
    <w:rPr>
      <w:b/>
      <w:bCs/>
      <w:i w:val="0"/>
      <w:iCs w:val="0"/>
    </w:rPr>
  </w:style>
  <w:style w:type="character" w:customStyle="1" w:styleId="st1">
    <w:name w:val="st1"/>
    <w:basedOn w:val="DefaultParagraphFont"/>
    <w:rsid w:val="007F6215"/>
  </w:style>
  <w:style w:type="paragraph" w:customStyle="1" w:styleId="Default">
    <w:name w:val="Default"/>
    <w:rsid w:val="00B2445E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1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ea.gov.uk/cod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82C4-9975-4836-947B-87657FB5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City PCT</Company>
  <LinksUpToDate>false</LinksUpToDate>
  <CharactersWithSpaces>21367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Wolverhampton City PCT</dc:creator>
  <cp:lastModifiedBy>Richard Ward</cp:lastModifiedBy>
  <cp:revision>5</cp:revision>
  <cp:lastPrinted>2013-10-22T12:58:00Z</cp:lastPrinted>
  <dcterms:created xsi:type="dcterms:W3CDTF">2019-07-04T15:25:00Z</dcterms:created>
  <dcterms:modified xsi:type="dcterms:W3CDTF">2019-07-05T08:39:00Z</dcterms:modified>
</cp:coreProperties>
</file>